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18"/>
          <w:szCs w:val="18"/>
          <w:b w:val="1"/>
          <w:bCs w:val="1"/>
          <w:color w:val="auto"/>
        </w:rPr>
        <w:t>UNITED STATES</w:t>
      </w:r>
    </w:p>
    <w:p>
      <w:pPr>
        <w:spacing w:after="0" w:line="90"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0"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Washington, DC 20549</w:t>
      </w:r>
    </w:p>
    <w:p>
      <w:pPr>
        <w:spacing w:after="0" w:line="183" w:lineRule="exact"/>
        <w:rPr>
          <w:sz w:val="24"/>
          <w:szCs w:val="24"/>
          <w:color w:val="auto"/>
        </w:rPr>
      </w:pPr>
    </w:p>
    <w:p>
      <w:pPr>
        <w:ind w:left="3420"/>
        <w:spacing w:after="0"/>
        <w:rPr>
          <w:sz w:val="20"/>
          <w:szCs w:val="20"/>
          <w:color w:val="auto"/>
        </w:rPr>
      </w:pPr>
      <w:r>
        <w:rPr>
          <w:rFonts w:ascii="Arial" w:cs="Arial" w:eastAsia="Arial" w:hAnsi="Arial"/>
          <w:sz w:val="29"/>
          <w:szCs w:val="29"/>
          <w:b w:val="1"/>
          <w:bCs w:val="1"/>
          <w:color w:val="0233A1"/>
        </w:rPr>
        <w:t>SCHEDULE 14A INFORMATION</w:t>
      </w:r>
    </w:p>
    <w:p>
      <w:pPr>
        <w:spacing w:after="0" w:line="222"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OF THE SECURITIES EXCHANGE ACT OF 1934</w:t>
      </w:r>
    </w:p>
    <w:p>
      <w:pPr>
        <w:jc w:val="center"/>
        <w:ind w:right="-1040"/>
        <w:spacing w:after="0"/>
        <w:rPr>
          <w:sz w:val="20"/>
          <w:szCs w:val="20"/>
          <w:color w:val="auto"/>
        </w:rPr>
      </w:pPr>
      <w:r>
        <w:rPr>
          <w:rFonts w:ascii="Arial" w:cs="Arial" w:eastAsia="Arial" w:hAnsi="Arial"/>
          <w:sz w:val="18"/>
          <w:szCs w:val="18"/>
          <w:b w:val="1"/>
          <w:bCs w:val="1"/>
          <w:color w:val="auto"/>
        </w:rPr>
        <w:t>(Amendment No. ___)</w:t>
      </w:r>
    </w:p>
    <w:p>
      <w:pPr>
        <w:spacing w:after="0" w:line="219" w:lineRule="exact"/>
        <w:rPr>
          <w:sz w:val="24"/>
          <w:szCs w:val="24"/>
          <w:color w:val="auto"/>
        </w:rPr>
      </w:pPr>
    </w:p>
    <w:p>
      <w:pPr>
        <w:ind w:left="1320"/>
        <w:spacing w:after="0"/>
        <w:rPr>
          <w:sz w:val="20"/>
          <w:szCs w:val="20"/>
          <w:color w:val="auto"/>
        </w:rPr>
      </w:pPr>
      <w:r>
        <w:rPr>
          <w:sz w:val="1"/>
          <w:szCs w:val="1"/>
          <w:color w:val="auto"/>
        </w:rPr>
        <w:drawing>
          <wp:inline distT="0" distB="0" distL="0" distR="0">
            <wp:extent cx="180340" cy="1797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340" cy="179705"/>
                    </a:xfrm>
                    <a:prstGeom prst="rect">
                      <a:avLst/>
                    </a:prstGeom>
                    <a:noFill/>
                    <a:ln>
                      <a:noFill/>
                    </a:ln>
                  </pic:spPr>
                </pic:pic>
              </a:graphicData>
            </a:graphic>
          </wp:inline>
        </w:drawing>
      </w:r>
      <w:r>
        <w:rPr>
          <w:rFonts w:ascii="Arial" w:cs="Arial" w:eastAsia="Arial" w:hAnsi="Arial"/>
          <w:sz w:val="18"/>
          <w:szCs w:val="18"/>
          <w:color w:val="auto"/>
        </w:rPr>
        <w:t xml:space="preserve"> Filed by the Registrant                         </w:t>
      </w:r>
      <w:r>
        <w:rPr>
          <w:sz w:val="1"/>
          <w:szCs w:val="1"/>
          <w:color w:val="auto"/>
        </w:rPr>
        <w:drawing>
          <wp:inline distT="0" distB="0" distL="0" distR="0">
            <wp:extent cx="171450" cy="1797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 cy="179705"/>
                    </a:xfrm>
                    <a:prstGeom prst="rect">
                      <a:avLst/>
                    </a:prstGeom>
                    <a:noFill/>
                    <a:ln>
                      <a:noFill/>
                    </a:ln>
                  </pic:spPr>
                </pic:pic>
              </a:graphicData>
            </a:graphic>
          </wp:inline>
        </w:drawing>
      </w:r>
      <w:r>
        <w:rPr>
          <w:rFonts w:ascii="Arial" w:cs="Arial" w:eastAsia="Arial" w:hAnsi="Arial"/>
          <w:sz w:val="18"/>
          <w:szCs w:val="18"/>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143510</wp:posOffset>
            </wp:positionV>
            <wp:extent cx="7132320" cy="1268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268730"/>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Check the appropriate box:</w:t>
      </w:r>
    </w:p>
    <w:p>
      <w:pPr>
        <w:spacing w:after="0" w:line="135" w:lineRule="exact"/>
        <w:rPr>
          <w:sz w:val="24"/>
          <w:szCs w:val="24"/>
          <w:color w:val="auto"/>
        </w:rPr>
      </w:pPr>
    </w:p>
    <w:p>
      <w:pPr>
        <w:ind w:left="720"/>
        <w:spacing w:after="0"/>
        <w:rPr>
          <w:sz w:val="20"/>
          <w:szCs w:val="20"/>
          <w:color w:val="auto"/>
        </w:rPr>
      </w:pPr>
      <w:r>
        <w:rPr>
          <w:rFonts w:ascii="Arial" w:cs="Arial" w:eastAsia="Arial" w:hAnsi="Arial"/>
          <w:sz w:val="18"/>
          <w:szCs w:val="18"/>
          <w:color w:val="auto"/>
        </w:rPr>
        <w:t>Preliminary Proxy Statement</w:t>
      </w:r>
    </w:p>
    <w:p>
      <w:pPr>
        <w:spacing w:after="0" w:line="131" w:lineRule="exact"/>
        <w:rPr>
          <w:sz w:val="24"/>
          <w:szCs w:val="24"/>
          <w:color w:val="auto"/>
        </w:rPr>
      </w:pPr>
    </w:p>
    <w:p>
      <w:pPr>
        <w:ind w:left="720"/>
        <w:spacing w:after="0"/>
        <w:rPr>
          <w:sz w:val="20"/>
          <w:szCs w:val="20"/>
          <w:color w:val="auto"/>
        </w:rPr>
      </w:pPr>
      <w:r>
        <w:rPr>
          <w:rFonts w:ascii="Arial" w:cs="Arial" w:eastAsia="Arial" w:hAnsi="Arial"/>
          <w:sz w:val="18"/>
          <w:szCs w:val="18"/>
          <w:color w:val="auto"/>
        </w:rPr>
        <w:t>Confidential, for Use of the Commission Only (as permitted by Rule 14A-6(e)(2))</w:t>
      </w:r>
    </w:p>
    <w:p>
      <w:pPr>
        <w:spacing w:after="0" w:line="131" w:lineRule="exact"/>
        <w:rPr>
          <w:sz w:val="24"/>
          <w:szCs w:val="24"/>
          <w:color w:val="auto"/>
        </w:rPr>
      </w:pPr>
    </w:p>
    <w:p>
      <w:pPr>
        <w:ind w:left="720"/>
        <w:spacing w:after="0"/>
        <w:rPr>
          <w:sz w:val="20"/>
          <w:szCs w:val="20"/>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720"/>
        <w:spacing w:after="0"/>
        <w:rPr>
          <w:sz w:val="20"/>
          <w:szCs w:val="20"/>
          <w:color w:val="auto"/>
        </w:rPr>
      </w:pPr>
      <w:r>
        <w:rPr>
          <w:rFonts w:ascii="Arial" w:cs="Arial" w:eastAsia="Arial" w:hAnsi="Arial"/>
          <w:sz w:val="18"/>
          <w:szCs w:val="18"/>
          <w:color w:val="auto"/>
        </w:rPr>
        <w:t>Definitive Additional Materials</w:t>
      </w:r>
    </w:p>
    <w:p>
      <w:pPr>
        <w:spacing w:after="0" w:line="131" w:lineRule="exact"/>
        <w:rPr>
          <w:sz w:val="24"/>
          <w:szCs w:val="24"/>
          <w:color w:val="auto"/>
        </w:rPr>
      </w:pPr>
    </w:p>
    <w:p>
      <w:pPr>
        <w:ind w:left="720"/>
        <w:spacing w:after="0"/>
        <w:rPr>
          <w:sz w:val="20"/>
          <w:szCs w:val="20"/>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3104515</wp:posOffset>
            </wp:positionH>
            <wp:positionV relativeFrom="paragraph">
              <wp:posOffset>180340</wp:posOffset>
            </wp:positionV>
            <wp:extent cx="857250" cy="514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1040"/>
        <w:spacing w:after="0"/>
        <w:rPr>
          <w:sz w:val="20"/>
          <w:szCs w:val="20"/>
          <w:color w:val="auto"/>
        </w:rPr>
      </w:pPr>
      <w:r>
        <w:rPr>
          <w:rFonts w:ascii="Arial" w:cs="Arial" w:eastAsia="Arial" w:hAnsi="Arial"/>
          <w:sz w:val="35"/>
          <w:szCs w:val="35"/>
          <w:b w:val="1"/>
          <w:bCs w:val="1"/>
          <w:color w:val="auto"/>
        </w:rPr>
        <w:t>SCHLUMBERGER N.V. (SCHLUMBERGER LIMITED)</w:t>
      </w:r>
    </w:p>
    <w:p>
      <w:pPr>
        <w:spacing w:after="0" w:line="239" w:lineRule="exact"/>
        <w:rPr>
          <w:sz w:val="24"/>
          <w:szCs w:val="24"/>
          <w:color w:val="auto"/>
        </w:rPr>
      </w:pPr>
    </w:p>
    <w:p>
      <w:pPr>
        <w:jc w:val="center"/>
        <w:ind w:right="-1040"/>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90" w:lineRule="exact"/>
        <w:rPr>
          <w:sz w:val="24"/>
          <w:szCs w:val="24"/>
          <w:color w:val="auto"/>
        </w:rPr>
      </w:pPr>
    </w:p>
    <w:p>
      <w:pPr>
        <w:jc w:val="center"/>
        <w:ind w:right="-1040"/>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136525</wp:posOffset>
            </wp:positionV>
            <wp:extent cx="7132320" cy="840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20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Payment of Filing Fee (Check all boxes that apply):</w:t>
      </w:r>
    </w:p>
    <w:p>
      <w:pPr>
        <w:spacing w:after="0" w:line="135" w:lineRule="exact"/>
        <w:rPr>
          <w:sz w:val="24"/>
          <w:szCs w:val="24"/>
          <w:color w:val="auto"/>
        </w:rPr>
      </w:pPr>
    </w:p>
    <w:p>
      <w:pPr>
        <w:ind w:left="720"/>
        <w:spacing w:after="0"/>
        <w:rPr>
          <w:sz w:val="20"/>
          <w:szCs w:val="20"/>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720"/>
        <w:spacing w:after="0"/>
        <w:rPr>
          <w:sz w:val="20"/>
          <w:szCs w:val="20"/>
          <w:color w:val="auto"/>
        </w:rPr>
      </w:pPr>
      <w:r>
        <w:rPr>
          <w:rFonts w:ascii="Arial" w:cs="Arial" w:eastAsia="Arial" w:hAnsi="Arial"/>
          <w:sz w:val="18"/>
          <w:szCs w:val="18"/>
          <w:color w:val="auto"/>
        </w:rPr>
        <w:t>Fee paid previously with preliminary materials</w:t>
      </w:r>
    </w:p>
    <w:p>
      <w:pPr>
        <w:spacing w:after="0" w:line="131" w:lineRule="exact"/>
        <w:rPr>
          <w:sz w:val="24"/>
          <w:szCs w:val="24"/>
          <w:color w:val="auto"/>
        </w:rPr>
      </w:pPr>
    </w:p>
    <w:p>
      <w:pPr>
        <w:ind w:left="720"/>
        <w:spacing w:after="0"/>
        <w:rPr>
          <w:sz w:val="20"/>
          <w:szCs w:val="20"/>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180340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079"/>
          </w:cols>
          <w:pgMar w:left="380" w:top="229"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9344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934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right"/>
        <w:ind w:left="5260"/>
        <w:spacing w:after="0" w:line="253" w:lineRule="auto"/>
        <w:rPr>
          <w:sz w:val="20"/>
          <w:szCs w:val="20"/>
          <w:color w:val="auto"/>
        </w:rPr>
      </w:pPr>
      <w:r>
        <w:rPr>
          <w:rFonts w:ascii="Arial" w:cs="Arial" w:eastAsia="Arial" w:hAnsi="Arial"/>
          <w:sz w:val="54"/>
          <w:szCs w:val="54"/>
          <w:color w:val="0233A1"/>
        </w:rPr>
        <w:t>Notice of 2023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-1210310</wp:posOffset>
            </wp:positionV>
            <wp:extent cx="857250" cy="522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0" cy="52260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3A1"/>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3420110" cy="3454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0110" cy="3454400"/>
                    </a:xfrm>
                    <a:prstGeom prst="rect">
                      <a:avLst/>
                    </a:prstGeom>
                    <a:noFill/>
                  </pic:spPr>
                </pic:pic>
              </a:graphicData>
            </a:graphic>
          </wp:anchor>
        </w:drawing>
      </w:r>
    </w:p>
    <w:p>
      <w:pPr>
        <w:spacing w:after="0" w:line="205" w:lineRule="exact"/>
        <w:rPr>
          <w:sz w:val="20"/>
          <w:szCs w:val="20"/>
          <w:color w:val="auto"/>
        </w:rPr>
      </w:pPr>
    </w:p>
    <w:p>
      <w:pPr>
        <w:ind w:left="480" w:hanging="324"/>
        <w:spacing w:after="0"/>
        <w:tabs>
          <w:tab w:leader="none" w:pos="480" w:val="left"/>
        </w:tabs>
        <w:numPr>
          <w:ilvl w:val="0"/>
          <w:numId w:val="1"/>
        </w:numPr>
        <w:rPr>
          <w:rFonts w:ascii="Arial" w:cs="Arial" w:eastAsia="Arial" w:hAnsi="Arial"/>
          <w:sz w:val="18"/>
          <w:szCs w:val="18"/>
          <w:color w:val="0233A1"/>
        </w:rPr>
      </w:pPr>
      <w:r>
        <w:rPr>
          <w:rFonts w:ascii="Arial" w:cs="Arial" w:eastAsia="Arial" w:hAnsi="Arial"/>
          <w:sz w:val="18"/>
          <w:szCs w:val="18"/>
          <w:color w:val="auto"/>
        </w:rPr>
        <w:t>Election of 11 director nominees.</w:t>
      </w:r>
    </w:p>
    <w:p>
      <w:pPr>
        <w:spacing w:after="0" w:line="90" w:lineRule="exact"/>
        <w:rPr>
          <w:rFonts w:ascii="Arial" w:cs="Arial" w:eastAsia="Arial" w:hAnsi="Arial"/>
          <w:sz w:val="18"/>
          <w:szCs w:val="18"/>
          <w:color w:val="0233A1"/>
        </w:rPr>
      </w:pPr>
    </w:p>
    <w:p>
      <w:pPr>
        <w:ind w:left="480" w:right="20" w:hanging="324"/>
        <w:spacing w:after="0" w:line="271" w:lineRule="auto"/>
        <w:tabs>
          <w:tab w:leader="none" w:pos="480" w:val="left"/>
        </w:tabs>
        <w:numPr>
          <w:ilvl w:val="0"/>
          <w:numId w:val="1"/>
        </w:numPr>
        <w:rPr>
          <w:rFonts w:ascii="Arial" w:cs="Arial" w:eastAsia="Arial" w:hAnsi="Arial"/>
          <w:sz w:val="18"/>
          <w:szCs w:val="18"/>
          <w:color w:val="0233A1"/>
        </w:rPr>
      </w:pPr>
      <w:r>
        <w:rPr>
          <w:rFonts w:ascii="Arial" w:cs="Arial" w:eastAsia="Arial" w:hAnsi="Arial"/>
          <w:sz w:val="18"/>
          <w:szCs w:val="18"/>
          <w:color w:val="auto"/>
        </w:rPr>
        <w:t>Advisory vote on the frequency of future advisory votes on executive compensation.</w:t>
      </w:r>
    </w:p>
    <w:p>
      <w:pPr>
        <w:spacing w:after="0" w:line="18" w:lineRule="exact"/>
        <w:rPr>
          <w:rFonts w:ascii="Arial" w:cs="Arial" w:eastAsia="Arial" w:hAnsi="Arial"/>
          <w:sz w:val="18"/>
          <w:szCs w:val="18"/>
          <w:color w:val="0233A1"/>
        </w:rPr>
      </w:pPr>
    </w:p>
    <w:p>
      <w:pPr>
        <w:ind w:left="480" w:right="20" w:hanging="324"/>
        <w:spacing w:after="0" w:line="271" w:lineRule="auto"/>
        <w:tabs>
          <w:tab w:leader="none" w:pos="480" w:val="left"/>
        </w:tabs>
        <w:numPr>
          <w:ilvl w:val="0"/>
          <w:numId w:val="1"/>
        </w:numPr>
        <w:rPr>
          <w:rFonts w:ascii="Arial" w:cs="Arial" w:eastAsia="Arial" w:hAnsi="Arial"/>
          <w:sz w:val="18"/>
          <w:szCs w:val="18"/>
          <w:color w:val="0233A1"/>
        </w:rPr>
      </w:pPr>
      <w:r>
        <w:rPr>
          <w:rFonts w:ascii="Arial" w:cs="Arial" w:eastAsia="Arial" w:hAnsi="Arial"/>
          <w:sz w:val="18"/>
          <w:szCs w:val="18"/>
          <w:color w:val="auto"/>
        </w:rPr>
        <w:t>Advisory “say-on-pay” approval of our executive compensation.</w:t>
      </w:r>
    </w:p>
    <w:p>
      <w:pPr>
        <w:spacing w:after="0" w:line="18" w:lineRule="exact"/>
        <w:rPr>
          <w:rFonts w:ascii="Arial" w:cs="Arial" w:eastAsia="Arial" w:hAnsi="Arial"/>
          <w:sz w:val="18"/>
          <w:szCs w:val="18"/>
          <w:color w:val="0233A1"/>
        </w:rPr>
      </w:pPr>
    </w:p>
    <w:p>
      <w:pPr>
        <w:ind w:left="480" w:right="20" w:hanging="324"/>
        <w:spacing w:after="0" w:line="271" w:lineRule="auto"/>
        <w:tabs>
          <w:tab w:leader="none" w:pos="480" w:val="left"/>
        </w:tabs>
        <w:numPr>
          <w:ilvl w:val="0"/>
          <w:numId w:val="1"/>
        </w:numPr>
        <w:rPr>
          <w:rFonts w:ascii="Arial" w:cs="Arial" w:eastAsia="Arial" w:hAnsi="Arial"/>
          <w:sz w:val="18"/>
          <w:szCs w:val="18"/>
          <w:color w:val="0233A1"/>
        </w:rPr>
      </w:pPr>
      <w:r>
        <w:rPr>
          <w:rFonts w:ascii="Arial" w:cs="Arial" w:eastAsia="Arial" w:hAnsi="Arial"/>
          <w:sz w:val="18"/>
          <w:szCs w:val="18"/>
          <w:color w:val="auto"/>
        </w:rPr>
        <w:t>Approval of certain annual financial statements for the year ended December 31, 2022.</w:t>
      </w:r>
    </w:p>
    <w:p>
      <w:pPr>
        <w:spacing w:after="0" w:line="18" w:lineRule="exact"/>
        <w:rPr>
          <w:rFonts w:ascii="Arial" w:cs="Arial" w:eastAsia="Arial" w:hAnsi="Arial"/>
          <w:sz w:val="18"/>
          <w:szCs w:val="18"/>
          <w:color w:val="0233A1"/>
        </w:rPr>
      </w:pPr>
    </w:p>
    <w:p>
      <w:pPr>
        <w:ind w:left="480" w:right="20" w:hanging="324"/>
        <w:spacing w:after="0" w:line="271" w:lineRule="auto"/>
        <w:tabs>
          <w:tab w:leader="none" w:pos="480" w:val="left"/>
        </w:tabs>
        <w:numPr>
          <w:ilvl w:val="0"/>
          <w:numId w:val="1"/>
        </w:numPr>
        <w:rPr>
          <w:rFonts w:ascii="Arial" w:cs="Arial" w:eastAsia="Arial" w:hAnsi="Arial"/>
          <w:sz w:val="18"/>
          <w:szCs w:val="18"/>
          <w:color w:val="0233A1"/>
        </w:rPr>
      </w:pPr>
      <w:r>
        <w:rPr>
          <w:rFonts w:ascii="Arial" w:cs="Arial" w:eastAsia="Arial" w:hAnsi="Arial"/>
          <w:sz w:val="18"/>
          <w:szCs w:val="18"/>
          <w:color w:val="auto"/>
        </w:rPr>
        <w:t>Ratification of the appointment of our independent auditor, PricewaterhouseCoopers LLP.</w:t>
      </w:r>
    </w:p>
    <w:p>
      <w:pPr>
        <w:spacing w:after="0" w:line="154"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auto"/>
        </w:rPr>
        <w:t>Such other matters as may properly be brought before the meeting.</w:t>
      </w:r>
    </w:p>
    <w:p>
      <w:pPr>
        <w:spacing w:after="0" w:line="172"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Dianne B. Ralston</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Chief Legal Officer and Secretary</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February 23,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ind w:left="440"/>
        <w:spacing w:after="0"/>
        <w:rPr>
          <w:sz w:val="20"/>
          <w:szCs w:val="20"/>
          <w:color w:val="auto"/>
        </w:rPr>
      </w:pPr>
      <w:r>
        <w:rPr>
          <w:rFonts w:ascii="Arial" w:cs="Arial" w:eastAsia="Arial" w:hAnsi="Arial"/>
          <w:sz w:val="36"/>
          <w:szCs w:val="36"/>
          <w:b w:val="1"/>
          <w:bCs w:val="1"/>
          <w:color w:val="0233A1"/>
        </w:rPr>
        <w:t>Wednesday, April 5, 2023</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10:00 a.m. Curaçao time</w:t>
      </w:r>
    </w:p>
    <w:p>
      <w:pPr>
        <w:spacing w:after="0" w:line="180" w:lineRule="exact"/>
        <w:rPr>
          <w:sz w:val="20"/>
          <w:szCs w:val="20"/>
          <w:color w:val="auto"/>
        </w:rPr>
      </w:pPr>
    </w:p>
    <w:p>
      <w:pPr>
        <w:jc w:val="both"/>
        <w:ind w:left="440"/>
        <w:spacing w:after="0" w:line="269" w:lineRule="auto"/>
        <w:rPr>
          <w:sz w:val="20"/>
          <w:szCs w:val="20"/>
          <w:color w:val="auto"/>
        </w:rPr>
      </w:pPr>
      <w:r>
        <w:rPr>
          <w:rFonts w:ascii="Arial" w:cs="Arial" w:eastAsia="Arial" w:hAnsi="Arial"/>
          <w:sz w:val="18"/>
          <w:szCs w:val="18"/>
          <w:i w:val="1"/>
          <w:iCs w:val="1"/>
          <w:color w:val="auto"/>
        </w:rPr>
        <w:t>Curaçao Marriott Beach Resort, John F Kennedy Boulevard, 3 Piscadera Bay, Willemstad, Curaçao</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0233A1"/>
        </w:rPr>
        <w:t>Record Date</w:t>
      </w:r>
    </w:p>
    <w:p>
      <w:pPr>
        <w:spacing w:after="0" w:line="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February 8, 2023</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0233A1"/>
        </w:rPr>
        <w:t>How to Cast Your Vote</w:t>
      </w:r>
    </w:p>
    <w:p>
      <w:pPr>
        <w:spacing w:after="0" w:line="14" w:lineRule="exact"/>
        <w:rPr>
          <w:sz w:val="20"/>
          <w:szCs w:val="20"/>
          <w:color w:val="auto"/>
        </w:rPr>
      </w:pPr>
    </w:p>
    <w:p>
      <w:pPr>
        <w:jc w:val="both"/>
        <w:ind w:left="440"/>
        <w:spacing w:after="0" w:line="239" w:lineRule="auto"/>
        <w:rPr>
          <w:sz w:val="20"/>
          <w:szCs w:val="20"/>
          <w:color w:val="auto"/>
        </w:rPr>
      </w:pPr>
      <w:r>
        <w:rPr>
          <w:rFonts w:ascii="Arial" w:cs="Arial" w:eastAsia="Arial" w:hAnsi="Arial"/>
          <w:sz w:val="18"/>
          <w:szCs w:val="18"/>
          <w:color w:val="auto"/>
        </w:rPr>
        <w:t>Please refer to the enclosed proxy materials or to the information forwarded by your bank, broker, or other nominee to determine which voting methods are available to you. Shareholders with shares registered in their names with SLB’s transfer agent may authorize a proxy:</w:t>
      </w:r>
    </w:p>
    <w:p>
      <w:pPr>
        <w:spacing w:after="0" w:line="158" w:lineRule="exact"/>
        <w:rPr>
          <w:sz w:val="20"/>
          <w:szCs w:val="20"/>
          <w:color w:val="auto"/>
        </w:rPr>
      </w:pPr>
    </w:p>
    <w:p>
      <w:pPr>
        <w:ind w:left="1040"/>
        <w:spacing w:after="0"/>
        <w:tabs>
          <w:tab w:leader="none" w:pos="4540" w:val="left"/>
        </w:tabs>
        <w:rPr>
          <w:sz w:val="20"/>
          <w:szCs w:val="20"/>
          <w:color w:val="auto"/>
        </w:rPr>
      </w:pPr>
      <w:r>
        <w:rPr>
          <w:rFonts w:ascii="Arial" w:cs="Arial" w:eastAsia="Arial" w:hAnsi="Arial"/>
          <w:sz w:val="16"/>
          <w:szCs w:val="16"/>
          <w:b w:val="1"/>
          <w:bCs w:val="1"/>
          <w:color w:val="0233A1"/>
        </w:rPr>
        <w:t>By Internet</w:t>
      </w:r>
      <w:r>
        <w:rPr>
          <w:sz w:val="20"/>
          <w:szCs w:val="20"/>
          <w:color w:val="auto"/>
        </w:rPr>
        <w:tab/>
      </w:r>
      <w:r>
        <w:rPr>
          <w:rFonts w:ascii="Arial" w:cs="Arial" w:eastAsia="Arial" w:hAnsi="Arial"/>
          <w:sz w:val="15"/>
          <w:szCs w:val="15"/>
          <w:b w:val="1"/>
          <w:bCs w:val="1"/>
          <w:color w:val="0233A1"/>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-107315</wp:posOffset>
            </wp:positionV>
            <wp:extent cx="214630"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630" cy="17970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-107315</wp:posOffset>
            </wp:positionV>
            <wp:extent cx="17145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1" w:lineRule="exact"/>
        <w:rPr>
          <w:sz w:val="20"/>
          <w:szCs w:val="20"/>
          <w:color w:val="auto"/>
        </w:rPr>
      </w:pPr>
    </w:p>
    <w:p>
      <w:pPr>
        <w:ind w:left="1040"/>
        <w:spacing w:after="0"/>
        <w:tabs>
          <w:tab w:leader="none" w:pos="4540" w:val="left"/>
        </w:tabs>
        <w:rPr>
          <w:sz w:val="20"/>
          <w:szCs w:val="20"/>
          <w:color w:val="auto"/>
        </w:rPr>
      </w:pPr>
      <w:r>
        <w:rPr>
          <w:rFonts w:ascii="Arial" w:cs="Arial" w:eastAsia="Arial" w:hAnsi="Arial"/>
          <w:sz w:val="16"/>
          <w:szCs w:val="16"/>
          <w:i w:val="1"/>
          <w:iCs w:val="1"/>
          <w:color w:val="auto"/>
        </w:rPr>
        <w:t>www.proxypush.com/SLB</w:t>
      </w:r>
      <w:r>
        <w:rPr>
          <w:sz w:val="20"/>
          <w:szCs w:val="20"/>
          <w:color w:val="auto"/>
        </w:rPr>
        <w:tab/>
      </w:r>
      <w:r>
        <w:rPr>
          <w:rFonts w:ascii="Arial" w:cs="Arial" w:eastAsia="Arial" w:hAnsi="Arial"/>
          <w:sz w:val="16"/>
          <w:szCs w:val="16"/>
          <w:color w:val="auto"/>
        </w:rPr>
        <w:t>(866) 240-5191</w:t>
      </w:r>
    </w:p>
    <w:p>
      <w:pPr>
        <w:spacing w:after="0" w:line="178"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233A1"/>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-107315</wp:posOffset>
            </wp:positionV>
            <wp:extent cx="16319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Sign, date, and mail your proxy card</w:t>
      </w:r>
    </w:p>
    <w:p>
      <w:pPr>
        <w:spacing w:after="0" w:line="173" w:lineRule="exact"/>
        <w:rPr>
          <w:sz w:val="20"/>
          <w:szCs w:val="20"/>
          <w:color w:val="auto"/>
        </w:rPr>
      </w:pPr>
    </w:p>
    <w:p>
      <w:pPr>
        <w:jc w:val="both"/>
        <w:ind w:left="440"/>
        <w:spacing w:after="0" w:line="241" w:lineRule="auto"/>
        <w:rPr>
          <w:sz w:val="20"/>
          <w:szCs w:val="20"/>
          <w:color w:val="auto"/>
        </w:rPr>
      </w:pPr>
      <w:r>
        <w:rPr>
          <w:rFonts w:ascii="Arial" w:cs="Arial" w:eastAsia="Arial" w:hAnsi="Arial"/>
          <w:sz w:val="18"/>
          <w:szCs w:val="18"/>
          <w:color w:val="auto"/>
        </w:rPr>
        <w:t>If you are a beneficial holder of SLB common stock, you should follow any instructions provided by your bank, broker, or other nominee. See “Meeting Information” in this proxy statement.</w:t>
      </w:r>
    </w:p>
    <w:p>
      <w:pPr>
        <w:spacing w:after="0" w:line="237" w:lineRule="auto"/>
        <w:rPr>
          <w:sz w:val="20"/>
          <w:szCs w:val="20"/>
          <w:color w:val="auto"/>
        </w:rPr>
      </w:pPr>
      <w:r>
        <w:rPr>
          <w:rFonts w:ascii="Arial" w:cs="Arial" w:eastAsia="Arial" w:hAnsi="Arial"/>
          <w:sz w:val="18"/>
          <w:szCs w:val="18"/>
          <w:b w:val="1"/>
          <w:bCs w:val="1"/>
          <w:color w:val="0233A1"/>
        </w:rPr>
        <w:t>Proxy Voting</w:t>
      </w:r>
    </w:p>
    <w:p>
      <w:pPr>
        <w:spacing w:after="0" w:line="1" w:lineRule="exact"/>
        <w:rPr>
          <w:sz w:val="20"/>
          <w:szCs w:val="20"/>
          <w:color w:val="auto"/>
        </w:rPr>
      </w:pPr>
    </w:p>
    <w:p>
      <w:pPr>
        <w:sectPr>
          <w:pgSz w:w="11900" w:h="16838" w:orient="portrait"/>
          <w:cols w:equalWidth="0" w:num="2">
            <w:col w:w="5240" w:space="160"/>
            <w:col w:w="5840"/>
          </w:cols>
          <w:pgMar w:left="320" w:top="366" w:right="339" w:bottom="1440" w:gutter="0" w:footer="0" w:header="0"/>
          <w:type w:val="continuous"/>
        </w:sectPr>
      </w:pPr>
    </w:p>
    <w:p>
      <w:pPr>
        <w:jc w:val="both"/>
        <w:spacing w:after="0" w:line="239" w:lineRule="auto"/>
        <w:rPr>
          <w:sz w:val="20"/>
          <w:szCs w:val="20"/>
          <w:color w:val="auto"/>
        </w:rPr>
      </w:pPr>
      <w:r>
        <w:rPr>
          <w:rFonts w:ascii="Arial" w:cs="Arial" w:eastAsia="Arial" w:hAnsi="Arial"/>
          <w:sz w:val="18"/>
          <w:szCs w:val="18"/>
          <w:color w:val="auto"/>
        </w:rPr>
        <w:t>Your vote is very important. Whether or not you plan to attend the annual general meeting in person, please (i) sign, date, and promptly return the enclosed proxy card in the enclosed envelope, or (ii) grant a proxy and give voting instructions by telephone or internet, so that you may be represented at the meeting. Voting instructions are provided on your proxy card or on the voting instruction form provided by your broker. Brokers are not permitted to vote on certain proposals and may elect not to vote on any of the proposals unless you provide voting instructions. Voting your shares will help to ensure that your interests are represented at the meeting.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233A1"/>
        </w:rPr>
        <w:t>Important Information About Meeting Attendance</w:t>
      </w:r>
    </w:p>
    <w:p>
      <w:pPr>
        <w:spacing w:after="0" w:line="1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Depending on the level of COVID-19 protocols in effect at the time, your ability to attend the 2023 Annual General Meeting of Shareholders (the </w:t>
      </w:r>
      <w:r>
        <w:rPr>
          <w:rFonts w:ascii="Arial" w:cs="Arial" w:eastAsia="Arial" w:hAnsi="Arial"/>
          <w:sz w:val="18"/>
          <w:szCs w:val="18"/>
          <w:b w:val="1"/>
          <w:bCs w:val="1"/>
          <w:color w:val="auto"/>
        </w:rPr>
        <w:t>2023 AGM</w:t>
      </w:r>
      <w:r>
        <w:rPr>
          <w:rFonts w:ascii="Arial" w:cs="Arial" w:eastAsia="Arial" w:hAnsi="Arial"/>
          <w:sz w:val="18"/>
          <w:szCs w:val="18"/>
          <w:color w:val="auto"/>
        </w:rPr>
        <w:t xml:space="preserve">) in person may be restricted or may require additional safeguards, which could include face coverings, proof of vaccination, proof of a negative COVID-19 test result within a specified number of days, and maintaining appropriate social distancing. Please review </w:t>
      </w:r>
      <w:r>
        <w:rPr>
          <w:rFonts w:ascii="Arial" w:cs="Arial" w:eastAsia="Arial" w:hAnsi="Arial"/>
          <w:sz w:val="18"/>
          <w:szCs w:val="18"/>
          <w:b w:val="1"/>
          <w:bCs w:val="1"/>
          <w:i w:val="1"/>
          <w:iCs w:val="1"/>
          <w:color w:val="auto"/>
        </w:rPr>
        <w:t xml:space="preserve">www.proxydocs.com/SLB </w:t>
      </w:r>
      <w:r>
        <w:rPr>
          <w:rFonts w:ascii="Arial" w:cs="Arial" w:eastAsia="Arial" w:hAnsi="Arial"/>
          <w:sz w:val="18"/>
          <w:szCs w:val="18"/>
          <w:color w:val="auto"/>
        </w:rPr>
        <w:t>for any updates to the “Meeting Information” section of this proxy statement prior to traveling.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0233A1"/>
        </w:rPr>
        <w:t>Important Notice Regarding the Availability of Proxy Materials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0233A1"/>
        </w:rPr>
        <w:t>for the Annual General Meeting of Shareholders to be Held on April 5, 2023</w:t>
      </w:r>
    </w:p>
    <w:p>
      <w:pPr>
        <w:jc w:val="both"/>
        <w:spacing w:after="0" w:line="260" w:lineRule="auto"/>
        <w:rPr>
          <w:sz w:val="20"/>
          <w:szCs w:val="20"/>
          <w:color w:val="auto"/>
        </w:rPr>
      </w:pPr>
      <w:r>
        <w:rPr>
          <w:rFonts w:ascii="Arial" w:cs="Arial" w:eastAsia="Arial" w:hAnsi="Arial"/>
          <w:sz w:val="18"/>
          <w:szCs w:val="18"/>
          <w:color w:val="auto"/>
        </w:rPr>
        <w:t xml:space="preserve">This Notice and Proxy Statement, our Annual Report on Form 10-K for the fiscal year ended December 31, 2022, and our 2022 Annual Report to Shareholders are each available free of charge at </w:t>
      </w:r>
      <w:r>
        <w:rPr>
          <w:rFonts w:ascii="Arial" w:cs="Arial" w:eastAsia="Arial" w:hAnsi="Arial"/>
          <w:sz w:val="18"/>
          <w:szCs w:val="18"/>
          <w:b w:val="1"/>
          <w:bCs w:val="1"/>
          <w:i w:val="1"/>
          <w:iCs w:val="1"/>
          <w:color w:val="auto"/>
        </w:rPr>
        <w:t>https://investorcenter.slb.com and www.proxydocs.com/SLB.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50"/>
          <w:szCs w:val="50"/>
          <w:color w:val="0233A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120" w:type="dxa"/>
            <w:vAlign w:val="bottom"/>
            <w:tcBorders>
              <w:bottom w:val="single" w:sz="8" w:color="5A5C5F"/>
            </w:tcBorders>
          </w:tcPr>
          <w:p>
            <w:pPr>
              <w:spacing w:after="0"/>
              <w:rPr>
                <w:sz w:val="20"/>
                <w:szCs w:val="20"/>
                <w:color w:val="auto"/>
              </w:rPr>
            </w:pPr>
            <w:r>
              <w:rPr>
                <w:rFonts w:ascii="Arial" w:cs="Arial" w:eastAsia="Arial" w:hAnsi="Arial"/>
                <w:sz w:val="22"/>
                <w:szCs w:val="22"/>
                <w:b w:val="1"/>
                <w:bCs w:val="1"/>
                <w:color w:val="0233A1"/>
              </w:rPr>
              <w:t>Proxy Executive Summary</w:t>
            </w:r>
          </w:p>
        </w:tc>
        <w:tc>
          <w:tcPr>
            <w:tcW w:w="4120" w:type="dxa"/>
            <w:vAlign w:val="bottom"/>
            <w:tcBorders>
              <w:bottom w:val="single" w:sz="8" w:color="5A5C5F"/>
            </w:tcBorders>
          </w:tcPr>
          <w:p>
            <w:pPr>
              <w:jc w:val="right"/>
              <w:spacing w:after="0"/>
              <w:rPr>
                <w:sz w:val="20"/>
                <w:szCs w:val="20"/>
                <w:color w:val="auto"/>
              </w:rPr>
            </w:pPr>
            <w:r>
              <w:rPr>
                <w:rFonts w:ascii="Arial" w:cs="Arial" w:eastAsia="Arial" w:hAnsi="Arial"/>
                <w:sz w:val="22"/>
                <w:szCs w:val="22"/>
                <w:b w:val="1"/>
                <w:bCs w:val="1"/>
                <w:color w:val="0233A1"/>
              </w:rPr>
              <w:t>4</w:t>
            </w:r>
          </w:p>
        </w:tc>
      </w:tr>
      <w:tr>
        <w:trPr>
          <w:trHeight w:val="168"/>
        </w:trPr>
        <w:tc>
          <w:tcPr>
            <w:tcW w:w="7120" w:type="dxa"/>
            <w:vAlign w:val="bottom"/>
          </w:tcPr>
          <w:p>
            <w:pPr>
              <w:spacing w:after="0" w:line="168" w:lineRule="exact"/>
              <w:rPr>
                <w:sz w:val="20"/>
                <w:szCs w:val="20"/>
                <w:color w:val="auto"/>
              </w:rPr>
            </w:pPr>
            <w:r>
              <w:rPr>
                <w:rFonts w:ascii="Arial" w:cs="Arial" w:eastAsia="Arial" w:hAnsi="Arial"/>
                <w:sz w:val="16"/>
                <w:szCs w:val="16"/>
                <w:color w:val="auto"/>
              </w:rPr>
              <w:t>Voting at the 2023 Annual General Meeting</w:t>
            </w:r>
          </w:p>
        </w:tc>
        <w:tc>
          <w:tcPr>
            <w:tcW w:w="4120" w:type="dxa"/>
            <w:vAlign w:val="bottom"/>
          </w:tcPr>
          <w:p>
            <w:pPr>
              <w:jc w:val="right"/>
              <w:spacing w:after="0" w:line="168" w:lineRule="exact"/>
              <w:rPr>
                <w:sz w:val="20"/>
                <w:szCs w:val="20"/>
                <w:color w:val="auto"/>
              </w:rPr>
            </w:pPr>
            <w:r>
              <w:rPr>
                <w:rFonts w:ascii="Arial" w:cs="Arial" w:eastAsia="Arial" w:hAnsi="Arial"/>
                <w:sz w:val="16"/>
                <w:szCs w:val="16"/>
                <w:color w:val="auto"/>
              </w:rPr>
              <w:t>4</w:t>
            </w:r>
          </w:p>
        </w:tc>
      </w:tr>
      <w:tr>
        <w:trPr>
          <w:trHeight w:val="189"/>
        </w:trPr>
        <w:tc>
          <w:tcPr>
            <w:tcW w:w="7120" w:type="dxa"/>
            <w:vAlign w:val="bottom"/>
          </w:tcPr>
          <w:p>
            <w:pPr>
              <w:spacing w:after="0"/>
              <w:rPr>
                <w:sz w:val="20"/>
                <w:szCs w:val="20"/>
                <w:color w:val="auto"/>
              </w:rPr>
            </w:pPr>
            <w:r>
              <w:rPr>
                <w:rFonts w:ascii="Arial" w:cs="Arial" w:eastAsia="Arial" w:hAnsi="Arial"/>
                <w:sz w:val="16"/>
                <w:szCs w:val="16"/>
                <w:color w:val="auto"/>
              </w:rPr>
              <w:t>Our Director Nominees</w:t>
            </w:r>
          </w:p>
        </w:tc>
        <w:tc>
          <w:tcPr>
            <w:tcW w:w="41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89"/>
        </w:trPr>
        <w:tc>
          <w:tcPr>
            <w:tcW w:w="7120" w:type="dxa"/>
            <w:vAlign w:val="bottom"/>
          </w:tcPr>
          <w:p>
            <w:pPr>
              <w:spacing w:after="0"/>
              <w:rPr>
                <w:sz w:val="20"/>
                <w:szCs w:val="20"/>
                <w:color w:val="auto"/>
              </w:rPr>
            </w:pPr>
            <w:r>
              <w:rPr>
                <w:rFonts w:ascii="Arial" w:cs="Arial" w:eastAsia="Arial" w:hAnsi="Arial"/>
                <w:sz w:val="16"/>
                <w:szCs w:val="16"/>
                <w:color w:val="auto"/>
              </w:rPr>
              <w:t>Governance Highlights</w:t>
            </w:r>
          </w:p>
        </w:tc>
        <w:tc>
          <w:tcPr>
            <w:tcW w:w="41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89"/>
        </w:trPr>
        <w:tc>
          <w:tcPr>
            <w:tcW w:w="7120" w:type="dxa"/>
            <w:vAlign w:val="bottom"/>
          </w:tcPr>
          <w:p>
            <w:pPr>
              <w:spacing w:after="0"/>
              <w:rPr>
                <w:sz w:val="20"/>
                <w:szCs w:val="20"/>
                <w:color w:val="auto"/>
              </w:rPr>
            </w:pPr>
            <w:r>
              <w:rPr>
                <w:rFonts w:ascii="Arial" w:cs="Arial" w:eastAsia="Arial" w:hAnsi="Arial"/>
                <w:sz w:val="16"/>
                <w:szCs w:val="16"/>
                <w:color w:val="auto"/>
              </w:rPr>
              <w:t>We Are SLB</w:t>
            </w:r>
          </w:p>
        </w:tc>
        <w:tc>
          <w:tcPr>
            <w:tcW w:w="41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89"/>
        </w:trPr>
        <w:tc>
          <w:tcPr>
            <w:tcW w:w="7120" w:type="dxa"/>
            <w:vAlign w:val="bottom"/>
          </w:tcPr>
          <w:p>
            <w:pPr>
              <w:spacing w:after="0"/>
              <w:rPr>
                <w:sz w:val="20"/>
                <w:szCs w:val="20"/>
                <w:color w:val="auto"/>
              </w:rPr>
            </w:pPr>
            <w:r>
              <w:rPr>
                <w:rFonts w:ascii="Arial" w:cs="Arial" w:eastAsia="Arial" w:hAnsi="Arial"/>
                <w:sz w:val="16"/>
                <w:szCs w:val="16"/>
                <w:color w:val="auto"/>
              </w:rPr>
              <w:t>Leader in Global Diversity</w:t>
            </w:r>
          </w:p>
        </w:tc>
        <w:tc>
          <w:tcPr>
            <w:tcW w:w="41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89"/>
        </w:trPr>
        <w:tc>
          <w:tcPr>
            <w:tcW w:w="7120" w:type="dxa"/>
            <w:vAlign w:val="bottom"/>
          </w:tcPr>
          <w:p>
            <w:pPr>
              <w:spacing w:after="0"/>
              <w:rPr>
                <w:sz w:val="20"/>
                <w:szCs w:val="20"/>
                <w:color w:val="auto"/>
              </w:rPr>
            </w:pPr>
            <w:r>
              <w:rPr>
                <w:rFonts w:ascii="Arial" w:cs="Arial" w:eastAsia="Arial" w:hAnsi="Arial"/>
                <w:sz w:val="16"/>
                <w:szCs w:val="16"/>
                <w:color w:val="auto"/>
              </w:rPr>
              <w:t>Spotlight on: 2022 Investor Day</w:t>
            </w:r>
          </w:p>
        </w:tc>
        <w:tc>
          <w:tcPr>
            <w:tcW w:w="41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89"/>
        </w:trPr>
        <w:tc>
          <w:tcPr>
            <w:tcW w:w="7120" w:type="dxa"/>
            <w:vAlign w:val="bottom"/>
          </w:tcPr>
          <w:p>
            <w:pPr>
              <w:spacing w:after="0"/>
              <w:rPr>
                <w:sz w:val="20"/>
                <w:szCs w:val="20"/>
                <w:color w:val="auto"/>
              </w:rPr>
            </w:pPr>
            <w:r>
              <w:rPr>
                <w:rFonts w:ascii="Arial" w:cs="Arial" w:eastAsia="Arial" w:hAnsi="Arial"/>
                <w:sz w:val="16"/>
                <w:szCs w:val="16"/>
                <w:color w:val="auto"/>
              </w:rPr>
              <w:t>2022 Executive Compensation Highlights</w:t>
            </w:r>
          </w:p>
        </w:tc>
        <w:tc>
          <w:tcPr>
            <w:tcW w:w="41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5"/>
        </w:trPr>
        <w:tc>
          <w:tcPr>
            <w:tcW w:w="7120" w:type="dxa"/>
            <w:vAlign w:val="bottom"/>
          </w:tcPr>
          <w:p>
            <w:pPr>
              <w:spacing w:after="0"/>
              <w:rPr>
                <w:sz w:val="20"/>
                <w:szCs w:val="20"/>
                <w:color w:val="auto"/>
              </w:rPr>
            </w:pPr>
            <w:r>
              <w:rPr>
                <w:rFonts w:ascii="Arial" w:cs="Arial" w:eastAsia="Arial" w:hAnsi="Arial"/>
                <w:sz w:val="16"/>
                <w:szCs w:val="16"/>
                <w:color w:val="auto"/>
              </w:rPr>
              <w:t>Forward-Looking Statements</w:t>
            </w:r>
          </w:p>
        </w:tc>
        <w:tc>
          <w:tcPr>
            <w:tcW w:w="4120" w:type="dxa"/>
            <w:vAlign w:val="bottom"/>
          </w:tcPr>
          <w:p>
            <w:pPr>
              <w:jc w:val="right"/>
              <w:spacing w:after="0"/>
              <w:rPr>
                <w:sz w:val="20"/>
                <w:szCs w:val="20"/>
                <w:color w:val="auto"/>
              </w:rPr>
            </w:pPr>
            <w:r>
              <w:rPr>
                <w:rFonts w:ascii="Arial" w:cs="Arial" w:eastAsia="Arial" w:hAnsi="Arial"/>
                <w:sz w:val="16"/>
                <w:szCs w:val="16"/>
                <w:color w:val="auto"/>
              </w:rPr>
              <w:t>9</w:t>
            </w: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400" w:type="dxa"/>
            <w:vAlign w:val="bottom"/>
            <w:tcBorders>
              <w:bottom w:val="single" w:sz="8" w:color="5A5C5F"/>
            </w:tcBorders>
            <w:gridSpan w:val="2"/>
          </w:tcPr>
          <w:p>
            <w:pPr>
              <w:spacing w:after="0"/>
              <w:rPr>
                <w:sz w:val="20"/>
                <w:szCs w:val="20"/>
                <w:color w:val="auto"/>
              </w:rPr>
            </w:pPr>
            <w:r>
              <w:rPr>
                <w:rFonts w:ascii="Arial" w:cs="Arial" w:eastAsia="Arial" w:hAnsi="Arial"/>
                <w:sz w:val="22"/>
                <w:szCs w:val="22"/>
                <w:b w:val="1"/>
                <w:bCs w:val="1"/>
                <w:color w:val="0233A1"/>
              </w:rPr>
              <w:t>ITEM 1. Election of Directors</w:t>
            </w:r>
          </w:p>
        </w:tc>
        <w:tc>
          <w:tcPr>
            <w:tcW w:w="460" w:type="dxa"/>
            <w:vAlign w:val="bottom"/>
            <w:tcBorders>
              <w:bottom w:val="single" w:sz="8" w:color="5A5C5F"/>
            </w:tcBorders>
          </w:tcPr>
          <w:p>
            <w:pPr>
              <w:spacing w:after="0"/>
              <w:rPr>
                <w:sz w:val="23"/>
                <w:szCs w:val="23"/>
                <w:color w:val="auto"/>
              </w:rPr>
            </w:pPr>
          </w:p>
        </w:tc>
        <w:tc>
          <w:tcPr>
            <w:tcW w:w="4480" w:type="dxa"/>
            <w:vAlign w:val="bottom"/>
            <w:tcBorders>
              <w:bottom w:val="single" w:sz="8" w:color="5A5C5F"/>
            </w:tcBorders>
          </w:tcPr>
          <w:p>
            <w:pPr>
              <w:spacing w:after="0"/>
              <w:rPr>
                <w:sz w:val="23"/>
                <w:szCs w:val="23"/>
                <w:color w:val="auto"/>
              </w:rPr>
            </w:pPr>
          </w:p>
        </w:tc>
        <w:tc>
          <w:tcPr>
            <w:tcW w:w="900" w:type="dxa"/>
            <w:vAlign w:val="bottom"/>
            <w:tcBorders>
              <w:bottom w:val="single" w:sz="8" w:color="5A5C5F"/>
            </w:tcBorders>
          </w:tcPr>
          <w:p>
            <w:pPr>
              <w:jc w:val="right"/>
              <w:spacing w:after="0"/>
              <w:rPr>
                <w:sz w:val="20"/>
                <w:szCs w:val="20"/>
                <w:color w:val="auto"/>
              </w:rPr>
            </w:pPr>
            <w:r>
              <w:rPr>
                <w:rFonts w:ascii="Arial" w:cs="Arial" w:eastAsia="Arial" w:hAnsi="Arial"/>
                <w:sz w:val="22"/>
                <w:szCs w:val="22"/>
                <w:b w:val="1"/>
                <w:bCs w:val="1"/>
                <w:color w:val="0233A1"/>
              </w:rPr>
              <w:t>10</w:t>
            </w:r>
          </w:p>
        </w:tc>
        <w:tc>
          <w:tcPr>
            <w:tcW w:w="0" w:type="dxa"/>
            <w:vAlign w:val="bottom"/>
          </w:tcPr>
          <w:p>
            <w:pPr>
              <w:spacing w:after="0"/>
              <w:rPr>
                <w:sz w:val="1"/>
                <w:szCs w:val="1"/>
                <w:color w:val="auto"/>
              </w:rPr>
            </w:pPr>
          </w:p>
        </w:tc>
      </w:tr>
      <w:tr>
        <w:trPr>
          <w:trHeight w:val="168"/>
        </w:trPr>
        <w:tc>
          <w:tcPr>
            <w:tcW w:w="5400" w:type="dxa"/>
            <w:vAlign w:val="bottom"/>
            <w:gridSpan w:val="2"/>
          </w:tcPr>
          <w:p>
            <w:pPr>
              <w:spacing w:after="0" w:line="168" w:lineRule="exact"/>
              <w:rPr>
                <w:sz w:val="20"/>
                <w:szCs w:val="20"/>
                <w:color w:val="auto"/>
              </w:rPr>
            </w:pPr>
            <w:r>
              <w:rPr>
                <w:rFonts w:ascii="Arial" w:cs="Arial" w:eastAsia="Arial" w:hAnsi="Arial"/>
                <w:sz w:val="16"/>
                <w:szCs w:val="16"/>
                <w:color w:val="auto"/>
              </w:rPr>
              <w:t>Director Qualifications and Diversity</w:t>
            </w:r>
          </w:p>
        </w:tc>
        <w:tc>
          <w:tcPr>
            <w:tcW w:w="4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5400" w:type="dxa"/>
            <w:vAlign w:val="bottom"/>
            <w:gridSpan w:val="2"/>
          </w:tcPr>
          <w:p>
            <w:pPr>
              <w:spacing w:after="0"/>
              <w:rPr>
                <w:sz w:val="20"/>
                <w:szCs w:val="20"/>
                <w:color w:val="auto"/>
              </w:rPr>
            </w:pPr>
            <w:r>
              <w:rPr>
                <w:rFonts w:ascii="Arial" w:cs="Arial" w:eastAsia="Arial" w:hAnsi="Arial"/>
                <w:sz w:val="16"/>
                <w:szCs w:val="16"/>
                <w:color w:val="auto"/>
              </w:rPr>
              <w:t>Our Director Nominees</w:t>
            </w:r>
          </w:p>
        </w:tc>
        <w:tc>
          <w:tcPr>
            <w:tcW w:w="4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421"/>
        </w:trPr>
        <w:tc>
          <w:tcPr>
            <w:tcW w:w="5400" w:type="dxa"/>
            <w:vAlign w:val="bottom"/>
            <w:tcBorders>
              <w:bottom w:val="single" w:sz="8" w:color="5A5C5F"/>
            </w:tcBorders>
            <w:gridSpan w:val="2"/>
          </w:tcPr>
          <w:p>
            <w:pPr>
              <w:spacing w:after="0"/>
              <w:rPr>
                <w:sz w:val="20"/>
                <w:szCs w:val="20"/>
                <w:color w:val="auto"/>
              </w:rPr>
            </w:pPr>
            <w:r>
              <w:rPr>
                <w:rFonts w:ascii="Arial" w:cs="Arial" w:eastAsia="Arial" w:hAnsi="Arial"/>
                <w:sz w:val="22"/>
                <w:szCs w:val="22"/>
                <w:b w:val="1"/>
                <w:bCs w:val="1"/>
                <w:color w:val="0233A1"/>
              </w:rPr>
              <w:t>Corporate Governance</w:t>
            </w:r>
          </w:p>
        </w:tc>
        <w:tc>
          <w:tcPr>
            <w:tcW w:w="460" w:type="dxa"/>
            <w:vAlign w:val="bottom"/>
            <w:tcBorders>
              <w:bottom w:val="single" w:sz="8" w:color="5A5C5F"/>
            </w:tcBorders>
          </w:tcPr>
          <w:p>
            <w:pPr>
              <w:spacing w:after="0"/>
              <w:rPr>
                <w:sz w:val="24"/>
                <w:szCs w:val="24"/>
                <w:color w:val="auto"/>
              </w:rPr>
            </w:pPr>
          </w:p>
        </w:tc>
        <w:tc>
          <w:tcPr>
            <w:tcW w:w="4480" w:type="dxa"/>
            <w:vAlign w:val="bottom"/>
            <w:tcBorders>
              <w:bottom w:val="single" w:sz="8" w:color="5A5C5F"/>
            </w:tcBorders>
          </w:tcPr>
          <w:p>
            <w:pPr>
              <w:spacing w:after="0"/>
              <w:rPr>
                <w:sz w:val="24"/>
                <w:szCs w:val="24"/>
                <w:color w:val="auto"/>
              </w:rPr>
            </w:pPr>
          </w:p>
        </w:tc>
        <w:tc>
          <w:tcPr>
            <w:tcW w:w="900" w:type="dxa"/>
            <w:vAlign w:val="bottom"/>
            <w:tcBorders>
              <w:bottom w:val="single" w:sz="8" w:color="5A5C5F"/>
            </w:tcBorders>
          </w:tcPr>
          <w:p>
            <w:pPr>
              <w:jc w:val="right"/>
              <w:spacing w:after="0"/>
              <w:rPr>
                <w:sz w:val="20"/>
                <w:szCs w:val="20"/>
                <w:color w:val="auto"/>
              </w:rPr>
            </w:pPr>
            <w:r>
              <w:rPr>
                <w:rFonts w:ascii="Arial" w:cs="Arial" w:eastAsia="Arial" w:hAnsi="Arial"/>
                <w:sz w:val="22"/>
                <w:szCs w:val="22"/>
                <w:b w:val="1"/>
                <w:bCs w:val="1"/>
                <w:color w:val="0233A1"/>
              </w:rPr>
              <w:t>18</w:t>
            </w:r>
          </w:p>
        </w:tc>
        <w:tc>
          <w:tcPr>
            <w:tcW w:w="0" w:type="dxa"/>
            <w:vAlign w:val="bottom"/>
          </w:tcPr>
          <w:p>
            <w:pPr>
              <w:spacing w:after="0"/>
              <w:rPr>
                <w:sz w:val="1"/>
                <w:szCs w:val="1"/>
                <w:color w:val="auto"/>
              </w:rPr>
            </w:pPr>
          </w:p>
        </w:tc>
      </w:tr>
      <w:tr>
        <w:trPr>
          <w:trHeight w:val="168"/>
        </w:trPr>
        <w:tc>
          <w:tcPr>
            <w:tcW w:w="5400" w:type="dxa"/>
            <w:vAlign w:val="bottom"/>
            <w:gridSpan w:val="2"/>
          </w:tcPr>
          <w:p>
            <w:pPr>
              <w:spacing w:after="0" w:line="168" w:lineRule="exact"/>
              <w:rPr>
                <w:sz w:val="20"/>
                <w:szCs w:val="20"/>
                <w:color w:val="auto"/>
              </w:rPr>
            </w:pPr>
            <w:r>
              <w:rPr>
                <w:rFonts w:ascii="Arial" w:cs="Arial" w:eastAsia="Arial" w:hAnsi="Arial"/>
                <w:sz w:val="16"/>
                <w:szCs w:val="16"/>
                <w:color w:val="auto"/>
              </w:rPr>
              <w:t>Proactive Shareholder Engagement</w:t>
            </w:r>
          </w:p>
        </w:tc>
        <w:tc>
          <w:tcPr>
            <w:tcW w:w="4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Independent Chairman of the Board</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Board Oversight of Risk Management</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Board Oversight of Sustainability</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Board Refreshment Processes</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Board and Committee Evaluations</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Director Orientation and Education</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Board Committees</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Board Attendance</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Code of Conduct</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Corporate Governance Guidelines</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Director Independence</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Certain Relationships and Related Person Transactions</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5"/>
        </w:trPr>
        <w:tc>
          <w:tcPr>
            <w:tcW w:w="5400" w:type="dxa"/>
            <w:vAlign w:val="bottom"/>
            <w:gridSpan w:val="2"/>
          </w:tcPr>
          <w:p>
            <w:pPr>
              <w:spacing w:after="0"/>
              <w:rPr>
                <w:sz w:val="20"/>
                <w:szCs w:val="20"/>
                <w:color w:val="auto"/>
              </w:rPr>
            </w:pPr>
            <w:r>
              <w:rPr>
                <w:rFonts w:ascii="Arial" w:cs="Arial" w:eastAsia="Arial" w:hAnsi="Arial"/>
                <w:sz w:val="16"/>
                <w:szCs w:val="16"/>
                <w:color w:val="auto"/>
              </w:rPr>
              <w:t>Communicating with Our Board</w:t>
            </w:r>
          </w:p>
        </w:tc>
        <w:tc>
          <w:tcPr>
            <w:tcW w:w="4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420"/>
        </w:trPr>
        <w:tc>
          <w:tcPr>
            <w:tcW w:w="5400" w:type="dxa"/>
            <w:vAlign w:val="bottom"/>
            <w:tcBorders>
              <w:bottom w:val="single" w:sz="8" w:color="5A5C5F"/>
            </w:tcBorders>
            <w:gridSpan w:val="2"/>
          </w:tcPr>
          <w:p>
            <w:pPr>
              <w:spacing w:after="0"/>
              <w:rPr>
                <w:sz w:val="20"/>
                <w:szCs w:val="20"/>
                <w:color w:val="auto"/>
              </w:rPr>
            </w:pPr>
            <w:r>
              <w:rPr>
                <w:rFonts w:ascii="Arial" w:cs="Arial" w:eastAsia="Arial" w:hAnsi="Arial"/>
                <w:sz w:val="22"/>
                <w:szCs w:val="22"/>
                <w:b w:val="1"/>
                <w:bCs w:val="1"/>
                <w:color w:val="0233A1"/>
              </w:rPr>
              <w:t>Director Compensation</w:t>
            </w:r>
          </w:p>
        </w:tc>
        <w:tc>
          <w:tcPr>
            <w:tcW w:w="460" w:type="dxa"/>
            <w:vAlign w:val="bottom"/>
            <w:tcBorders>
              <w:bottom w:val="single" w:sz="8" w:color="5A5C5F"/>
            </w:tcBorders>
          </w:tcPr>
          <w:p>
            <w:pPr>
              <w:spacing w:after="0"/>
              <w:rPr>
                <w:sz w:val="24"/>
                <w:szCs w:val="24"/>
                <w:color w:val="auto"/>
              </w:rPr>
            </w:pPr>
          </w:p>
        </w:tc>
        <w:tc>
          <w:tcPr>
            <w:tcW w:w="4480" w:type="dxa"/>
            <w:vAlign w:val="bottom"/>
            <w:tcBorders>
              <w:bottom w:val="single" w:sz="8" w:color="5A5C5F"/>
            </w:tcBorders>
          </w:tcPr>
          <w:p>
            <w:pPr>
              <w:spacing w:after="0"/>
              <w:rPr>
                <w:sz w:val="24"/>
                <w:szCs w:val="24"/>
                <w:color w:val="auto"/>
              </w:rPr>
            </w:pPr>
          </w:p>
        </w:tc>
        <w:tc>
          <w:tcPr>
            <w:tcW w:w="900" w:type="dxa"/>
            <w:vAlign w:val="bottom"/>
            <w:tcBorders>
              <w:bottom w:val="single" w:sz="8" w:color="5A5C5F"/>
            </w:tcBorders>
          </w:tcPr>
          <w:p>
            <w:pPr>
              <w:jc w:val="right"/>
              <w:spacing w:after="0"/>
              <w:rPr>
                <w:sz w:val="20"/>
                <w:szCs w:val="20"/>
                <w:color w:val="auto"/>
              </w:rPr>
            </w:pPr>
            <w:r>
              <w:rPr>
                <w:rFonts w:ascii="Arial" w:cs="Arial" w:eastAsia="Arial" w:hAnsi="Arial"/>
                <w:sz w:val="22"/>
                <w:szCs w:val="22"/>
                <w:b w:val="1"/>
                <w:bCs w:val="1"/>
                <w:color w:val="0233A1"/>
              </w:rPr>
              <w:t>25</w:t>
            </w:r>
          </w:p>
        </w:tc>
        <w:tc>
          <w:tcPr>
            <w:tcW w:w="0" w:type="dxa"/>
            <w:vAlign w:val="bottom"/>
          </w:tcPr>
          <w:p>
            <w:pPr>
              <w:spacing w:after="0"/>
              <w:rPr>
                <w:sz w:val="1"/>
                <w:szCs w:val="1"/>
                <w:color w:val="auto"/>
              </w:rPr>
            </w:pPr>
          </w:p>
        </w:tc>
      </w:tr>
      <w:tr>
        <w:trPr>
          <w:trHeight w:val="425"/>
        </w:trPr>
        <w:tc>
          <w:tcPr>
            <w:tcW w:w="5400" w:type="dxa"/>
            <w:vAlign w:val="bottom"/>
            <w:tcBorders>
              <w:bottom w:val="single" w:sz="8" w:color="5A5C5F"/>
            </w:tcBorders>
            <w:gridSpan w:val="2"/>
          </w:tcPr>
          <w:p>
            <w:pPr>
              <w:spacing w:after="0"/>
              <w:rPr>
                <w:sz w:val="20"/>
                <w:szCs w:val="20"/>
                <w:color w:val="auto"/>
              </w:rPr>
            </w:pPr>
            <w:r>
              <w:rPr>
                <w:rFonts w:ascii="Arial" w:cs="Arial" w:eastAsia="Arial" w:hAnsi="Arial"/>
                <w:sz w:val="22"/>
                <w:szCs w:val="22"/>
                <w:b w:val="1"/>
                <w:bCs w:val="1"/>
                <w:color w:val="0233A1"/>
              </w:rPr>
              <w:t>Stock Ownership Information</w:t>
            </w:r>
          </w:p>
        </w:tc>
        <w:tc>
          <w:tcPr>
            <w:tcW w:w="460" w:type="dxa"/>
            <w:vAlign w:val="bottom"/>
            <w:tcBorders>
              <w:bottom w:val="single" w:sz="8" w:color="5A5C5F"/>
            </w:tcBorders>
          </w:tcPr>
          <w:p>
            <w:pPr>
              <w:spacing w:after="0"/>
              <w:rPr>
                <w:sz w:val="24"/>
                <w:szCs w:val="24"/>
                <w:color w:val="auto"/>
              </w:rPr>
            </w:pPr>
          </w:p>
        </w:tc>
        <w:tc>
          <w:tcPr>
            <w:tcW w:w="4480" w:type="dxa"/>
            <w:vAlign w:val="bottom"/>
            <w:tcBorders>
              <w:bottom w:val="single" w:sz="8" w:color="5A5C5F"/>
            </w:tcBorders>
          </w:tcPr>
          <w:p>
            <w:pPr>
              <w:spacing w:after="0"/>
              <w:rPr>
                <w:sz w:val="24"/>
                <w:szCs w:val="24"/>
                <w:color w:val="auto"/>
              </w:rPr>
            </w:pPr>
          </w:p>
        </w:tc>
        <w:tc>
          <w:tcPr>
            <w:tcW w:w="900" w:type="dxa"/>
            <w:vAlign w:val="bottom"/>
            <w:tcBorders>
              <w:bottom w:val="single" w:sz="8" w:color="5A5C5F"/>
            </w:tcBorders>
          </w:tcPr>
          <w:p>
            <w:pPr>
              <w:jc w:val="right"/>
              <w:spacing w:after="0"/>
              <w:rPr>
                <w:sz w:val="20"/>
                <w:szCs w:val="20"/>
                <w:color w:val="auto"/>
              </w:rPr>
            </w:pPr>
            <w:r>
              <w:rPr>
                <w:rFonts w:ascii="Arial" w:cs="Arial" w:eastAsia="Arial" w:hAnsi="Arial"/>
                <w:sz w:val="22"/>
                <w:szCs w:val="22"/>
                <w:b w:val="1"/>
                <w:bCs w:val="1"/>
                <w:color w:val="0233A1"/>
              </w:rPr>
              <w:t>27</w:t>
            </w:r>
          </w:p>
        </w:tc>
        <w:tc>
          <w:tcPr>
            <w:tcW w:w="0" w:type="dxa"/>
            <w:vAlign w:val="bottom"/>
          </w:tcPr>
          <w:p>
            <w:pPr>
              <w:spacing w:after="0"/>
              <w:rPr>
                <w:sz w:val="1"/>
                <w:szCs w:val="1"/>
                <w:color w:val="auto"/>
              </w:rPr>
            </w:pPr>
          </w:p>
        </w:tc>
      </w:tr>
      <w:tr>
        <w:trPr>
          <w:trHeight w:val="426"/>
        </w:trPr>
        <w:tc>
          <w:tcPr>
            <w:tcW w:w="10340" w:type="dxa"/>
            <w:vAlign w:val="bottom"/>
            <w:tcBorders>
              <w:bottom w:val="single" w:sz="8" w:color="5A5C5F"/>
            </w:tcBorders>
            <w:gridSpan w:val="4"/>
          </w:tcPr>
          <w:p>
            <w:pPr>
              <w:spacing w:after="0"/>
              <w:rPr>
                <w:sz w:val="20"/>
                <w:szCs w:val="20"/>
                <w:color w:val="auto"/>
              </w:rPr>
            </w:pPr>
            <w:r>
              <w:rPr>
                <w:rFonts w:ascii="Arial" w:cs="Arial" w:eastAsia="Arial" w:hAnsi="Arial"/>
                <w:sz w:val="22"/>
                <w:szCs w:val="22"/>
                <w:b w:val="1"/>
                <w:bCs w:val="1"/>
                <w:color w:val="0233A1"/>
              </w:rPr>
              <w:t>ITEM 2. Advisory Vote on the Frequency of Future Advisory Votes on Executive Compensation</w:t>
            </w:r>
          </w:p>
        </w:tc>
        <w:tc>
          <w:tcPr>
            <w:tcW w:w="900" w:type="dxa"/>
            <w:vAlign w:val="bottom"/>
            <w:tcBorders>
              <w:bottom w:val="single" w:sz="8" w:color="5A5C5F"/>
            </w:tcBorders>
          </w:tcPr>
          <w:p>
            <w:pPr>
              <w:jc w:val="right"/>
              <w:spacing w:after="0"/>
              <w:rPr>
                <w:sz w:val="20"/>
                <w:szCs w:val="20"/>
                <w:color w:val="auto"/>
              </w:rPr>
            </w:pPr>
            <w:r>
              <w:rPr>
                <w:rFonts w:ascii="Arial" w:cs="Arial" w:eastAsia="Arial" w:hAnsi="Arial"/>
                <w:sz w:val="22"/>
                <w:szCs w:val="22"/>
                <w:b w:val="1"/>
                <w:bCs w:val="1"/>
                <w:color w:val="0233A1"/>
              </w:rPr>
              <w:t>29</w:t>
            </w:r>
          </w:p>
        </w:tc>
        <w:tc>
          <w:tcPr>
            <w:tcW w:w="0" w:type="dxa"/>
            <w:vAlign w:val="bottom"/>
          </w:tcPr>
          <w:p>
            <w:pPr>
              <w:spacing w:after="0"/>
              <w:rPr>
                <w:sz w:val="1"/>
                <w:szCs w:val="1"/>
                <w:color w:val="auto"/>
              </w:rPr>
            </w:pPr>
          </w:p>
        </w:tc>
      </w:tr>
      <w:tr>
        <w:trPr>
          <w:trHeight w:val="425"/>
        </w:trPr>
        <w:tc>
          <w:tcPr>
            <w:tcW w:w="10340" w:type="dxa"/>
            <w:vAlign w:val="bottom"/>
            <w:tcBorders>
              <w:bottom w:val="single" w:sz="8" w:color="5A5C5F"/>
            </w:tcBorders>
            <w:gridSpan w:val="4"/>
          </w:tcPr>
          <w:p>
            <w:pPr>
              <w:spacing w:after="0"/>
              <w:rPr>
                <w:sz w:val="20"/>
                <w:szCs w:val="20"/>
                <w:color w:val="auto"/>
              </w:rPr>
            </w:pPr>
            <w:r>
              <w:rPr>
                <w:rFonts w:ascii="Arial" w:cs="Arial" w:eastAsia="Arial" w:hAnsi="Arial"/>
                <w:sz w:val="22"/>
                <w:szCs w:val="22"/>
                <w:b w:val="1"/>
                <w:bCs w:val="1"/>
                <w:color w:val="0233A1"/>
              </w:rPr>
              <w:t>ITEM 3. Advisory Approval of Our Executive Compensation</w:t>
            </w:r>
          </w:p>
        </w:tc>
        <w:tc>
          <w:tcPr>
            <w:tcW w:w="900" w:type="dxa"/>
            <w:vAlign w:val="bottom"/>
            <w:tcBorders>
              <w:bottom w:val="single" w:sz="8" w:color="5A5C5F"/>
            </w:tcBorders>
          </w:tcPr>
          <w:p>
            <w:pPr>
              <w:jc w:val="right"/>
              <w:spacing w:after="0"/>
              <w:rPr>
                <w:sz w:val="20"/>
                <w:szCs w:val="20"/>
                <w:color w:val="auto"/>
              </w:rPr>
            </w:pPr>
            <w:r>
              <w:rPr>
                <w:rFonts w:ascii="Arial" w:cs="Arial" w:eastAsia="Arial" w:hAnsi="Arial"/>
                <w:sz w:val="22"/>
                <w:szCs w:val="22"/>
                <w:b w:val="1"/>
                <w:bCs w:val="1"/>
                <w:color w:val="0233A1"/>
              </w:rPr>
              <w:t>30</w:t>
            </w:r>
          </w:p>
        </w:tc>
        <w:tc>
          <w:tcPr>
            <w:tcW w:w="0" w:type="dxa"/>
            <w:vAlign w:val="bottom"/>
          </w:tcPr>
          <w:p>
            <w:pPr>
              <w:spacing w:after="0"/>
              <w:rPr>
                <w:sz w:val="1"/>
                <w:szCs w:val="1"/>
                <w:color w:val="auto"/>
              </w:rPr>
            </w:pPr>
          </w:p>
        </w:tc>
      </w:tr>
      <w:tr>
        <w:trPr>
          <w:trHeight w:val="208"/>
        </w:trPr>
        <w:tc>
          <w:tcPr>
            <w:tcW w:w="5400" w:type="dxa"/>
            <w:vAlign w:val="bottom"/>
            <w:gridSpan w:val="2"/>
          </w:tcPr>
          <w:p>
            <w:pPr>
              <w:spacing w:after="0"/>
              <w:rPr>
                <w:sz w:val="20"/>
                <w:szCs w:val="20"/>
                <w:color w:val="auto"/>
              </w:rPr>
            </w:pPr>
            <w:r>
              <w:rPr>
                <w:rFonts w:ascii="Arial" w:cs="Arial" w:eastAsia="Arial" w:hAnsi="Arial"/>
                <w:sz w:val="16"/>
                <w:szCs w:val="16"/>
                <w:color w:val="auto"/>
              </w:rPr>
              <w:t>Compensation Committee Report</w:t>
            </w:r>
          </w:p>
        </w:tc>
        <w:tc>
          <w:tcPr>
            <w:tcW w:w="4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406"/>
        </w:trPr>
        <w:tc>
          <w:tcPr>
            <w:tcW w:w="5400" w:type="dxa"/>
            <w:vAlign w:val="bottom"/>
            <w:tcBorders>
              <w:bottom w:val="single" w:sz="8" w:color="5A5C5F"/>
            </w:tcBorders>
            <w:gridSpan w:val="2"/>
          </w:tcPr>
          <w:p>
            <w:pPr>
              <w:spacing w:after="0"/>
              <w:rPr>
                <w:sz w:val="20"/>
                <w:szCs w:val="20"/>
                <w:color w:val="auto"/>
              </w:rPr>
            </w:pPr>
            <w:r>
              <w:rPr>
                <w:rFonts w:ascii="Arial" w:cs="Arial" w:eastAsia="Arial" w:hAnsi="Arial"/>
                <w:sz w:val="22"/>
                <w:szCs w:val="22"/>
                <w:b w:val="1"/>
                <w:bCs w:val="1"/>
                <w:color w:val="0233A1"/>
              </w:rPr>
              <w:t>Compensation Discussion and Analysis</w:t>
            </w:r>
          </w:p>
        </w:tc>
        <w:tc>
          <w:tcPr>
            <w:tcW w:w="460" w:type="dxa"/>
            <w:vAlign w:val="bottom"/>
            <w:tcBorders>
              <w:bottom w:val="single" w:sz="8" w:color="5A5C5F"/>
            </w:tcBorders>
          </w:tcPr>
          <w:p>
            <w:pPr>
              <w:spacing w:after="0"/>
              <w:rPr>
                <w:sz w:val="24"/>
                <w:szCs w:val="24"/>
                <w:color w:val="auto"/>
              </w:rPr>
            </w:pPr>
          </w:p>
        </w:tc>
        <w:tc>
          <w:tcPr>
            <w:tcW w:w="4480" w:type="dxa"/>
            <w:vAlign w:val="bottom"/>
            <w:tcBorders>
              <w:bottom w:val="single" w:sz="8" w:color="5A5C5F"/>
            </w:tcBorders>
          </w:tcPr>
          <w:p>
            <w:pPr>
              <w:spacing w:after="0"/>
              <w:rPr>
                <w:sz w:val="24"/>
                <w:szCs w:val="24"/>
                <w:color w:val="auto"/>
              </w:rPr>
            </w:pPr>
          </w:p>
        </w:tc>
        <w:tc>
          <w:tcPr>
            <w:tcW w:w="900" w:type="dxa"/>
            <w:vAlign w:val="bottom"/>
            <w:tcBorders>
              <w:bottom w:val="single" w:sz="8" w:color="5A5C5F"/>
            </w:tcBorders>
          </w:tcPr>
          <w:p>
            <w:pPr>
              <w:jc w:val="right"/>
              <w:spacing w:after="0"/>
              <w:rPr>
                <w:sz w:val="20"/>
                <w:szCs w:val="20"/>
                <w:color w:val="auto"/>
              </w:rPr>
            </w:pPr>
            <w:r>
              <w:rPr>
                <w:rFonts w:ascii="Arial" w:cs="Arial" w:eastAsia="Arial" w:hAnsi="Arial"/>
                <w:sz w:val="22"/>
                <w:szCs w:val="22"/>
                <w:b w:val="1"/>
                <w:bCs w:val="1"/>
                <w:color w:val="0233A1"/>
              </w:rPr>
              <w:t>31</w:t>
            </w:r>
          </w:p>
        </w:tc>
        <w:tc>
          <w:tcPr>
            <w:tcW w:w="0" w:type="dxa"/>
            <w:vAlign w:val="bottom"/>
          </w:tcPr>
          <w:p>
            <w:pPr>
              <w:spacing w:after="0"/>
              <w:rPr>
                <w:sz w:val="1"/>
                <w:szCs w:val="1"/>
                <w:color w:val="auto"/>
              </w:rPr>
            </w:pPr>
          </w:p>
        </w:tc>
      </w:tr>
      <w:tr>
        <w:trPr>
          <w:trHeight w:val="168"/>
        </w:trPr>
        <w:tc>
          <w:tcPr>
            <w:tcW w:w="5400" w:type="dxa"/>
            <w:vAlign w:val="bottom"/>
            <w:gridSpan w:val="2"/>
          </w:tcPr>
          <w:p>
            <w:pPr>
              <w:spacing w:after="0" w:line="168" w:lineRule="exact"/>
              <w:rPr>
                <w:sz w:val="20"/>
                <w:szCs w:val="20"/>
                <w:color w:val="auto"/>
              </w:rPr>
            </w:pPr>
            <w:r>
              <w:rPr>
                <w:rFonts w:ascii="Arial" w:cs="Arial" w:eastAsia="Arial" w:hAnsi="Arial"/>
                <w:sz w:val="16"/>
                <w:szCs w:val="16"/>
                <w:color w:val="auto"/>
              </w:rPr>
              <w:t>Executive Overview</w:t>
            </w:r>
          </w:p>
        </w:tc>
        <w:tc>
          <w:tcPr>
            <w:tcW w:w="4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Overview of Compensation Decisions for 2022</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Framework for Setting 2022 Executive Compensation</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Elements of 2022 Total Direct Compensation</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Other Aspects of Our Executive Compensation Program</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5"/>
        </w:trPr>
        <w:tc>
          <w:tcPr>
            <w:tcW w:w="5400" w:type="dxa"/>
            <w:vAlign w:val="bottom"/>
            <w:gridSpan w:val="2"/>
          </w:tcPr>
          <w:p>
            <w:pPr>
              <w:spacing w:after="0"/>
              <w:rPr>
                <w:sz w:val="20"/>
                <w:szCs w:val="20"/>
                <w:color w:val="auto"/>
              </w:rPr>
            </w:pPr>
            <w:r>
              <w:rPr>
                <w:rFonts w:ascii="Arial" w:cs="Arial" w:eastAsia="Arial" w:hAnsi="Arial"/>
                <w:sz w:val="16"/>
                <w:szCs w:val="16"/>
                <w:color w:val="auto"/>
              </w:rPr>
              <w:t>Executive Compensation Governance</w:t>
            </w:r>
          </w:p>
        </w:tc>
        <w:tc>
          <w:tcPr>
            <w:tcW w:w="4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420"/>
        </w:trPr>
        <w:tc>
          <w:tcPr>
            <w:tcW w:w="5400" w:type="dxa"/>
            <w:vAlign w:val="bottom"/>
            <w:tcBorders>
              <w:bottom w:val="single" w:sz="8" w:color="5A5C5F"/>
            </w:tcBorders>
            <w:gridSpan w:val="2"/>
          </w:tcPr>
          <w:p>
            <w:pPr>
              <w:spacing w:after="0"/>
              <w:rPr>
                <w:sz w:val="20"/>
                <w:szCs w:val="20"/>
                <w:color w:val="auto"/>
              </w:rPr>
            </w:pPr>
            <w:r>
              <w:rPr>
                <w:rFonts w:ascii="Arial" w:cs="Arial" w:eastAsia="Arial" w:hAnsi="Arial"/>
                <w:sz w:val="22"/>
                <w:szCs w:val="22"/>
                <w:b w:val="1"/>
                <w:bCs w:val="1"/>
                <w:color w:val="0233A1"/>
              </w:rPr>
              <w:t>Executive Compensation Tables</w:t>
            </w:r>
          </w:p>
        </w:tc>
        <w:tc>
          <w:tcPr>
            <w:tcW w:w="460" w:type="dxa"/>
            <w:vAlign w:val="bottom"/>
            <w:tcBorders>
              <w:bottom w:val="single" w:sz="8" w:color="5A5C5F"/>
            </w:tcBorders>
          </w:tcPr>
          <w:p>
            <w:pPr>
              <w:spacing w:after="0"/>
              <w:rPr>
                <w:sz w:val="24"/>
                <w:szCs w:val="24"/>
                <w:color w:val="auto"/>
              </w:rPr>
            </w:pPr>
          </w:p>
        </w:tc>
        <w:tc>
          <w:tcPr>
            <w:tcW w:w="4480" w:type="dxa"/>
            <w:vAlign w:val="bottom"/>
            <w:tcBorders>
              <w:bottom w:val="single" w:sz="8" w:color="5A5C5F"/>
            </w:tcBorders>
          </w:tcPr>
          <w:p>
            <w:pPr>
              <w:spacing w:after="0"/>
              <w:rPr>
                <w:sz w:val="24"/>
                <w:szCs w:val="24"/>
                <w:color w:val="auto"/>
              </w:rPr>
            </w:pPr>
          </w:p>
        </w:tc>
        <w:tc>
          <w:tcPr>
            <w:tcW w:w="900" w:type="dxa"/>
            <w:vAlign w:val="bottom"/>
            <w:tcBorders>
              <w:bottom w:val="single" w:sz="8" w:color="5A5C5F"/>
            </w:tcBorders>
          </w:tcPr>
          <w:p>
            <w:pPr>
              <w:jc w:val="right"/>
              <w:spacing w:after="0"/>
              <w:rPr>
                <w:sz w:val="20"/>
                <w:szCs w:val="20"/>
                <w:color w:val="auto"/>
              </w:rPr>
            </w:pPr>
            <w:r>
              <w:rPr>
                <w:rFonts w:ascii="Arial" w:cs="Arial" w:eastAsia="Arial" w:hAnsi="Arial"/>
                <w:sz w:val="22"/>
                <w:szCs w:val="22"/>
                <w:b w:val="1"/>
                <w:bCs w:val="1"/>
                <w:color w:val="0233A1"/>
              </w:rPr>
              <w:t>50</w:t>
            </w:r>
          </w:p>
        </w:tc>
        <w:tc>
          <w:tcPr>
            <w:tcW w:w="0" w:type="dxa"/>
            <w:vAlign w:val="bottom"/>
          </w:tcPr>
          <w:p>
            <w:pPr>
              <w:spacing w:after="0"/>
              <w:rPr>
                <w:sz w:val="1"/>
                <w:szCs w:val="1"/>
                <w:color w:val="auto"/>
              </w:rPr>
            </w:pPr>
          </w:p>
        </w:tc>
      </w:tr>
      <w:tr>
        <w:trPr>
          <w:trHeight w:val="168"/>
        </w:trPr>
        <w:tc>
          <w:tcPr>
            <w:tcW w:w="5400" w:type="dxa"/>
            <w:vAlign w:val="bottom"/>
            <w:gridSpan w:val="2"/>
          </w:tcPr>
          <w:p>
            <w:pPr>
              <w:spacing w:after="0" w:line="168" w:lineRule="exact"/>
              <w:rPr>
                <w:sz w:val="20"/>
                <w:szCs w:val="20"/>
                <w:color w:val="auto"/>
              </w:rPr>
            </w:pPr>
            <w:r>
              <w:rPr>
                <w:rFonts w:ascii="Arial" w:cs="Arial" w:eastAsia="Arial" w:hAnsi="Arial"/>
                <w:sz w:val="16"/>
                <w:szCs w:val="16"/>
                <w:color w:val="auto"/>
              </w:rPr>
              <w:t>Summary Compensation Table</w:t>
            </w:r>
          </w:p>
        </w:tc>
        <w:tc>
          <w:tcPr>
            <w:tcW w:w="4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Grants of Plan-Based Awards in 2022</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Outstanding Equity Awards at Year-End 2022</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Option Exercises and Stock Vested in 2022</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Pension Benefits</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Nonqualified Deferred Compensation</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Potential Payments Upon Termination or Change in Control</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Equity Compensation Plan Information</w:t>
            </w:r>
          </w:p>
        </w:tc>
        <w:tc>
          <w:tcPr>
            <w:tcW w:w="4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5"/>
        </w:trPr>
        <w:tc>
          <w:tcPr>
            <w:tcW w:w="5400" w:type="dxa"/>
            <w:vAlign w:val="bottom"/>
            <w:gridSpan w:val="2"/>
          </w:tcPr>
          <w:p>
            <w:pPr>
              <w:spacing w:after="0"/>
              <w:rPr>
                <w:sz w:val="20"/>
                <w:szCs w:val="20"/>
                <w:color w:val="auto"/>
              </w:rPr>
            </w:pPr>
            <w:r>
              <w:rPr>
                <w:rFonts w:ascii="Arial" w:cs="Arial" w:eastAsia="Arial" w:hAnsi="Arial"/>
                <w:sz w:val="16"/>
                <w:szCs w:val="16"/>
                <w:color w:val="auto"/>
              </w:rPr>
              <w:t>CEO Pay Ratio</w:t>
            </w:r>
          </w:p>
        </w:tc>
        <w:tc>
          <w:tcPr>
            <w:tcW w:w="4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420"/>
        </w:trPr>
        <w:tc>
          <w:tcPr>
            <w:tcW w:w="5400" w:type="dxa"/>
            <w:vAlign w:val="bottom"/>
            <w:tcBorders>
              <w:bottom w:val="single" w:sz="8" w:color="5A5C5F"/>
            </w:tcBorders>
            <w:gridSpan w:val="2"/>
          </w:tcPr>
          <w:p>
            <w:pPr>
              <w:spacing w:after="0"/>
              <w:rPr>
                <w:sz w:val="20"/>
                <w:szCs w:val="20"/>
                <w:color w:val="auto"/>
              </w:rPr>
            </w:pPr>
            <w:r>
              <w:rPr>
                <w:rFonts w:ascii="Arial" w:cs="Arial" w:eastAsia="Arial" w:hAnsi="Arial"/>
                <w:sz w:val="22"/>
                <w:szCs w:val="22"/>
                <w:b w:val="1"/>
                <w:bCs w:val="1"/>
                <w:color w:val="0233A1"/>
              </w:rPr>
              <w:t>Pay vs. Performance Comparison</w:t>
            </w:r>
          </w:p>
        </w:tc>
        <w:tc>
          <w:tcPr>
            <w:tcW w:w="460" w:type="dxa"/>
            <w:vAlign w:val="bottom"/>
            <w:tcBorders>
              <w:bottom w:val="single" w:sz="8" w:color="5A5C5F"/>
            </w:tcBorders>
          </w:tcPr>
          <w:p>
            <w:pPr>
              <w:spacing w:after="0"/>
              <w:rPr>
                <w:sz w:val="24"/>
                <w:szCs w:val="24"/>
                <w:color w:val="auto"/>
              </w:rPr>
            </w:pPr>
          </w:p>
        </w:tc>
        <w:tc>
          <w:tcPr>
            <w:tcW w:w="4480" w:type="dxa"/>
            <w:vAlign w:val="bottom"/>
            <w:tcBorders>
              <w:bottom w:val="single" w:sz="8" w:color="5A5C5F"/>
            </w:tcBorders>
          </w:tcPr>
          <w:p>
            <w:pPr>
              <w:spacing w:after="0"/>
              <w:rPr>
                <w:sz w:val="24"/>
                <w:szCs w:val="24"/>
                <w:color w:val="auto"/>
              </w:rPr>
            </w:pPr>
          </w:p>
        </w:tc>
        <w:tc>
          <w:tcPr>
            <w:tcW w:w="900" w:type="dxa"/>
            <w:vAlign w:val="bottom"/>
            <w:tcBorders>
              <w:bottom w:val="single" w:sz="8" w:color="5A5C5F"/>
            </w:tcBorders>
          </w:tcPr>
          <w:p>
            <w:pPr>
              <w:jc w:val="right"/>
              <w:spacing w:after="0"/>
              <w:rPr>
                <w:sz w:val="20"/>
                <w:szCs w:val="20"/>
                <w:color w:val="auto"/>
              </w:rPr>
            </w:pPr>
            <w:r>
              <w:rPr>
                <w:rFonts w:ascii="Arial" w:cs="Arial" w:eastAsia="Arial" w:hAnsi="Arial"/>
                <w:sz w:val="22"/>
                <w:szCs w:val="22"/>
                <w:b w:val="1"/>
                <w:bCs w:val="1"/>
                <w:color w:val="0233A1"/>
              </w:rPr>
              <w:t>61</w:t>
            </w:r>
          </w:p>
        </w:tc>
        <w:tc>
          <w:tcPr>
            <w:tcW w:w="0" w:type="dxa"/>
            <w:vAlign w:val="bottom"/>
          </w:tcPr>
          <w:p>
            <w:pPr>
              <w:spacing w:after="0"/>
              <w:rPr>
                <w:sz w:val="1"/>
                <w:szCs w:val="1"/>
                <w:color w:val="auto"/>
              </w:rPr>
            </w:pPr>
          </w:p>
        </w:tc>
      </w:tr>
      <w:tr>
        <w:trPr>
          <w:trHeight w:val="425"/>
        </w:trPr>
        <w:tc>
          <w:tcPr>
            <w:tcW w:w="10340" w:type="dxa"/>
            <w:vAlign w:val="bottom"/>
            <w:tcBorders>
              <w:bottom w:val="single" w:sz="8" w:color="5A5C5F"/>
            </w:tcBorders>
            <w:gridSpan w:val="4"/>
          </w:tcPr>
          <w:p>
            <w:pPr>
              <w:spacing w:after="0"/>
              <w:rPr>
                <w:sz w:val="20"/>
                <w:szCs w:val="20"/>
                <w:color w:val="auto"/>
              </w:rPr>
            </w:pPr>
            <w:r>
              <w:rPr>
                <w:rFonts w:ascii="Arial" w:cs="Arial" w:eastAsia="Arial" w:hAnsi="Arial"/>
                <w:sz w:val="22"/>
                <w:szCs w:val="22"/>
                <w:b w:val="1"/>
                <w:bCs w:val="1"/>
                <w:color w:val="0233A1"/>
              </w:rPr>
              <w:t>ITEM 4. Approval of Financial Statements and Dividends</w:t>
            </w:r>
          </w:p>
        </w:tc>
        <w:tc>
          <w:tcPr>
            <w:tcW w:w="900" w:type="dxa"/>
            <w:vAlign w:val="bottom"/>
            <w:tcBorders>
              <w:bottom w:val="single" w:sz="8" w:color="5A5C5F"/>
            </w:tcBorders>
          </w:tcPr>
          <w:p>
            <w:pPr>
              <w:jc w:val="right"/>
              <w:spacing w:after="0"/>
              <w:rPr>
                <w:sz w:val="20"/>
                <w:szCs w:val="20"/>
                <w:color w:val="auto"/>
              </w:rPr>
            </w:pPr>
            <w:r>
              <w:rPr>
                <w:rFonts w:ascii="Arial" w:cs="Arial" w:eastAsia="Arial" w:hAnsi="Arial"/>
                <w:sz w:val="22"/>
                <w:szCs w:val="22"/>
                <w:b w:val="1"/>
                <w:bCs w:val="1"/>
                <w:color w:val="0233A1"/>
              </w:rPr>
              <w:t>64</w:t>
            </w:r>
          </w:p>
        </w:tc>
        <w:tc>
          <w:tcPr>
            <w:tcW w:w="0" w:type="dxa"/>
            <w:vAlign w:val="bottom"/>
          </w:tcPr>
          <w:p>
            <w:pPr>
              <w:spacing w:after="0"/>
              <w:rPr>
                <w:sz w:val="1"/>
                <w:szCs w:val="1"/>
                <w:color w:val="auto"/>
              </w:rPr>
            </w:pPr>
          </w:p>
        </w:tc>
      </w:tr>
      <w:tr>
        <w:trPr>
          <w:trHeight w:val="426"/>
        </w:trPr>
        <w:tc>
          <w:tcPr>
            <w:tcW w:w="10340" w:type="dxa"/>
            <w:vAlign w:val="bottom"/>
            <w:tcBorders>
              <w:bottom w:val="single" w:sz="8" w:color="5A5C5F"/>
            </w:tcBorders>
            <w:gridSpan w:val="4"/>
          </w:tcPr>
          <w:p>
            <w:pPr>
              <w:spacing w:after="0"/>
              <w:rPr>
                <w:sz w:val="20"/>
                <w:szCs w:val="20"/>
                <w:color w:val="auto"/>
              </w:rPr>
            </w:pPr>
            <w:r>
              <w:rPr>
                <w:rFonts w:ascii="Arial" w:cs="Arial" w:eastAsia="Arial" w:hAnsi="Arial"/>
                <w:sz w:val="22"/>
                <w:szCs w:val="22"/>
                <w:b w:val="1"/>
                <w:bCs w:val="1"/>
                <w:color w:val="0233A1"/>
              </w:rPr>
              <w:t>ITEM 5. Ratification of Appointment of Independent Auditors for 2023</w:t>
            </w:r>
          </w:p>
        </w:tc>
        <w:tc>
          <w:tcPr>
            <w:tcW w:w="900" w:type="dxa"/>
            <w:vAlign w:val="bottom"/>
            <w:tcBorders>
              <w:bottom w:val="single" w:sz="8" w:color="5A5C5F"/>
            </w:tcBorders>
          </w:tcPr>
          <w:p>
            <w:pPr>
              <w:jc w:val="right"/>
              <w:spacing w:after="0"/>
              <w:rPr>
                <w:sz w:val="20"/>
                <w:szCs w:val="20"/>
                <w:color w:val="auto"/>
              </w:rPr>
            </w:pPr>
            <w:r>
              <w:rPr>
                <w:rFonts w:ascii="Arial" w:cs="Arial" w:eastAsia="Arial" w:hAnsi="Arial"/>
                <w:sz w:val="22"/>
                <w:szCs w:val="22"/>
                <w:b w:val="1"/>
                <w:bCs w:val="1"/>
                <w:color w:val="0233A1"/>
              </w:rPr>
              <w:t>65</w:t>
            </w:r>
          </w:p>
        </w:tc>
        <w:tc>
          <w:tcPr>
            <w:tcW w:w="0" w:type="dxa"/>
            <w:vAlign w:val="bottom"/>
          </w:tcPr>
          <w:p>
            <w:pPr>
              <w:spacing w:after="0"/>
              <w:rPr>
                <w:sz w:val="1"/>
                <w:szCs w:val="1"/>
                <w:color w:val="auto"/>
              </w:rPr>
            </w:pPr>
          </w:p>
        </w:tc>
      </w:tr>
      <w:tr>
        <w:trPr>
          <w:trHeight w:val="208"/>
        </w:trPr>
        <w:tc>
          <w:tcPr>
            <w:tcW w:w="5400" w:type="dxa"/>
            <w:vAlign w:val="bottom"/>
            <w:gridSpan w:val="2"/>
          </w:tcPr>
          <w:p>
            <w:pPr>
              <w:spacing w:after="0"/>
              <w:rPr>
                <w:sz w:val="20"/>
                <w:szCs w:val="20"/>
                <w:color w:val="auto"/>
              </w:rPr>
            </w:pPr>
            <w:r>
              <w:rPr>
                <w:rFonts w:ascii="Arial" w:cs="Arial" w:eastAsia="Arial" w:hAnsi="Arial"/>
                <w:sz w:val="16"/>
                <w:szCs w:val="16"/>
                <w:color w:val="auto"/>
              </w:rPr>
              <w:t>Audit Committee Report</w:t>
            </w:r>
          </w:p>
        </w:tc>
        <w:tc>
          <w:tcPr>
            <w:tcW w:w="4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406"/>
        </w:trPr>
        <w:tc>
          <w:tcPr>
            <w:tcW w:w="5400" w:type="dxa"/>
            <w:vAlign w:val="bottom"/>
            <w:tcBorders>
              <w:bottom w:val="single" w:sz="8" w:color="5A5C5F"/>
            </w:tcBorders>
            <w:gridSpan w:val="2"/>
          </w:tcPr>
          <w:p>
            <w:pPr>
              <w:spacing w:after="0"/>
              <w:rPr>
                <w:sz w:val="20"/>
                <w:szCs w:val="20"/>
                <w:color w:val="auto"/>
              </w:rPr>
            </w:pPr>
            <w:r>
              <w:rPr>
                <w:rFonts w:ascii="Arial" w:cs="Arial" w:eastAsia="Arial" w:hAnsi="Arial"/>
                <w:sz w:val="22"/>
                <w:szCs w:val="22"/>
                <w:b w:val="1"/>
                <w:bCs w:val="1"/>
                <w:color w:val="0233A1"/>
              </w:rPr>
              <w:t>Meeting Information</w:t>
            </w:r>
          </w:p>
        </w:tc>
        <w:tc>
          <w:tcPr>
            <w:tcW w:w="460" w:type="dxa"/>
            <w:vAlign w:val="bottom"/>
            <w:tcBorders>
              <w:bottom w:val="single" w:sz="8" w:color="5A5C5F"/>
            </w:tcBorders>
          </w:tcPr>
          <w:p>
            <w:pPr>
              <w:spacing w:after="0"/>
              <w:rPr>
                <w:sz w:val="24"/>
                <w:szCs w:val="24"/>
                <w:color w:val="auto"/>
              </w:rPr>
            </w:pPr>
          </w:p>
        </w:tc>
        <w:tc>
          <w:tcPr>
            <w:tcW w:w="4480" w:type="dxa"/>
            <w:vAlign w:val="bottom"/>
            <w:tcBorders>
              <w:bottom w:val="single" w:sz="8" w:color="5A5C5F"/>
            </w:tcBorders>
          </w:tcPr>
          <w:p>
            <w:pPr>
              <w:spacing w:after="0"/>
              <w:rPr>
                <w:sz w:val="24"/>
                <w:szCs w:val="24"/>
                <w:color w:val="auto"/>
              </w:rPr>
            </w:pPr>
          </w:p>
        </w:tc>
        <w:tc>
          <w:tcPr>
            <w:tcW w:w="900" w:type="dxa"/>
            <w:vAlign w:val="bottom"/>
            <w:tcBorders>
              <w:bottom w:val="single" w:sz="8" w:color="5A5C5F"/>
            </w:tcBorders>
          </w:tcPr>
          <w:p>
            <w:pPr>
              <w:jc w:val="right"/>
              <w:spacing w:after="0"/>
              <w:rPr>
                <w:sz w:val="20"/>
                <w:szCs w:val="20"/>
                <w:color w:val="auto"/>
              </w:rPr>
            </w:pPr>
            <w:r>
              <w:rPr>
                <w:rFonts w:ascii="Arial" w:cs="Arial" w:eastAsia="Arial" w:hAnsi="Arial"/>
                <w:sz w:val="22"/>
                <w:szCs w:val="22"/>
                <w:b w:val="1"/>
                <w:bCs w:val="1"/>
                <w:color w:val="0233A1"/>
              </w:rPr>
              <w:t>67</w:t>
            </w:r>
          </w:p>
        </w:tc>
        <w:tc>
          <w:tcPr>
            <w:tcW w:w="0" w:type="dxa"/>
            <w:vAlign w:val="bottom"/>
          </w:tcPr>
          <w:p>
            <w:pPr>
              <w:spacing w:after="0"/>
              <w:rPr>
                <w:sz w:val="1"/>
                <w:szCs w:val="1"/>
                <w:color w:val="auto"/>
              </w:rPr>
            </w:pPr>
          </w:p>
        </w:tc>
      </w:tr>
      <w:tr>
        <w:trPr>
          <w:trHeight w:val="426"/>
        </w:trPr>
        <w:tc>
          <w:tcPr>
            <w:tcW w:w="5400" w:type="dxa"/>
            <w:vAlign w:val="bottom"/>
            <w:tcBorders>
              <w:bottom w:val="single" w:sz="8" w:color="5A5C5F"/>
            </w:tcBorders>
            <w:gridSpan w:val="2"/>
          </w:tcPr>
          <w:p>
            <w:pPr>
              <w:spacing w:after="0"/>
              <w:rPr>
                <w:sz w:val="20"/>
                <w:szCs w:val="20"/>
                <w:color w:val="auto"/>
              </w:rPr>
            </w:pPr>
            <w:r>
              <w:rPr>
                <w:rFonts w:ascii="Arial" w:cs="Arial" w:eastAsia="Arial" w:hAnsi="Arial"/>
                <w:sz w:val="22"/>
                <w:szCs w:val="22"/>
                <w:b w:val="1"/>
                <w:bCs w:val="1"/>
                <w:color w:val="0233A1"/>
              </w:rPr>
              <w:t>Other Information</w:t>
            </w:r>
          </w:p>
        </w:tc>
        <w:tc>
          <w:tcPr>
            <w:tcW w:w="460" w:type="dxa"/>
            <w:vAlign w:val="bottom"/>
            <w:tcBorders>
              <w:bottom w:val="single" w:sz="8" w:color="5A5C5F"/>
            </w:tcBorders>
          </w:tcPr>
          <w:p>
            <w:pPr>
              <w:spacing w:after="0"/>
              <w:rPr>
                <w:sz w:val="24"/>
                <w:szCs w:val="24"/>
                <w:color w:val="auto"/>
              </w:rPr>
            </w:pPr>
          </w:p>
        </w:tc>
        <w:tc>
          <w:tcPr>
            <w:tcW w:w="4480" w:type="dxa"/>
            <w:vAlign w:val="bottom"/>
            <w:tcBorders>
              <w:bottom w:val="single" w:sz="8" w:color="5A5C5F"/>
            </w:tcBorders>
          </w:tcPr>
          <w:p>
            <w:pPr>
              <w:spacing w:after="0"/>
              <w:rPr>
                <w:sz w:val="24"/>
                <w:szCs w:val="24"/>
                <w:color w:val="auto"/>
              </w:rPr>
            </w:pPr>
          </w:p>
        </w:tc>
        <w:tc>
          <w:tcPr>
            <w:tcW w:w="900" w:type="dxa"/>
            <w:vAlign w:val="bottom"/>
            <w:tcBorders>
              <w:bottom w:val="single" w:sz="8" w:color="5A5C5F"/>
            </w:tcBorders>
          </w:tcPr>
          <w:p>
            <w:pPr>
              <w:jc w:val="right"/>
              <w:spacing w:after="0"/>
              <w:rPr>
                <w:sz w:val="20"/>
                <w:szCs w:val="20"/>
                <w:color w:val="auto"/>
              </w:rPr>
            </w:pPr>
            <w:r>
              <w:rPr>
                <w:rFonts w:ascii="Arial" w:cs="Arial" w:eastAsia="Arial" w:hAnsi="Arial"/>
                <w:sz w:val="22"/>
                <w:szCs w:val="22"/>
                <w:b w:val="1"/>
                <w:bCs w:val="1"/>
                <w:color w:val="0233A1"/>
              </w:rPr>
              <w:t>69</w:t>
            </w:r>
          </w:p>
        </w:tc>
        <w:tc>
          <w:tcPr>
            <w:tcW w:w="0" w:type="dxa"/>
            <w:vAlign w:val="bottom"/>
          </w:tcPr>
          <w:p>
            <w:pPr>
              <w:spacing w:after="0"/>
              <w:rPr>
                <w:sz w:val="1"/>
                <w:szCs w:val="1"/>
                <w:color w:val="auto"/>
              </w:rPr>
            </w:pPr>
          </w:p>
        </w:tc>
      </w:tr>
      <w:tr>
        <w:trPr>
          <w:trHeight w:val="425"/>
        </w:trPr>
        <w:tc>
          <w:tcPr>
            <w:tcW w:w="5400" w:type="dxa"/>
            <w:vAlign w:val="bottom"/>
            <w:tcBorders>
              <w:bottom w:val="single" w:sz="8" w:color="5A5C5F"/>
            </w:tcBorders>
            <w:gridSpan w:val="2"/>
          </w:tcPr>
          <w:p>
            <w:pPr>
              <w:spacing w:after="0"/>
              <w:rPr>
                <w:sz w:val="20"/>
                <w:szCs w:val="20"/>
                <w:color w:val="auto"/>
              </w:rPr>
            </w:pPr>
            <w:r>
              <w:rPr>
                <w:rFonts w:ascii="Arial" w:cs="Arial" w:eastAsia="Arial" w:hAnsi="Arial"/>
                <w:sz w:val="22"/>
                <w:szCs w:val="22"/>
                <w:b w:val="1"/>
                <w:bCs w:val="1"/>
                <w:color w:val="0233A1"/>
              </w:rPr>
              <w:t>Appendix A</w:t>
            </w:r>
          </w:p>
        </w:tc>
        <w:tc>
          <w:tcPr>
            <w:tcW w:w="460" w:type="dxa"/>
            <w:vAlign w:val="bottom"/>
            <w:tcBorders>
              <w:bottom w:val="single" w:sz="8" w:color="5A5C5F"/>
            </w:tcBorders>
          </w:tcPr>
          <w:p>
            <w:pPr>
              <w:spacing w:after="0"/>
              <w:rPr>
                <w:sz w:val="24"/>
                <w:szCs w:val="24"/>
                <w:color w:val="auto"/>
              </w:rPr>
            </w:pPr>
          </w:p>
        </w:tc>
        <w:tc>
          <w:tcPr>
            <w:tcW w:w="4480" w:type="dxa"/>
            <w:vAlign w:val="bottom"/>
            <w:tcBorders>
              <w:bottom w:val="single" w:sz="8" w:color="5A5C5F"/>
            </w:tcBorders>
          </w:tcPr>
          <w:p>
            <w:pPr>
              <w:spacing w:after="0"/>
              <w:rPr>
                <w:sz w:val="24"/>
                <w:szCs w:val="24"/>
                <w:color w:val="auto"/>
              </w:rPr>
            </w:pPr>
          </w:p>
        </w:tc>
        <w:tc>
          <w:tcPr>
            <w:tcW w:w="900" w:type="dxa"/>
            <w:vAlign w:val="bottom"/>
            <w:tcBorders>
              <w:bottom w:val="single" w:sz="8" w:color="5A5C5F"/>
            </w:tcBorders>
          </w:tcPr>
          <w:p>
            <w:pPr>
              <w:jc w:val="right"/>
              <w:spacing w:after="0"/>
              <w:rPr>
                <w:sz w:val="20"/>
                <w:szCs w:val="20"/>
                <w:color w:val="auto"/>
              </w:rPr>
            </w:pPr>
            <w:r>
              <w:rPr>
                <w:rFonts w:ascii="Arial" w:cs="Arial" w:eastAsia="Arial" w:hAnsi="Arial"/>
                <w:sz w:val="22"/>
                <w:szCs w:val="22"/>
                <w:b w:val="1"/>
                <w:bCs w:val="1"/>
                <w:color w:val="0233A1"/>
              </w:rPr>
              <w:t>A-1</w:t>
            </w:r>
          </w:p>
        </w:tc>
        <w:tc>
          <w:tcPr>
            <w:tcW w:w="0" w:type="dxa"/>
            <w:vAlign w:val="bottom"/>
          </w:tcPr>
          <w:p>
            <w:pPr>
              <w:spacing w:after="0"/>
              <w:rPr>
                <w:sz w:val="1"/>
                <w:szCs w:val="1"/>
                <w:color w:val="auto"/>
              </w:rPr>
            </w:pPr>
          </w:p>
        </w:tc>
      </w:tr>
      <w:tr>
        <w:trPr>
          <w:trHeight w:val="520"/>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Pr>
          <w:p>
            <w:pPr>
              <w:spacing w:after="0"/>
              <w:rPr>
                <w:sz w:val="24"/>
                <w:szCs w:val="24"/>
                <w:color w:val="auto"/>
              </w:rPr>
            </w:pPr>
          </w:p>
        </w:tc>
        <w:tc>
          <w:tcPr>
            <w:tcW w:w="4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3</w:t>
            </w:r>
          </w:p>
        </w:tc>
        <w:tc>
          <w:tcPr>
            <w:tcW w:w="44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-183515</wp:posOffset>
            </wp:positionV>
            <wp:extent cx="471805" cy="282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ectPr>
          <w:pgSz w:w="11900" w:h="16838" w:orient="portrait"/>
          <w:cols w:equalWidth="0" w:num="1">
            <w:col w:w="11240"/>
          </w:cols>
          <w:pgMar w:left="320" w:top="376" w:right="339" w:bottom="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6130" cy="7865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865110"/>
                    </a:xfrm>
                    <a:prstGeom prst="rect">
                      <a:avLst/>
                    </a:prstGeom>
                    <a:noFill/>
                  </pic:spPr>
                </pic:pic>
              </a:graphicData>
            </a:graphic>
          </wp:anchor>
        </w:drawing>
      </w:r>
    </w:p>
    <w:p>
      <w:pPr>
        <w:spacing w:after="0" w:line="335" w:lineRule="exact"/>
        <w:rPr>
          <w:sz w:val="20"/>
          <w:szCs w:val="20"/>
          <w:color w:val="auto"/>
        </w:rPr>
      </w:pPr>
    </w:p>
    <w:p>
      <w:pPr>
        <w:ind w:left="200"/>
        <w:spacing w:after="0"/>
        <w:rPr>
          <w:sz w:val="20"/>
          <w:szCs w:val="20"/>
          <w:color w:val="auto"/>
        </w:rPr>
      </w:pPr>
      <w:r>
        <w:rPr>
          <w:rFonts w:ascii="Arial" w:cs="Arial" w:eastAsia="Arial" w:hAnsi="Arial"/>
          <w:sz w:val="50"/>
          <w:szCs w:val="50"/>
          <w:color w:val="0233A1"/>
        </w:rPr>
        <w:t>Proxy Executive Summary</w:t>
      </w:r>
    </w:p>
    <w:p>
      <w:pPr>
        <w:spacing w:after="0" w:line="200" w:lineRule="exact"/>
        <w:rPr>
          <w:sz w:val="20"/>
          <w:szCs w:val="20"/>
          <w:color w:val="auto"/>
        </w:rPr>
      </w:pPr>
    </w:p>
    <w:p>
      <w:pPr>
        <w:spacing w:after="0" w:line="340" w:lineRule="exact"/>
        <w:rPr>
          <w:sz w:val="20"/>
          <w:szCs w:val="20"/>
          <w:color w:val="auto"/>
        </w:rPr>
      </w:pPr>
    </w:p>
    <w:p>
      <w:pPr>
        <w:ind w:left="200" w:right="300" w:firstLine="324"/>
        <w:spacing w:after="0" w:line="283" w:lineRule="auto"/>
        <w:rPr>
          <w:sz w:val="20"/>
          <w:szCs w:val="20"/>
          <w:color w:val="auto"/>
        </w:rPr>
      </w:pPr>
      <w:r>
        <w:rPr>
          <w:rFonts w:ascii="Arial" w:cs="Arial" w:eastAsia="Arial" w:hAnsi="Arial"/>
          <w:sz w:val="16"/>
          <w:szCs w:val="16"/>
          <w:i w:val="1"/>
          <w:iCs w:val="1"/>
          <w:color w:val="auto"/>
        </w:rPr>
        <w:t>This summary is provided for your reference. However, before voting, you should carefully review this entire proxy statement and, particularly with respect to agenda Item 4, our 2022 Annual Report to Shareholders.</w:t>
      </w:r>
    </w:p>
    <w:p>
      <w:pPr>
        <w:spacing w:after="0" w:line="133" w:lineRule="exact"/>
        <w:rPr>
          <w:sz w:val="20"/>
          <w:szCs w:val="20"/>
          <w:color w:val="auto"/>
        </w:rPr>
      </w:pPr>
    </w:p>
    <w:p>
      <w:pPr>
        <w:ind w:left="200" w:right="740" w:firstLine="324"/>
        <w:spacing w:after="0" w:line="265" w:lineRule="auto"/>
        <w:rPr>
          <w:sz w:val="20"/>
          <w:szCs w:val="20"/>
          <w:color w:val="auto"/>
        </w:rPr>
      </w:pPr>
      <w:r>
        <w:rPr>
          <w:rFonts w:ascii="Arial" w:cs="Arial" w:eastAsia="Arial" w:hAnsi="Arial"/>
          <w:sz w:val="16"/>
          <w:szCs w:val="16"/>
          <w:i w:val="1"/>
          <w:iCs w:val="1"/>
          <w:color w:val="auto"/>
        </w:rPr>
        <w:t>All references in this proxy statement to “SLB,” “the Company,” “we,” or “our” are to Schlumberger Limited (Schlumberger N.V.) and its subsidiaries. Website references throughout this document are provided for convenience only, and the content on the referenced websites is not incorporated by reference into this document.</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This proxy statement is first being made available to our shareholders on or about February 23, 2023.</w:t>
      </w:r>
    </w:p>
    <w:p>
      <w:pPr>
        <w:spacing w:after="0" w:line="323" w:lineRule="exact"/>
        <w:rPr>
          <w:sz w:val="20"/>
          <w:szCs w:val="20"/>
          <w:color w:val="auto"/>
        </w:rPr>
      </w:pPr>
    </w:p>
    <w:p>
      <w:pPr>
        <w:ind w:left="200"/>
        <w:spacing w:after="0"/>
        <w:rPr>
          <w:sz w:val="20"/>
          <w:szCs w:val="20"/>
          <w:color w:val="auto"/>
        </w:rPr>
      </w:pPr>
      <w:r>
        <w:rPr>
          <w:rFonts w:ascii="Arial" w:cs="Arial" w:eastAsia="Arial" w:hAnsi="Arial"/>
          <w:sz w:val="29"/>
          <w:szCs w:val="29"/>
          <w:color w:val="16458B"/>
        </w:rPr>
        <w:t>Voting at the 2023 Annual General Meeting (pages 67–68)</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2023 AGM will be held at:</w:t>
      </w:r>
    </w:p>
    <w:p>
      <w:pPr>
        <w:spacing w:after="0" w:line="185" w:lineRule="exact"/>
        <w:rPr>
          <w:sz w:val="20"/>
          <w:szCs w:val="20"/>
          <w:color w:val="auto"/>
        </w:rPr>
      </w:pPr>
    </w:p>
    <w:tbl>
      <w:tblPr>
        <w:tblLayout w:type="fixed"/>
        <w:tblInd w:w="2930" w:type="dxa"/>
        <w:tblCellMar>
          <w:top w:w="0" w:type="dxa"/>
          <w:left w:w="0" w:type="dxa"/>
          <w:bottom w:w="0" w:type="dxa"/>
          <w:right w:w="0" w:type="dxa"/>
        </w:tblCellMar>
      </w:tblPr>
      <w:tr>
        <w:trPr>
          <w:trHeight w:val="257"/>
        </w:trPr>
        <w:tc>
          <w:tcPr>
            <w:tcW w:w="15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0233A1"/>
              </w:rPr>
              <w:t>Meeting Date:</w:t>
            </w:r>
          </w:p>
        </w:tc>
        <w:tc>
          <w:tcPr>
            <w:tcW w:w="39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Wednesday, April 5, 2023</w:t>
            </w:r>
          </w:p>
        </w:tc>
      </w:tr>
      <w:tr>
        <w:trPr>
          <w:trHeight w:val="199"/>
        </w:trPr>
        <w:tc>
          <w:tcPr>
            <w:tcW w:w="15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0233A1"/>
              </w:rPr>
              <w:t>Place:</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Curaçao Marriott Beach Resort</w:t>
            </w:r>
          </w:p>
        </w:tc>
      </w:tr>
      <w:tr>
        <w:trPr>
          <w:trHeight w:val="189"/>
        </w:trPr>
        <w:tc>
          <w:tcPr>
            <w:tcW w:w="1500" w:type="dxa"/>
            <w:vAlign w:val="bottom"/>
            <w:tcBorders>
              <w:left w:val="single" w:sz="8" w:color="auto"/>
              <w:right w:val="single" w:sz="8" w:color="auto"/>
            </w:tcBorders>
          </w:tcPr>
          <w:p>
            <w:pPr>
              <w:spacing w:after="0"/>
              <w:rPr>
                <w:sz w:val="16"/>
                <w:szCs w:val="16"/>
                <w:color w:val="auto"/>
              </w:rPr>
            </w:pP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John F Kennedy Boulevard, 3, Piscadera Bay</w:t>
            </w:r>
          </w:p>
        </w:tc>
      </w:tr>
      <w:tr>
        <w:trPr>
          <w:trHeight w:val="224"/>
        </w:trPr>
        <w:tc>
          <w:tcPr>
            <w:tcW w:w="1500" w:type="dxa"/>
            <w:vAlign w:val="bottom"/>
            <w:tcBorders>
              <w:left w:val="single" w:sz="8" w:color="auto"/>
              <w:bottom w:val="single" w:sz="8" w:color="auto"/>
              <w:right w:val="single" w:sz="8" w:color="auto"/>
            </w:tcBorders>
          </w:tcPr>
          <w:p>
            <w:pPr>
              <w:spacing w:after="0"/>
              <w:rPr>
                <w:sz w:val="19"/>
                <w:szCs w:val="19"/>
                <w:color w:val="auto"/>
              </w:rPr>
            </w:pPr>
          </w:p>
        </w:tc>
        <w:tc>
          <w:tcPr>
            <w:tcW w:w="3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Willemstad, Curaçao</w:t>
            </w:r>
          </w:p>
        </w:tc>
      </w:tr>
      <w:tr>
        <w:trPr>
          <w:trHeight w:val="239"/>
        </w:trPr>
        <w:tc>
          <w:tcPr>
            <w:tcW w:w="15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0233A1"/>
              </w:rPr>
              <w:t>Time:</w:t>
            </w:r>
          </w:p>
        </w:tc>
        <w:tc>
          <w:tcPr>
            <w:tcW w:w="3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10:00 a.m. Curaçao time</w:t>
            </w:r>
          </w:p>
        </w:tc>
      </w:tr>
      <w:tr>
        <w:trPr>
          <w:trHeight w:val="236"/>
        </w:trPr>
        <w:tc>
          <w:tcPr>
            <w:tcW w:w="15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0233A1"/>
              </w:rPr>
              <w:t>Record Date:</w:t>
            </w:r>
          </w:p>
        </w:tc>
        <w:tc>
          <w:tcPr>
            <w:tcW w:w="3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February 8, 2023</w:t>
            </w:r>
          </w:p>
        </w:tc>
      </w:tr>
    </w:tbl>
    <w:p>
      <w:pPr>
        <w:spacing w:after="0" w:line="229" w:lineRule="exact"/>
        <w:rPr>
          <w:sz w:val="20"/>
          <w:szCs w:val="20"/>
          <w:color w:val="auto"/>
        </w:rPr>
      </w:pPr>
    </w:p>
    <w:p>
      <w:pPr>
        <w:jc w:val="both"/>
        <w:ind w:left="200" w:right="200" w:firstLine="324"/>
        <w:spacing w:after="0" w:line="266" w:lineRule="auto"/>
        <w:rPr>
          <w:sz w:val="20"/>
          <w:szCs w:val="20"/>
          <w:color w:val="auto"/>
        </w:rPr>
      </w:pPr>
      <w:r>
        <w:rPr>
          <w:rFonts w:ascii="Arial" w:cs="Arial" w:eastAsia="Arial" w:hAnsi="Arial"/>
          <w:sz w:val="16"/>
          <w:szCs w:val="16"/>
          <w:color w:val="auto"/>
        </w:rPr>
        <w:t xml:space="preserve">Each shareholder of record at the close of business on February 8, 2023 (the </w:t>
      </w:r>
      <w:r>
        <w:rPr>
          <w:rFonts w:ascii="Arial" w:cs="Arial" w:eastAsia="Arial" w:hAnsi="Arial"/>
          <w:sz w:val="16"/>
          <w:szCs w:val="16"/>
          <w:b w:val="1"/>
          <w:bCs w:val="1"/>
          <w:color w:val="auto"/>
        </w:rPr>
        <w:t>record date</w:t>
      </w:r>
      <w:r>
        <w:rPr>
          <w:rFonts w:ascii="Arial" w:cs="Arial" w:eastAsia="Arial" w:hAnsi="Arial"/>
          <w:sz w:val="16"/>
          <w:szCs w:val="16"/>
          <w:color w:val="auto"/>
        </w:rPr>
        <w:t>) is entitled to one vote for each share registered in such shareholder’s name. If your shares are registered in your name with SLB’s transfer agent, you may vote in person at the 2023 AGM, or you may authorize a proxy to vote your shares by one of the following methods:</w:t>
      </w:r>
    </w:p>
    <w:p>
      <w:pPr>
        <w:spacing w:after="0" w:line="158" w:lineRule="exact"/>
        <w:rPr>
          <w:sz w:val="20"/>
          <w:szCs w:val="20"/>
          <w:color w:val="auto"/>
        </w:rPr>
      </w:pPr>
    </w:p>
    <w:p>
      <w:pPr>
        <w:ind w:left="840"/>
        <w:spacing w:after="0"/>
        <w:tabs>
          <w:tab w:leader="none" w:pos="4540" w:val="left"/>
          <w:tab w:leader="none" w:pos="8100" w:val="left"/>
        </w:tabs>
        <w:rPr>
          <w:sz w:val="20"/>
          <w:szCs w:val="20"/>
          <w:color w:val="auto"/>
        </w:rPr>
      </w:pPr>
      <w:r>
        <w:rPr>
          <w:rFonts w:ascii="Arial" w:cs="Arial" w:eastAsia="Arial" w:hAnsi="Arial"/>
          <w:sz w:val="16"/>
          <w:szCs w:val="16"/>
          <w:b w:val="1"/>
          <w:bCs w:val="1"/>
          <w:color w:val="0233A1"/>
        </w:rPr>
        <w:t>By Internet</w:t>
      </w:r>
      <w:r>
        <w:rPr>
          <w:sz w:val="20"/>
          <w:szCs w:val="20"/>
          <w:color w:val="auto"/>
        </w:rPr>
        <w:tab/>
      </w:r>
      <w:r>
        <w:rPr>
          <w:rFonts w:ascii="Arial" w:cs="Arial" w:eastAsia="Arial" w:hAnsi="Arial"/>
          <w:sz w:val="16"/>
          <w:szCs w:val="16"/>
          <w:b w:val="1"/>
          <w:bCs w:val="1"/>
          <w:color w:val="0233A1"/>
        </w:rPr>
        <w:t>By Telephone</w:t>
      </w:r>
      <w:r>
        <w:rPr>
          <w:sz w:val="20"/>
          <w:szCs w:val="20"/>
          <w:color w:val="auto"/>
        </w:rPr>
        <w:tab/>
      </w:r>
      <w:r>
        <w:rPr>
          <w:rFonts w:ascii="Arial" w:cs="Arial" w:eastAsia="Arial" w:hAnsi="Arial"/>
          <w:sz w:val="15"/>
          <w:szCs w:val="15"/>
          <w:b w:val="1"/>
          <w:bCs w:val="1"/>
          <w:color w:val="0233A1"/>
        </w:rPr>
        <w:t>By Mail</w:t>
      </w:r>
    </w:p>
    <w:p>
      <w:pPr>
        <w:spacing w:after="0" w:line="21" w:lineRule="exact"/>
        <w:rPr>
          <w:sz w:val="20"/>
          <w:szCs w:val="20"/>
          <w:color w:val="auto"/>
        </w:rPr>
      </w:pPr>
    </w:p>
    <w:p>
      <w:pPr>
        <w:ind w:left="840"/>
        <w:spacing w:after="0"/>
        <w:tabs>
          <w:tab w:leader="none" w:pos="4540" w:val="left"/>
          <w:tab w:leader="none" w:pos="8100" w:val="left"/>
        </w:tabs>
        <w:rPr>
          <w:sz w:val="20"/>
          <w:szCs w:val="20"/>
          <w:color w:val="auto"/>
        </w:rPr>
      </w:pPr>
      <w:r>
        <w:rPr>
          <w:rFonts w:ascii="Arial" w:cs="Arial" w:eastAsia="Arial" w:hAnsi="Arial"/>
          <w:sz w:val="16"/>
          <w:szCs w:val="16"/>
          <w:i w:val="1"/>
          <w:iCs w:val="1"/>
          <w:color w:val="auto"/>
        </w:rPr>
        <w:t>www.proxypush.com/SLB</w:t>
      </w:r>
      <w:r>
        <w:rPr>
          <w:sz w:val="20"/>
          <w:szCs w:val="20"/>
          <w:color w:val="auto"/>
        </w:rPr>
        <w:tab/>
      </w:r>
      <w:r>
        <w:rPr>
          <w:rFonts w:ascii="Arial" w:cs="Arial" w:eastAsia="Arial" w:hAnsi="Arial"/>
          <w:sz w:val="16"/>
          <w:szCs w:val="16"/>
          <w:color w:val="auto"/>
        </w:rPr>
        <w:t>(866) 240-5191</w:t>
      </w:r>
      <w:r>
        <w:rPr>
          <w:sz w:val="20"/>
          <w:szCs w:val="20"/>
          <w:color w:val="auto"/>
        </w:rPr>
        <w:tab/>
      </w:r>
      <w:r>
        <w:rPr>
          <w:rFonts w:ascii="Arial" w:cs="Arial" w:eastAsia="Arial" w:hAnsi="Arial"/>
          <w:sz w:val="16"/>
          <w:szCs w:val="16"/>
          <w:color w:val="auto"/>
        </w:rPr>
        <w:t>Sign, date, and mail your proxy card</w:t>
      </w:r>
    </w:p>
    <w:p>
      <w:pPr>
        <w:spacing w:after="0" w:line="246" w:lineRule="exact"/>
        <w:rPr>
          <w:sz w:val="20"/>
          <w:szCs w:val="20"/>
          <w:color w:val="auto"/>
        </w:rPr>
      </w:pPr>
    </w:p>
    <w:p>
      <w:pPr>
        <w:jc w:val="both"/>
        <w:ind w:left="200" w:right="200" w:firstLine="324"/>
        <w:spacing w:after="0" w:line="286" w:lineRule="auto"/>
        <w:rPr>
          <w:sz w:val="20"/>
          <w:szCs w:val="20"/>
          <w:color w:val="auto"/>
        </w:rPr>
      </w:pPr>
      <w:r>
        <w:rPr>
          <w:rFonts w:ascii="Arial" w:cs="Arial" w:eastAsia="Arial" w:hAnsi="Arial"/>
          <w:sz w:val="16"/>
          <w:szCs w:val="16"/>
          <w:color w:val="auto"/>
        </w:rPr>
        <w:t>If you are a beneficial owner of SLB common stock (</w:t>
      </w:r>
      <w:r>
        <w:rPr>
          <w:rFonts w:ascii="Arial" w:cs="Arial" w:eastAsia="Arial" w:hAnsi="Arial"/>
          <w:sz w:val="16"/>
          <w:szCs w:val="16"/>
          <w:i w:val="1"/>
          <w:iCs w:val="1"/>
          <w:color w:val="auto"/>
        </w:rPr>
        <w:t>i.e.,</w:t>
      </w:r>
      <w:r>
        <w:rPr>
          <w:rFonts w:ascii="Arial" w:cs="Arial" w:eastAsia="Arial" w:hAnsi="Arial"/>
          <w:sz w:val="16"/>
          <w:szCs w:val="16"/>
          <w:color w:val="auto"/>
        </w:rPr>
        <w:t xml:space="preserve"> you hold your shares on the record date through a broker, bank, or other nominee), you should follow the voting instructions provided by your bank, broker, or other nominee.</w:t>
      </w:r>
    </w:p>
    <w:p>
      <w:pPr>
        <w:spacing w:after="0" w:line="129" w:lineRule="exact"/>
        <w:rPr>
          <w:sz w:val="20"/>
          <w:szCs w:val="20"/>
          <w:color w:val="auto"/>
        </w:rPr>
      </w:pPr>
    </w:p>
    <w:p>
      <w:pPr>
        <w:jc w:val="both"/>
        <w:ind w:left="200" w:right="200" w:firstLine="324"/>
        <w:spacing w:after="0" w:line="266" w:lineRule="auto"/>
        <w:rPr>
          <w:sz w:val="20"/>
          <w:szCs w:val="20"/>
          <w:color w:val="auto"/>
        </w:rPr>
      </w:pPr>
      <w:r>
        <w:rPr>
          <w:rFonts w:ascii="Arial" w:cs="Arial" w:eastAsia="Arial" w:hAnsi="Arial"/>
          <w:sz w:val="16"/>
          <w:szCs w:val="16"/>
          <w:color w:val="auto"/>
        </w:rPr>
        <w:t>If you plan to attend the 2023 AGM in person, see “Meeting Information” beginning on page 67 for the requirements for admission to the meeting. Whether or not you plan to attend the 2023 AGM in person, please (i) sign, date, and promptly return the enclosed proxy card in the enclosed envelope, or (ii) grant a proxy and give voting instructions by telephone or internet, so that you may be represented at the meeting.</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29"/>
          <w:szCs w:val="29"/>
          <w:color w:val="16458B"/>
        </w:rPr>
        <w:t>Voting Matters</w:t>
      </w: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11"/>
        </w:trPr>
        <w:tc>
          <w:tcPr>
            <w:tcW w:w="5760" w:type="dxa"/>
            <w:vAlign w:val="bottom"/>
            <w:shd w:val="clear" w:color="auto" w:fill="0233A1"/>
          </w:tcPr>
          <w:p>
            <w:pPr>
              <w:spacing w:after="0"/>
              <w:rPr>
                <w:sz w:val="18"/>
                <w:szCs w:val="18"/>
                <w:color w:val="auto"/>
              </w:rPr>
            </w:pPr>
          </w:p>
        </w:tc>
        <w:tc>
          <w:tcPr>
            <w:tcW w:w="1860" w:type="dxa"/>
            <w:vAlign w:val="bottom"/>
            <w:shd w:val="clear" w:color="auto" w:fill="0233A1"/>
          </w:tcPr>
          <w:p>
            <w:pPr>
              <w:jc w:val="center"/>
              <w:ind w:left="135"/>
              <w:spacing w:after="0"/>
              <w:rPr>
                <w:sz w:val="20"/>
                <w:szCs w:val="20"/>
                <w:color w:val="auto"/>
              </w:rPr>
            </w:pPr>
            <w:r>
              <w:rPr>
                <w:rFonts w:ascii="Arial" w:cs="Arial" w:eastAsia="Arial" w:hAnsi="Arial"/>
                <w:sz w:val="18"/>
                <w:szCs w:val="18"/>
                <w:b w:val="1"/>
                <w:bCs w:val="1"/>
                <w:color w:val="FFFFFF"/>
                <w:w w:val="99"/>
              </w:rPr>
              <w:t>Our Board’s</w:t>
            </w:r>
          </w:p>
        </w:tc>
        <w:tc>
          <w:tcPr>
            <w:tcW w:w="1740" w:type="dxa"/>
            <w:vAlign w:val="bottom"/>
            <w:shd w:val="clear" w:color="auto" w:fill="0233A1"/>
          </w:tcPr>
          <w:p>
            <w:pPr>
              <w:jc w:val="center"/>
              <w:spacing w:after="0"/>
              <w:rPr>
                <w:sz w:val="20"/>
                <w:szCs w:val="20"/>
                <w:color w:val="auto"/>
              </w:rPr>
            </w:pPr>
            <w:r>
              <w:rPr>
                <w:rFonts w:ascii="Arial" w:cs="Arial" w:eastAsia="Arial" w:hAnsi="Arial"/>
                <w:sz w:val="18"/>
                <w:szCs w:val="18"/>
                <w:b w:val="1"/>
                <w:bCs w:val="1"/>
                <w:color w:val="FFFFFF"/>
                <w:w w:val="99"/>
              </w:rPr>
              <w:t>Vote Required for</w:t>
            </w:r>
          </w:p>
        </w:tc>
        <w:tc>
          <w:tcPr>
            <w:tcW w:w="1480" w:type="dxa"/>
            <w:vAlign w:val="bottom"/>
            <w:shd w:val="clear" w:color="auto" w:fill="0233A1"/>
          </w:tcPr>
          <w:p>
            <w:pPr>
              <w:jc w:val="center"/>
              <w:spacing w:after="0"/>
              <w:rPr>
                <w:sz w:val="20"/>
                <w:szCs w:val="20"/>
                <w:color w:val="auto"/>
              </w:rPr>
            </w:pPr>
            <w:r>
              <w:rPr>
                <w:rFonts w:ascii="Arial" w:cs="Arial" w:eastAsia="Arial" w:hAnsi="Arial"/>
                <w:sz w:val="18"/>
                <w:szCs w:val="18"/>
                <w:b w:val="1"/>
                <w:bCs w:val="1"/>
                <w:color w:val="FFFFFF"/>
              </w:rPr>
              <w:t>Page Reference</w:t>
            </w:r>
          </w:p>
        </w:tc>
      </w:tr>
      <w:tr>
        <w:trPr>
          <w:trHeight w:val="248"/>
        </w:trPr>
        <w:tc>
          <w:tcPr>
            <w:tcW w:w="5760" w:type="dxa"/>
            <w:vAlign w:val="bottom"/>
            <w:shd w:val="clear" w:color="auto" w:fill="0233A1"/>
          </w:tcPr>
          <w:p>
            <w:pPr>
              <w:ind w:left="60"/>
              <w:spacing w:after="0"/>
              <w:rPr>
                <w:sz w:val="20"/>
                <w:szCs w:val="20"/>
                <w:color w:val="auto"/>
              </w:rPr>
            </w:pPr>
            <w:r>
              <w:rPr>
                <w:rFonts w:ascii="Arial" w:cs="Arial" w:eastAsia="Arial" w:hAnsi="Arial"/>
                <w:sz w:val="18"/>
                <w:szCs w:val="18"/>
                <w:b w:val="1"/>
                <w:bCs w:val="1"/>
                <w:color w:val="FFFFFF"/>
              </w:rPr>
              <w:t>Item</w:t>
            </w:r>
          </w:p>
        </w:tc>
        <w:tc>
          <w:tcPr>
            <w:tcW w:w="1860" w:type="dxa"/>
            <w:vAlign w:val="bottom"/>
            <w:shd w:val="clear" w:color="auto" w:fill="0233A1"/>
          </w:tcPr>
          <w:p>
            <w:pPr>
              <w:jc w:val="center"/>
              <w:ind w:left="155"/>
              <w:spacing w:after="0"/>
              <w:rPr>
                <w:sz w:val="20"/>
                <w:szCs w:val="20"/>
                <w:color w:val="auto"/>
              </w:rPr>
            </w:pPr>
            <w:r>
              <w:rPr>
                <w:rFonts w:ascii="Arial" w:cs="Arial" w:eastAsia="Arial" w:hAnsi="Arial"/>
                <w:sz w:val="18"/>
                <w:szCs w:val="18"/>
                <w:b w:val="1"/>
                <w:bCs w:val="1"/>
                <w:color w:val="FFFFFF"/>
                <w:w w:val="99"/>
              </w:rPr>
              <w:t>Recommendation</w:t>
            </w:r>
          </w:p>
        </w:tc>
        <w:tc>
          <w:tcPr>
            <w:tcW w:w="1740" w:type="dxa"/>
            <w:vAlign w:val="bottom"/>
            <w:shd w:val="clear" w:color="auto" w:fill="0233A1"/>
          </w:tcPr>
          <w:p>
            <w:pPr>
              <w:jc w:val="center"/>
              <w:spacing w:after="0"/>
              <w:rPr>
                <w:sz w:val="20"/>
                <w:szCs w:val="20"/>
                <w:color w:val="auto"/>
              </w:rPr>
            </w:pPr>
            <w:r>
              <w:rPr>
                <w:rFonts w:ascii="Arial" w:cs="Arial" w:eastAsia="Arial" w:hAnsi="Arial"/>
                <w:sz w:val="18"/>
                <w:szCs w:val="18"/>
                <w:b w:val="1"/>
                <w:bCs w:val="1"/>
                <w:color w:val="FFFFFF"/>
                <w:w w:val="99"/>
              </w:rPr>
              <w:t>Election / Approval</w:t>
            </w:r>
          </w:p>
        </w:tc>
        <w:tc>
          <w:tcPr>
            <w:tcW w:w="1480" w:type="dxa"/>
            <w:vAlign w:val="bottom"/>
            <w:shd w:val="clear" w:color="auto" w:fill="0233A1"/>
          </w:tcPr>
          <w:p>
            <w:pPr>
              <w:jc w:val="center"/>
              <w:spacing w:after="0"/>
              <w:rPr>
                <w:sz w:val="20"/>
                <w:szCs w:val="20"/>
                <w:color w:val="auto"/>
              </w:rPr>
            </w:pPr>
            <w:r>
              <w:rPr>
                <w:rFonts w:ascii="Arial" w:cs="Arial" w:eastAsia="Arial" w:hAnsi="Arial"/>
                <w:sz w:val="18"/>
                <w:szCs w:val="18"/>
                <w:b w:val="1"/>
                <w:bCs w:val="1"/>
                <w:color w:val="FFFFFF"/>
                <w:w w:val="99"/>
              </w:rPr>
              <w:t>(for more detail)</w:t>
            </w:r>
          </w:p>
        </w:tc>
      </w:tr>
      <w:tr>
        <w:trPr>
          <w:trHeight w:val="202"/>
        </w:trPr>
        <w:tc>
          <w:tcPr>
            <w:tcW w:w="5760" w:type="dxa"/>
            <w:vAlign w:val="bottom"/>
          </w:tcPr>
          <w:p>
            <w:pPr>
              <w:ind w:left="60"/>
              <w:spacing w:after="0"/>
              <w:rPr>
                <w:sz w:val="20"/>
                <w:szCs w:val="20"/>
                <w:color w:val="auto"/>
              </w:rPr>
            </w:pPr>
            <w:r>
              <w:rPr>
                <w:rFonts w:ascii="Arial" w:cs="Arial" w:eastAsia="Arial" w:hAnsi="Arial"/>
                <w:sz w:val="16"/>
                <w:szCs w:val="16"/>
                <w:b w:val="1"/>
                <w:bCs w:val="1"/>
                <w:color w:val="auto"/>
              </w:rPr>
              <w:t xml:space="preserve">1   </w:t>
            </w:r>
            <w:r>
              <w:rPr>
                <w:rFonts w:ascii="Arial" w:cs="Arial" w:eastAsia="Arial" w:hAnsi="Arial"/>
                <w:sz w:val="16"/>
                <w:szCs w:val="16"/>
                <w:color w:val="auto"/>
              </w:rPr>
              <w:t>Election of 11 director nominees to our Board of Directors (the</w:t>
            </w:r>
            <w:r>
              <w:rPr>
                <w:rFonts w:ascii="Arial" w:cs="Arial" w:eastAsia="Arial" w:hAnsi="Arial"/>
                <w:sz w:val="16"/>
                <w:szCs w:val="16"/>
                <w:b w:val="1"/>
                <w:bCs w:val="1"/>
                <w:color w:val="auto"/>
              </w:rPr>
              <w:t xml:space="preserve"> Board</w:t>
            </w:r>
            <w:r>
              <w:rPr>
                <w:rFonts w:ascii="Arial" w:cs="Arial" w:eastAsia="Arial" w:hAnsi="Arial"/>
                <w:sz w:val="16"/>
                <w:szCs w:val="16"/>
                <w:color w:val="auto"/>
              </w:rPr>
              <w:t>).</w:t>
            </w:r>
          </w:p>
        </w:tc>
        <w:tc>
          <w:tcPr>
            <w:tcW w:w="1860" w:type="dxa"/>
            <w:vAlign w:val="bottom"/>
          </w:tcPr>
          <w:p>
            <w:pPr>
              <w:jc w:val="center"/>
              <w:ind w:left="115"/>
              <w:spacing w:after="0"/>
              <w:rPr>
                <w:sz w:val="20"/>
                <w:szCs w:val="20"/>
                <w:color w:val="auto"/>
              </w:rPr>
            </w:pPr>
            <w:r>
              <w:rPr>
                <w:rFonts w:ascii="Arial" w:cs="Arial" w:eastAsia="Arial" w:hAnsi="Arial"/>
                <w:sz w:val="16"/>
                <w:szCs w:val="16"/>
                <w:b w:val="1"/>
                <w:bCs w:val="1"/>
                <w:color w:val="0233A1"/>
              </w:rPr>
              <w:t>FOR</w:t>
            </w:r>
          </w:p>
        </w:tc>
        <w:tc>
          <w:tcPr>
            <w:tcW w:w="1740" w:type="dxa"/>
            <w:vAlign w:val="bottom"/>
          </w:tcPr>
          <w:p>
            <w:pPr>
              <w:jc w:val="center"/>
              <w:spacing w:after="0"/>
              <w:rPr>
                <w:sz w:val="20"/>
                <w:szCs w:val="20"/>
                <w:color w:val="auto"/>
              </w:rPr>
            </w:pPr>
            <w:r>
              <w:rPr>
                <w:rFonts w:ascii="Arial" w:cs="Arial" w:eastAsia="Arial" w:hAnsi="Arial"/>
                <w:sz w:val="16"/>
                <w:szCs w:val="16"/>
                <w:color w:val="auto"/>
              </w:rPr>
              <w:t>Majority of</w:t>
            </w:r>
          </w:p>
        </w:tc>
        <w:tc>
          <w:tcPr>
            <w:tcW w:w="1480" w:type="dxa"/>
            <w:vAlign w:val="bottom"/>
          </w:tcPr>
          <w:p>
            <w:pPr>
              <w:spacing w:after="0"/>
              <w:rPr>
                <w:sz w:val="17"/>
                <w:szCs w:val="17"/>
                <w:color w:val="auto"/>
              </w:rPr>
            </w:pPr>
          </w:p>
        </w:tc>
      </w:tr>
      <w:tr>
        <w:trPr>
          <w:trHeight w:val="189"/>
        </w:trPr>
        <w:tc>
          <w:tcPr>
            <w:tcW w:w="5760" w:type="dxa"/>
            <w:vAlign w:val="bottom"/>
          </w:tcPr>
          <w:p>
            <w:pPr>
              <w:spacing w:after="0"/>
              <w:rPr>
                <w:sz w:val="16"/>
                <w:szCs w:val="16"/>
                <w:color w:val="auto"/>
              </w:rPr>
            </w:pPr>
          </w:p>
        </w:tc>
        <w:tc>
          <w:tcPr>
            <w:tcW w:w="1860" w:type="dxa"/>
            <w:vAlign w:val="bottom"/>
          </w:tcPr>
          <w:p>
            <w:pPr>
              <w:jc w:val="center"/>
              <w:ind w:left="135"/>
              <w:spacing w:after="0"/>
              <w:rPr>
                <w:sz w:val="20"/>
                <w:szCs w:val="20"/>
                <w:color w:val="auto"/>
              </w:rPr>
            </w:pPr>
            <w:r>
              <w:rPr>
                <w:rFonts w:ascii="Arial" w:cs="Arial" w:eastAsia="Arial" w:hAnsi="Arial"/>
                <w:sz w:val="16"/>
                <w:szCs w:val="16"/>
                <w:b w:val="1"/>
                <w:bCs w:val="1"/>
                <w:color w:val="0233A1"/>
              </w:rPr>
              <w:t>each nominee</w:t>
            </w:r>
          </w:p>
        </w:tc>
        <w:tc>
          <w:tcPr>
            <w:tcW w:w="1740" w:type="dxa"/>
            <w:vAlign w:val="bottom"/>
          </w:tcPr>
          <w:p>
            <w:pPr>
              <w:jc w:val="center"/>
              <w:spacing w:after="0"/>
              <w:rPr>
                <w:sz w:val="20"/>
                <w:szCs w:val="20"/>
                <w:color w:val="auto"/>
              </w:rPr>
            </w:pPr>
            <w:r>
              <w:rPr>
                <w:rFonts w:ascii="Arial" w:cs="Arial" w:eastAsia="Arial" w:hAnsi="Arial"/>
                <w:sz w:val="16"/>
                <w:szCs w:val="16"/>
                <w:color w:val="auto"/>
              </w:rPr>
              <w:t>votes cast for</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10</w:t>
            </w:r>
          </w:p>
        </w:tc>
      </w:tr>
      <w:tr>
        <w:trPr>
          <w:trHeight w:val="215"/>
        </w:trPr>
        <w:tc>
          <w:tcPr>
            <w:tcW w:w="5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rPr>
              <w:t>the nominee</w:t>
            </w:r>
          </w:p>
        </w:tc>
        <w:tc>
          <w:tcPr>
            <w:tcW w:w="1480" w:type="dxa"/>
            <w:vAlign w:val="bottom"/>
          </w:tcPr>
          <w:p>
            <w:pPr>
              <w:spacing w:after="0"/>
              <w:rPr>
                <w:sz w:val="18"/>
                <w:szCs w:val="18"/>
                <w:color w:val="auto"/>
              </w:rPr>
            </w:pPr>
          </w:p>
        </w:tc>
      </w:tr>
    </w:tbl>
    <w:p>
      <w:pPr>
        <w:spacing w:after="0" w:line="28" w:lineRule="exact"/>
        <w:rPr>
          <w:sz w:val="20"/>
          <w:szCs w:val="20"/>
          <w:color w:val="auto"/>
        </w:rPr>
      </w:pPr>
    </w:p>
    <w:p>
      <w:pPr>
        <w:sectPr>
          <w:pgSz w:w="11900" w:h="16838" w:orient="portrait"/>
          <w:cols w:equalWidth="0" w:num="1">
            <w:col w:w="11240"/>
          </w:cols>
          <w:pgMar w:left="320" w:top="238" w:right="339" w:bottom="1440" w:gutter="0" w:footer="0" w:header="0"/>
        </w:sectPr>
      </w:pPr>
    </w:p>
    <w:p>
      <w:pPr>
        <w:ind w:left="640" w:right="380" w:hanging="385"/>
        <w:spacing w:after="0" w:line="281" w:lineRule="auto"/>
        <w:tabs>
          <w:tab w:leader="none" w:pos="64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Advisory vote on the frequency of future advisory votes on executive compensation.</w:t>
      </w:r>
    </w:p>
    <w:p>
      <w:pPr>
        <w:spacing w:after="0" w:line="1" w:lineRule="exact"/>
        <w:rPr>
          <w:sz w:val="20"/>
          <w:szCs w:val="20"/>
          <w:color w:val="auto"/>
        </w:rPr>
      </w:pPr>
    </w:p>
    <w:p>
      <w:pPr>
        <w:ind w:left="640" w:hanging="385"/>
        <w:spacing w:after="0"/>
        <w:tabs>
          <w:tab w:leader="none" w:pos="64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Advisory “say-on-pay” approval of our executive compensation.</w:t>
      </w:r>
    </w:p>
    <w:p>
      <w:pPr>
        <w:spacing w:after="0" w:line="248" w:lineRule="exact"/>
        <w:rPr>
          <w:sz w:val="20"/>
          <w:szCs w:val="20"/>
          <w:color w:val="auto"/>
        </w:rPr>
      </w:pPr>
    </w:p>
    <w:p>
      <w:pPr>
        <w:ind w:left="640" w:hanging="385"/>
        <w:spacing w:after="0" w:line="266" w:lineRule="auto"/>
        <w:tabs>
          <w:tab w:leader="none" w:pos="64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Approval of our consolidated balance sheet at December 31, 2022, our consolidated statement of income for the year ended December 31, 2022, and the declarations of dividends by our Board in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280" w:type="dxa"/>
            <w:vAlign w:val="bottom"/>
            <w:vMerge w:val="restart"/>
          </w:tcPr>
          <w:p>
            <w:pPr>
              <w:jc w:val="center"/>
              <w:ind w:right="359"/>
              <w:spacing w:after="0"/>
              <w:rPr>
                <w:sz w:val="20"/>
                <w:szCs w:val="20"/>
                <w:color w:val="auto"/>
              </w:rPr>
            </w:pPr>
            <w:r>
              <w:rPr>
                <w:rFonts w:ascii="Arial" w:cs="Arial" w:eastAsia="Arial" w:hAnsi="Arial"/>
                <w:sz w:val="16"/>
                <w:szCs w:val="16"/>
                <w:b w:val="1"/>
                <w:bCs w:val="1"/>
                <w:color w:val="0233A1"/>
              </w:rPr>
              <w:t>ONE YEAR</w:t>
            </w:r>
          </w:p>
        </w:tc>
        <w:tc>
          <w:tcPr>
            <w:tcW w:w="1780" w:type="dxa"/>
            <w:vAlign w:val="bottom"/>
          </w:tcPr>
          <w:p>
            <w:pPr>
              <w:jc w:val="center"/>
              <w:ind w:right="79"/>
              <w:spacing w:after="0"/>
              <w:rPr>
                <w:sz w:val="20"/>
                <w:szCs w:val="20"/>
                <w:color w:val="auto"/>
              </w:rPr>
            </w:pPr>
            <w:r>
              <w:rPr>
                <w:rFonts w:ascii="Arial" w:cs="Arial" w:eastAsia="Arial" w:hAnsi="Arial"/>
                <w:sz w:val="16"/>
                <w:szCs w:val="16"/>
                <w:color w:val="auto"/>
              </w:rPr>
              <w:t>Majority of</w:t>
            </w: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29</w:t>
            </w: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1780" w:type="dxa"/>
            <w:vAlign w:val="bottom"/>
            <w:vMerge w:val="restart"/>
          </w:tcPr>
          <w:p>
            <w:pPr>
              <w:jc w:val="center"/>
              <w:ind w:right="39"/>
              <w:spacing w:after="0"/>
              <w:rPr>
                <w:sz w:val="20"/>
                <w:szCs w:val="20"/>
                <w:color w:val="auto"/>
              </w:rPr>
            </w:pPr>
            <w:r>
              <w:rPr>
                <w:rFonts w:ascii="Arial" w:cs="Arial" w:eastAsia="Arial" w:hAnsi="Arial"/>
                <w:sz w:val="16"/>
                <w:szCs w:val="16"/>
                <w:color w:val="auto"/>
              </w:rPr>
              <w:t>votes cast</w:t>
            </w: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28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280" w:type="dxa"/>
            <w:vAlign w:val="bottom"/>
            <w:vMerge w:val="restart"/>
          </w:tcPr>
          <w:p>
            <w:pPr>
              <w:jc w:val="center"/>
              <w:ind w:right="339"/>
              <w:spacing w:after="0"/>
              <w:rPr>
                <w:sz w:val="20"/>
                <w:szCs w:val="20"/>
                <w:color w:val="auto"/>
              </w:rPr>
            </w:pPr>
            <w:r>
              <w:rPr>
                <w:rFonts w:ascii="Arial" w:cs="Arial" w:eastAsia="Arial" w:hAnsi="Arial"/>
                <w:sz w:val="16"/>
                <w:szCs w:val="16"/>
                <w:b w:val="1"/>
                <w:bCs w:val="1"/>
                <w:color w:val="0233A1"/>
              </w:rPr>
              <w:t>FOR</w:t>
            </w:r>
          </w:p>
        </w:tc>
        <w:tc>
          <w:tcPr>
            <w:tcW w:w="1780" w:type="dxa"/>
            <w:vAlign w:val="bottom"/>
          </w:tcPr>
          <w:p>
            <w:pPr>
              <w:jc w:val="center"/>
              <w:ind w:right="79"/>
              <w:spacing w:after="0"/>
              <w:rPr>
                <w:sz w:val="20"/>
                <w:szCs w:val="20"/>
                <w:color w:val="auto"/>
              </w:rPr>
            </w:pPr>
            <w:r>
              <w:rPr>
                <w:rFonts w:ascii="Arial" w:cs="Arial" w:eastAsia="Arial" w:hAnsi="Arial"/>
                <w:sz w:val="16"/>
                <w:szCs w:val="16"/>
                <w:color w:val="auto"/>
              </w:rPr>
              <w:t>Majority of</w:t>
            </w: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30</w:t>
            </w: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1780" w:type="dxa"/>
            <w:vAlign w:val="bottom"/>
            <w:vMerge w:val="restart"/>
          </w:tcPr>
          <w:p>
            <w:pPr>
              <w:jc w:val="center"/>
              <w:ind w:right="39"/>
              <w:spacing w:after="0"/>
              <w:rPr>
                <w:sz w:val="20"/>
                <w:szCs w:val="20"/>
                <w:color w:val="auto"/>
              </w:rPr>
            </w:pPr>
            <w:r>
              <w:rPr>
                <w:rFonts w:ascii="Arial" w:cs="Arial" w:eastAsia="Arial" w:hAnsi="Arial"/>
                <w:sz w:val="16"/>
                <w:szCs w:val="16"/>
                <w:color w:val="auto"/>
              </w:rPr>
              <w:t>votes cast</w:t>
            </w: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28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280" w:type="dxa"/>
            <w:vAlign w:val="bottom"/>
          </w:tcPr>
          <w:p>
            <w:pPr>
              <w:spacing w:after="0"/>
              <w:rPr>
                <w:sz w:val="18"/>
                <w:szCs w:val="18"/>
                <w:color w:val="auto"/>
              </w:rPr>
            </w:pPr>
          </w:p>
        </w:tc>
        <w:tc>
          <w:tcPr>
            <w:tcW w:w="1780" w:type="dxa"/>
            <w:vAlign w:val="bottom"/>
          </w:tcPr>
          <w:p>
            <w:pPr>
              <w:jc w:val="center"/>
              <w:ind w:right="79"/>
              <w:spacing w:after="0"/>
              <w:rPr>
                <w:sz w:val="20"/>
                <w:szCs w:val="20"/>
                <w:color w:val="auto"/>
              </w:rPr>
            </w:pPr>
            <w:r>
              <w:rPr>
                <w:rFonts w:ascii="Arial" w:cs="Arial" w:eastAsia="Arial" w:hAnsi="Arial"/>
                <w:sz w:val="16"/>
                <w:szCs w:val="16"/>
                <w:color w:val="auto"/>
              </w:rPr>
              <w:t>Majority of</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80" w:type="dxa"/>
            <w:vAlign w:val="bottom"/>
          </w:tcPr>
          <w:p>
            <w:pPr>
              <w:jc w:val="center"/>
              <w:ind w:right="339"/>
              <w:spacing w:after="0"/>
              <w:rPr>
                <w:sz w:val="20"/>
                <w:szCs w:val="20"/>
                <w:color w:val="auto"/>
              </w:rPr>
            </w:pPr>
            <w:r>
              <w:rPr>
                <w:rFonts w:ascii="Arial" w:cs="Arial" w:eastAsia="Arial" w:hAnsi="Arial"/>
                <w:sz w:val="16"/>
                <w:szCs w:val="16"/>
                <w:b w:val="1"/>
                <w:bCs w:val="1"/>
                <w:color w:val="0233A1"/>
              </w:rPr>
              <w:t>FOR</w:t>
            </w:r>
          </w:p>
        </w:tc>
        <w:tc>
          <w:tcPr>
            <w:tcW w:w="1780" w:type="dxa"/>
            <w:vAlign w:val="bottom"/>
          </w:tcPr>
          <w:p>
            <w:pPr>
              <w:jc w:val="center"/>
              <w:ind w:right="39"/>
              <w:spacing w:after="0"/>
              <w:rPr>
                <w:sz w:val="20"/>
                <w:szCs w:val="20"/>
                <w:color w:val="auto"/>
              </w:rPr>
            </w:pPr>
            <w:r>
              <w:rPr>
                <w:rFonts w:ascii="Arial" w:cs="Arial" w:eastAsia="Arial" w:hAnsi="Arial"/>
                <w:sz w:val="16"/>
                <w:szCs w:val="16"/>
                <w:color w:val="auto"/>
              </w:rPr>
              <w:t>votes cast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64</w:t>
            </w:r>
          </w:p>
        </w:tc>
        <w:tc>
          <w:tcPr>
            <w:tcW w:w="0" w:type="dxa"/>
            <w:vAlign w:val="bottom"/>
          </w:tcPr>
          <w:p>
            <w:pPr>
              <w:spacing w:after="0"/>
              <w:rPr>
                <w:sz w:val="1"/>
                <w:szCs w:val="1"/>
                <w:color w:val="auto"/>
              </w:rPr>
            </w:pPr>
          </w:p>
        </w:tc>
      </w:tr>
    </w:tbl>
    <w:p>
      <w:pPr>
        <w:spacing w:after="0" w:line="209" w:lineRule="exact"/>
        <w:rPr>
          <w:sz w:val="20"/>
          <w:szCs w:val="20"/>
          <w:color w:val="auto"/>
        </w:rPr>
      </w:pPr>
    </w:p>
    <w:p>
      <w:pPr>
        <w:sectPr>
          <w:pgSz w:w="11900" w:h="16838" w:orient="portrait"/>
          <w:cols w:equalWidth="0" w:num="2">
            <w:col w:w="5920" w:space="660"/>
            <w:col w:w="4660"/>
          </w:cols>
          <w:pgMar w:left="320" w:top="238"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4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5</w:t>
            </w:r>
          </w:p>
        </w:tc>
        <w:tc>
          <w:tcPr>
            <w:tcW w:w="5900" w:type="dxa"/>
            <w:vAlign w:val="bottom"/>
            <w:gridSpan w:val="4"/>
          </w:tcPr>
          <w:p>
            <w:pPr>
              <w:ind w:left="160"/>
              <w:spacing w:after="0"/>
              <w:rPr>
                <w:sz w:val="20"/>
                <w:szCs w:val="20"/>
                <w:color w:val="auto"/>
              </w:rPr>
            </w:pPr>
            <w:r>
              <w:rPr>
                <w:rFonts w:ascii="Arial" w:cs="Arial" w:eastAsia="Arial" w:hAnsi="Arial"/>
                <w:sz w:val="16"/>
                <w:szCs w:val="16"/>
                <w:color w:val="auto"/>
              </w:rPr>
              <w:t>Ratification of the appointment of PricewaterhouseCoopers LLP (</w:t>
            </w:r>
            <w:r>
              <w:rPr>
                <w:rFonts w:ascii="Arial" w:cs="Arial" w:eastAsia="Arial" w:hAnsi="Arial"/>
                <w:sz w:val="16"/>
                <w:szCs w:val="16"/>
                <w:b w:val="1"/>
                <w:bCs w:val="1"/>
                <w:color w:val="auto"/>
              </w:rPr>
              <w:t>PwC</w:t>
            </w:r>
            <w:r>
              <w:rPr>
                <w:rFonts w:ascii="Arial" w:cs="Arial" w:eastAsia="Arial" w:hAnsi="Arial"/>
                <w:sz w:val="16"/>
                <w:szCs w:val="16"/>
                <w:color w:val="auto"/>
              </w:rPr>
              <w:t>) as</w:t>
            </w:r>
          </w:p>
        </w:tc>
        <w:tc>
          <w:tcPr>
            <w:tcW w:w="1360" w:type="dxa"/>
            <w:vAlign w:val="bottom"/>
            <w:vMerge w:val="restart"/>
          </w:tcPr>
          <w:p>
            <w:pPr>
              <w:ind w:left="460"/>
              <w:spacing w:after="0"/>
              <w:rPr>
                <w:sz w:val="20"/>
                <w:szCs w:val="20"/>
                <w:color w:val="auto"/>
              </w:rPr>
            </w:pPr>
            <w:r>
              <w:rPr>
                <w:rFonts w:ascii="Arial" w:cs="Arial" w:eastAsia="Arial" w:hAnsi="Arial"/>
                <w:sz w:val="16"/>
                <w:szCs w:val="16"/>
                <w:b w:val="1"/>
                <w:bCs w:val="1"/>
                <w:color w:val="0233A1"/>
              </w:rPr>
              <w:t>FOR</w:t>
            </w:r>
          </w:p>
        </w:tc>
        <w:tc>
          <w:tcPr>
            <w:tcW w:w="1700" w:type="dxa"/>
            <w:vAlign w:val="bottom"/>
          </w:tcPr>
          <w:p>
            <w:pPr>
              <w:jc w:val="center"/>
              <w:ind w:left="79"/>
              <w:spacing w:after="0"/>
              <w:rPr>
                <w:sz w:val="20"/>
                <w:szCs w:val="20"/>
                <w:color w:val="auto"/>
              </w:rPr>
            </w:pPr>
            <w:r>
              <w:rPr>
                <w:rFonts w:ascii="Arial" w:cs="Arial" w:eastAsia="Arial" w:hAnsi="Arial"/>
                <w:sz w:val="16"/>
                <w:szCs w:val="16"/>
                <w:color w:val="auto"/>
              </w:rPr>
              <w:t>Majority of</w:t>
            </w:r>
          </w:p>
        </w:tc>
        <w:tc>
          <w:tcPr>
            <w:tcW w:w="160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65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900" w:type="dxa"/>
            <w:vAlign w:val="bottom"/>
            <w:gridSpan w:val="4"/>
            <w:vMerge w:val="restart"/>
          </w:tcPr>
          <w:p>
            <w:pPr>
              <w:ind w:left="160"/>
              <w:spacing w:after="0"/>
              <w:rPr>
                <w:sz w:val="20"/>
                <w:szCs w:val="20"/>
                <w:color w:val="auto"/>
              </w:rPr>
            </w:pPr>
            <w:r>
              <w:rPr>
                <w:rFonts w:ascii="Arial" w:cs="Arial" w:eastAsia="Arial" w:hAnsi="Arial"/>
                <w:sz w:val="16"/>
                <w:szCs w:val="16"/>
                <w:color w:val="auto"/>
              </w:rPr>
              <w:t>our independent auditor for 2023.</w:t>
            </w:r>
          </w:p>
        </w:tc>
        <w:tc>
          <w:tcPr>
            <w:tcW w:w="1360" w:type="dxa"/>
            <w:vAlign w:val="bottom"/>
            <w:vMerge w:val="continue"/>
          </w:tcPr>
          <w:p>
            <w:pPr>
              <w:spacing w:after="0"/>
              <w:rPr>
                <w:sz w:val="11"/>
                <w:szCs w:val="11"/>
                <w:color w:val="auto"/>
              </w:rPr>
            </w:pPr>
          </w:p>
        </w:tc>
        <w:tc>
          <w:tcPr>
            <w:tcW w:w="1700" w:type="dxa"/>
            <w:vAlign w:val="bottom"/>
            <w:vMerge w:val="restart"/>
          </w:tcPr>
          <w:p>
            <w:pPr>
              <w:jc w:val="center"/>
              <w:ind w:left="119"/>
              <w:spacing w:after="0"/>
              <w:rPr>
                <w:sz w:val="20"/>
                <w:szCs w:val="20"/>
                <w:color w:val="auto"/>
              </w:rPr>
            </w:pPr>
            <w:r>
              <w:rPr>
                <w:rFonts w:ascii="Arial" w:cs="Arial" w:eastAsia="Arial" w:hAnsi="Arial"/>
                <w:sz w:val="16"/>
                <w:szCs w:val="16"/>
                <w:color w:val="auto"/>
              </w:rPr>
              <w:t>votes cast</w:t>
            </w:r>
          </w:p>
        </w:tc>
        <w:tc>
          <w:tcPr>
            <w:tcW w:w="16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0" w:type="dxa"/>
            <w:vAlign w:val="bottom"/>
          </w:tcPr>
          <w:p>
            <w:pPr>
              <w:spacing w:after="0"/>
              <w:rPr>
                <w:sz w:val="10"/>
                <w:szCs w:val="10"/>
                <w:color w:val="auto"/>
              </w:rPr>
            </w:pPr>
          </w:p>
        </w:tc>
        <w:tc>
          <w:tcPr>
            <w:tcW w:w="280" w:type="dxa"/>
            <w:vAlign w:val="bottom"/>
            <w:tcBorders>
              <w:bottom w:val="single" w:sz="8" w:color="0233A1"/>
            </w:tcBorders>
          </w:tcPr>
          <w:p>
            <w:pPr>
              <w:spacing w:after="0"/>
              <w:rPr>
                <w:sz w:val="10"/>
                <w:szCs w:val="10"/>
                <w:color w:val="auto"/>
              </w:rPr>
            </w:pPr>
          </w:p>
        </w:tc>
        <w:tc>
          <w:tcPr>
            <w:tcW w:w="5900" w:type="dxa"/>
            <w:vAlign w:val="bottom"/>
            <w:tcBorders>
              <w:bottom w:val="single" w:sz="8" w:color="0233A1"/>
            </w:tcBorders>
            <w:gridSpan w:val="4"/>
            <w:vMerge w:val="continue"/>
          </w:tcPr>
          <w:p>
            <w:pPr>
              <w:spacing w:after="0"/>
              <w:rPr>
                <w:sz w:val="10"/>
                <w:szCs w:val="10"/>
                <w:color w:val="auto"/>
              </w:rPr>
            </w:pPr>
          </w:p>
        </w:tc>
        <w:tc>
          <w:tcPr>
            <w:tcW w:w="1360" w:type="dxa"/>
            <w:vAlign w:val="bottom"/>
            <w:tcBorders>
              <w:bottom w:val="single" w:sz="8" w:color="0233A1"/>
            </w:tcBorders>
          </w:tcPr>
          <w:p>
            <w:pPr>
              <w:spacing w:after="0"/>
              <w:rPr>
                <w:sz w:val="10"/>
                <w:szCs w:val="10"/>
                <w:color w:val="auto"/>
              </w:rPr>
            </w:pPr>
          </w:p>
        </w:tc>
        <w:tc>
          <w:tcPr>
            <w:tcW w:w="1700" w:type="dxa"/>
            <w:vAlign w:val="bottom"/>
            <w:tcBorders>
              <w:bottom w:val="single" w:sz="8" w:color="0233A1"/>
            </w:tcBorders>
            <w:vMerge w:val="continue"/>
          </w:tcPr>
          <w:p>
            <w:pPr>
              <w:spacing w:after="0"/>
              <w:rPr>
                <w:sz w:val="10"/>
                <w:szCs w:val="10"/>
                <w:color w:val="auto"/>
              </w:rPr>
            </w:pPr>
          </w:p>
        </w:tc>
        <w:tc>
          <w:tcPr>
            <w:tcW w:w="1600" w:type="dxa"/>
            <w:vAlign w:val="bottom"/>
            <w:tcBorders>
              <w:bottom w:val="single" w:sz="8" w:color="0233A1"/>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0" w:type="dxa"/>
            <w:vAlign w:val="bottom"/>
            <w:tcBorders>
              <w:bottom w:val="single" w:sz="8" w:color="DCDCDE"/>
            </w:tcBorders>
          </w:tcPr>
          <w:p>
            <w:pPr>
              <w:spacing w:after="0"/>
              <w:rPr>
                <w:sz w:val="16"/>
                <w:szCs w:val="16"/>
                <w:color w:val="auto"/>
              </w:rPr>
            </w:pPr>
          </w:p>
        </w:tc>
        <w:tc>
          <w:tcPr>
            <w:tcW w:w="280" w:type="dxa"/>
            <w:vAlign w:val="bottom"/>
            <w:tcBorders>
              <w:bottom w:val="single" w:sz="8" w:color="DCDCDE"/>
            </w:tcBorders>
          </w:tcPr>
          <w:p>
            <w:pPr>
              <w:spacing w:after="0"/>
              <w:rPr>
                <w:sz w:val="16"/>
                <w:szCs w:val="16"/>
                <w:color w:val="auto"/>
              </w:rPr>
            </w:pPr>
          </w:p>
        </w:tc>
        <w:tc>
          <w:tcPr>
            <w:tcW w:w="440" w:type="dxa"/>
            <w:vAlign w:val="bottom"/>
            <w:tcBorders>
              <w:bottom w:val="single" w:sz="8" w:color="DCDCDE"/>
            </w:tcBorders>
          </w:tcPr>
          <w:p>
            <w:pPr>
              <w:spacing w:after="0"/>
              <w:rPr>
                <w:sz w:val="16"/>
                <w:szCs w:val="16"/>
                <w:color w:val="auto"/>
              </w:rPr>
            </w:pPr>
          </w:p>
        </w:tc>
        <w:tc>
          <w:tcPr>
            <w:tcW w:w="4480" w:type="dxa"/>
            <w:vAlign w:val="bottom"/>
            <w:tcBorders>
              <w:bottom w:val="single" w:sz="8" w:color="DCDCDE"/>
            </w:tcBorders>
          </w:tcPr>
          <w:p>
            <w:pPr>
              <w:spacing w:after="0"/>
              <w:rPr>
                <w:sz w:val="16"/>
                <w:szCs w:val="16"/>
                <w:color w:val="auto"/>
              </w:rPr>
            </w:pPr>
          </w:p>
        </w:tc>
        <w:tc>
          <w:tcPr>
            <w:tcW w:w="460" w:type="dxa"/>
            <w:vAlign w:val="bottom"/>
            <w:tcBorders>
              <w:bottom w:val="single" w:sz="8" w:color="DCDCDE"/>
            </w:tcBorders>
          </w:tcPr>
          <w:p>
            <w:pPr>
              <w:spacing w:after="0"/>
              <w:rPr>
                <w:sz w:val="16"/>
                <w:szCs w:val="16"/>
                <w:color w:val="auto"/>
              </w:rPr>
            </w:pPr>
          </w:p>
        </w:tc>
        <w:tc>
          <w:tcPr>
            <w:tcW w:w="520" w:type="dxa"/>
            <w:vAlign w:val="bottom"/>
            <w:tcBorders>
              <w:bottom w:val="single" w:sz="8" w:color="DCDCDE"/>
            </w:tcBorders>
          </w:tcPr>
          <w:p>
            <w:pPr>
              <w:spacing w:after="0"/>
              <w:rPr>
                <w:sz w:val="16"/>
                <w:szCs w:val="16"/>
                <w:color w:val="auto"/>
              </w:rPr>
            </w:pPr>
          </w:p>
        </w:tc>
        <w:tc>
          <w:tcPr>
            <w:tcW w:w="1360" w:type="dxa"/>
            <w:vAlign w:val="bottom"/>
            <w:tcBorders>
              <w:bottom w:val="single" w:sz="8" w:color="DCDCDE"/>
            </w:tcBorders>
          </w:tcPr>
          <w:p>
            <w:pPr>
              <w:spacing w:after="0"/>
              <w:rPr>
                <w:sz w:val="16"/>
                <w:szCs w:val="16"/>
                <w:color w:val="auto"/>
              </w:rPr>
            </w:pPr>
          </w:p>
        </w:tc>
        <w:tc>
          <w:tcPr>
            <w:tcW w:w="1700" w:type="dxa"/>
            <w:vAlign w:val="bottom"/>
            <w:tcBorders>
              <w:bottom w:val="single" w:sz="8" w:color="DCDCDE"/>
            </w:tcBorders>
          </w:tcPr>
          <w:p>
            <w:pPr>
              <w:spacing w:after="0"/>
              <w:rPr>
                <w:sz w:val="16"/>
                <w:szCs w:val="16"/>
                <w:color w:val="auto"/>
              </w:rPr>
            </w:pPr>
          </w:p>
        </w:tc>
        <w:tc>
          <w:tcPr>
            <w:tcW w:w="1600" w:type="dxa"/>
            <w:vAlign w:val="bottom"/>
            <w:tcBorders>
              <w:bottom w:val="single" w:sz="8" w:color="DCDCDE"/>
            </w:tcBorders>
          </w:tcPr>
          <w:p>
            <w:pPr>
              <w:spacing w:after="0"/>
              <w:rPr>
                <w:sz w:val="16"/>
                <w:szCs w:val="16"/>
                <w:color w:val="auto"/>
              </w:rPr>
            </w:pPr>
          </w:p>
        </w:tc>
        <w:tc>
          <w:tcPr>
            <w:tcW w:w="200" w:type="dxa"/>
            <w:vAlign w:val="bottom"/>
            <w:tcBorders>
              <w:bottom w:val="single" w:sz="8" w:color="DCDCDE"/>
            </w:tcBorders>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4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4</w:t>
            </w:r>
          </w:p>
        </w:tc>
        <w:tc>
          <w:tcPr>
            <w:tcW w:w="5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8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636466"/>
                <w:w w:val="99"/>
              </w:rPr>
              <w:t>2023 Proxy Statement</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448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1360" w:type="dxa"/>
            <w:vAlign w:val="bottom"/>
            <w:tcBorders>
              <w:bottom w:val="single" w:sz="8" w:color="C0C0C0"/>
            </w:tcBorders>
          </w:tcPr>
          <w:p>
            <w:pPr>
              <w:spacing w:after="0"/>
              <w:rPr>
                <w:sz w:val="20"/>
                <w:szCs w:val="20"/>
                <w:color w:val="auto"/>
              </w:rPr>
            </w:pPr>
          </w:p>
        </w:tc>
        <w:tc>
          <w:tcPr>
            <w:tcW w:w="1700" w:type="dxa"/>
            <w:vAlign w:val="bottom"/>
            <w:tcBorders>
              <w:bottom w:val="single" w:sz="8" w:color="C0C0C0"/>
            </w:tcBorders>
          </w:tcPr>
          <w:p>
            <w:pPr>
              <w:spacing w:after="0"/>
              <w:rPr>
                <w:sz w:val="20"/>
                <w:szCs w:val="20"/>
                <w:color w:val="auto"/>
              </w:rPr>
            </w:pPr>
          </w:p>
        </w:tc>
        <w:tc>
          <w:tcPr>
            <w:tcW w:w="160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471170" cy="2825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6130" cy="8542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8542020"/>
                    </a:xfrm>
                    <a:prstGeom prst="rect">
                      <a:avLst/>
                    </a:prstGeom>
                    <a:noFill/>
                  </pic:spPr>
                </pic:pic>
              </a:graphicData>
            </a:graphic>
          </wp:anchor>
        </w:drawing>
      </w:r>
    </w:p>
    <w:p>
      <w:pPr>
        <w:spacing w:after="0" w:line="363" w:lineRule="exact"/>
        <w:rPr>
          <w:sz w:val="20"/>
          <w:szCs w:val="20"/>
          <w:color w:val="auto"/>
        </w:rPr>
      </w:pPr>
    </w:p>
    <w:p>
      <w:pPr>
        <w:ind w:left="200"/>
        <w:spacing w:after="0"/>
        <w:rPr>
          <w:sz w:val="20"/>
          <w:szCs w:val="20"/>
          <w:color w:val="auto"/>
        </w:rPr>
      </w:pPr>
      <w:r>
        <w:rPr>
          <w:rFonts w:ascii="Arial" w:cs="Arial" w:eastAsia="Arial" w:hAnsi="Arial"/>
          <w:sz w:val="28"/>
          <w:szCs w:val="28"/>
          <w:color w:val="16458B"/>
        </w:rPr>
        <w:t>Our Director Nominees (pages 12–17)</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2160" w:type="dxa"/>
            <w:vAlign w:val="bottom"/>
          </w:tcPr>
          <w:p>
            <w:pPr>
              <w:jc w:val="center"/>
              <w:ind w:right="319"/>
              <w:spacing w:after="0"/>
              <w:rPr>
                <w:sz w:val="20"/>
                <w:szCs w:val="20"/>
                <w:color w:val="auto"/>
              </w:rPr>
            </w:pPr>
            <w:r>
              <w:rPr>
                <w:rFonts w:ascii="Arial" w:cs="Arial" w:eastAsia="Arial" w:hAnsi="Arial"/>
                <w:sz w:val="16"/>
                <w:szCs w:val="16"/>
                <w:b w:val="1"/>
                <w:bCs w:val="1"/>
                <w:color w:val="0233A1"/>
                <w:w w:val="99"/>
              </w:rPr>
              <w:t>Peter Coleman</w:t>
            </w:r>
          </w:p>
        </w:tc>
        <w:tc>
          <w:tcPr>
            <w:tcW w:w="2540" w:type="dxa"/>
            <w:vAlign w:val="bottom"/>
          </w:tcPr>
          <w:p>
            <w:pPr>
              <w:jc w:val="center"/>
              <w:ind w:left="239"/>
              <w:spacing w:after="0"/>
              <w:rPr>
                <w:sz w:val="20"/>
                <w:szCs w:val="20"/>
                <w:color w:val="auto"/>
              </w:rPr>
            </w:pPr>
            <w:r>
              <w:rPr>
                <w:rFonts w:ascii="Arial" w:cs="Arial" w:eastAsia="Arial" w:hAnsi="Arial"/>
                <w:sz w:val="16"/>
                <w:szCs w:val="16"/>
                <w:b w:val="1"/>
                <w:bCs w:val="1"/>
                <w:color w:val="0233A1"/>
              </w:rPr>
              <w:t>Patrick de La Chevardière</w:t>
            </w:r>
          </w:p>
        </w:tc>
      </w:tr>
      <w:tr>
        <w:trPr>
          <w:trHeight w:val="189"/>
        </w:trPr>
        <w:tc>
          <w:tcPr>
            <w:tcW w:w="2160" w:type="dxa"/>
            <w:vAlign w:val="bottom"/>
          </w:tcPr>
          <w:p>
            <w:pPr>
              <w:jc w:val="center"/>
              <w:ind w:right="319"/>
              <w:spacing w:after="0"/>
              <w:rPr>
                <w:sz w:val="20"/>
                <w:szCs w:val="20"/>
                <w:color w:val="auto"/>
              </w:rPr>
            </w:pPr>
            <w:r>
              <w:rPr>
                <w:rFonts w:ascii="Arial" w:cs="Arial" w:eastAsia="Arial" w:hAnsi="Arial"/>
                <w:sz w:val="16"/>
                <w:szCs w:val="16"/>
                <w:color w:val="auto"/>
              </w:rPr>
              <w:t>Former CEO and</w:t>
            </w:r>
          </w:p>
        </w:tc>
        <w:tc>
          <w:tcPr>
            <w:tcW w:w="2540" w:type="dxa"/>
            <w:vAlign w:val="bottom"/>
          </w:tcPr>
          <w:p>
            <w:pPr>
              <w:jc w:val="center"/>
              <w:ind w:left="299"/>
              <w:spacing w:after="0"/>
              <w:rPr>
                <w:sz w:val="20"/>
                <w:szCs w:val="20"/>
                <w:color w:val="auto"/>
              </w:rPr>
            </w:pPr>
            <w:r>
              <w:rPr>
                <w:rFonts w:ascii="Arial" w:cs="Arial" w:eastAsia="Arial" w:hAnsi="Arial"/>
                <w:sz w:val="16"/>
                <w:szCs w:val="16"/>
                <w:color w:val="auto"/>
              </w:rPr>
              <w:t>Former Chief Financial Officer</w:t>
            </w:r>
          </w:p>
        </w:tc>
      </w:tr>
      <w:tr>
        <w:trPr>
          <w:trHeight w:val="189"/>
        </w:trPr>
        <w:tc>
          <w:tcPr>
            <w:tcW w:w="2160" w:type="dxa"/>
            <w:vAlign w:val="bottom"/>
          </w:tcPr>
          <w:p>
            <w:pPr>
              <w:jc w:val="center"/>
              <w:ind w:right="319"/>
              <w:spacing w:after="0"/>
              <w:rPr>
                <w:sz w:val="20"/>
                <w:szCs w:val="20"/>
                <w:color w:val="auto"/>
              </w:rPr>
            </w:pPr>
            <w:r>
              <w:rPr>
                <w:rFonts w:ascii="Arial" w:cs="Arial" w:eastAsia="Arial" w:hAnsi="Arial"/>
                <w:sz w:val="16"/>
                <w:szCs w:val="16"/>
                <w:color w:val="auto"/>
              </w:rPr>
              <w:t>Managing Director</w:t>
            </w:r>
          </w:p>
        </w:tc>
        <w:tc>
          <w:tcPr>
            <w:tcW w:w="2540" w:type="dxa"/>
            <w:vAlign w:val="bottom"/>
          </w:tcPr>
          <w:p>
            <w:pPr>
              <w:jc w:val="center"/>
              <w:ind w:left="279"/>
              <w:spacing w:after="0"/>
              <w:rPr>
                <w:sz w:val="20"/>
                <w:szCs w:val="20"/>
                <w:color w:val="auto"/>
              </w:rPr>
            </w:pPr>
            <w:r>
              <w:rPr>
                <w:rFonts w:ascii="Arial" w:cs="Arial" w:eastAsia="Arial" w:hAnsi="Arial"/>
                <w:sz w:val="16"/>
                <w:szCs w:val="16"/>
                <w:color w:val="auto"/>
                <w:w w:val="99"/>
              </w:rPr>
              <w:t>Total S.A.</w:t>
            </w:r>
          </w:p>
        </w:tc>
      </w:tr>
      <w:tr>
        <w:trPr>
          <w:trHeight w:val="215"/>
        </w:trPr>
        <w:tc>
          <w:tcPr>
            <w:tcW w:w="2160" w:type="dxa"/>
            <w:vAlign w:val="bottom"/>
          </w:tcPr>
          <w:p>
            <w:pPr>
              <w:spacing w:after="0"/>
              <w:rPr>
                <w:sz w:val="20"/>
                <w:szCs w:val="20"/>
                <w:color w:val="auto"/>
              </w:rPr>
            </w:pPr>
            <w:r>
              <w:rPr>
                <w:rFonts w:ascii="Arial" w:cs="Arial" w:eastAsia="Arial" w:hAnsi="Arial"/>
                <w:sz w:val="16"/>
                <w:szCs w:val="16"/>
                <w:color w:val="auto"/>
              </w:rPr>
              <w:t>Woodside Petroleum Ltd.</w:t>
            </w:r>
          </w:p>
        </w:tc>
        <w:tc>
          <w:tcPr>
            <w:tcW w:w="25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2620" w:type="dxa"/>
            <w:vAlign w:val="bottom"/>
          </w:tcPr>
          <w:p>
            <w:pPr>
              <w:jc w:val="center"/>
              <w:ind w:right="299"/>
              <w:spacing w:after="0"/>
              <w:rPr>
                <w:sz w:val="20"/>
                <w:szCs w:val="20"/>
                <w:color w:val="auto"/>
              </w:rPr>
            </w:pPr>
            <w:r>
              <w:rPr>
                <w:rFonts w:ascii="Arial" w:cs="Arial" w:eastAsia="Arial" w:hAnsi="Arial"/>
                <w:sz w:val="16"/>
                <w:szCs w:val="16"/>
                <w:b w:val="1"/>
                <w:bCs w:val="1"/>
                <w:color w:val="0233A1"/>
              </w:rPr>
              <w:t>Samuel Leupold</w:t>
            </w:r>
          </w:p>
        </w:tc>
        <w:tc>
          <w:tcPr>
            <w:tcW w:w="2020" w:type="dxa"/>
            <w:vAlign w:val="bottom"/>
          </w:tcPr>
          <w:p>
            <w:pPr>
              <w:jc w:val="center"/>
              <w:ind w:left="319"/>
              <w:spacing w:after="0"/>
              <w:rPr>
                <w:sz w:val="20"/>
                <w:szCs w:val="20"/>
                <w:color w:val="auto"/>
              </w:rPr>
            </w:pPr>
            <w:r>
              <w:rPr>
                <w:rFonts w:ascii="Arial" w:cs="Arial" w:eastAsia="Arial" w:hAnsi="Arial"/>
                <w:sz w:val="16"/>
                <w:szCs w:val="16"/>
                <w:b w:val="1"/>
                <w:bCs w:val="1"/>
                <w:color w:val="0233A1"/>
              </w:rPr>
              <w:t>Tatiana Mitrova</w:t>
            </w:r>
          </w:p>
        </w:tc>
      </w:tr>
      <w:tr>
        <w:trPr>
          <w:trHeight w:val="189"/>
        </w:trPr>
        <w:tc>
          <w:tcPr>
            <w:tcW w:w="2620" w:type="dxa"/>
            <w:vAlign w:val="bottom"/>
          </w:tcPr>
          <w:p>
            <w:pPr>
              <w:jc w:val="center"/>
              <w:ind w:right="319"/>
              <w:spacing w:after="0"/>
              <w:rPr>
                <w:sz w:val="20"/>
                <w:szCs w:val="20"/>
                <w:color w:val="auto"/>
              </w:rPr>
            </w:pPr>
            <w:r>
              <w:rPr>
                <w:rFonts w:ascii="Arial" w:cs="Arial" w:eastAsia="Arial" w:hAnsi="Arial"/>
                <w:sz w:val="16"/>
                <w:szCs w:val="16"/>
                <w:color w:val="auto"/>
              </w:rPr>
              <w:t>Former Chief Executive Officer</w:t>
            </w:r>
          </w:p>
        </w:tc>
        <w:tc>
          <w:tcPr>
            <w:tcW w:w="2020" w:type="dxa"/>
            <w:vAlign w:val="bottom"/>
          </w:tcPr>
          <w:p>
            <w:pPr>
              <w:jc w:val="center"/>
              <w:ind w:left="319"/>
              <w:spacing w:after="0"/>
              <w:rPr>
                <w:sz w:val="20"/>
                <w:szCs w:val="20"/>
                <w:color w:val="auto"/>
              </w:rPr>
            </w:pPr>
            <w:r>
              <w:rPr>
                <w:rFonts w:ascii="Arial" w:cs="Arial" w:eastAsia="Arial" w:hAnsi="Arial"/>
                <w:sz w:val="16"/>
                <w:szCs w:val="16"/>
                <w:color w:val="auto"/>
              </w:rPr>
              <w:t>Research Fellow</w:t>
            </w:r>
          </w:p>
        </w:tc>
      </w:tr>
      <w:tr>
        <w:trPr>
          <w:trHeight w:val="189"/>
        </w:trPr>
        <w:tc>
          <w:tcPr>
            <w:tcW w:w="2620" w:type="dxa"/>
            <w:vAlign w:val="bottom"/>
          </w:tcPr>
          <w:p>
            <w:pPr>
              <w:jc w:val="center"/>
              <w:ind w:right="259"/>
              <w:spacing w:after="0"/>
              <w:rPr>
                <w:sz w:val="20"/>
                <w:szCs w:val="20"/>
                <w:color w:val="auto"/>
              </w:rPr>
            </w:pPr>
            <w:r>
              <w:rPr>
                <w:rFonts w:ascii="Arial" w:cs="Arial" w:eastAsia="Arial" w:hAnsi="Arial"/>
                <w:sz w:val="16"/>
                <w:szCs w:val="16"/>
                <w:color w:val="auto"/>
              </w:rPr>
              <w:t>Ørsted Wind Power A/S</w:t>
            </w:r>
          </w:p>
        </w:tc>
        <w:tc>
          <w:tcPr>
            <w:tcW w:w="2020" w:type="dxa"/>
            <w:vAlign w:val="bottom"/>
          </w:tcPr>
          <w:p>
            <w:pPr>
              <w:jc w:val="center"/>
              <w:ind w:left="319"/>
              <w:spacing w:after="0"/>
              <w:rPr>
                <w:sz w:val="20"/>
                <w:szCs w:val="20"/>
                <w:color w:val="auto"/>
              </w:rPr>
            </w:pPr>
            <w:r>
              <w:rPr>
                <w:rFonts w:ascii="Arial" w:cs="Arial" w:eastAsia="Arial" w:hAnsi="Arial"/>
                <w:sz w:val="16"/>
                <w:szCs w:val="16"/>
                <w:color w:val="auto"/>
              </w:rPr>
              <w:t>SIPA Center on Global</w:t>
            </w:r>
          </w:p>
        </w:tc>
      </w:tr>
      <w:tr>
        <w:trPr>
          <w:trHeight w:val="189"/>
        </w:trPr>
        <w:tc>
          <w:tcPr>
            <w:tcW w:w="2620" w:type="dxa"/>
            <w:vAlign w:val="bottom"/>
          </w:tcPr>
          <w:p>
            <w:pPr>
              <w:spacing w:after="0"/>
              <w:rPr>
                <w:sz w:val="16"/>
                <w:szCs w:val="16"/>
                <w:color w:val="auto"/>
              </w:rPr>
            </w:pPr>
          </w:p>
        </w:tc>
        <w:tc>
          <w:tcPr>
            <w:tcW w:w="2020" w:type="dxa"/>
            <w:vAlign w:val="bottom"/>
          </w:tcPr>
          <w:p>
            <w:pPr>
              <w:jc w:val="center"/>
              <w:ind w:left="319"/>
              <w:spacing w:after="0"/>
              <w:rPr>
                <w:sz w:val="20"/>
                <w:szCs w:val="20"/>
                <w:color w:val="auto"/>
              </w:rPr>
            </w:pPr>
            <w:r>
              <w:rPr>
                <w:rFonts w:ascii="Arial" w:cs="Arial" w:eastAsia="Arial" w:hAnsi="Arial"/>
                <w:sz w:val="16"/>
                <w:szCs w:val="16"/>
                <w:color w:val="auto"/>
              </w:rPr>
              <w:t>Energy Policy</w:t>
            </w:r>
          </w:p>
        </w:tc>
      </w:tr>
      <w:tr>
        <w:trPr>
          <w:trHeight w:val="215"/>
        </w:trPr>
        <w:tc>
          <w:tcPr>
            <w:tcW w:w="2620" w:type="dxa"/>
            <w:vAlign w:val="bottom"/>
          </w:tcPr>
          <w:p>
            <w:pPr>
              <w:spacing w:after="0"/>
              <w:rPr>
                <w:sz w:val="18"/>
                <w:szCs w:val="18"/>
                <w:color w:val="auto"/>
              </w:rPr>
            </w:pPr>
          </w:p>
        </w:tc>
        <w:tc>
          <w:tcPr>
            <w:tcW w:w="2020" w:type="dxa"/>
            <w:vAlign w:val="bottom"/>
          </w:tcPr>
          <w:p>
            <w:pPr>
              <w:jc w:val="center"/>
              <w:ind w:left="379"/>
              <w:spacing w:after="0"/>
              <w:rPr>
                <w:sz w:val="20"/>
                <w:szCs w:val="20"/>
                <w:color w:val="auto"/>
              </w:rPr>
            </w:pPr>
            <w:r>
              <w:rPr>
                <w:rFonts w:ascii="Arial" w:cs="Arial" w:eastAsia="Arial" w:hAnsi="Arial"/>
                <w:sz w:val="16"/>
                <w:szCs w:val="16"/>
                <w:color w:val="auto"/>
              </w:rPr>
              <w:t>Columbia University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440" w:type="dxa"/>
            <w:vAlign w:val="bottom"/>
          </w:tcPr>
          <w:p>
            <w:pPr>
              <w:jc w:val="center"/>
              <w:ind w:right="359"/>
              <w:spacing w:after="0"/>
              <w:rPr>
                <w:sz w:val="20"/>
                <w:szCs w:val="20"/>
                <w:color w:val="auto"/>
              </w:rPr>
            </w:pPr>
            <w:r>
              <w:rPr>
                <w:rFonts w:ascii="Arial" w:cs="Arial" w:eastAsia="Arial" w:hAnsi="Arial"/>
                <w:sz w:val="16"/>
                <w:szCs w:val="16"/>
                <w:b w:val="1"/>
                <w:bCs w:val="1"/>
                <w:color w:val="0233A1"/>
                <w:w w:val="99"/>
              </w:rPr>
              <w:t>Mark Papa</w:t>
            </w:r>
          </w:p>
        </w:tc>
        <w:tc>
          <w:tcPr>
            <w:tcW w:w="2060" w:type="dxa"/>
            <w:vAlign w:val="bottom"/>
          </w:tcPr>
          <w:p>
            <w:pPr>
              <w:jc w:val="center"/>
              <w:ind w:left="399"/>
              <w:spacing w:after="0"/>
              <w:rPr>
                <w:sz w:val="20"/>
                <w:szCs w:val="20"/>
                <w:color w:val="auto"/>
              </w:rPr>
            </w:pPr>
            <w:r>
              <w:rPr>
                <w:rFonts w:ascii="Arial" w:cs="Arial" w:eastAsia="Arial" w:hAnsi="Arial"/>
                <w:sz w:val="16"/>
                <w:szCs w:val="16"/>
                <w:b w:val="1"/>
                <w:bCs w:val="1"/>
                <w:color w:val="0233A1"/>
              </w:rPr>
              <w:t>Jeff Sheets</w:t>
            </w:r>
          </w:p>
        </w:tc>
      </w:tr>
      <w:tr>
        <w:trPr>
          <w:trHeight w:val="189"/>
        </w:trPr>
        <w:tc>
          <w:tcPr>
            <w:tcW w:w="2440" w:type="dxa"/>
            <w:vAlign w:val="bottom"/>
          </w:tcPr>
          <w:p>
            <w:pPr>
              <w:jc w:val="center"/>
              <w:ind w:right="379"/>
              <w:spacing w:after="0"/>
              <w:rPr>
                <w:sz w:val="20"/>
                <w:szCs w:val="20"/>
                <w:color w:val="auto"/>
              </w:rPr>
            </w:pPr>
            <w:r>
              <w:rPr>
                <w:rFonts w:ascii="Arial" w:cs="Arial" w:eastAsia="Arial" w:hAnsi="Arial"/>
                <w:sz w:val="16"/>
                <w:szCs w:val="16"/>
                <w:color w:val="auto"/>
              </w:rPr>
              <w:t>Former Chairman and CEO</w:t>
            </w:r>
          </w:p>
        </w:tc>
        <w:tc>
          <w:tcPr>
            <w:tcW w:w="2060" w:type="dxa"/>
            <w:vAlign w:val="bottom"/>
          </w:tcPr>
          <w:p>
            <w:pPr>
              <w:jc w:val="center"/>
              <w:ind w:left="399"/>
              <w:spacing w:after="0"/>
              <w:rPr>
                <w:sz w:val="20"/>
                <w:szCs w:val="20"/>
                <w:color w:val="auto"/>
              </w:rPr>
            </w:pPr>
            <w:r>
              <w:rPr>
                <w:rFonts w:ascii="Arial" w:cs="Arial" w:eastAsia="Arial" w:hAnsi="Arial"/>
                <w:sz w:val="16"/>
                <w:szCs w:val="16"/>
                <w:color w:val="auto"/>
              </w:rPr>
              <w:t>Former EVP and CFO</w:t>
            </w:r>
          </w:p>
        </w:tc>
      </w:tr>
      <w:tr>
        <w:trPr>
          <w:trHeight w:val="189"/>
        </w:trPr>
        <w:tc>
          <w:tcPr>
            <w:tcW w:w="2440" w:type="dxa"/>
            <w:vAlign w:val="bottom"/>
          </w:tcPr>
          <w:p>
            <w:pPr>
              <w:jc w:val="center"/>
              <w:ind w:right="359"/>
              <w:spacing w:after="0"/>
              <w:rPr>
                <w:sz w:val="20"/>
                <w:szCs w:val="20"/>
                <w:color w:val="auto"/>
              </w:rPr>
            </w:pPr>
            <w:r>
              <w:rPr>
                <w:rFonts w:ascii="Arial" w:cs="Arial" w:eastAsia="Arial" w:hAnsi="Arial"/>
                <w:sz w:val="16"/>
                <w:szCs w:val="16"/>
                <w:color w:val="auto"/>
              </w:rPr>
              <w:t>Centennial Resource</w:t>
            </w:r>
          </w:p>
        </w:tc>
        <w:tc>
          <w:tcPr>
            <w:tcW w:w="2060" w:type="dxa"/>
            <w:vAlign w:val="bottom"/>
          </w:tcPr>
          <w:p>
            <w:pPr>
              <w:jc w:val="center"/>
              <w:ind w:left="439"/>
              <w:spacing w:after="0"/>
              <w:rPr>
                <w:sz w:val="20"/>
                <w:szCs w:val="20"/>
                <w:color w:val="auto"/>
              </w:rPr>
            </w:pPr>
            <w:r>
              <w:rPr>
                <w:rFonts w:ascii="Arial" w:cs="Arial" w:eastAsia="Arial" w:hAnsi="Arial"/>
                <w:sz w:val="16"/>
                <w:szCs w:val="16"/>
                <w:color w:val="auto"/>
              </w:rPr>
              <w:t>ConocoPhillips</w:t>
            </w:r>
          </w:p>
        </w:tc>
      </w:tr>
      <w:tr>
        <w:trPr>
          <w:trHeight w:val="215"/>
        </w:trPr>
        <w:tc>
          <w:tcPr>
            <w:tcW w:w="2440" w:type="dxa"/>
            <w:vAlign w:val="bottom"/>
          </w:tcPr>
          <w:p>
            <w:pPr>
              <w:jc w:val="center"/>
              <w:ind w:right="319"/>
              <w:spacing w:after="0"/>
              <w:rPr>
                <w:sz w:val="20"/>
                <w:szCs w:val="20"/>
                <w:color w:val="auto"/>
              </w:rPr>
            </w:pPr>
            <w:r>
              <w:rPr>
                <w:rFonts w:ascii="Arial" w:cs="Arial" w:eastAsia="Arial" w:hAnsi="Arial"/>
                <w:sz w:val="16"/>
                <w:szCs w:val="16"/>
                <w:color w:val="auto"/>
              </w:rPr>
              <w:t>Development</w:t>
            </w:r>
          </w:p>
        </w:tc>
        <w:tc>
          <w:tcPr>
            <w:tcW w:w="2060" w:type="dxa"/>
            <w:vAlign w:val="bottom"/>
          </w:tcPr>
          <w:p>
            <w:pPr>
              <w:spacing w:after="0"/>
              <w:rPr>
                <w:sz w:val="18"/>
                <w:szCs w:val="18"/>
                <w:color w:val="auto"/>
              </w:rPr>
            </w:pPr>
          </w:p>
        </w:tc>
      </w:tr>
    </w:tbl>
    <w:p>
      <w:pPr>
        <w:spacing w:after="0" w:line="375" w:lineRule="exact"/>
        <w:rPr>
          <w:sz w:val="20"/>
          <w:szCs w:val="20"/>
          <w:color w:val="auto"/>
        </w:rPr>
      </w:pPr>
    </w:p>
    <w:p>
      <w:pPr>
        <w:ind w:left="200"/>
        <w:spacing w:after="0"/>
        <w:rPr>
          <w:sz w:val="20"/>
          <w:szCs w:val="20"/>
          <w:color w:val="auto"/>
        </w:rPr>
      </w:pPr>
      <w:r>
        <w:rPr>
          <w:rFonts w:ascii="Arial" w:cs="Arial" w:eastAsia="Arial" w:hAnsi="Arial"/>
          <w:sz w:val="29"/>
          <w:szCs w:val="29"/>
          <w:color w:val="16458B"/>
        </w:rPr>
        <w:t>Governance Highlights (pages 18–24)</w:t>
      </w:r>
    </w:p>
    <w:p>
      <w:pPr>
        <w:spacing w:after="0" w:line="319" w:lineRule="exact"/>
        <w:rPr>
          <w:sz w:val="20"/>
          <w:szCs w:val="20"/>
          <w:color w:val="auto"/>
        </w:rPr>
      </w:pPr>
    </w:p>
    <w:p>
      <w:pPr>
        <w:ind w:left="540" w:right="760"/>
        <w:spacing w:after="0" w:line="387" w:lineRule="auto"/>
        <w:rPr>
          <w:sz w:val="20"/>
          <w:szCs w:val="20"/>
          <w:color w:val="auto"/>
        </w:rPr>
      </w:pPr>
      <w:r>
        <w:rPr>
          <w:rFonts w:ascii="Arial" w:cs="Arial" w:eastAsia="Arial" w:hAnsi="Arial"/>
          <w:sz w:val="16"/>
          <w:szCs w:val="16"/>
          <w:color w:val="auto"/>
        </w:rPr>
        <w:t>Independent Chairman of the Board, separate from CEO No staggered board; all directors are elected annually</w:t>
      </w:r>
    </w:p>
    <w:p>
      <w:pPr>
        <w:spacing w:after="0" w:line="1" w:lineRule="exact"/>
        <w:rPr>
          <w:sz w:val="20"/>
          <w:szCs w:val="20"/>
          <w:color w:val="auto"/>
        </w:rPr>
      </w:pPr>
    </w:p>
    <w:p>
      <w:pPr>
        <w:ind w:left="520" w:right="460" w:firstLine="14"/>
        <w:spacing w:after="0" w:line="286" w:lineRule="auto"/>
        <w:rPr>
          <w:sz w:val="20"/>
          <w:szCs w:val="20"/>
          <w:color w:val="auto"/>
        </w:rPr>
      </w:pPr>
      <w:r>
        <w:rPr>
          <w:rFonts w:ascii="Arial" w:cs="Arial" w:eastAsia="Arial" w:hAnsi="Arial"/>
          <w:sz w:val="16"/>
          <w:szCs w:val="16"/>
          <w:color w:val="auto"/>
        </w:rPr>
        <w:t>Fully independent Audit, Compensation, and Nominating and Governance committees</w:t>
      </w:r>
    </w:p>
    <w:p>
      <w:pPr>
        <w:spacing w:after="0" w:line="48" w:lineRule="exact"/>
        <w:rPr>
          <w:sz w:val="20"/>
          <w:szCs w:val="20"/>
          <w:color w:val="auto"/>
        </w:rPr>
      </w:pPr>
    </w:p>
    <w:p>
      <w:pPr>
        <w:ind w:left="540" w:right="800"/>
        <w:spacing w:after="0" w:line="387" w:lineRule="auto"/>
        <w:rPr>
          <w:sz w:val="20"/>
          <w:szCs w:val="20"/>
          <w:color w:val="auto"/>
        </w:rPr>
      </w:pPr>
      <w:r>
        <w:rPr>
          <w:rFonts w:ascii="Arial" w:cs="Arial" w:eastAsia="Arial" w:hAnsi="Arial"/>
          <w:sz w:val="16"/>
          <w:szCs w:val="16"/>
          <w:color w:val="auto"/>
        </w:rPr>
        <w:t>Regular executive sessions of non-employee directors Majority vote standard for uncontested director elections</w:t>
      </w:r>
    </w:p>
    <w:p>
      <w:pPr>
        <w:spacing w:after="0" w:line="1" w:lineRule="exact"/>
        <w:rPr>
          <w:sz w:val="20"/>
          <w:szCs w:val="20"/>
          <w:color w:val="auto"/>
        </w:rPr>
      </w:pPr>
    </w:p>
    <w:p>
      <w:pPr>
        <w:ind w:left="520" w:right="360" w:firstLine="5"/>
        <w:spacing w:after="0" w:line="286" w:lineRule="auto"/>
        <w:rPr>
          <w:sz w:val="20"/>
          <w:szCs w:val="20"/>
          <w:color w:val="auto"/>
        </w:rPr>
      </w:pPr>
      <w:r>
        <w:rPr>
          <w:rFonts w:ascii="Arial" w:cs="Arial" w:eastAsia="Arial" w:hAnsi="Arial"/>
          <w:sz w:val="16"/>
          <w:szCs w:val="16"/>
          <w:color w:val="auto"/>
        </w:rPr>
        <w:t>Annual performance evaluations of Board, its committees, and individual directors</w:t>
      </w:r>
    </w:p>
    <w:p>
      <w:pPr>
        <w:spacing w:after="0" w:line="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100% Board attendance in 2022</w:t>
      </w:r>
    </w:p>
    <w:p>
      <w:pPr>
        <w:spacing w:after="0" w:line="113" w:lineRule="exact"/>
        <w:rPr>
          <w:sz w:val="20"/>
          <w:szCs w:val="20"/>
          <w:color w:val="auto"/>
        </w:rPr>
      </w:pPr>
    </w:p>
    <w:p>
      <w:pPr>
        <w:ind w:left="520" w:right="120" w:firstLine="14"/>
        <w:spacing w:after="0" w:line="286" w:lineRule="auto"/>
        <w:rPr>
          <w:sz w:val="20"/>
          <w:szCs w:val="20"/>
          <w:color w:val="auto"/>
        </w:rPr>
      </w:pPr>
      <w:r>
        <w:rPr>
          <w:rFonts w:ascii="Arial" w:cs="Arial" w:eastAsia="Arial" w:hAnsi="Arial"/>
          <w:sz w:val="16"/>
          <w:szCs w:val="16"/>
          <w:color w:val="auto"/>
        </w:rPr>
        <w:t>Comprehensive risk assessment process designed to identify and manage enterprise-wide risks</w:t>
      </w:r>
    </w:p>
    <w:p>
      <w:pPr>
        <w:spacing w:after="0" w:line="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Proactive shareholder engagement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1" w:lineRule="exact"/>
        <w:rPr>
          <w:sz w:val="1"/>
          <w:szCs w:val="1"/>
          <w:color w:val="auto"/>
        </w:rPr>
      </w:pPr>
    </w:p>
    <w:tbl>
      <w:tblPr>
        <w:tblLayout w:type="fixed"/>
        <w:tblInd w:w="280" w:type="dxa"/>
        <w:tblCellMar>
          <w:top w:w="0" w:type="dxa"/>
          <w:left w:w="0" w:type="dxa"/>
          <w:bottom w:w="0" w:type="dxa"/>
          <w:right w:w="0" w:type="dxa"/>
        </w:tblCellMar>
      </w:tblPr>
      <w:tr>
        <w:trPr>
          <w:trHeight w:val="203"/>
        </w:trPr>
        <w:tc>
          <w:tcPr>
            <w:tcW w:w="2000" w:type="dxa"/>
            <w:vAlign w:val="bottom"/>
          </w:tcPr>
          <w:p>
            <w:pPr>
              <w:jc w:val="center"/>
              <w:ind w:right="519"/>
              <w:spacing w:after="0"/>
              <w:rPr>
                <w:sz w:val="20"/>
                <w:szCs w:val="20"/>
                <w:color w:val="auto"/>
              </w:rPr>
            </w:pPr>
            <w:r>
              <w:rPr>
                <w:rFonts w:ascii="Arial" w:cs="Arial" w:eastAsia="Arial" w:hAnsi="Arial"/>
                <w:sz w:val="16"/>
                <w:szCs w:val="16"/>
                <w:b w:val="1"/>
                <w:bCs w:val="1"/>
                <w:color w:val="0233A1"/>
              </w:rPr>
              <w:t>Miguel Galuccio</w:t>
            </w:r>
          </w:p>
        </w:tc>
        <w:tc>
          <w:tcPr>
            <w:tcW w:w="2240" w:type="dxa"/>
            <w:vAlign w:val="bottom"/>
          </w:tcPr>
          <w:p>
            <w:pPr>
              <w:jc w:val="center"/>
              <w:ind w:left="499"/>
              <w:spacing w:after="0"/>
              <w:rPr>
                <w:sz w:val="20"/>
                <w:szCs w:val="20"/>
                <w:color w:val="auto"/>
              </w:rPr>
            </w:pPr>
            <w:r>
              <w:rPr>
                <w:rFonts w:ascii="Arial" w:cs="Arial" w:eastAsia="Arial" w:hAnsi="Arial"/>
                <w:sz w:val="16"/>
                <w:szCs w:val="16"/>
                <w:b w:val="1"/>
                <w:bCs w:val="1"/>
                <w:color w:val="0233A1"/>
              </w:rPr>
              <w:t>Olivier Le Peuch</w:t>
            </w:r>
          </w:p>
        </w:tc>
      </w:tr>
      <w:tr>
        <w:trPr>
          <w:trHeight w:val="189"/>
        </w:trPr>
        <w:tc>
          <w:tcPr>
            <w:tcW w:w="2000" w:type="dxa"/>
            <w:vAlign w:val="bottom"/>
          </w:tcPr>
          <w:p>
            <w:pPr>
              <w:jc w:val="center"/>
              <w:ind w:right="519"/>
              <w:spacing w:after="0"/>
              <w:rPr>
                <w:sz w:val="20"/>
                <w:szCs w:val="20"/>
                <w:color w:val="auto"/>
              </w:rPr>
            </w:pPr>
            <w:r>
              <w:rPr>
                <w:rFonts w:ascii="Arial" w:cs="Arial" w:eastAsia="Arial" w:hAnsi="Arial"/>
                <w:sz w:val="16"/>
                <w:szCs w:val="16"/>
                <w:color w:val="auto"/>
              </w:rPr>
              <w:t>Chairman and CEO</w:t>
            </w:r>
          </w:p>
        </w:tc>
        <w:tc>
          <w:tcPr>
            <w:tcW w:w="2240" w:type="dxa"/>
            <w:vAlign w:val="bottom"/>
          </w:tcPr>
          <w:p>
            <w:pPr>
              <w:jc w:val="center"/>
              <w:ind w:left="499"/>
              <w:spacing w:after="0"/>
              <w:rPr>
                <w:sz w:val="20"/>
                <w:szCs w:val="20"/>
                <w:color w:val="auto"/>
              </w:rPr>
            </w:pPr>
            <w:r>
              <w:rPr>
                <w:rFonts w:ascii="Arial" w:cs="Arial" w:eastAsia="Arial" w:hAnsi="Arial"/>
                <w:sz w:val="16"/>
                <w:szCs w:val="16"/>
                <w:color w:val="auto"/>
              </w:rPr>
              <w:t>Chief Executive Officer</w:t>
            </w:r>
          </w:p>
        </w:tc>
      </w:tr>
      <w:tr>
        <w:trPr>
          <w:trHeight w:val="215"/>
        </w:trPr>
        <w:tc>
          <w:tcPr>
            <w:tcW w:w="2000" w:type="dxa"/>
            <w:vAlign w:val="bottom"/>
          </w:tcPr>
          <w:p>
            <w:pPr>
              <w:jc w:val="center"/>
              <w:ind w:right="479"/>
              <w:spacing w:after="0"/>
              <w:rPr>
                <w:sz w:val="20"/>
                <w:szCs w:val="20"/>
                <w:color w:val="auto"/>
              </w:rPr>
            </w:pPr>
            <w:r>
              <w:rPr>
                <w:rFonts w:ascii="Arial" w:cs="Arial" w:eastAsia="Arial" w:hAnsi="Arial"/>
                <w:sz w:val="16"/>
                <w:szCs w:val="16"/>
                <w:color w:val="auto"/>
              </w:rPr>
              <w:t>Vista</w:t>
            </w:r>
          </w:p>
        </w:tc>
        <w:tc>
          <w:tcPr>
            <w:tcW w:w="2240" w:type="dxa"/>
            <w:vAlign w:val="bottom"/>
          </w:tcPr>
          <w:p>
            <w:pPr>
              <w:jc w:val="center"/>
              <w:ind w:left="539"/>
              <w:spacing w:after="0"/>
              <w:rPr>
                <w:sz w:val="20"/>
                <w:szCs w:val="20"/>
                <w:color w:val="auto"/>
              </w:rPr>
            </w:pPr>
            <w:r>
              <w:rPr>
                <w:rFonts w:ascii="Arial" w:cs="Arial" w:eastAsia="Arial" w:hAnsi="Arial"/>
                <w:sz w:val="16"/>
                <w:szCs w:val="16"/>
                <w:color w:val="auto"/>
                <w:w w:val="99"/>
              </w:rPr>
              <w:t>SLB</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2320" w:type="dxa"/>
            <w:vAlign w:val="bottom"/>
          </w:tcPr>
          <w:p>
            <w:pPr>
              <w:jc w:val="center"/>
              <w:ind w:right="419"/>
              <w:spacing w:after="0"/>
              <w:rPr>
                <w:sz w:val="20"/>
                <w:szCs w:val="20"/>
                <w:color w:val="auto"/>
              </w:rPr>
            </w:pPr>
            <w:r>
              <w:rPr>
                <w:rFonts w:ascii="Arial" w:cs="Arial" w:eastAsia="Arial" w:hAnsi="Arial"/>
                <w:sz w:val="16"/>
                <w:szCs w:val="16"/>
                <w:b w:val="1"/>
                <w:bCs w:val="1"/>
                <w:color w:val="0233A1"/>
              </w:rPr>
              <w:t>Maria Moræus Hanssen</w:t>
            </w:r>
          </w:p>
        </w:tc>
        <w:tc>
          <w:tcPr>
            <w:tcW w:w="2080" w:type="dxa"/>
            <w:vAlign w:val="bottom"/>
          </w:tcPr>
          <w:p>
            <w:pPr>
              <w:jc w:val="center"/>
              <w:ind w:left="419"/>
              <w:spacing w:after="0"/>
              <w:rPr>
                <w:sz w:val="20"/>
                <w:szCs w:val="20"/>
                <w:color w:val="auto"/>
              </w:rPr>
            </w:pPr>
            <w:r>
              <w:rPr>
                <w:rFonts w:ascii="Arial" w:cs="Arial" w:eastAsia="Arial" w:hAnsi="Arial"/>
                <w:sz w:val="16"/>
                <w:szCs w:val="16"/>
                <w:b w:val="1"/>
                <w:bCs w:val="1"/>
                <w:color w:val="0233A1"/>
              </w:rPr>
              <w:t>Vanitha Narayanan</w:t>
            </w:r>
          </w:p>
        </w:tc>
      </w:tr>
      <w:tr>
        <w:trPr>
          <w:trHeight w:val="189"/>
        </w:trPr>
        <w:tc>
          <w:tcPr>
            <w:tcW w:w="2320" w:type="dxa"/>
            <w:vAlign w:val="bottom"/>
          </w:tcPr>
          <w:p>
            <w:pPr>
              <w:jc w:val="center"/>
              <w:ind w:right="439"/>
              <w:spacing w:after="0"/>
              <w:rPr>
                <w:sz w:val="20"/>
                <w:szCs w:val="20"/>
                <w:color w:val="auto"/>
              </w:rPr>
            </w:pPr>
            <w:r>
              <w:rPr>
                <w:rFonts w:ascii="Arial" w:cs="Arial" w:eastAsia="Arial" w:hAnsi="Arial"/>
                <w:sz w:val="16"/>
                <w:szCs w:val="16"/>
                <w:color w:val="auto"/>
              </w:rPr>
              <w:t>Former Deputy CEO</w:t>
            </w:r>
          </w:p>
        </w:tc>
        <w:tc>
          <w:tcPr>
            <w:tcW w:w="2080" w:type="dxa"/>
            <w:vAlign w:val="bottom"/>
          </w:tcPr>
          <w:p>
            <w:pPr>
              <w:jc w:val="center"/>
              <w:ind w:left="419"/>
              <w:spacing w:after="0"/>
              <w:rPr>
                <w:sz w:val="20"/>
                <w:szCs w:val="20"/>
                <w:color w:val="auto"/>
              </w:rPr>
            </w:pPr>
            <w:r>
              <w:rPr>
                <w:rFonts w:ascii="Arial" w:cs="Arial" w:eastAsia="Arial" w:hAnsi="Arial"/>
                <w:sz w:val="16"/>
                <w:szCs w:val="16"/>
                <w:color w:val="auto"/>
              </w:rPr>
              <w:t>Former Chairman and</w:t>
            </w:r>
          </w:p>
        </w:tc>
      </w:tr>
      <w:tr>
        <w:trPr>
          <w:trHeight w:val="189"/>
        </w:trPr>
        <w:tc>
          <w:tcPr>
            <w:tcW w:w="2320" w:type="dxa"/>
            <w:vAlign w:val="bottom"/>
          </w:tcPr>
          <w:p>
            <w:pPr>
              <w:jc w:val="center"/>
              <w:ind w:right="439"/>
              <w:spacing w:after="0"/>
              <w:rPr>
                <w:sz w:val="20"/>
                <w:szCs w:val="20"/>
                <w:color w:val="auto"/>
              </w:rPr>
            </w:pPr>
            <w:r>
              <w:rPr>
                <w:rFonts w:ascii="Arial" w:cs="Arial" w:eastAsia="Arial" w:hAnsi="Arial"/>
                <w:sz w:val="16"/>
                <w:szCs w:val="16"/>
                <w:color w:val="auto"/>
              </w:rPr>
              <w:t>and COO</w:t>
            </w:r>
          </w:p>
        </w:tc>
        <w:tc>
          <w:tcPr>
            <w:tcW w:w="2080" w:type="dxa"/>
            <w:vAlign w:val="bottom"/>
          </w:tcPr>
          <w:p>
            <w:pPr>
              <w:jc w:val="center"/>
              <w:ind w:left="419"/>
              <w:spacing w:after="0"/>
              <w:rPr>
                <w:sz w:val="20"/>
                <w:szCs w:val="20"/>
                <w:color w:val="auto"/>
              </w:rPr>
            </w:pPr>
            <w:r>
              <w:rPr>
                <w:rFonts w:ascii="Arial" w:cs="Arial" w:eastAsia="Arial" w:hAnsi="Arial"/>
                <w:sz w:val="16"/>
                <w:szCs w:val="16"/>
                <w:color w:val="auto"/>
              </w:rPr>
              <w:t>Managing Director</w:t>
            </w:r>
          </w:p>
        </w:tc>
      </w:tr>
      <w:tr>
        <w:trPr>
          <w:trHeight w:val="215"/>
        </w:trPr>
        <w:tc>
          <w:tcPr>
            <w:tcW w:w="2320" w:type="dxa"/>
            <w:vAlign w:val="bottom"/>
          </w:tcPr>
          <w:p>
            <w:pPr>
              <w:jc w:val="center"/>
              <w:ind w:right="379"/>
              <w:spacing w:after="0"/>
              <w:rPr>
                <w:sz w:val="20"/>
                <w:szCs w:val="20"/>
                <w:color w:val="auto"/>
              </w:rPr>
            </w:pPr>
            <w:r>
              <w:rPr>
                <w:rFonts w:ascii="Arial" w:cs="Arial" w:eastAsia="Arial" w:hAnsi="Arial"/>
                <w:sz w:val="16"/>
                <w:szCs w:val="16"/>
                <w:color w:val="auto"/>
              </w:rPr>
              <w:t>Wintershall Dea GmbH</w:t>
            </w:r>
          </w:p>
        </w:tc>
        <w:tc>
          <w:tcPr>
            <w:tcW w:w="2080" w:type="dxa"/>
            <w:vAlign w:val="bottom"/>
          </w:tcPr>
          <w:p>
            <w:pPr>
              <w:jc w:val="center"/>
              <w:ind w:left="459"/>
              <w:spacing w:after="0"/>
              <w:rPr>
                <w:sz w:val="20"/>
                <w:szCs w:val="20"/>
                <w:color w:val="auto"/>
              </w:rPr>
            </w:pPr>
            <w:r>
              <w:rPr>
                <w:rFonts w:ascii="Arial" w:cs="Arial" w:eastAsia="Arial" w:hAnsi="Arial"/>
                <w:sz w:val="16"/>
                <w:szCs w:val="16"/>
                <w:color w:val="auto"/>
              </w:rPr>
              <w:t>IBM India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00"/>
        <w:spacing w:after="0"/>
        <w:rPr>
          <w:sz w:val="20"/>
          <w:szCs w:val="20"/>
          <w:color w:val="auto"/>
        </w:rPr>
      </w:pPr>
      <w:r>
        <w:rPr>
          <w:rFonts w:ascii="Arial" w:cs="Arial" w:eastAsia="Arial" w:hAnsi="Arial"/>
          <w:sz w:val="16"/>
          <w:szCs w:val="16"/>
          <w:b w:val="1"/>
          <w:bCs w:val="1"/>
          <w:color w:val="0233A1"/>
        </w:rPr>
        <w:t>Ulrich Spiesshofer</w:t>
      </w:r>
    </w:p>
    <w:p>
      <w:pPr>
        <w:spacing w:after="0" w:line="35" w:lineRule="exact"/>
        <w:rPr>
          <w:sz w:val="20"/>
          <w:szCs w:val="20"/>
          <w:color w:val="auto"/>
        </w:rPr>
      </w:pPr>
    </w:p>
    <w:p>
      <w:pPr>
        <w:jc w:val="center"/>
        <w:ind w:right="3300"/>
        <w:spacing w:after="0"/>
        <w:rPr>
          <w:sz w:val="20"/>
          <w:szCs w:val="20"/>
          <w:color w:val="auto"/>
        </w:rPr>
      </w:pPr>
      <w:r>
        <w:rPr>
          <w:rFonts w:ascii="Arial" w:cs="Arial" w:eastAsia="Arial" w:hAnsi="Arial"/>
          <w:sz w:val="16"/>
          <w:szCs w:val="16"/>
          <w:color w:val="auto"/>
        </w:rPr>
        <w:t>Former President and CEO</w:t>
      </w:r>
    </w:p>
    <w:p>
      <w:pPr>
        <w:spacing w:after="0" w:line="5" w:lineRule="exact"/>
        <w:rPr>
          <w:sz w:val="20"/>
          <w:szCs w:val="20"/>
          <w:color w:val="auto"/>
        </w:rPr>
      </w:pPr>
    </w:p>
    <w:p>
      <w:pPr>
        <w:jc w:val="center"/>
        <w:ind w:right="3260"/>
        <w:spacing w:after="0"/>
        <w:rPr>
          <w:sz w:val="20"/>
          <w:szCs w:val="20"/>
          <w:color w:val="auto"/>
        </w:rPr>
      </w:pPr>
      <w:r>
        <w:rPr>
          <w:rFonts w:ascii="Arial" w:cs="Arial" w:eastAsia="Arial" w:hAnsi="Arial"/>
          <w:sz w:val="16"/>
          <w:szCs w:val="16"/>
          <w:color w:val="auto"/>
        </w:rPr>
        <w:t>ABB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0" w:right="240" w:firstLine="14"/>
        <w:spacing w:after="0" w:line="266" w:lineRule="auto"/>
        <w:rPr>
          <w:sz w:val="20"/>
          <w:szCs w:val="20"/>
          <w:color w:val="auto"/>
        </w:rPr>
      </w:pPr>
      <w:r>
        <w:rPr>
          <w:rFonts w:ascii="Arial" w:cs="Arial" w:eastAsia="Arial" w:hAnsi="Arial"/>
          <w:sz w:val="16"/>
          <w:szCs w:val="16"/>
          <w:color w:val="auto"/>
        </w:rPr>
        <w:t>Director nominees reflect the gender, racial and ethnic, cultural and geographical diversity of our global operations, as well as diverse experience, skills, and tenure</w:t>
      </w:r>
    </w:p>
    <w:p>
      <w:pPr>
        <w:spacing w:after="0" w:line="63" w:lineRule="exact"/>
        <w:rPr>
          <w:sz w:val="20"/>
          <w:szCs w:val="20"/>
          <w:color w:val="auto"/>
        </w:rPr>
      </w:pPr>
    </w:p>
    <w:p>
      <w:pPr>
        <w:ind w:left="180" w:right="720" w:firstLine="14"/>
        <w:spacing w:after="0" w:line="286" w:lineRule="auto"/>
        <w:rPr>
          <w:sz w:val="20"/>
          <w:szCs w:val="20"/>
          <w:color w:val="auto"/>
        </w:rPr>
      </w:pPr>
      <w:r>
        <w:rPr>
          <w:rFonts w:ascii="Arial" w:cs="Arial" w:eastAsia="Arial" w:hAnsi="Arial"/>
          <w:sz w:val="16"/>
          <w:szCs w:val="16"/>
          <w:color w:val="auto"/>
        </w:rPr>
        <w:t>Demonstrated commitment to Board refreshment, with every director joining the Board within the last six years</w:t>
      </w:r>
    </w:p>
    <w:p>
      <w:pPr>
        <w:spacing w:after="0" w:line="48" w:lineRule="exact"/>
        <w:rPr>
          <w:sz w:val="20"/>
          <w:szCs w:val="20"/>
          <w:color w:val="auto"/>
        </w:rPr>
      </w:pPr>
    </w:p>
    <w:p>
      <w:pPr>
        <w:ind w:left="180" w:right="300" w:firstLine="14"/>
        <w:spacing w:after="0" w:line="286" w:lineRule="auto"/>
        <w:rPr>
          <w:sz w:val="20"/>
          <w:szCs w:val="20"/>
          <w:color w:val="auto"/>
        </w:rPr>
      </w:pPr>
      <w:r>
        <w:rPr>
          <w:rFonts w:ascii="Arial" w:cs="Arial" w:eastAsia="Arial" w:hAnsi="Arial"/>
          <w:sz w:val="16"/>
          <w:szCs w:val="16"/>
          <w:color w:val="auto"/>
        </w:rPr>
        <w:t>Non-employee director tenure limits of 75 years of age or 10 years of service—whichever comes first</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 hedging or pledging of our stock by executives or directors</w:t>
      </w:r>
    </w:p>
    <w:p>
      <w:pPr>
        <w:spacing w:after="0" w:line="113" w:lineRule="exact"/>
        <w:rPr>
          <w:sz w:val="20"/>
          <w:szCs w:val="20"/>
          <w:color w:val="auto"/>
        </w:rPr>
      </w:pPr>
    </w:p>
    <w:p>
      <w:pPr>
        <w:ind w:left="180" w:right="860" w:firstLine="14"/>
        <w:spacing w:after="0" w:line="286" w:lineRule="auto"/>
        <w:rPr>
          <w:sz w:val="20"/>
          <w:szCs w:val="20"/>
          <w:color w:val="auto"/>
        </w:rPr>
      </w:pPr>
      <w:r>
        <w:rPr>
          <w:rFonts w:ascii="Arial" w:cs="Arial" w:eastAsia="Arial" w:hAnsi="Arial"/>
          <w:sz w:val="16"/>
          <w:szCs w:val="16"/>
          <w:color w:val="auto"/>
        </w:rPr>
        <w:t>Robust stock ownership guidelines for SLB executives and directors</w:t>
      </w:r>
    </w:p>
    <w:p>
      <w:pPr>
        <w:spacing w:after="0" w:line="48" w:lineRule="exact"/>
        <w:rPr>
          <w:sz w:val="20"/>
          <w:szCs w:val="20"/>
          <w:color w:val="auto"/>
        </w:rPr>
      </w:pPr>
    </w:p>
    <w:p>
      <w:pPr>
        <w:ind w:left="180" w:right="360" w:firstLine="14"/>
        <w:spacing w:after="0" w:line="286" w:lineRule="auto"/>
        <w:rPr>
          <w:sz w:val="20"/>
          <w:szCs w:val="20"/>
          <w:color w:val="auto"/>
        </w:rPr>
      </w:pPr>
      <w:r>
        <w:rPr>
          <w:rFonts w:ascii="Arial" w:cs="Arial" w:eastAsia="Arial" w:hAnsi="Arial"/>
          <w:sz w:val="16"/>
          <w:szCs w:val="16"/>
          <w:color w:val="auto"/>
        </w:rPr>
        <w:t>No lobbying or making financial or in-kind contributions to political parties 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519430</wp:posOffset>
            </wp:positionV>
            <wp:extent cx="471805" cy="283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458" w:lineRule="exact"/>
        <w:rPr>
          <w:sz w:val="20"/>
          <w:szCs w:val="20"/>
          <w:color w:val="auto"/>
        </w:rPr>
      </w:pPr>
    </w:p>
    <w:p>
      <w:pPr>
        <w:sectPr>
          <w:pgSz w:w="11900" w:h="16838" w:orient="portrait"/>
          <w:cols w:equalWidth="0" w:num="2">
            <w:col w:w="5360" w:space="620"/>
            <w:col w:w="5260"/>
          </w:cols>
          <w:pgMar w:left="320" w:top="238" w:right="33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Borders>
              <w:bottom w:val="single" w:sz="8" w:color="auto"/>
            </w:tcBorders>
          </w:tcPr>
          <w:p>
            <w:pPr>
              <w:spacing w:after="0"/>
              <w:rPr>
                <w:sz w:val="11"/>
                <w:szCs w:val="11"/>
                <w:color w:val="auto"/>
              </w:rPr>
            </w:pPr>
          </w:p>
        </w:tc>
        <w:tc>
          <w:tcPr>
            <w:tcW w:w="4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5</w:t>
            </w:r>
          </w:p>
        </w:tc>
        <w:tc>
          <w:tcPr>
            <w:tcW w:w="448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800" w:type="dxa"/>
            <w:vAlign w:val="bottom"/>
            <w:vMerge w:val="continue"/>
          </w:tcPr>
          <w:p>
            <w:pPr>
              <w:spacing w:after="0"/>
              <w:rPr>
                <w:sz w:val="7"/>
                <w:szCs w:val="7"/>
                <w:color w:val="auto"/>
              </w:rPr>
            </w:pPr>
          </w:p>
        </w:tc>
        <w:tc>
          <w:tcPr>
            <w:tcW w:w="36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4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6130" cy="78136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813675"/>
                    </a:xfrm>
                    <a:prstGeom prst="rect">
                      <a:avLst/>
                    </a:prstGeom>
                    <a:noFill/>
                  </pic:spPr>
                </pic:pic>
              </a:graphicData>
            </a:graphic>
          </wp:anchor>
        </w:drawing>
      </w:r>
    </w:p>
    <w:p>
      <w:pPr>
        <w:spacing w:after="0" w:line="336" w:lineRule="exact"/>
        <w:rPr>
          <w:sz w:val="20"/>
          <w:szCs w:val="20"/>
          <w:color w:val="auto"/>
        </w:rPr>
      </w:pPr>
    </w:p>
    <w:p>
      <w:pPr>
        <w:ind w:left="200"/>
        <w:spacing w:after="0"/>
        <w:rPr>
          <w:sz w:val="20"/>
          <w:szCs w:val="20"/>
          <w:color w:val="auto"/>
        </w:rPr>
      </w:pPr>
      <w:r>
        <w:rPr>
          <w:rFonts w:ascii="Arial" w:cs="Arial" w:eastAsia="Arial" w:hAnsi="Arial"/>
          <w:sz w:val="29"/>
          <w:szCs w:val="29"/>
          <w:color w:val="16458B"/>
        </w:rPr>
        <w:t>We Are SLB</w:t>
      </w:r>
    </w:p>
    <w:p>
      <w:pPr>
        <w:spacing w:after="0" w:line="211"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0233A1"/>
        </w:rPr>
        <w:t>A global technology company that drives energy innovation for a balanced planet</w:t>
      </w:r>
    </w:p>
    <w:p>
      <w:pPr>
        <w:spacing w:after="0" w:line="194" w:lineRule="exact"/>
        <w:rPr>
          <w:sz w:val="20"/>
          <w:szCs w:val="20"/>
          <w:color w:val="auto"/>
        </w:rPr>
      </w:pPr>
    </w:p>
    <w:p>
      <w:pPr>
        <w:jc w:val="both"/>
        <w:ind w:left="200" w:right="200" w:firstLine="324"/>
        <w:spacing w:after="0" w:line="259" w:lineRule="auto"/>
        <w:rPr>
          <w:sz w:val="20"/>
          <w:szCs w:val="20"/>
          <w:color w:val="auto"/>
        </w:rPr>
      </w:pPr>
      <w:r>
        <w:rPr>
          <w:rFonts w:ascii="Arial" w:cs="Arial" w:eastAsia="Arial" w:hAnsi="Arial"/>
          <w:sz w:val="16"/>
          <w:szCs w:val="16"/>
          <w:color w:val="auto"/>
        </w:rPr>
        <w:t>2022 was transformative for SLB. We launched our bold new SLB brand identity—reinforcing our leadership position in technology, digital, and sustainability in the energy industry—and we demonstrated our ability to deliver superior earnings in this early phase of a structural upcycle in energy. We set new safety, operational, and performance benchmarks for our customers and strengthened our market position both internationally and in North America.</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Highlights of our 2022 financial performance</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include:</w:t>
      </w:r>
    </w:p>
    <w:p>
      <w:pPr>
        <w:spacing w:after="0" w:line="112" w:lineRule="exact"/>
        <w:rPr>
          <w:sz w:val="20"/>
          <w:szCs w:val="20"/>
          <w:color w:val="auto"/>
        </w:rPr>
      </w:pPr>
    </w:p>
    <w:tbl>
      <w:tblPr>
        <w:tblLayout w:type="fixed"/>
        <w:tblInd w:w="210" w:type="dxa"/>
        <w:tblCellMar>
          <w:top w:w="0" w:type="dxa"/>
          <w:left w:w="0" w:type="dxa"/>
          <w:bottom w:w="0" w:type="dxa"/>
          <w:right w:w="0" w:type="dxa"/>
        </w:tblCellMar>
      </w:tblPr>
      <w:tr>
        <w:trPr>
          <w:trHeight w:val="95"/>
        </w:trPr>
        <w:tc>
          <w:tcPr>
            <w:tcW w:w="120" w:type="dxa"/>
            <w:vAlign w:val="bottom"/>
            <w:tcBorders>
              <w:top w:val="single" w:sz="8" w:color="0233A1"/>
              <w:left w:val="single" w:sz="8" w:color="0233A1"/>
            </w:tcBorders>
          </w:tcPr>
          <w:p>
            <w:pPr>
              <w:spacing w:after="0"/>
              <w:rPr>
                <w:sz w:val="8"/>
                <w:szCs w:val="8"/>
                <w:color w:val="auto"/>
              </w:rPr>
            </w:pPr>
          </w:p>
        </w:tc>
        <w:tc>
          <w:tcPr>
            <w:tcW w:w="2280" w:type="dxa"/>
            <w:vAlign w:val="bottom"/>
            <w:tcBorders>
              <w:top w:val="single" w:sz="8" w:color="0233A1"/>
            </w:tcBorders>
          </w:tcPr>
          <w:p>
            <w:pPr>
              <w:spacing w:after="0"/>
              <w:rPr>
                <w:sz w:val="8"/>
                <w:szCs w:val="8"/>
                <w:color w:val="auto"/>
              </w:rPr>
            </w:pPr>
          </w:p>
        </w:tc>
        <w:tc>
          <w:tcPr>
            <w:tcW w:w="340" w:type="dxa"/>
            <w:vAlign w:val="bottom"/>
            <w:tcBorders>
              <w:top w:val="single" w:sz="8" w:color="0233A1"/>
            </w:tcBorders>
          </w:tcPr>
          <w:p>
            <w:pPr>
              <w:spacing w:after="0"/>
              <w:rPr>
                <w:sz w:val="8"/>
                <w:szCs w:val="8"/>
                <w:color w:val="auto"/>
              </w:rPr>
            </w:pPr>
          </w:p>
        </w:tc>
        <w:tc>
          <w:tcPr>
            <w:tcW w:w="2700" w:type="dxa"/>
            <w:vAlign w:val="bottom"/>
            <w:tcBorders>
              <w:top w:val="single" w:sz="8" w:color="0233A1"/>
            </w:tcBorders>
            <w:gridSpan w:val="2"/>
            <w:vMerge w:val="restart"/>
          </w:tcPr>
          <w:p>
            <w:pPr>
              <w:jc w:val="center"/>
              <w:ind w:right="360"/>
              <w:spacing w:after="0"/>
              <w:rPr>
                <w:sz w:val="20"/>
                <w:szCs w:val="20"/>
                <w:color w:val="auto"/>
              </w:rPr>
            </w:pPr>
            <w:r>
              <w:rPr>
                <w:rFonts w:ascii="Arial" w:cs="Arial" w:eastAsia="Arial" w:hAnsi="Arial"/>
                <w:sz w:val="16"/>
                <w:szCs w:val="16"/>
                <w:color w:val="auto"/>
              </w:rPr>
              <w:t xml:space="preserve">Grew </w:t>
            </w:r>
            <w:r>
              <w:rPr>
                <w:rFonts w:ascii="Arial" w:cs="Arial" w:eastAsia="Arial" w:hAnsi="Arial"/>
                <w:sz w:val="16"/>
                <w:szCs w:val="16"/>
                <w:b w:val="1"/>
                <w:bCs w:val="1"/>
                <w:color w:val="auto"/>
              </w:rPr>
              <w:t>GAAP earnings</w:t>
            </w:r>
          </w:p>
        </w:tc>
        <w:tc>
          <w:tcPr>
            <w:tcW w:w="2260" w:type="dxa"/>
            <w:vAlign w:val="bottom"/>
            <w:tcBorders>
              <w:top w:val="single" w:sz="8" w:color="0233A1"/>
            </w:tcBorders>
          </w:tcPr>
          <w:p>
            <w:pPr>
              <w:spacing w:after="0"/>
              <w:rPr>
                <w:sz w:val="8"/>
                <w:szCs w:val="8"/>
                <w:color w:val="auto"/>
              </w:rPr>
            </w:pPr>
          </w:p>
        </w:tc>
        <w:tc>
          <w:tcPr>
            <w:tcW w:w="320" w:type="dxa"/>
            <w:vAlign w:val="bottom"/>
            <w:tcBorders>
              <w:top w:val="single" w:sz="8" w:color="0233A1"/>
            </w:tcBorders>
          </w:tcPr>
          <w:p>
            <w:pPr>
              <w:spacing w:after="0"/>
              <w:rPr>
                <w:sz w:val="8"/>
                <w:szCs w:val="8"/>
                <w:color w:val="auto"/>
              </w:rPr>
            </w:pPr>
          </w:p>
        </w:tc>
        <w:tc>
          <w:tcPr>
            <w:tcW w:w="2700" w:type="dxa"/>
            <w:vAlign w:val="bottom"/>
            <w:tcBorders>
              <w:top w:val="single" w:sz="8" w:color="0233A1"/>
            </w:tcBorders>
            <w:vMerge w:val="restart"/>
          </w:tcPr>
          <w:p>
            <w:pPr>
              <w:jc w:val="center"/>
              <w:spacing w:after="0"/>
              <w:rPr>
                <w:sz w:val="20"/>
                <w:szCs w:val="20"/>
                <w:color w:val="auto"/>
              </w:rPr>
            </w:pPr>
            <w:r>
              <w:rPr>
                <w:rFonts w:ascii="Arial" w:cs="Arial" w:eastAsia="Arial" w:hAnsi="Arial"/>
                <w:sz w:val="16"/>
                <w:szCs w:val="16"/>
                <w:color w:val="auto"/>
              </w:rPr>
              <w:t>Strengthened balance</w:t>
            </w:r>
          </w:p>
        </w:tc>
        <w:tc>
          <w:tcPr>
            <w:tcW w:w="120" w:type="dxa"/>
            <w:vAlign w:val="bottom"/>
            <w:tcBorders>
              <w:top w:val="single" w:sz="8" w:color="0233A1"/>
              <w:right w:val="single" w:sz="8" w:color="0233A1"/>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20" w:type="dxa"/>
            <w:vAlign w:val="bottom"/>
            <w:tcBorders>
              <w:left w:val="single" w:sz="8" w:color="0233A1"/>
            </w:tcBorders>
          </w:tcPr>
          <w:p>
            <w:pPr>
              <w:spacing w:after="0"/>
              <w:rPr>
                <w:sz w:val="19"/>
                <w:szCs w:val="19"/>
                <w:color w:val="auto"/>
              </w:rPr>
            </w:pPr>
          </w:p>
        </w:tc>
        <w:tc>
          <w:tcPr>
            <w:tcW w:w="2280" w:type="dxa"/>
            <w:vAlign w:val="bottom"/>
            <w:vMerge w:val="restart"/>
            <w:shd w:val="clear" w:color="auto" w:fill="EBECEE"/>
          </w:tcPr>
          <w:p>
            <w:pPr>
              <w:jc w:val="center"/>
              <w:spacing w:after="0"/>
              <w:rPr>
                <w:sz w:val="20"/>
                <w:szCs w:val="20"/>
                <w:color w:val="auto"/>
              </w:rPr>
            </w:pPr>
            <w:r>
              <w:rPr>
                <w:rFonts w:ascii="Arial" w:cs="Arial" w:eastAsia="Arial" w:hAnsi="Arial"/>
                <w:sz w:val="16"/>
                <w:szCs w:val="16"/>
                <w:color w:val="auto"/>
                <w:w w:val="99"/>
              </w:rPr>
              <w:t xml:space="preserve">Grew </w:t>
            </w:r>
            <w:r>
              <w:rPr>
                <w:rFonts w:ascii="Arial" w:cs="Arial" w:eastAsia="Arial" w:hAnsi="Arial"/>
                <w:sz w:val="16"/>
                <w:szCs w:val="16"/>
                <w:b w:val="1"/>
                <w:bCs w:val="1"/>
                <w:color w:val="auto"/>
                <w:w w:val="99"/>
              </w:rPr>
              <w:t>revenue</w:t>
            </w:r>
          </w:p>
        </w:tc>
        <w:tc>
          <w:tcPr>
            <w:tcW w:w="340" w:type="dxa"/>
            <w:vAlign w:val="bottom"/>
          </w:tcPr>
          <w:p>
            <w:pPr>
              <w:spacing w:after="0"/>
              <w:rPr>
                <w:sz w:val="19"/>
                <w:szCs w:val="19"/>
                <w:color w:val="auto"/>
              </w:rPr>
            </w:pPr>
          </w:p>
        </w:tc>
        <w:tc>
          <w:tcPr>
            <w:tcW w:w="2700" w:type="dxa"/>
            <w:vAlign w:val="bottom"/>
            <w:gridSpan w:val="2"/>
            <w:vMerge w:val="continue"/>
          </w:tcPr>
          <w:p>
            <w:pPr>
              <w:spacing w:after="0"/>
              <w:rPr>
                <w:sz w:val="19"/>
                <w:szCs w:val="19"/>
                <w:color w:val="auto"/>
              </w:rPr>
            </w:pPr>
          </w:p>
        </w:tc>
        <w:tc>
          <w:tcPr>
            <w:tcW w:w="2260" w:type="dxa"/>
            <w:vAlign w:val="bottom"/>
            <w:vMerge w:val="restart"/>
            <w:shd w:val="clear" w:color="auto" w:fill="EBECEE"/>
          </w:tcPr>
          <w:p>
            <w:pPr>
              <w:jc w:val="center"/>
              <w:spacing w:after="0"/>
              <w:rPr>
                <w:sz w:val="20"/>
                <w:szCs w:val="20"/>
                <w:color w:val="auto"/>
              </w:rPr>
            </w:pPr>
            <w:r>
              <w:rPr>
                <w:rFonts w:ascii="Arial" w:cs="Arial" w:eastAsia="Arial" w:hAnsi="Arial"/>
                <w:sz w:val="16"/>
                <w:szCs w:val="16"/>
                <w:color w:val="auto"/>
              </w:rPr>
              <w:t xml:space="preserve">Expanded </w:t>
            </w:r>
            <w:r>
              <w:rPr>
                <w:rFonts w:ascii="Arial" w:cs="Arial" w:eastAsia="Arial" w:hAnsi="Arial"/>
                <w:sz w:val="16"/>
                <w:szCs w:val="16"/>
                <w:b w:val="1"/>
                <w:bCs w:val="1"/>
                <w:color w:val="auto"/>
              </w:rPr>
              <w:t>income</w:t>
            </w:r>
          </w:p>
        </w:tc>
        <w:tc>
          <w:tcPr>
            <w:tcW w:w="320" w:type="dxa"/>
            <w:vAlign w:val="bottom"/>
          </w:tcPr>
          <w:p>
            <w:pPr>
              <w:spacing w:after="0"/>
              <w:rPr>
                <w:sz w:val="19"/>
                <w:szCs w:val="19"/>
                <w:color w:val="auto"/>
              </w:rPr>
            </w:pPr>
          </w:p>
        </w:tc>
        <w:tc>
          <w:tcPr>
            <w:tcW w:w="2700" w:type="dxa"/>
            <w:vAlign w:val="bottom"/>
            <w:vMerge w:val="continue"/>
          </w:tcPr>
          <w:p>
            <w:pPr>
              <w:spacing w:after="0"/>
              <w:rPr>
                <w:sz w:val="19"/>
                <w:szCs w:val="19"/>
                <w:color w:val="auto"/>
              </w:rPr>
            </w:pPr>
          </w:p>
        </w:tc>
        <w:tc>
          <w:tcPr>
            <w:tcW w:w="120" w:type="dxa"/>
            <w:vAlign w:val="bottom"/>
            <w:tcBorders>
              <w:right w:val="single" w:sz="8" w:color="0233A1"/>
            </w:tcBorders>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120" w:type="dxa"/>
            <w:vAlign w:val="bottom"/>
            <w:tcBorders>
              <w:left w:val="single" w:sz="8" w:color="0233A1"/>
            </w:tcBorders>
          </w:tcPr>
          <w:p>
            <w:pPr>
              <w:spacing w:after="0"/>
              <w:rPr>
                <w:sz w:val="11"/>
                <w:szCs w:val="11"/>
                <w:color w:val="auto"/>
              </w:rPr>
            </w:pPr>
          </w:p>
        </w:tc>
        <w:tc>
          <w:tcPr>
            <w:tcW w:w="2280" w:type="dxa"/>
            <w:vAlign w:val="bottom"/>
            <w:vMerge w:val="continue"/>
            <w:shd w:val="clear" w:color="auto" w:fill="EBECEE"/>
          </w:tcPr>
          <w:p>
            <w:pPr>
              <w:spacing w:after="0"/>
              <w:rPr>
                <w:sz w:val="11"/>
                <w:szCs w:val="11"/>
                <w:color w:val="auto"/>
              </w:rPr>
            </w:pPr>
          </w:p>
        </w:tc>
        <w:tc>
          <w:tcPr>
            <w:tcW w:w="340" w:type="dxa"/>
            <w:vAlign w:val="bottom"/>
          </w:tcPr>
          <w:p>
            <w:pPr>
              <w:spacing w:after="0"/>
              <w:rPr>
                <w:sz w:val="11"/>
                <w:szCs w:val="11"/>
                <w:color w:val="auto"/>
              </w:rPr>
            </w:pPr>
          </w:p>
        </w:tc>
        <w:tc>
          <w:tcPr>
            <w:tcW w:w="270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rPr>
              <w:t xml:space="preserve">per share (EPS) </w:t>
            </w:r>
            <w:r>
              <w:rPr>
                <w:rFonts w:ascii="Arial" w:cs="Arial" w:eastAsia="Arial" w:hAnsi="Arial"/>
                <w:sz w:val="16"/>
                <w:szCs w:val="16"/>
                <w:color w:val="auto"/>
              </w:rPr>
              <w:t>by</w:t>
            </w:r>
          </w:p>
        </w:tc>
        <w:tc>
          <w:tcPr>
            <w:tcW w:w="2260" w:type="dxa"/>
            <w:vAlign w:val="bottom"/>
            <w:vMerge w:val="continue"/>
            <w:shd w:val="clear" w:color="auto" w:fill="EBECEE"/>
          </w:tcPr>
          <w:p>
            <w:pPr>
              <w:spacing w:after="0"/>
              <w:rPr>
                <w:sz w:val="11"/>
                <w:szCs w:val="11"/>
                <w:color w:val="auto"/>
              </w:rPr>
            </w:pPr>
          </w:p>
        </w:tc>
        <w:tc>
          <w:tcPr>
            <w:tcW w:w="320" w:type="dxa"/>
            <w:vAlign w:val="bottom"/>
          </w:tcPr>
          <w:p>
            <w:pPr>
              <w:spacing w:after="0"/>
              <w:rPr>
                <w:sz w:val="11"/>
                <w:szCs w:val="11"/>
                <w:color w:val="auto"/>
              </w:rPr>
            </w:pPr>
          </w:p>
        </w:tc>
        <w:tc>
          <w:tcPr>
            <w:tcW w:w="2700" w:type="dxa"/>
            <w:vAlign w:val="bottom"/>
            <w:vMerge w:val="restart"/>
          </w:tcPr>
          <w:p>
            <w:pPr>
              <w:jc w:val="center"/>
              <w:spacing w:after="0"/>
              <w:rPr>
                <w:sz w:val="20"/>
                <w:szCs w:val="20"/>
                <w:color w:val="auto"/>
              </w:rPr>
            </w:pPr>
            <w:r>
              <w:rPr>
                <w:rFonts w:ascii="Arial" w:cs="Arial" w:eastAsia="Arial" w:hAnsi="Arial"/>
                <w:sz w:val="16"/>
                <w:szCs w:val="16"/>
                <w:color w:val="auto"/>
              </w:rPr>
              <w:t>sheet by reducing both</w:t>
            </w:r>
          </w:p>
        </w:tc>
        <w:tc>
          <w:tcPr>
            <w:tcW w:w="120" w:type="dxa"/>
            <w:vAlign w:val="bottom"/>
            <w:tcBorders>
              <w:right w:val="single" w:sz="8" w:color="0233A1"/>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20" w:type="dxa"/>
            <w:vAlign w:val="bottom"/>
            <w:tcBorders>
              <w:left w:val="single" w:sz="8" w:color="0233A1"/>
            </w:tcBorders>
          </w:tcPr>
          <w:p>
            <w:pPr>
              <w:spacing w:after="0"/>
              <w:rPr>
                <w:sz w:val="6"/>
                <w:szCs w:val="6"/>
                <w:color w:val="auto"/>
              </w:rPr>
            </w:pPr>
          </w:p>
        </w:tc>
        <w:tc>
          <w:tcPr>
            <w:tcW w:w="2280" w:type="dxa"/>
            <w:vAlign w:val="bottom"/>
            <w:vMerge w:val="continue"/>
            <w:shd w:val="clear" w:color="auto" w:fill="EBECEE"/>
          </w:tcPr>
          <w:p>
            <w:pPr>
              <w:spacing w:after="0"/>
              <w:rPr>
                <w:sz w:val="6"/>
                <w:szCs w:val="6"/>
                <w:color w:val="auto"/>
              </w:rPr>
            </w:pPr>
          </w:p>
        </w:tc>
        <w:tc>
          <w:tcPr>
            <w:tcW w:w="340" w:type="dxa"/>
            <w:vAlign w:val="bottom"/>
          </w:tcPr>
          <w:p>
            <w:pPr>
              <w:spacing w:after="0"/>
              <w:rPr>
                <w:sz w:val="6"/>
                <w:szCs w:val="6"/>
                <w:color w:val="auto"/>
              </w:rPr>
            </w:pPr>
          </w:p>
        </w:tc>
        <w:tc>
          <w:tcPr>
            <w:tcW w:w="2700" w:type="dxa"/>
            <w:vAlign w:val="bottom"/>
            <w:gridSpan w:val="2"/>
            <w:vMerge w:val="continue"/>
          </w:tcPr>
          <w:p>
            <w:pPr>
              <w:spacing w:after="0"/>
              <w:rPr>
                <w:sz w:val="6"/>
                <w:szCs w:val="6"/>
                <w:color w:val="auto"/>
              </w:rPr>
            </w:pPr>
          </w:p>
        </w:tc>
        <w:tc>
          <w:tcPr>
            <w:tcW w:w="2260" w:type="dxa"/>
            <w:vAlign w:val="bottom"/>
            <w:vMerge w:val="restart"/>
            <w:shd w:val="clear" w:color="auto" w:fill="EBECEE"/>
          </w:tcPr>
          <w:p>
            <w:pPr>
              <w:jc w:val="center"/>
              <w:spacing w:after="0"/>
              <w:rPr>
                <w:sz w:val="20"/>
                <w:szCs w:val="20"/>
                <w:color w:val="auto"/>
              </w:rPr>
            </w:pPr>
            <w:r>
              <w:rPr>
                <w:rFonts w:ascii="Arial" w:cs="Arial" w:eastAsia="Arial" w:hAnsi="Arial"/>
                <w:sz w:val="16"/>
                <w:szCs w:val="16"/>
                <w:b w:val="1"/>
                <w:bCs w:val="1"/>
                <w:color w:val="auto"/>
              </w:rPr>
              <w:t xml:space="preserve">before taxes margin </w:t>
            </w:r>
            <w:r>
              <w:rPr>
                <w:rFonts w:ascii="Arial" w:cs="Arial" w:eastAsia="Arial" w:hAnsi="Arial"/>
                <w:sz w:val="16"/>
                <w:szCs w:val="16"/>
                <w:color w:val="auto"/>
              </w:rPr>
              <w:t>to</w:t>
            </w:r>
          </w:p>
        </w:tc>
        <w:tc>
          <w:tcPr>
            <w:tcW w:w="320" w:type="dxa"/>
            <w:vAlign w:val="bottom"/>
          </w:tcPr>
          <w:p>
            <w:pPr>
              <w:spacing w:after="0"/>
              <w:rPr>
                <w:sz w:val="6"/>
                <w:szCs w:val="6"/>
                <w:color w:val="auto"/>
              </w:rPr>
            </w:pPr>
          </w:p>
        </w:tc>
        <w:tc>
          <w:tcPr>
            <w:tcW w:w="2700" w:type="dxa"/>
            <w:vAlign w:val="bottom"/>
            <w:vMerge w:val="continue"/>
          </w:tcPr>
          <w:p>
            <w:pPr>
              <w:spacing w:after="0"/>
              <w:rPr>
                <w:sz w:val="6"/>
                <w:szCs w:val="6"/>
                <w:color w:val="auto"/>
              </w:rPr>
            </w:pPr>
          </w:p>
        </w:tc>
        <w:tc>
          <w:tcPr>
            <w:tcW w:w="120" w:type="dxa"/>
            <w:vAlign w:val="bottom"/>
            <w:tcBorders>
              <w:right w:val="single" w:sz="8" w:color="0233A1"/>
            </w:tcBorders>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20" w:type="dxa"/>
            <w:vAlign w:val="bottom"/>
            <w:tcBorders>
              <w:left w:val="single" w:sz="8" w:color="0233A1"/>
            </w:tcBorders>
          </w:tcPr>
          <w:p>
            <w:pPr>
              <w:spacing w:after="0"/>
              <w:rPr>
                <w:sz w:val="9"/>
                <w:szCs w:val="9"/>
                <w:color w:val="auto"/>
              </w:rPr>
            </w:pPr>
          </w:p>
        </w:tc>
        <w:tc>
          <w:tcPr>
            <w:tcW w:w="2280" w:type="dxa"/>
            <w:vAlign w:val="bottom"/>
            <w:vMerge w:val="restart"/>
            <w:shd w:val="clear" w:color="auto" w:fill="EBECEE"/>
          </w:tcPr>
          <w:p>
            <w:pPr>
              <w:jc w:val="center"/>
              <w:spacing w:after="0" w:line="310" w:lineRule="exact"/>
              <w:rPr>
                <w:sz w:val="20"/>
                <w:szCs w:val="20"/>
                <w:color w:val="auto"/>
              </w:rPr>
            </w:pPr>
            <w:r>
              <w:rPr>
                <w:rFonts w:ascii="Arial" w:cs="Arial" w:eastAsia="Arial" w:hAnsi="Arial"/>
                <w:sz w:val="29"/>
                <w:szCs w:val="29"/>
                <w:b w:val="1"/>
                <w:bCs w:val="1"/>
                <w:color w:val="0233A1"/>
                <w:w w:val="99"/>
              </w:rPr>
              <w:t>23%</w:t>
            </w:r>
          </w:p>
        </w:tc>
        <w:tc>
          <w:tcPr>
            <w:tcW w:w="2720" w:type="dxa"/>
            <w:vAlign w:val="bottom"/>
            <w:gridSpan w:val="2"/>
            <w:vMerge w:val="restart"/>
          </w:tcPr>
          <w:p>
            <w:pPr>
              <w:jc w:val="center"/>
              <w:ind w:left="156"/>
              <w:spacing w:after="0" w:line="310" w:lineRule="exact"/>
              <w:rPr>
                <w:sz w:val="20"/>
                <w:szCs w:val="20"/>
                <w:color w:val="auto"/>
              </w:rPr>
            </w:pPr>
            <w:r>
              <w:rPr>
                <w:rFonts w:ascii="Arial" w:cs="Arial" w:eastAsia="Arial" w:hAnsi="Arial"/>
                <w:sz w:val="29"/>
                <w:szCs w:val="29"/>
                <w:b w:val="1"/>
                <w:bCs w:val="1"/>
                <w:color w:val="0233A1"/>
                <w:w w:val="99"/>
              </w:rPr>
              <w:t>81%</w:t>
            </w:r>
          </w:p>
        </w:tc>
        <w:tc>
          <w:tcPr>
            <w:tcW w:w="320" w:type="dxa"/>
            <w:vAlign w:val="bottom"/>
          </w:tcPr>
          <w:p>
            <w:pPr>
              <w:spacing w:after="0"/>
              <w:rPr>
                <w:sz w:val="9"/>
                <w:szCs w:val="9"/>
                <w:color w:val="auto"/>
              </w:rPr>
            </w:pPr>
          </w:p>
        </w:tc>
        <w:tc>
          <w:tcPr>
            <w:tcW w:w="2260" w:type="dxa"/>
            <w:vAlign w:val="bottom"/>
            <w:vMerge w:val="continue"/>
            <w:shd w:val="clear" w:color="auto" w:fill="EBECEE"/>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xml:space="preserve">gross and net debt </w:t>
            </w:r>
            <w:r>
              <w:rPr>
                <w:rFonts w:ascii="Arial" w:cs="Arial" w:eastAsia="Arial" w:hAnsi="Arial"/>
                <w:sz w:val="16"/>
                <w:szCs w:val="16"/>
                <w:color w:val="auto"/>
              </w:rPr>
              <w:t>by</w:t>
            </w:r>
          </w:p>
        </w:tc>
        <w:tc>
          <w:tcPr>
            <w:tcW w:w="120" w:type="dxa"/>
            <w:vAlign w:val="bottom"/>
            <w:tcBorders>
              <w:right w:val="single" w:sz="8" w:color="0233A1"/>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20" w:type="dxa"/>
            <w:vAlign w:val="bottom"/>
            <w:tcBorders>
              <w:left w:val="single" w:sz="8" w:color="0233A1"/>
            </w:tcBorders>
          </w:tcPr>
          <w:p>
            <w:pPr>
              <w:spacing w:after="0"/>
              <w:rPr>
                <w:sz w:val="8"/>
                <w:szCs w:val="8"/>
                <w:color w:val="auto"/>
              </w:rPr>
            </w:pPr>
          </w:p>
        </w:tc>
        <w:tc>
          <w:tcPr>
            <w:tcW w:w="2280" w:type="dxa"/>
            <w:vAlign w:val="bottom"/>
            <w:vMerge w:val="continue"/>
            <w:shd w:val="clear" w:color="auto" w:fill="EBECEE"/>
          </w:tcPr>
          <w:p>
            <w:pPr>
              <w:spacing w:after="0"/>
              <w:rPr>
                <w:sz w:val="8"/>
                <w:szCs w:val="8"/>
                <w:color w:val="auto"/>
              </w:rPr>
            </w:pPr>
          </w:p>
        </w:tc>
        <w:tc>
          <w:tcPr>
            <w:tcW w:w="272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2260" w:type="dxa"/>
            <w:vAlign w:val="bottom"/>
            <w:vMerge w:val="restart"/>
            <w:shd w:val="clear" w:color="auto" w:fill="EBECEE"/>
          </w:tcPr>
          <w:p>
            <w:pPr>
              <w:jc w:val="center"/>
              <w:spacing w:after="0"/>
              <w:rPr>
                <w:sz w:val="20"/>
                <w:szCs w:val="20"/>
                <w:color w:val="auto"/>
              </w:rPr>
            </w:pPr>
            <w:r>
              <w:rPr>
                <w:rFonts w:ascii="Arial" w:cs="Arial" w:eastAsia="Arial" w:hAnsi="Arial"/>
                <w:sz w:val="29"/>
                <w:szCs w:val="29"/>
                <w:b w:val="1"/>
                <w:bCs w:val="1"/>
                <w:color w:val="0233A1"/>
                <w:w w:val="99"/>
              </w:rPr>
              <w:t>15.2%</w:t>
            </w:r>
          </w:p>
        </w:tc>
        <w:tc>
          <w:tcPr>
            <w:tcW w:w="320" w:type="dxa"/>
            <w:vAlign w:val="bottom"/>
          </w:tcPr>
          <w:p>
            <w:pPr>
              <w:spacing w:after="0"/>
              <w:rPr>
                <w:sz w:val="8"/>
                <w:szCs w:val="8"/>
                <w:color w:val="auto"/>
              </w:rPr>
            </w:pPr>
          </w:p>
        </w:tc>
        <w:tc>
          <w:tcPr>
            <w:tcW w:w="2700" w:type="dxa"/>
            <w:vAlign w:val="bottom"/>
            <w:vMerge w:val="continue"/>
          </w:tcPr>
          <w:p>
            <w:pPr>
              <w:spacing w:after="0"/>
              <w:rPr>
                <w:sz w:val="8"/>
                <w:szCs w:val="8"/>
                <w:color w:val="auto"/>
              </w:rPr>
            </w:pPr>
          </w:p>
        </w:tc>
        <w:tc>
          <w:tcPr>
            <w:tcW w:w="120" w:type="dxa"/>
            <w:vAlign w:val="bottom"/>
            <w:tcBorders>
              <w:right w:val="single" w:sz="8" w:color="0233A1"/>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tcBorders>
              <w:left w:val="single" w:sz="8" w:color="0233A1"/>
            </w:tcBorders>
          </w:tcPr>
          <w:p>
            <w:pPr>
              <w:spacing w:after="0"/>
              <w:rPr>
                <w:sz w:val="8"/>
                <w:szCs w:val="8"/>
                <w:color w:val="auto"/>
              </w:rPr>
            </w:pPr>
          </w:p>
        </w:tc>
        <w:tc>
          <w:tcPr>
            <w:tcW w:w="2280" w:type="dxa"/>
            <w:vAlign w:val="bottom"/>
            <w:vMerge w:val="continue"/>
            <w:shd w:val="clear" w:color="auto" w:fill="EBECEE"/>
          </w:tcPr>
          <w:p>
            <w:pPr>
              <w:spacing w:after="0"/>
              <w:rPr>
                <w:sz w:val="8"/>
                <w:szCs w:val="8"/>
                <w:color w:val="auto"/>
              </w:rPr>
            </w:pPr>
          </w:p>
        </w:tc>
        <w:tc>
          <w:tcPr>
            <w:tcW w:w="272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2260" w:type="dxa"/>
            <w:vAlign w:val="bottom"/>
            <w:vMerge w:val="continue"/>
            <w:shd w:val="clear" w:color="auto" w:fill="EBECEE"/>
          </w:tcPr>
          <w:p>
            <w:pPr>
              <w:spacing w:after="0"/>
              <w:rPr>
                <w:sz w:val="8"/>
                <w:szCs w:val="8"/>
                <w:color w:val="auto"/>
              </w:rPr>
            </w:pPr>
          </w:p>
        </w:tc>
        <w:tc>
          <w:tcPr>
            <w:tcW w:w="320" w:type="dxa"/>
            <w:vAlign w:val="bottom"/>
          </w:tcPr>
          <w:p>
            <w:pPr>
              <w:spacing w:after="0"/>
              <w:rPr>
                <w:sz w:val="8"/>
                <w:szCs w:val="8"/>
                <w:color w:val="auto"/>
              </w:rPr>
            </w:pPr>
          </w:p>
        </w:tc>
        <w:tc>
          <w:tcPr>
            <w:tcW w:w="2700" w:type="dxa"/>
            <w:vAlign w:val="bottom"/>
            <w:vMerge w:val="restart"/>
          </w:tcPr>
          <w:p>
            <w:pPr>
              <w:jc w:val="center"/>
              <w:spacing w:after="0"/>
              <w:rPr>
                <w:sz w:val="20"/>
                <w:szCs w:val="20"/>
                <w:color w:val="auto"/>
              </w:rPr>
            </w:pPr>
            <w:r>
              <w:rPr>
                <w:rFonts w:ascii="Arial" w:cs="Arial" w:eastAsia="Arial" w:hAnsi="Arial"/>
                <w:sz w:val="29"/>
                <w:szCs w:val="29"/>
                <w:b w:val="1"/>
                <w:bCs w:val="1"/>
                <w:color w:val="0233A1"/>
                <w:w w:val="98"/>
              </w:rPr>
              <w:t>$1.7 billion</w:t>
            </w:r>
          </w:p>
        </w:tc>
        <w:tc>
          <w:tcPr>
            <w:tcW w:w="120" w:type="dxa"/>
            <w:vAlign w:val="bottom"/>
            <w:tcBorders>
              <w:right w:val="single" w:sz="8" w:color="0233A1"/>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120" w:type="dxa"/>
            <w:vAlign w:val="bottom"/>
            <w:tcBorders>
              <w:left w:val="single" w:sz="8" w:color="0233A1"/>
            </w:tcBorders>
          </w:tcPr>
          <w:p>
            <w:pPr>
              <w:spacing w:after="0"/>
              <w:rPr>
                <w:sz w:val="24"/>
                <w:szCs w:val="24"/>
                <w:color w:val="auto"/>
              </w:rPr>
            </w:pPr>
          </w:p>
        </w:tc>
        <w:tc>
          <w:tcPr>
            <w:tcW w:w="2280" w:type="dxa"/>
            <w:vAlign w:val="bottom"/>
            <w:tcBorders>
              <w:bottom w:val="single" w:sz="8" w:color="EBECEE"/>
            </w:tcBorders>
            <w:shd w:val="clear" w:color="auto" w:fill="EBECEE"/>
          </w:tcPr>
          <w:p>
            <w:pPr>
              <w:jc w:val="center"/>
              <w:spacing w:after="0"/>
              <w:rPr>
                <w:sz w:val="20"/>
                <w:szCs w:val="20"/>
                <w:color w:val="auto"/>
              </w:rPr>
            </w:pPr>
            <w:r>
              <w:rPr>
                <w:rFonts w:ascii="Arial" w:cs="Arial" w:eastAsia="Arial" w:hAnsi="Arial"/>
                <w:sz w:val="16"/>
                <w:szCs w:val="16"/>
                <w:color w:val="auto"/>
              </w:rPr>
              <w:t>year on year</w:t>
            </w:r>
          </w:p>
        </w:tc>
        <w:tc>
          <w:tcPr>
            <w:tcW w:w="340" w:type="dxa"/>
            <w:vAlign w:val="bottom"/>
          </w:tcPr>
          <w:p>
            <w:pPr>
              <w:spacing w:after="0"/>
              <w:rPr>
                <w:sz w:val="24"/>
                <w:szCs w:val="24"/>
                <w:color w:val="auto"/>
              </w:rPr>
            </w:pPr>
          </w:p>
        </w:tc>
        <w:tc>
          <w:tcPr>
            <w:tcW w:w="2700" w:type="dxa"/>
            <w:vAlign w:val="bottom"/>
            <w:gridSpan w:val="2"/>
          </w:tcPr>
          <w:p>
            <w:pPr>
              <w:jc w:val="center"/>
              <w:ind w:right="320"/>
              <w:spacing w:after="0"/>
              <w:rPr>
                <w:sz w:val="20"/>
                <w:szCs w:val="20"/>
                <w:color w:val="auto"/>
              </w:rPr>
            </w:pPr>
            <w:r>
              <w:rPr>
                <w:rFonts w:ascii="Arial" w:cs="Arial" w:eastAsia="Arial" w:hAnsi="Arial"/>
                <w:sz w:val="16"/>
                <w:szCs w:val="16"/>
                <w:color w:val="auto"/>
              </w:rPr>
              <w:t>year on year</w:t>
            </w:r>
          </w:p>
        </w:tc>
        <w:tc>
          <w:tcPr>
            <w:tcW w:w="2260" w:type="dxa"/>
            <w:vAlign w:val="bottom"/>
            <w:tcBorders>
              <w:bottom w:val="single" w:sz="8" w:color="EBECEE"/>
            </w:tcBorders>
            <w:vMerge w:val="continue"/>
            <w:shd w:val="clear" w:color="auto" w:fill="EBECEE"/>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20" w:type="dxa"/>
            <w:vAlign w:val="bottom"/>
            <w:tcBorders>
              <w:right w:val="single" w:sz="8" w:color="0233A1"/>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0" w:type="dxa"/>
            <w:vAlign w:val="bottom"/>
            <w:tcBorders>
              <w:left w:val="single" w:sz="8" w:color="0233A1"/>
            </w:tcBorders>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6"/>
                <w:szCs w:val="16"/>
                <w:color w:val="auto"/>
              </w:rPr>
              <w:t xml:space="preserve">Increased </w:t>
            </w:r>
            <w:r>
              <w:rPr>
                <w:rFonts w:ascii="Arial" w:cs="Arial" w:eastAsia="Arial" w:hAnsi="Arial"/>
                <w:sz w:val="16"/>
                <w:szCs w:val="16"/>
                <w:b w:val="1"/>
                <w:bCs w:val="1"/>
                <w:color w:val="auto"/>
              </w:rPr>
              <w:t>dividend</w:t>
            </w:r>
          </w:p>
        </w:tc>
        <w:tc>
          <w:tcPr>
            <w:tcW w:w="340" w:type="dxa"/>
            <w:vAlign w:val="bottom"/>
          </w:tcPr>
          <w:p>
            <w:pPr>
              <w:spacing w:after="0"/>
              <w:rPr>
                <w:sz w:val="24"/>
                <w:szCs w:val="24"/>
                <w:color w:val="auto"/>
              </w:rPr>
            </w:pPr>
          </w:p>
        </w:tc>
        <w:tc>
          <w:tcPr>
            <w:tcW w:w="2380" w:type="dxa"/>
            <w:vAlign w:val="bottom"/>
            <w:shd w:val="clear" w:color="auto" w:fill="EBECEE"/>
          </w:tcPr>
          <w:p>
            <w:pPr>
              <w:jc w:val="center"/>
              <w:spacing w:after="0"/>
              <w:rPr>
                <w:sz w:val="20"/>
                <w:szCs w:val="20"/>
                <w:color w:val="auto"/>
              </w:rPr>
            </w:pPr>
            <w:r>
              <w:rPr>
                <w:rFonts w:ascii="Arial" w:cs="Arial" w:eastAsia="Arial" w:hAnsi="Arial"/>
                <w:sz w:val="16"/>
                <w:szCs w:val="16"/>
                <w:color w:val="auto"/>
              </w:rPr>
              <w:t xml:space="preserve">Grew </w:t>
            </w:r>
            <w:r>
              <w:rPr>
                <w:rFonts w:ascii="Arial" w:cs="Arial" w:eastAsia="Arial" w:hAnsi="Arial"/>
                <w:sz w:val="16"/>
                <w:szCs w:val="16"/>
                <w:b w:val="1"/>
                <w:bCs w:val="1"/>
                <w:color w:val="auto"/>
              </w:rPr>
              <w:t>EPS, excluding</w:t>
            </w:r>
          </w:p>
        </w:tc>
        <w:tc>
          <w:tcPr>
            <w:tcW w:w="32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auto"/>
              </w:rPr>
              <w:t xml:space="preserve">Expanded </w:t>
            </w:r>
            <w:r>
              <w:rPr>
                <w:rFonts w:ascii="Arial" w:cs="Arial" w:eastAsia="Arial" w:hAnsi="Arial"/>
                <w:sz w:val="16"/>
                <w:szCs w:val="16"/>
                <w:b w:val="1"/>
                <w:bCs w:val="1"/>
                <w:color w:val="auto"/>
              </w:rPr>
              <w:t>adjusted</w:t>
            </w:r>
          </w:p>
        </w:tc>
        <w:tc>
          <w:tcPr>
            <w:tcW w:w="320" w:type="dxa"/>
            <w:vAlign w:val="bottom"/>
          </w:tcPr>
          <w:p>
            <w:pPr>
              <w:spacing w:after="0"/>
              <w:rPr>
                <w:sz w:val="24"/>
                <w:szCs w:val="24"/>
                <w:color w:val="auto"/>
              </w:rPr>
            </w:pPr>
          </w:p>
        </w:tc>
        <w:tc>
          <w:tcPr>
            <w:tcW w:w="2700" w:type="dxa"/>
            <w:vAlign w:val="bottom"/>
            <w:vMerge w:val="restart"/>
            <w:shd w:val="clear" w:color="auto" w:fill="EBECEE"/>
          </w:tcPr>
          <w:p>
            <w:pPr>
              <w:jc w:val="center"/>
              <w:spacing w:after="0"/>
              <w:rPr>
                <w:sz w:val="20"/>
                <w:szCs w:val="20"/>
                <w:color w:val="auto"/>
              </w:rPr>
            </w:pPr>
            <w:r>
              <w:rPr>
                <w:rFonts w:ascii="Arial" w:cs="Arial" w:eastAsia="Arial" w:hAnsi="Arial"/>
                <w:sz w:val="16"/>
                <w:szCs w:val="16"/>
                <w:color w:val="auto"/>
              </w:rPr>
              <w:t xml:space="preserve">Ended 2022 with </w:t>
            </w:r>
            <w:r>
              <w:rPr>
                <w:rFonts w:ascii="Arial" w:cs="Arial" w:eastAsia="Arial" w:hAnsi="Arial"/>
                <w:sz w:val="28"/>
                <w:szCs w:val="28"/>
                <w:b w:val="1"/>
                <w:bCs w:val="1"/>
                <w:color w:val="0233A1"/>
              </w:rPr>
              <w:t>1.4x</w:t>
            </w:r>
          </w:p>
        </w:tc>
        <w:tc>
          <w:tcPr>
            <w:tcW w:w="120" w:type="dxa"/>
            <w:vAlign w:val="bottom"/>
            <w:tcBorders>
              <w:right w:val="single" w:sz="8" w:color="0233A1"/>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0" w:type="dxa"/>
            <w:vAlign w:val="bottom"/>
            <w:tcBorders>
              <w:left w:val="single" w:sz="8" w:color="0233A1"/>
            </w:tcBorders>
          </w:tcPr>
          <w:p>
            <w:pPr>
              <w:spacing w:after="0"/>
              <w:rPr>
                <w:sz w:val="11"/>
                <w:szCs w:val="11"/>
                <w:color w:val="auto"/>
              </w:rPr>
            </w:pPr>
          </w:p>
        </w:tc>
        <w:tc>
          <w:tcPr>
            <w:tcW w:w="2280" w:type="dxa"/>
            <w:vAlign w:val="bottom"/>
            <w:vMerge w:val="restart"/>
          </w:tcPr>
          <w:p>
            <w:pPr>
              <w:jc w:val="center"/>
              <w:spacing w:after="0" w:line="270" w:lineRule="exact"/>
              <w:rPr>
                <w:sz w:val="20"/>
                <w:szCs w:val="20"/>
                <w:color w:val="auto"/>
              </w:rPr>
            </w:pPr>
            <w:r>
              <w:rPr>
                <w:rFonts w:ascii="Arial" w:cs="Arial" w:eastAsia="Arial" w:hAnsi="Arial"/>
                <w:sz w:val="29"/>
                <w:szCs w:val="29"/>
                <w:b w:val="1"/>
                <w:bCs w:val="1"/>
                <w:color w:val="0233A1"/>
              </w:rPr>
              <w:t xml:space="preserve">40% </w:t>
            </w:r>
            <w:r>
              <w:rPr>
                <w:rFonts w:ascii="Arial" w:cs="Arial" w:eastAsia="Arial" w:hAnsi="Arial"/>
                <w:sz w:val="16"/>
                <w:szCs w:val="16"/>
                <w:color w:val="000000"/>
              </w:rPr>
              <w:t>in April 2022</w:t>
            </w:r>
          </w:p>
        </w:tc>
        <w:tc>
          <w:tcPr>
            <w:tcW w:w="340" w:type="dxa"/>
            <w:vAlign w:val="bottom"/>
          </w:tcPr>
          <w:p>
            <w:pPr>
              <w:spacing w:after="0"/>
              <w:rPr>
                <w:sz w:val="11"/>
                <w:szCs w:val="11"/>
                <w:color w:val="auto"/>
              </w:rPr>
            </w:pPr>
          </w:p>
        </w:tc>
        <w:tc>
          <w:tcPr>
            <w:tcW w:w="2380" w:type="dxa"/>
            <w:vAlign w:val="bottom"/>
            <w:shd w:val="clear" w:color="auto" w:fill="EBECEE"/>
          </w:tcPr>
          <w:p>
            <w:pPr>
              <w:jc w:val="center"/>
              <w:spacing w:after="0" w:line="135" w:lineRule="exact"/>
              <w:rPr>
                <w:sz w:val="20"/>
                <w:szCs w:val="20"/>
                <w:color w:val="auto"/>
              </w:rPr>
            </w:pPr>
            <w:r>
              <w:rPr>
                <w:rFonts w:ascii="Arial" w:cs="Arial" w:eastAsia="Arial" w:hAnsi="Arial"/>
                <w:sz w:val="15"/>
                <w:szCs w:val="15"/>
                <w:b w:val="1"/>
                <w:bCs w:val="1"/>
                <w:color w:val="auto"/>
              </w:rPr>
              <w:t xml:space="preserve">charges &amp; credits, </w:t>
            </w:r>
            <w:r>
              <w:rPr>
                <w:rFonts w:ascii="Arial" w:cs="Arial" w:eastAsia="Arial" w:hAnsi="Arial"/>
                <w:sz w:val="15"/>
                <w:szCs w:val="15"/>
                <w:color w:val="auto"/>
              </w:rPr>
              <w:t>by</w:t>
            </w:r>
          </w:p>
        </w:tc>
        <w:tc>
          <w:tcPr>
            <w:tcW w:w="320" w:type="dxa"/>
            <w:vAlign w:val="bottom"/>
          </w:tcPr>
          <w:p>
            <w:pPr>
              <w:spacing w:after="0"/>
              <w:rPr>
                <w:sz w:val="11"/>
                <w:szCs w:val="11"/>
                <w:color w:val="auto"/>
              </w:rPr>
            </w:pPr>
          </w:p>
        </w:tc>
        <w:tc>
          <w:tcPr>
            <w:tcW w:w="22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xml:space="preserve">EBITDA margin </w:t>
            </w:r>
            <w:r>
              <w:rPr>
                <w:rFonts w:ascii="Arial" w:cs="Arial" w:eastAsia="Arial" w:hAnsi="Arial"/>
                <w:sz w:val="16"/>
                <w:szCs w:val="16"/>
                <w:color w:val="auto"/>
              </w:rPr>
              <w:t>to</w:t>
            </w:r>
          </w:p>
        </w:tc>
        <w:tc>
          <w:tcPr>
            <w:tcW w:w="320" w:type="dxa"/>
            <w:vAlign w:val="bottom"/>
          </w:tcPr>
          <w:p>
            <w:pPr>
              <w:spacing w:after="0"/>
              <w:rPr>
                <w:sz w:val="11"/>
                <w:szCs w:val="11"/>
                <w:color w:val="auto"/>
              </w:rPr>
            </w:pPr>
          </w:p>
        </w:tc>
        <w:tc>
          <w:tcPr>
            <w:tcW w:w="2700" w:type="dxa"/>
            <w:vAlign w:val="bottom"/>
            <w:vMerge w:val="continue"/>
            <w:shd w:val="clear" w:color="auto" w:fill="EBECEE"/>
          </w:tcPr>
          <w:p>
            <w:pPr>
              <w:spacing w:after="0"/>
              <w:rPr>
                <w:sz w:val="11"/>
                <w:szCs w:val="11"/>
                <w:color w:val="auto"/>
              </w:rPr>
            </w:pPr>
          </w:p>
        </w:tc>
        <w:tc>
          <w:tcPr>
            <w:tcW w:w="120" w:type="dxa"/>
            <w:vAlign w:val="bottom"/>
            <w:tcBorders>
              <w:right w:val="single" w:sz="8" w:color="0233A1"/>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Borders>
              <w:left w:val="single" w:sz="8" w:color="0233A1"/>
            </w:tcBorders>
          </w:tcPr>
          <w:p>
            <w:pPr>
              <w:spacing w:after="0"/>
              <w:rPr>
                <w:sz w:val="11"/>
                <w:szCs w:val="11"/>
                <w:color w:val="auto"/>
              </w:rPr>
            </w:pPr>
          </w:p>
        </w:tc>
        <w:tc>
          <w:tcPr>
            <w:tcW w:w="22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380" w:type="dxa"/>
            <w:vAlign w:val="bottom"/>
            <w:vMerge w:val="restart"/>
            <w:shd w:val="clear" w:color="auto" w:fill="EBECEE"/>
          </w:tcPr>
          <w:p>
            <w:pPr>
              <w:jc w:val="center"/>
              <w:spacing w:after="0"/>
              <w:rPr>
                <w:sz w:val="20"/>
                <w:szCs w:val="20"/>
                <w:color w:val="auto"/>
              </w:rPr>
            </w:pPr>
            <w:r>
              <w:rPr>
                <w:rFonts w:ascii="Arial" w:cs="Arial" w:eastAsia="Arial" w:hAnsi="Arial"/>
                <w:sz w:val="29"/>
                <w:szCs w:val="29"/>
                <w:b w:val="1"/>
                <w:bCs w:val="1"/>
                <w:color w:val="0233A1"/>
                <w:w w:val="99"/>
              </w:rPr>
              <w:t>70%</w:t>
            </w:r>
          </w:p>
        </w:tc>
        <w:tc>
          <w:tcPr>
            <w:tcW w:w="320" w:type="dxa"/>
            <w:vAlign w:val="bottom"/>
          </w:tcPr>
          <w:p>
            <w:pPr>
              <w:spacing w:after="0"/>
              <w:rPr>
                <w:sz w:val="11"/>
                <w:szCs w:val="11"/>
                <w:color w:val="auto"/>
              </w:rPr>
            </w:pPr>
          </w:p>
        </w:tc>
        <w:tc>
          <w:tcPr>
            <w:tcW w:w="22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2700" w:type="dxa"/>
            <w:vAlign w:val="bottom"/>
            <w:shd w:val="clear" w:color="auto" w:fill="EBECEE"/>
          </w:tcPr>
          <w:p>
            <w:pPr>
              <w:jc w:val="center"/>
              <w:spacing w:after="0" w:line="135" w:lineRule="exact"/>
              <w:rPr>
                <w:sz w:val="20"/>
                <w:szCs w:val="20"/>
                <w:color w:val="auto"/>
              </w:rPr>
            </w:pPr>
            <w:r>
              <w:rPr>
                <w:rFonts w:ascii="Arial" w:cs="Arial" w:eastAsia="Arial" w:hAnsi="Arial"/>
                <w:sz w:val="15"/>
                <w:szCs w:val="15"/>
                <w:b w:val="1"/>
                <w:bCs w:val="1"/>
                <w:color w:val="auto"/>
              </w:rPr>
              <w:t>net debt to adjusted</w:t>
            </w:r>
          </w:p>
        </w:tc>
        <w:tc>
          <w:tcPr>
            <w:tcW w:w="120" w:type="dxa"/>
            <w:vAlign w:val="bottom"/>
            <w:tcBorders>
              <w:right w:val="single" w:sz="8" w:color="0233A1"/>
            </w:tcBorders>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120" w:type="dxa"/>
            <w:vAlign w:val="bottom"/>
            <w:tcBorders>
              <w:left w:val="single" w:sz="8" w:color="0233A1"/>
            </w:tcBorders>
          </w:tcPr>
          <w:p>
            <w:pPr>
              <w:spacing w:after="0"/>
              <w:rPr>
                <w:sz w:val="18"/>
                <w:szCs w:val="18"/>
                <w:color w:val="auto"/>
              </w:rPr>
            </w:pPr>
          </w:p>
        </w:tc>
        <w:tc>
          <w:tcPr>
            <w:tcW w:w="2280" w:type="dxa"/>
            <w:vAlign w:val="bottom"/>
            <w:vMerge w:val="restart"/>
          </w:tcPr>
          <w:p>
            <w:pPr>
              <w:jc w:val="center"/>
              <w:spacing w:after="0"/>
              <w:rPr>
                <w:sz w:val="20"/>
                <w:szCs w:val="20"/>
                <w:color w:val="auto"/>
              </w:rPr>
            </w:pPr>
            <w:r>
              <w:rPr>
                <w:rFonts w:ascii="Arial" w:cs="Arial" w:eastAsia="Arial" w:hAnsi="Arial"/>
                <w:sz w:val="29"/>
                <w:szCs w:val="29"/>
                <w:b w:val="1"/>
                <w:bCs w:val="1"/>
                <w:color w:val="0233A1"/>
              </w:rPr>
              <w:t xml:space="preserve">43% </w:t>
            </w:r>
            <w:r>
              <w:rPr>
                <w:rFonts w:ascii="Arial" w:cs="Arial" w:eastAsia="Arial" w:hAnsi="Arial"/>
                <w:sz w:val="16"/>
                <w:szCs w:val="16"/>
                <w:color w:val="000000"/>
              </w:rPr>
              <w:t>in January 2023</w:t>
            </w:r>
          </w:p>
        </w:tc>
        <w:tc>
          <w:tcPr>
            <w:tcW w:w="340" w:type="dxa"/>
            <w:vAlign w:val="bottom"/>
          </w:tcPr>
          <w:p>
            <w:pPr>
              <w:spacing w:after="0"/>
              <w:rPr>
                <w:sz w:val="18"/>
                <w:szCs w:val="18"/>
                <w:color w:val="auto"/>
              </w:rPr>
            </w:pPr>
          </w:p>
        </w:tc>
        <w:tc>
          <w:tcPr>
            <w:tcW w:w="2380" w:type="dxa"/>
            <w:vAlign w:val="bottom"/>
            <w:vMerge w:val="continue"/>
            <w:shd w:val="clear" w:color="auto" w:fill="EBECEE"/>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vMerge w:val="restart"/>
          </w:tcPr>
          <w:p>
            <w:pPr>
              <w:jc w:val="center"/>
              <w:spacing w:after="0"/>
              <w:rPr>
                <w:sz w:val="20"/>
                <w:szCs w:val="20"/>
                <w:color w:val="auto"/>
              </w:rPr>
            </w:pPr>
            <w:r>
              <w:rPr>
                <w:rFonts w:ascii="Arial" w:cs="Arial" w:eastAsia="Arial" w:hAnsi="Arial"/>
                <w:sz w:val="29"/>
                <w:szCs w:val="29"/>
                <w:b w:val="1"/>
                <w:bCs w:val="1"/>
                <w:color w:val="0233A1"/>
                <w:w w:val="99"/>
              </w:rPr>
              <w:t>23.0%</w:t>
            </w:r>
          </w:p>
        </w:tc>
        <w:tc>
          <w:tcPr>
            <w:tcW w:w="320" w:type="dxa"/>
            <w:vAlign w:val="bottom"/>
          </w:tcPr>
          <w:p>
            <w:pPr>
              <w:spacing w:after="0"/>
              <w:rPr>
                <w:sz w:val="18"/>
                <w:szCs w:val="18"/>
                <w:color w:val="auto"/>
              </w:rPr>
            </w:pPr>
          </w:p>
        </w:tc>
        <w:tc>
          <w:tcPr>
            <w:tcW w:w="2700" w:type="dxa"/>
            <w:vAlign w:val="bottom"/>
            <w:shd w:val="clear" w:color="auto" w:fill="EBECEE"/>
          </w:tcPr>
          <w:p>
            <w:pPr>
              <w:jc w:val="center"/>
              <w:spacing w:after="0"/>
              <w:rPr>
                <w:sz w:val="20"/>
                <w:szCs w:val="20"/>
                <w:color w:val="auto"/>
              </w:rPr>
            </w:pPr>
            <w:r>
              <w:rPr>
                <w:rFonts w:ascii="Arial" w:cs="Arial" w:eastAsia="Arial" w:hAnsi="Arial"/>
                <w:sz w:val="16"/>
                <w:szCs w:val="16"/>
                <w:b w:val="1"/>
                <w:bCs w:val="1"/>
                <w:color w:val="auto"/>
              </w:rPr>
              <w:t>EBITDA ratio</w:t>
            </w:r>
            <w:r>
              <w:rPr>
                <w:rFonts w:ascii="Arial" w:cs="Arial" w:eastAsia="Arial" w:hAnsi="Arial"/>
                <w:sz w:val="16"/>
                <w:szCs w:val="16"/>
                <w:color w:val="auto"/>
              </w:rPr>
              <w:t>—lowest level</w:t>
            </w:r>
          </w:p>
        </w:tc>
        <w:tc>
          <w:tcPr>
            <w:tcW w:w="120" w:type="dxa"/>
            <w:vAlign w:val="bottom"/>
            <w:tcBorders>
              <w:right w:val="single" w:sz="8" w:color="0233A1"/>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20" w:type="dxa"/>
            <w:vAlign w:val="bottom"/>
            <w:tcBorders>
              <w:left w:val="single" w:sz="8" w:color="0233A1"/>
            </w:tcBorders>
          </w:tcPr>
          <w:p>
            <w:pPr>
              <w:spacing w:after="0"/>
              <w:rPr>
                <w:sz w:val="22"/>
                <w:szCs w:val="22"/>
                <w:color w:val="auto"/>
              </w:rPr>
            </w:pPr>
          </w:p>
        </w:tc>
        <w:tc>
          <w:tcPr>
            <w:tcW w:w="228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2380" w:type="dxa"/>
            <w:vAlign w:val="bottom"/>
            <w:tcBorders>
              <w:bottom w:val="single" w:sz="8" w:color="EBECEE"/>
            </w:tcBorders>
            <w:shd w:val="clear" w:color="auto" w:fill="EBECEE"/>
          </w:tcPr>
          <w:p>
            <w:pPr>
              <w:jc w:val="center"/>
              <w:spacing w:after="0"/>
              <w:rPr>
                <w:sz w:val="20"/>
                <w:szCs w:val="20"/>
                <w:color w:val="auto"/>
              </w:rPr>
            </w:pPr>
            <w:r>
              <w:rPr>
                <w:rFonts w:ascii="Arial" w:cs="Arial" w:eastAsia="Arial" w:hAnsi="Arial"/>
                <w:sz w:val="16"/>
                <w:szCs w:val="16"/>
                <w:color w:val="auto"/>
              </w:rPr>
              <w:t>year on year</w:t>
            </w:r>
          </w:p>
        </w:tc>
        <w:tc>
          <w:tcPr>
            <w:tcW w:w="320" w:type="dxa"/>
            <w:vAlign w:val="bottom"/>
          </w:tcPr>
          <w:p>
            <w:pPr>
              <w:spacing w:after="0"/>
              <w:rPr>
                <w:sz w:val="22"/>
                <w:szCs w:val="22"/>
                <w:color w:val="auto"/>
              </w:rPr>
            </w:pPr>
          </w:p>
        </w:tc>
        <w:tc>
          <w:tcPr>
            <w:tcW w:w="226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2700" w:type="dxa"/>
            <w:vAlign w:val="bottom"/>
            <w:tcBorders>
              <w:bottom w:val="single" w:sz="8" w:color="EBECEE"/>
            </w:tcBorders>
            <w:shd w:val="clear" w:color="auto" w:fill="EBECEE"/>
          </w:tcPr>
          <w:p>
            <w:pPr>
              <w:jc w:val="center"/>
              <w:spacing w:after="0"/>
              <w:rPr>
                <w:sz w:val="20"/>
                <w:szCs w:val="20"/>
                <w:color w:val="auto"/>
              </w:rPr>
            </w:pPr>
            <w:r>
              <w:rPr>
                <w:rFonts w:ascii="Arial" w:cs="Arial" w:eastAsia="Arial" w:hAnsi="Arial"/>
                <w:sz w:val="16"/>
                <w:szCs w:val="16"/>
                <w:color w:val="auto"/>
              </w:rPr>
              <w:t>since 2016</w:t>
            </w:r>
          </w:p>
        </w:tc>
        <w:tc>
          <w:tcPr>
            <w:tcW w:w="120" w:type="dxa"/>
            <w:vAlign w:val="bottom"/>
            <w:tcBorders>
              <w:right w:val="single" w:sz="8" w:color="0233A1"/>
            </w:tcBorders>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120" w:type="dxa"/>
            <w:vAlign w:val="bottom"/>
            <w:tcBorders>
              <w:left w:val="single" w:sz="8" w:color="0233A1"/>
              <w:bottom w:val="single" w:sz="8" w:color="0233A1"/>
            </w:tcBorders>
          </w:tcPr>
          <w:p>
            <w:pPr>
              <w:spacing w:after="0"/>
              <w:rPr>
                <w:sz w:val="7"/>
                <w:szCs w:val="7"/>
                <w:color w:val="auto"/>
              </w:rPr>
            </w:pPr>
          </w:p>
        </w:tc>
        <w:tc>
          <w:tcPr>
            <w:tcW w:w="2280" w:type="dxa"/>
            <w:vAlign w:val="bottom"/>
            <w:tcBorders>
              <w:bottom w:val="single" w:sz="8" w:color="0233A1"/>
            </w:tcBorders>
          </w:tcPr>
          <w:p>
            <w:pPr>
              <w:spacing w:after="0"/>
              <w:rPr>
                <w:sz w:val="7"/>
                <w:szCs w:val="7"/>
                <w:color w:val="auto"/>
              </w:rPr>
            </w:pPr>
          </w:p>
        </w:tc>
        <w:tc>
          <w:tcPr>
            <w:tcW w:w="340" w:type="dxa"/>
            <w:vAlign w:val="bottom"/>
            <w:tcBorders>
              <w:bottom w:val="single" w:sz="8" w:color="0233A1"/>
            </w:tcBorders>
          </w:tcPr>
          <w:p>
            <w:pPr>
              <w:spacing w:after="0"/>
              <w:rPr>
                <w:sz w:val="7"/>
                <w:szCs w:val="7"/>
                <w:color w:val="auto"/>
              </w:rPr>
            </w:pPr>
          </w:p>
        </w:tc>
        <w:tc>
          <w:tcPr>
            <w:tcW w:w="2380" w:type="dxa"/>
            <w:vAlign w:val="bottom"/>
            <w:tcBorders>
              <w:bottom w:val="single" w:sz="8" w:color="0233A1"/>
            </w:tcBorders>
          </w:tcPr>
          <w:p>
            <w:pPr>
              <w:spacing w:after="0"/>
              <w:rPr>
                <w:sz w:val="7"/>
                <w:szCs w:val="7"/>
                <w:color w:val="auto"/>
              </w:rPr>
            </w:pPr>
          </w:p>
        </w:tc>
        <w:tc>
          <w:tcPr>
            <w:tcW w:w="320" w:type="dxa"/>
            <w:vAlign w:val="bottom"/>
            <w:tcBorders>
              <w:bottom w:val="single" w:sz="8" w:color="0233A1"/>
            </w:tcBorders>
          </w:tcPr>
          <w:p>
            <w:pPr>
              <w:spacing w:after="0"/>
              <w:rPr>
                <w:sz w:val="7"/>
                <w:szCs w:val="7"/>
                <w:color w:val="auto"/>
              </w:rPr>
            </w:pPr>
          </w:p>
        </w:tc>
        <w:tc>
          <w:tcPr>
            <w:tcW w:w="2260" w:type="dxa"/>
            <w:vAlign w:val="bottom"/>
            <w:tcBorders>
              <w:bottom w:val="single" w:sz="8" w:color="0233A1"/>
            </w:tcBorders>
          </w:tcPr>
          <w:p>
            <w:pPr>
              <w:spacing w:after="0"/>
              <w:rPr>
                <w:sz w:val="7"/>
                <w:szCs w:val="7"/>
                <w:color w:val="auto"/>
              </w:rPr>
            </w:pPr>
          </w:p>
        </w:tc>
        <w:tc>
          <w:tcPr>
            <w:tcW w:w="320" w:type="dxa"/>
            <w:vAlign w:val="bottom"/>
            <w:tcBorders>
              <w:bottom w:val="single" w:sz="8" w:color="0233A1"/>
            </w:tcBorders>
          </w:tcPr>
          <w:p>
            <w:pPr>
              <w:spacing w:after="0"/>
              <w:rPr>
                <w:sz w:val="7"/>
                <w:szCs w:val="7"/>
                <w:color w:val="auto"/>
              </w:rPr>
            </w:pPr>
          </w:p>
        </w:tc>
        <w:tc>
          <w:tcPr>
            <w:tcW w:w="2700" w:type="dxa"/>
            <w:vAlign w:val="bottom"/>
            <w:tcBorders>
              <w:bottom w:val="single" w:sz="8" w:color="0233A1"/>
            </w:tcBorders>
          </w:tcPr>
          <w:p>
            <w:pPr>
              <w:spacing w:after="0"/>
              <w:rPr>
                <w:sz w:val="7"/>
                <w:szCs w:val="7"/>
                <w:color w:val="auto"/>
              </w:rPr>
            </w:pPr>
          </w:p>
        </w:tc>
        <w:tc>
          <w:tcPr>
            <w:tcW w:w="120" w:type="dxa"/>
            <w:vAlign w:val="bottom"/>
            <w:tcBorders>
              <w:bottom w:val="single" w:sz="8" w:color="0233A1"/>
              <w:right w:val="single" w:sz="8" w:color="0233A1"/>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200" w:right="200" w:firstLine="324"/>
        <w:spacing w:after="0" w:line="286" w:lineRule="auto"/>
        <w:rPr>
          <w:sz w:val="20"/>
          <w:szCs w:val="20"/>
          <w:color w:val="auto"/>
        </w:rPr>
      </w:pPr>
      <w:r>
        <w:rPr>
          <w:rFonts w:ascii="Arial" w:cs="Arial" w:eastAsia="Arial" w:hAnsi="Arial"/>
          <w:sz w:val="16"/>
          <w:szCs w:val="16"/>
          <w:color w:val="auto"/>
        </w:rPr>
        <w:t xml:space="preserve">In 2022, we executed our strategy across our </w:t>
      </w:r>
      <w:r>
        <w:rPr>
          <w:rFonts w:ascii="Arial" w:cs="Arial" w:eastAsia="Arial" w:hAnsi="Arial"/>
          <w:sz w:val="16"/>
          <w:szCs w:val="16"/>
          <w:b w:val="1"/>
          <w:bCs w:val="1"/>
          <w:color w:val="0233A1"/>
        </w:rPr>
        <w:t>Three Engines of Growth</w:t>
      </w:r>
      <w:r>
        <w:rPr>
          <w:rFonts w:ascii="Arial" w:cs="Arial" w:eastAsia="Arial" w:hAnsi="Arial"/>
          <w:sz w:val="16"/>
          <w:szCs w:val="16"/>
          <w:color w:val="auto"/>
        </w:rPr>
        <w:t>—our Core, Digital, and New Energy—and successfully leveraged the breadth of our portfolio and our competitive strengths to deliver peer-leading outcomes for our customers and shareholders.</w:t>
      </w:r>
    </w:p>
    <w:p>
      <w:pPr>
        <w:sectPr>
          <w:pgSz w:w="11900" w:h="16838" w:orient="portrait"/>
          <w:cols w:equalWidth="0" w:num="1">
            <w:col w:w="11240"/>
          </w:cols>
          <w:pgMar w:left="320" w:top="238" w:right="339" w:bottom="1440" w:gutter="0" w:footer="0" w:header="0"/>
        </w:sectPr>
      </w:pPr>
    </w:p>
    <w:p>
      <w:pPr>
        <w:spacing w:after="0" w:line="237" w:lineRule="exact"/>
        <w:rPr>
          <w:sz w:val="20"/>
          <w:szCs w:val="20"/>
          <w:color w:val="auto"/>
        </w:rPr>
      </w:pPr>
    </w:p>
    <w:p>
      <w:pPr>
        <w:jc w:val="both"/>
        <w:ind w:left="200"/>
        <w:spacing w:after="0" w:line="249" w:lineRule="auto"/>
        <w:rPr>
          <w:sz w:val="20"/>
          <w:szCs w:val="20"/>
          <w:color w:val="auto"/>
        </w:rPr>
      </w:pPr>
      <w:r>
        <w:rPr>
          <w:rFonts w:ascii="Arial" w:cs="Arial" w:eastAsia="Arial" w:hAnsi="Arial"/>
          <w:sz w:val="16"/>
          <w:szCs w:val="16"/>
          <w:color w:val="auto"/>
        </w:rPr>
        <w:t xml:space="preserve">In our </w:t>
      </w:r>
      <w:r>
        <w:rPr>
          <w:rFonts w:ascii="Arial" w:cs="Arial" w:eastAsia="Arial" w:hAnsi="Arial"/>
          <w:sz w:val="16"/>
          <w:szCs w:val="16"/>
          <w:b w:val="1"/>
          <w:bCs w:val="1"/>
          <w:color w:val="0233A1"/>
        </w:rPr>
        <w:t>Core Divisions</w:t>
      </w:r>
      <w:r>
        <w:rPr>
          <w:rFonts w:ascii="Arial" w:cs="Arial" w:eastAsia="Arial" w:hAnsi="Arial"/>
          <w:sz w:val="16"/>
          <w:szCs w:val="16"/>
          <w:color w:val="auto"/>
        </w:rPr>
        <w:t>, we expanded pretax segment operating margins and launched new products, services, and solutions that increase efficiency and lower operational emissions. Our fit-for-basin, technology access and Transition Technologies* portfolios fueled growth and margin expansion in every Division in 2022. And we continue to strengthen our Core portfolio for growth and position for future resilience and shareholder returns through strategic initiatives such as the announced subsea joint venture with Aker Solutions and Subsea 7.</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b w:val="1"/>
          <w:bCs w:val="1"/>
          <w:color w:val="0233A1"/>
        </w:rPr>
        <w:t>Digital</w:t>
      </w:r>
      <w:r>
        <w:rPr>
          <w:rFonts w:ascii="Arial" w:cs="Arial" w:eastAsia="Arial" w:hAnsi="Arial"/>
          <w:sz w:val="16"/>
          <w:szCs w:val="16"/>
          <w:color w:val="auto"/>
        </w:rPr>
        <w:t>, we had strong growth in exploration data, Innovation Factori* and artificial intelligence solution sales, and the adoption of our new digital technologies is accelerating. We ended the year with more than 70% growth in Delfi* users, and our software-as-a-service (</w:t>
      </w:r>
      <w:r>
        <w:rPr>
          <w:rFonts w:ascii="Arial" w:cs="Arial" w:eastAsia="Arial" w:hAnsi="Arial"/>
          <w:sz w:val="16"/>
          <w:szCs w:val="16"/>
          <w:b w:val="1"/>
          <w:bCs w:val="1"/>
          <w:color w:val="auto"/>
        </w:rPr>
        <w:t>SaaS</w:t>
      </w:r>
      <w:r>
        <w:rPr>
          <w:rFonts w:ascii="Arial" w:cs="Arial" w:eastAsia="Arial" w:hAnsi="Arial"/>
          <w:sz w:val="16"/>
          <w:szCs w:val="16"/>
          <w:color w:val="auto"/>
        </w:rPr>
        <w:t>) revenue more than doubled. We continue to build adjacent expansion opportunities for our digital business, both in the operations data space and beyond oil and gas, such as carbon management.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both"/>
        <w:ind w:right="200"/>
        <w:spacing w:after="0" w:line="250"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b w:val="1"/>
          <w:bCs w:val="1"/>
          <w:color w:val="0233A1"/>
        </w:rPr>
        <w:t>New Energy</w:t>
      </w:r>
      <w:r>
        <w:rPr>
          <w:rFonts w:ascii="Arial" w:cs="Arial" w:eastAsia="Arial" w:hAnsi="Arial"/>
          <w:sz w:val="16"/>
          <w:szCs w:val="16"/>
          <w:color w:val="auto"/>
        </w:rPr>
        <w:t>, we progressed technology development milestones, established new partnerships, and made new investments to develop a focused, yet comprehensive portfolio that offers promising growth opportunities for the future. Today, this portfolio comprises five business areas: carbon solutions, hydrogen, geothermal and geoenergy, critical minerals, and stationary energy storage. We are also accelerating our R&amp;D efforts to develop technology solutions that address hard-to-abate industrial and power generation emissions.</w:t>
      </w:r>
    </w:p>
    <w:p>
      <w:pPr>
        <w:spacing w:after="0" w:line="200" w:lineRule="exact"/>
        <w:rPr>
          <w:sz w:val="20"/>
          <w:szCs w:val="20"/>
          <w:color w:val="auto"/>
        </w:rPr>
      </w:pPr>
    </w:p>
    <w:p>
      <w:pPr>
        <w:sectPr>
          <w:pgSz w:w="11900" w:h="16838" w:orient="portrait"/>
          <w:cols w:equalWidth="0" w:num="3">
            <w:col w:w="3660" w:space="240"/>
            <w:col w:w="3460" w:space="220"/>
            <w:col w:w="3660"/>
          </w:cols>
          <w:pgMar w:left="320" w:top="238" w:right="339" w:bottom="1440" w:gutter="0" w:footer="0" w:header="0"/>
          <w:type w:val="continuous"/>
        </w:sectPr>
      </w:pPr>
    </w:p>
    <w:p>
      <w:pPr>
        <w:spacing w:after="0" w:line="281" w:lineRule="exact"/>
        <w:rPr>
          <w:sz w:val="20"/>
          <w:szCs w:val="20"/>
          <w:color w:val="auto"/>
        </w:rPr>
      </w:pPr>
    </w:p>
    <w:p>
      <w:pPr>
        <w:jc w:val="both"/>
        <w:ind w:left="200" w:right="200" w:firstLine="324"/>
        <w:spacing w:after="0" w:line="296"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b w:val="1"/>
          <w:bCs w:val="1"/>
          <w:color w:val="0233A1"/>
        </w:rPr>
        <w:t>Sustainability</w:t>
      </w:r>
      <w:r>
        <w:rPr>
          <w:rFonts w:ascii="Arial" w:cs="Arial" w:eastAsia="Arial" w:hAnsi="Arial"/>
          <w:sz w:val="16"/>
          <w:szCs w:val="16"/>
          <w:color w:val="auto"/>
        </w:rPr>
        <w:t>, we reduced our Scope 1 and 2 carbon emissions intensity as compared to 2021. We also launched several new Transition Technologies to support the decarbonization of oil and gas, as well as our SLB End-to-end Emissions Solutions (</w:t>
      </w:r>
      <w:r>
        <w:rPr>
          <w:rFonts w:ascii="Arial" w:cs="Arial" w:eastAsia="Arial" w:hAnsi="Arial"/>
          <w:sz w:val="16"/>
          <w:szCs w:val="16"/>
          <w:b w:val="1"/>
          <w:bCs w:val="1"/>
          <w:color w:val="auto"/>
        </w:rPr>
        <w:t>SEES</w:t>
      </w:r>
      <w:r>
        <w:rPr>
          <w:rFonts w:ascii="Arial" w:cs="Arial" w:eastAsia="Arial" w:hAnsi="Arial"/>
          <w:sz w:val="16"/>
          <w:szCs w:val="16"/>
          <w:color w:val="auto"/>
        </w:rPr>
        <w:t>) methane elimination business.</w:t>
      </w:r>
    </w:p>
    <w:p>
      <w:pPr>
        <w:spacing w:after="0" w:line="113" w:lineRule="exact"/>
        <w:rPr>
          <w:sz w:val="20"/>
          <w:szCs w:val="20"/>
          <w:color w:val="auto"/>
        </w:rPr>
      </w:pPr>
    </w:p>
    <w:p>
      <w:pPr>
        <w:jc w:val="both"/>
        <w:ind w:left="200" w:right="200" w:firstLine="324"/>
        <w:spacing w:after="0" w:line="286" w:lineRule="auto"/>
        <w:rPr>
          <w:sz w:val="20"/>
          <w:szCs w:val="20"/>
          <w:color w:val="auto"/>
        </w:rPr>
      </w:pPr>
      <w:r>
        <w:rPr>
          <w:rFonts w:ascii="Arial" w:cs="Arial" w:eastAsia="Arial" w:hAnsi="Arial"/>
          <w:sz w:val="16"/>
          <w:szCs w:val="16"/>
          <w:color w:val="auto"/>
        </w:rPr>
        <w:t>We also advanced our technology leadership, safety and operations integrity performance, and service quality differentiation, leading to more contract awards, higher technology adoption, and increased pricing premiums.</w:t>
      </w:r>
    </w:p>
    <w:p>
      <w:pPr>
        <w:spacing w:after="0" w:line="129" w:lineRule="exact"/>
        <w:rPr>
          <w:sz w:val="20"/>
          <w:szCs w:val="20"/>
          <w:color w:val="auto"/>
        </w:rPr>
      </w:pPr>
    </w:p>
    <w:p>
      <w:pPr>
        <w:jc w:val="both"/>
        <w:ind w:left="200" w:right="200" w:firstLine="324"/>
        <w:spacing w:after="0" w:line="286" w:lineRule="auto"/>
        <w:rPr>
          <w:sz w:val="20"/>
          <w:szCs w:val="20"/>
          <w:color w:val="auto"/>
        </w:rPr>
      </w:pPr>
      <w:r>
        <w:rPr>
          <w:rFonts w:ascii="Arial" w:cs="Arial" w:eastAsia="Arial" w:hAnsi="Arial"/>
          <w:sz w:val="16"/>
          <w:szCs w:val="16"/>
          <w:color w:val="auto"/>
        </w:rPr>
        <w:t xml:space="preserve">Finally, we demonstrated our commitment to </w:t>
      </w:r>
      <w:r>
        <w:rPr>
          <w:rFonts w:ascii="Arial" w:cs="Arial" w:eastAsia="Arial" w:hAnsi="Arial"/>
          <w:sz w:val="16"/>
          <w:szCs w:val="16"/>
          <w:b w:val="1"/>
          <w:bCs w:val="1"/>
          <w:color w:val="0233A1"/>
        </w:rPr>
        <w:t>Superior Shareholder Returns</w:t>
      </w:r>
      <w:r>
        <w:rPr>
          <w:rFonts w:ascii="Arial" w:cs="Arial" w:eastAsia="Arial" w:hAnsi="Arial"/>
          <w:sz w:val="16"/>
          <w:szCs w:val="16"/>
          <w:color w:val="auto"/>
        </w:rPr>
        <w:t>. We increased our dividend by 40% in April 2022, followed by a further 43% increase in January 2023, and we resumed our share buyback program in January 2023.</w:t>
      </w:r>
    </w:p>
    <w:p>
      <w:pPr>
        <w:spacing w:after="0" w:line="129" w:lineRule="exact"/>
        <w:rPr>
          <w:sz w:val="20"/>
          <w:szCs w:val="20"/>
          <w:color w:val="auto"/>
        </w:rPr>
      </w:pPr>
    </w:p>
    <w:p>
      <w:pPr>
        <w:jc w:val="both"/>
        <w:ind w:left="200" w:right="200" w:firstLine="324"/>
        <w:spacing w:after="0" w:line="259" w:lineRule="auto"/>
        <w:rPr>
          <w:sz w:val="20"/>
          <w:szCs w:val="20"/>
          <w:color w:val="auto"/>
        </w:rPr>
      </w:pPr>
      <w:r>
        <w:rPr>
          <w:rFonts w:ascii="Arial" w:cs="Arial" w:eastAsia="Arial" w:hAnsi="Arial"/>
          <w:sz w:val="16"/>
          <w:szCs w:val="16"/>
          <w:color w:val="auto"/>
        </w:rPr>
        <w:t>Looking to 2023, we believe the market fundamentals are aligned with what we do best—innovating and outperforming for our customers. With our bold new brand and identity founded on technology and innovation, our strategy with sustainability at its heart, and our strong financial and operational results through the early phase of the current upcycle, we believe we have set a very solid foundation for strong performance and shareholder value creation in 2023 and into the next decade.</w:t>
      </w:r>
    </w:p>
    <w:p>
      <w:pPr>
        <w:spacing w:after="0" w:line="200" w:lineRule="exact"/>
        <w:rPr>
          <w:sz w:val="20"/>
          <w:szCs w:val="20"/>
          <w:color w:val="auto"/>
        </w:rPr>
      </w:pPr>
    </w:p>
    <w:p>
      <w:pPr>
        <w:spacing w:after="0" w:line="374" w:lineRule="exact"/>
        <w:rPr>
          <w:sz w:val="20"/>
          <w:szCs w:val="20"/>
          <w:color w:val="auto"/>
        </w:rPr>
      </w:pPr>
    </w:p>
    <w:p>
      <w:pPr>
        <w:ind w:left="520" w:right="200" w:hanging="319"/>
        <w:spacing w:after="0" w:line="281"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definitions of adjusted EBITDA, adjusted EBITDA margin, free cash flow, free cash flow margin, EPS excluding charges and credits, and net debt, as well as reconciliations of these non-GAAP measures to their most comparable GAAP measures, see Appendix A.</w:t>
      </w:r>
    </w:p>
    <w:p>
      <w:pPr>
        <w:spacing w:after="0" w:line="1" w:lineRule="exact"/>
        <w:rPr>
          <w:sz w:val="20"/>
          <w:szCs w:val="20"/>
          <w:color w:val="auto"/>
        </w:rPr>
      </w:pPr>
    </w:p>
    <w:p>
      <w:pPr>
        <w:ind w:left="520" w:hanging="319"/>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Mark of SLB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471170" cy="283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1170" cy="28321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ind w:left="5580"/>
        <w:spacing w:after="0"/>
        <w:tabs>
          <w:tab w:leader="none" w:pos="9540" w:val="left"/>
        </w:tabs>
        <w:rPr>
          <w:sz w:val="20"/>
          <w:szCs w:val="20"/>
          <w:color w:val="auto"/>
        </w:rPr>
      </w:pPr>
      <w:r>
        <w:rPr>
          <w:rFonts w:ascii="Arial" w:cs="Arial" w:eastAsia="Arial" w:hAnsi="Arial"/>
          <w:sz w:val="16"/>
          <w:szCs w:val="16"/>
          <w:b w:val="1"/>
          <w:bCs w:val="1"/>
          <w:color w:val="auto"/>
        </w:rPr>
        <w:t>6</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-46990</wp:posOffset>
            </wp:positionV>
            <wp:extent cx="54178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6130" cy="6124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6124575"/>
                    </a:xfrm>
                    <a:prstGeom prst="rect">
                      <a:avLst/>
                    </a:prstGeom>
                    <a:noFill/>
                  </pic:spPr>
                </pic:pic>
              </a:graphicData>
            </a:graphic>
          </wp:anchor>
        </w:drawing>
      </w:r>
    </w:p>
    <w:p>
      <w:pPr>
        <w:spacing w:after="0" w:line="309" w:lineRule="exact"/>
        <w:rPr>
          <w:sz w:val="20"/>
          <w:szCs w:val="20"/>
          <w:color w:val="auto"/>
        </w:rPr>
      </w:pPr>
    </w:p>
    <w:p>
      <w:pPr>
        <w:ind w:left="200"/>
        <w:spacing w:after="0"/>
        <w:rPr>
          <w:sz w:val="20"/>
          <w:szCs w:val="20"/>
          <w:color w:val="auto"/>
        </w:rPr>
      </w:pPr>
      <w:r>
        <w:rPr>
          <w:rFonts w:ascii="Arial" w:cs="Arial" w:eastAsia="Arial" w:hAnsi="Arial"/>
          <w:sz w:val="29"/>
          <w:szCs w:val="29"/>
          <w:color w:val="16458B"/>
        </w:rPr>
        <w:t>Leader in Global Diversity</w:t>
      </w:r>
    </w:p>
    <w:p>
      <w:pPr>
        <w:spacing w:after="0" w:line="311" w:lineRule="exact"/>
        <w:rPr>
          <w:sz w:val="20"/>
          <w:szCs w:val="20"/>
          <w:color w:val="auto"/>
        </w:rPr>
      </w:pPr>
    </w:p>
    <w:p>
      <w:pPr>
        <w:ind w:left="200"/>
        <w:spacing w:after="0"/>
        <w:rPr>
          <w:sz w:val="20"/>
          <w:szCs w:val="20"/>
          <w:color w:val="auto"/>
        </w:rPr>
      </w:pPr>
      <w:r>
        <w:rPr>
          <w:rFonts w:ascii="Arial" w:cs="Arial" w:eastAsia="Arial" w:hAnsi="Arial"/>
          <w:sz w:val="25"/>
          <w:szCs w:val="25"/>
          <w:color w:val="0233A1"/>
        </w:rPr>
        <w:t>Nationality and Cultural Diversity</w:t>
      </w:r>
    </w:p>
    <w:p>
      <w:pPr>
        <w:spacing w:after="0" w:line="207" w:lineRule="exact"/>
        <w:rPr>
          <w:sz w:val="20"/>
          <w:szCs w:val="20"/>
          <w:color w:val="auto"/>
        </w:rPr>
      </w:pPr>
    </w:p>
    <w:p>
      <w:pPr>
        <w:jc w:val="both"/>
        <w:ind w:left="200" w:right="200" w:firstLine="324"/>
        <w:spacing w:after="0" w:line="259" w:lineRule="auto"/>
        <w:rPr>
          <w:sz w:val="20"/>
          <w:szCs w:val="20"/>
          <w:color w:val="auto"/>
        </w:rPr>
      </w:pPr>
      <w:r>
        <w:rPr>
          <w:rFonts w:ascii="Arial" w:cs="Arial" w:eastAsia="Arial" w:hAnsi="Arial"/>
          <w:sz w:val="16"/>
          <w:szCs w:val="16"/>
          <w:color w:val="auto"/>
        </w:rPr>
        <w:t>As a leading global technology company, with a workforce consisting of approximately 99,000 people in more than 100 countries, one of SLB’s greatest strengths is the diversity of our people. We believe that our ability to attract, develop, motivate, and retain a highly competent and diverse workforce has been paramount to our success for many decades. We recognize that cultivating diversity and promoting inclusion are essential to attracting the best talent from around the world and enabling creativity and innovation to drive business success.</w:t>
      </w:r>
    </w:p>
    <w:p>
      <w:pPr>
        <w:spacing w:after="0" w:line="151" w:lineRule="exact"/>
        <w:rPr>
          <w:sz w:val="20"/>
          <w:szCs w:val="20"/>
          <w:color w:val="auto"/>
        </w:rPr>
      </w:pPr>
    </w:p>
    <w:p>
      <w:pPr>
        <w:jc w:val="both"/>
        <w:ind w:left="200" w:right="200" w:firstLine="324"/>
        <w:spacing w:after="0" w:line="259" w:lineRule="auto"/>
        <w:rPr>
          <w:sz w:val="20"/>
          <w:szCs w:val="20"/>
          <w:color w:val="auto"/>
        </w:rPr>
      </w:pPr>
      <w:r>
        <w:rPr>
          <w:rFonts w:ascii="Arial" w:cs="Arial" w:eastAsia="Arial" w:hAnsi="Arial"/>
          <w:sz w:val="16"/>
          <w:szCs w:val="16"/>
          <w:color w:val="auto"/>
        </w:rPr>
        <w:t xml:space="preserve">Our national and cultural diversity is based in our philosophy to recruit and develop people from the communities where we work. As a result, we maintain a workforce nationality mix aligned to the revenue derived from the countries in which we work, as reflected in the charts below. Our long-standing commitment to national and cultural diversity, which is seen throughout every layer of SLB—including our executive team and the Board— fosters a culture that is global in outlook, yet local in practice. Our nationally and culturally diverse </w:t>
      </w:r>
      <w:r>
        <w:rPr>
          <w:rFonts w:ascii="Arial" w:cs="Arial" w:eastAsia="Arial" w:hAnsi="Arial"/>
          <w:sz w:val="16"/>
          <w:szCs w:val="16"/>
          <w:b w:val="1"/>
          <w:bCs w:val="1"/>
          <w:color w:val="0233A1"/>
        </w:rPr>
        <w:t>Board and 10-member executive leadership team</w:t>
      </w:r>
      <w:r>
        <w:rPr>
          <w:rFonts w:ascii="Arial" w:cs="Arial" w:eastAsia="Arial" w:hAnsi="Arial"/>
          <w:sz w:val="16"/>
          <w:szCs w:val="16"/>
          <w:color w:val="auto"/>
        </w:rPr>
        <w:t xml:space="preserve"> collectively represent </w:t>
      </w:r>
      <w:r>
        <w:rPr>
          <w:rFonts w:ascii="Arial" w:cs="Arial" w:eastAsia="Arial" w:hAnsi="Arial"/>
          <w:sz w:val="16"/>
          <w:szCs w:val="16"/>
          <w:b w:val="1"/>
          <w:bCs w:val="1"/>
          <w:color w:val="0233A1"/>
        </w:rPr>
        <w:t>14 nationalities across six continents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0"/>
        <w:spacing w:after="0"/>
        <w:rPr>
          <w:sz w:val="20"/>
          <w:szCs w:val="20"/>
          <w:color w:val="auto"/>
        </w:rPr>
      </w:pPr>
      <w:r>
        <w:rPr>
          <w:rFonts w:ascii="Arial" w:cs="Arial" w:eastAsia="Arial" w:hAnsi="Arial"/>
          <w:sz w:val="25"/>
          <w:szCs w:val="25"/>
          <w:color w:val="0233A1"/>
        </w:rPr>
        <w:t>Gender Balance</w:t>
      </w:r>
    </w:p>
    <w:p>
      <w:pPr>
        <w:spacing w:after="0" w:line="207" w:lineRule="exact"/>
        <w:rPr>
          <w:sz w:val="20"/>
          <w:szCs w:val="20"/>
          <w:color w:val="auto"/>
        </w:rPr>
      </w:pPr>
    </w:p>
    <w:p>
      <w:pPr>
        <w:jc w:val="both"/>
        <w:ind w:left="200" w:right="200" w:firstLine="324"/>
        <w:spacing w:after="0" w:line="259" w:lineRule="auto"/>
        <w:rPr>
          <w:sz w:val="20"/>
          <w:szCs w:val="20"/>
          <w:color w:val="auto"/>
        </w:rPr>
      </w:pPr>
      <w:r>
        <w:rPr>
          <w:rFonts w:ascii="Arial" w:cs="Arial" w:eastAsia="Arial" w:hAnsi="Arial"/>
          <w:sz w:val="16"/>
          <w:szCs w:val="16"/>
          <w:color w:val="auto"/>
        </w:rPr>
        <w:t>In addition to nationality and cultural diversity, gender balance is an important part of our diversity, equity, and inclusion strategy. We are committed to leading our industry in gender diversity, and we are on track to reach our interim milestone of having women represent 25% of our salaried employees by 2025. Our next milestone is for women to comprise 30% of our salaried employees by 2030. Our 2025 and 2030 targets include executive roles and all other salaried positions.</w:t>
      </w:r>
    </w:p>
    <w:p>
      <w:pPr>
        <w:spacing w:after="0" w:line="151" w:lineRule="exact"/>
        <w:rPr>
          <w:sz w:val="20"/>
          <w:szCs w:val="20"/>
          <w:color w:val="auto"/>
        </w:rPr>
      </w:pPr>
    </w:p>
    <w:p>
      <w:pPr>
        <w:jc w:val="both"/>
        <w:ind w:left="200" w:right="200" w:firstLine="324"/>
        <w:spacing w:after="0" w:line="286" w:lineRule="auto"/>
        <w:rPr>
          <w:sz w:val="20"/>
          <w:szCs w:val="20"/>
          <w:color w:val="auto"/>
        </w:rPr>
      </w:pPr>
      <w:r>
        <w:rPr>
          <w:rFonts w:ascii="Arial" w:cs="Arial" w:eastAsia="Arial" w:hAnsi="Arial"/>
          <w:sz w:val="16"/>
          <w:szCs w:val="16"/>
          <w:color w:val="auto"/>
        </w:rPr>
        <w:t>Women represent 30% of our executive team as of January 31, 2023, and 27% of our director nominees for the 2023 AGM. Approximately 19.5% of our company (excluding contractors) and 23.8% of our salaried employees were women as of December 31, 2022.</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25"/>
          <w:szCs w:val="25"/>
          <w:color w:val="0233A1"/>
        </w:rPr>
        <w:t>Race and Ethnicity</w:t>
      </w:r>
    </w:p>
    <w:p>
      <w:pPr>
        <w:spacing w:after="0" w:line="207" w:lineRule="exact"/>
        <w:rPr>
          <w:sz w:val="20"/>
          <w:szCs w:val="20"/>
          <w:color w:val="auto"/>
        </w:rPr>
      </w:pPr>
    </w:p>
    <w:p>
      <w:pPr>
        <w:jc w:val="both"/>
        <w:ind w:left="200" w:right="200" w:firstLine="324"/>
        <w:spacing w:after="0" w:line="266" w:lineRule="auto"/>
        <w:rPr>
          <w:sz w:val="20"/>
          <w:szCs w:val="20"/>
          <w:color w:val="auto"/>
        </w:rPr>
      </w:pPr>
      <w:r>
        <w:rPr>
          <w:rFonts w:ascii="Arial" w:cs="Arial" w:eastAsia="Arial" w:hAnsi="Arial"/>
          <w:sz w:val="16"/>
          <w:szCs w:val="16"/>
          <w:color w:val="auto"/>
        </w:rPr>
        <w:t>As a truly global company with a rich legacy of national and cultural diversity, it is important that we do not limit our definitions of racial and ethnic diversity to the common classifications used in the United States, both for our executive team and for the Board. For further discussion regarding the racial and ethnic diversity of our Board, see “Election of Directors—Director Qualifications and Diversity” on page 10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323215</wp:posOffset>
            </wp:positionV>
            <wp:extent cx="471805" cy="282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Borders>
              <w:bottom w:val="single" w:sz="8" w:color="auto"/>
            </w:tcBorders>
          </w:tcPr>
          <w:p>
            <w:pPr>
              <w:spacing w:after="0"/>
              <w:rPr>
                <w:sz w:val="11"/>
                <w:szCs w:val="11"/>
                <w:color w:val="auto"/>
              </w:rPr>
            </w:pPr>
          </w:p>
        </w:tc>
        <w:tc>
          <w:tcPr>
            <w:tcW w:w="4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7</w:t>
            </w:r>
          </w:p>
        </w:tc>
        <w:tc>
          <w:tcPr>
            <w:tcW w:w="448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800" w:type="dxa"/>
            <w:vAlign w:val="bottom"/>
            <w:vMerge w:val="continue"/>
          </w:tcPr>
          <w:p>
            <w:pPr>
              <w:spacing w:after="0"/>
              <w:rPr>
                <w:sz w:val="7"/>
                <w:szCs w:val="7"/>
                <w:color w:val="auto"/>
              </w:rPr>
            </w:pPr>
          </w:p>
        </w:tc>
        <w:tc>
          <w:tcPr>
            <w:tcW w:w="36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4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6130" cy="91935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919353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0"/>
        <w:spacing w:after="0"/>
        <w:rPr>
          <w:sz w:val="20"/>
          <w:szCs w:val="20"/>
          <w:color w:val="auto"/>
        </w:rPr>
      </w:pPr>
      <w:r>
        <w:rPr>
          <w:rFonts w:ascii="Arial" w:cs="Arial" w:eastAsia="Arial" w:hAnsi="Arial"/>
          <w:sz w:val="29"/>
          <w:szCs w:val="29"/>
          <w:color w:val="16458B"/>
        </w:rPr>
        <w:t>Spotlight on: 2022 Investor Day</w:t>
      </w:r>
    </w:p>
    <w:p>
      <w:pPr>
        <w:spacing w:after="0" w:line="211" w:lineRule="exact"/>
        <w:rPr>
          <w:sz w:val="20"/>
          <w:szCs w:val="20"/>
          <w:color w:val="auto"/>
        </w:rPr>
      </w:pPr>
    </w:p>
    <w:p>
      <w:pPr>
        <w:jc w:val="both"/>
        <w:ind w:left="200" w:right="200" w:firstLine="324"/>
        <w:spacing w:after="0" w:line="256" w:lineRule="auto"/>
        <w:rPr>
          <w:sz w:val="20"/>
          <w:szCs w:val="20"/>
          <w:color w:val="auto"/>
        </w:rPr>
      </w:pPr>
      <w:r>
        <w:rPr>
          <w:rFonts w:ascii="Arial" w:cs="Arial" w:eastAsia="Arial" w:hAnsi="Arial"/>
          <w:sz w:val="16"/>
          <w:szCs w:val="16"/>
          <w:color w:val="auto"/>
        </w:rPr>
        <w:t>In November, we held our 2022 Investors Conference in New York City, USA as a platform to demonstrate SLB’s potential to deliver differentiated growth and returns over the next few years. The conference was focused on SLB’s strategies to advance Energy Innovation, Lower Carbon and Higher Value within the context of today’s global energy dynamics, which require bold new technologies and ideas, digital transformation and a deep commitment to sustainability. The conference also included a series of technology immersion sessions showcasing our leadership and key offerings in our Core, Digital and New Energy.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600"/>
        <w:spacing w:after="0"/>
        <w:rPr>
          <w:sz w:val="20"/>
          <w:szCs w:val="20"/>
          <w:color w:val="auto"/>
        </w:rPr>
      </w:pPr>
      <w:r>
        <w:rPr>
          <w:rFonts w:ascii="Arial" w:cs="Arial" w:eastAsia="Arial" w:hAnsi="Arial"/>
          <w:sz w:val="16"/>
          <w:szCs w:val="16"/>
          <w:i w:val="1"/>
          <w:iCs w:val="1"/>
          <w:color w:val="auto"/>
        </w:rPr>
        <w:t xml:space="preserve">From left to right: </w:t>
      </w:r>
      <w:r>
        <w:rPr>
          <w:rFonts w:ascii="Arial" w:cs="Arial" w:eastAsia="Arial" w:hAnsi="Arial"/>
          <w:sz w:val="16"/>
          <w:szCs w:val="16"/>
          <w:color w:val="auto"/>
        </w:rPr>
        <w:t>SLB executive leadership team members Gavin Rennick, Dianne</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Ralston, Demosthenis Pafitis, Olivier Le Peuch, Rajeev Sonthalia, Stephane Biguet,</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Katharina Beumelburg, Khaled Al Mogharbel, Carmen Rando Bejar, and Abdellah</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Merad.</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29"/>
          <w:szCs w:val="29"/>
          <w:color w:val="16458B"/>
        </w:rPr>
        <w:t>2022 Executive Compensation Highlights (pages 30–60)</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more fully discussed in the “Compensation Discussion and Analysis” section of this proxy statement, below are some key actions that our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Compensation Committee took with respect to our named executive officers’ 2022 compensation:</w:t>
      </w:r>
    </w:p>
    <w:p>
      <w:pPr>
        <w:spacing w:after="0" w:line="178" w:lineRule="exact"/>
        <w:rPr>
          <w:sz w:val="20"/>
          <w:szCs w:val="20"/>
          <w:color w:val="auto"/>
        </w:rPr>
      </w:pPr>
    </w:p>
    <w:p>
      <w:pPr>
        <w:jc w:val="both"/>
        <w:ind w:left="700" w:right="200" w:hanging="175"/>
        <w:spacing w:after="0" w:line="263" w:lineRule="auto"/>
        <w:tabs>
          <w:tab w:leader="none" w:pos="700" w:val="left"/>
        </w:tabs>
        <w:numPr>
          <w:ilvl w:val="0"/>
          <w:numId w:val="7"/>
        </w:numPr>
        <w:rPr>
          <w:rFonts w:ascii="Arial" w:cs="Arial" w:eastAsia="Arial" w:hAnsi="Arial"/>
          <w:sz w:val="16"/>
          <w:szCs w:val="16"/>
          <w:b w:val="1"/>
          <w:bCs w:val="1"/>
          <w:color w:val="0233A1"/>
        </w:rPr>
      </w:pPr>
      <w:r>
        <w:rPr>
          <w:rFonts w:ascii="Arial" w:cs="Arial" w:eastAsia="Arial" w:hAnsi="Arial"/>
          <w:sz w:val="16"/>
          <w:szCs w:val="16"/>
          <w:b w:val="1"/>
          <w:bCs w:val="1"/>
          <w:color w:val="0233A1"/>
        </w:rPr>
        <w:t xml:space="preserve">Diversified LTI Program Structure </w:t>
      </w:r>
      <w:r>
        <w:rPr>
          <w:rFonts w:ascii="Arial" w:cs="Arial" w:eastAsia="Arial" w:hAnsi="Arial"/>
          <w:sz w:val="16"/>
          <w:szCs w:val="16"/>
          <w:color w:val="000000"/>
        </w:rPr>
        <w:t>— Our NEOs continued to receive a mix of long-term incentive (</w:t>
      </w:r>
      <w:r>
        <w:rPr>
          <w:rFonts w:ascii="Arial" w:cs="Arial" w:eastAsia="Arial" w:hAnsi="Arial"/>
          <w:sz w:val="16"/>
          <w:szCs w:val="16"/>
          <w:b w:val="1"/>
          <w:bCs w:val="1"/>
          <w:color w:val="000000"/>
        </w:rPr>
        <w:t>LTI</w:t>
      </w:r>
      <w:r>
        <w:rPr>
          <w:rFonts w:ascii="Arial" w:cs="Arial" w:eastAsia="Arial" w:hAnsi="Arial"/>
          <w:sz w:val="16"/>
          <w:szCs w:val="16"/>
          <w:color w:val="000000"/>
        </w:rPr>
        <w:t>) grants in 2022, with 75% of their target</w:t>
      </w:r>
      <w:r>
        <w:rPr>
          <w:rFonts w:ascii="Arial" w:cs="Arial" w:eastAsia="Arial" w:hAnsi="Arial"/>
          <w:sz w:val="16"/>
          <w:szCs w:val="16"/>
          <w:b w:val="1"/>
          <w:bCs w:val="1"/>
          <w:color w:val="0233A1"/>
        </w:rPr>
        <w:t xml:space="preserve"> </w:t>
      </w:r>
      <w:r>
        <w:rPr>
          <w:rFonts w:ascii="Arial" w:cs="Arial" w:eastAsia="Arial" w:hAnsi="Arial"/>
          <w:sz w:val="16"/>
          <w:szCs w:val="16"/>
          <w:color w:val="000000"/>
        </w:rPr>
        <w:t>LTI opportunity awarded in the form of performance share units (</w:t>
      </w:r>
      <w:r>
        <w:rPr>
          <w:rFonts w:ascii="Arial" w:cs="Arial" w:eastAsia="Arial" w:hAnsi="Arial"/>
          <w:sz w:val="16"/>
          <w:szCs w:val="16"/>
          <w:b w:val="1"/>
          <w:bCs w:val="1"/>
          <w:color w:val="000000"/>
        </w:rPr>
        <w:t>PSUs</w:t>
      </w:r>
      <w:r>
        <w:rPr>
          <w:rFonts w:ascii="Arial" w:cs="Arial" w:eastAsia="Arial" w:hAnsi="Arial"/>
          <w:sz w:val="16"/>
          <w:szCs w:val="16"/>
          <w:color w:val="000000"/>
        </w:rPr>
        <w:t>), and 25% awarded in the form of three-year, time-based restricted stock units (</w:t>
      </w:r>
      <w:r>
        <w:rPr>
          <w:rFonts w:ascii="Arial" w:cs="Arial" w:eastAsia="Arial" w:hAnsi="Arial"/>
          <w:sz w:val="16"/>
          <w:szCs w:val="16"/>
          <w:b w:val="1"/>
          <w:bCs w:val="1"/>
          <w:color w:val="000000"/>
        </w:rPr>
        <w:t>RSUs</w:t>
      </w:r>
      <w:r>
        <w:rPr>
          <w:rFonts w:ascii="Arial" w:cs="Arial" w:eastAsia="Arial" w:hAnsi="Arial"/>
          <w:sz w:val="16"/>
          <w:szCs w:val="16"/>
          <w:color w:val="000000"/>
        </w:rPr>
        <w:t>). As in 2021, payout under the 2022 PSUs will be contingent on achieving absolute free cash flow margin (</w:t>
      </w:r>
      <w:r>
        <w:rPr>
          <w:rFonts w:ascii="Arial" w:cs="Arial" w:eastAsia="Arial" w:hAnsi="Arial"/>
          <w:sz w:val="16"/>
          <w:szCs w:val="16"/>
          <w:b w:val="1"/>
          <w:bCs w:val="1"/>
          <w:color w:val="000000"/>
        </w:rPr>
        <w:t>FCF margin</w:t>
      </w:r>
      <w:r>
        <w:rPr>
          <w:rFonts w:ascii="Arial" w:cs="Arial" w:eastAsia="Arial" w:hAnsi="Arial"/>
          <w:sz w:val="16"/>
          <w:szCs w:val="16"/>
          <w:color w:val="000000"/>
        </w:rPr>
        <w:t>), relative return on capital employed (</w:t>
      </w:r>
      <w:r>
        <w:rPr>
          <w:rFonts w:ascii="Arial" w:cs="Arial" w:eastAsia="Arial" w:hAnsi="Arial"/>
          <w:sz w:val="16"/>
          <w:szCs w:val="16"/>
          <w:b w:val="1"/>
          <w:bCs w:val="1"/>
          <w:color w:val="000000"/>
        </w:rPr>
        <w:t>ROCE</w:t>
      </w:r>
      <w:r>
        <w:rPr>
          <w:rFonts w:ascii="Arial" w:cs="Arial" w:eastAsia="Arial" w:hAnsi="Arial"/>
          <w:sz w:val="16"/>
          <w:szCs w:val="16"/>
          <w:color w:val="000000"/>
        </w:rPr>
        <w:t>), and relative total shareholder return (</w:t>
      </w:r>
      <w:r>
        <w:rPr>
          <w:rFonts w:ascii="Arial" w:cs="Arial" w:eastAsia="Arial" w:hAnsi="Arial"/>
          <w:sz w:val="16"/>
          <w:szCs w:val="16"/>
          <w:b w:val="1"/>
          <w:bCs w:val="1"/>
          <w:color w:val="000000"/>
        </w:rPr>
        <w:t>TSR</w:t>
      </w:r>
      <w:r>
        <w:rPr>
          <w:rFonts w:ascii="Arial" w:cs="Arial" w:eastAsia="Arial" w:hAnsi="Arial"/>
          <w:sz w:val="16"/>
          <w:szCs w:val="16"/>
          <w:color w:val="000000"/>
        </w:rPr>
        <w:t>) performance goals over respective three-year periods.</w:t>
      </w:r>
    </w:p>
    <w:p>
      <w:pPr>
        <w:spacing w:after="0" w:line="138" w:lineRule="exact"/>
        <w:rPr>
          <w:rFonts w:ascii="Arial" w:cs="Arial" w:eastAsia="Arial" w:hAnsi="Arial"/>
          <w:sz w:val="16"/>
          <w:szCs w:val="16"/>
          <w:b w:val="1"/>
          <w:bCs w:val="1"/>
          <w:color w:val="0233A1"/>
        </w:rPr>
      </w:pPr>
    </w:p>
    <w:p>
      <w:pPr>
        <w:jc w:val="both"/>
        <w:ind w:left="700" w:right="200" w:hanging="175"/>
        <w:spacing w:after="0" w:line="256" w:lineRule="auto"/>
        <w:tabs>
          <w:tab w:leader="none" w:pos="700" w:val="left"/>
        </w:tabs>
        <w:numPr>
          <w:ilvl w:val="0"/>
          <w:numId w:val="7"/>
        </w:numPr>
        <w:rPr>
          <w:rFonts w:ascii="Arial" w:cs="Arial" w:eastAsia="Arial" w:hAnsi="Arial"/>
          <w:sz w:val="16"/>
          <w:szCs w:val="16"/>
          <w:b w:val="1"/>
          <w:bCs w:val="1"/>
          <w:color w:val="0233A1"/>
        </w:rPr>
      </w:pPr>
      <w:r>
        <w:rPr>
          <w:rFonts w:ascii="Arial" w:cs="Arial" w:eastAsia="Arial" w:hAnsi="Arial"/>
          <w:sz w:val="16"/>
          <w:szCs w:val="16"/>
          <w:b w:val="1"/>
          <w:bCs w:val="1"/>
          <w:color w:val="0233A1"/>
        </w:rPr>
        <w:t xml:space="preserve">Rigorous PSU Performance Targets </w:t>
      </w:r>
      <w:r>
        <w:rPr>
          <w:rFonts w:ascii="Arial" w:cs="Arial" w:eastAsia="Arial" w:hAnsi="Arial"/>
          <w:sz w:val="16"/>
          <w:szCs w:val="16"/>
          <w:color w:val="000000"/>
        </w:rPr>
        <w:t>— In setting LTI performance targets for 2022, the Compensation Committee emphasized and</w:t>
      </w:r>
      <w:r>
        <w:rPr>
          <w:rFonts w:ascii="Arial" w:cs="Arial" w:eastAsia="Arial" w:hAnsi="Arial"/>
          <w:sz w:val="16"/>
          <w:szCs w:val="16"/>
          <w:b w:val="1"/>
          <w:bCs w:val="1"/>
          <w:color w:val="0233A1"/>
        </w:rPr>
        <w:t xml:space="preserve"> </w:t>
      </w:r>
      <w:r>
        <w:rPr>
          <w:rFonts w:ascii="Arial" w:cs="Arial" w:eastAsia="Arial" w:hAnsi="Arial"/>
          <w:sz w:val="16"/>
          <w:szCs w:val="16"/>
          <w:color w:val="000000"/>
        </w:rPr>
        <w:t>encouraged ambitious outperformance by increasing the maximum performance goal for the FCF margin PSUs as compared to 2021, and continuing to set an above-median target performance goal for the TSR PSUs. In addition, based on shareholder feedback, the Committee adjusted the comparator group for our TSR PSUs to include our direct competitors and the S&amp;P Global 1200 Energy Index, to focus on TSR outperformance relative to our direct competitors while expanding the group to include the broader energy market.</w:t>
      </w:r>
    </w:p>
    <w:p>
      <w:pPr>
        <w:spacing w:after="0" w:line="152" w:lineRule="exact"/>
        <w:rPr>
          <w:rFonts w:ascii="Arial" w:cs="Arial" w:eastAsia="Arial" w:hAnsi="Arial"/>
          <w:sz w:val="16"/>
          <w:szCs w:val="16"/>
          <w:b w:val="1"/>
          <w:bCs w:val="1"/>
          <w:color w:val="0233A1"/>
        </w:rPr>
      </w:pPr>
    </w:p>
    <w:p>
      <w:pPr>
        <w:jc w:val="both"/>
        <w:ind w:left="700" w:right="200" w:hanging="175"/>
        <w:spacing w:after="0" w:line="266" w:lineRule="auto"/>
        <w:tabs>
          <w:tab w:leader="none" w:pos="700" w:val="left"/>
        </w:tabs>
        <w:numPr>
          <w:ilvl w:val="0"/>
          <w:numId w:val="7"/>
        </w:numPr>
        <w:rPr>
          <w:rFonts w:ascii="Arial" w:cs="Arial" w:eastAsia="Arial" w:hAnsi="Arial"/>
          <w:sz w:val="16"/>
          <w:szCs w:val="16"/>
          <w:b w:val="1"/>
          <w:bCs w:val="1"/>
          <w:color w:val="0233A1"/>
        </w:rPr>
      </w:pPr>
      <w:r>
        <w:rPr>
          <w:rFonts w:ascii="Arial" w:cs="Arial" w:eastAsia="Arial" w:hAnsi="Arial"/>
          <w:sz w:val="16"/>
          <w:szCs w:val="16"/>
          <w:b w:val="1"/>
          <w:bCs w:val="1"/>
          <w:color w:val="0233A1"/>
        </w:rPr>
        <w:t xml:space="preserve">Performance-Aligned Incentive Payouts </w:t>
      </w:r>
      <w:r>
        <w:rPr>
          <w:rFonts w:ascii="Arial" w:cs="Arial" w:eastAsia="Arial" w:hAnsi="Arial"/>
          <w:sz w:val="16"/>
          <w:szCs w:val="16"/>
          <w:color w:val="000000"/>
        </w:rPr>
        <w:t>— Our NEOs’ short-term incentive (</w:t>
      </w:r>
      <w:r>
        <w:rPr>
          <w:rFonts w:ascii="Arial" w:cs="Arial" w:eastAsia="Arial" w:hAnsi="Arial"/>
          <w:sz w:val="16"/>
          <w:szCs w:val="16"/>
          <w:b w:val="1"/>
          <w:bCs w:val="1"/>
          <w:color w:val="000000"/>
        </w:rPr>
        <w:t>STI</w:t>
      </w:r>
      <w:r>
        <w:rPr>
          <w:rFonts w:ascii="Arial" w:cs="Arial" w:eastAsia="Arial" w:hAnsi="Arial"/>
          <w:sz w:val="16"/>
          <w:szCs w:val="16"/>
          <w:color w:val="000000"/>
        </w:rPr>
        <w:t>) payouts were based on strong 2022 adjusted EBITDA</w:t>
      </w:r>
      <w:r>
        <w:rPr>
          <w:rFonts w:ascii="Arial" w:cs="Arial" w:eastAsia="Arial" w:hAnsi="Arial"/>
          <w:sz w:val="16"/>
          <w:szCs w:val="16"/>
          <w:b w:val="1"/>
          <w:bCs w:val="1"/>
          <w:color w:val="0233A1"/>
        </w:rPr>
        <w:t xml:space="preserve"> </w:t>
      </w:r>
      <w:r>
        <w:rPr>
          <w:rFonts w:ascii="Arial" w:cs="Arial" w:eastAsia="Arial" w:hAnsi="Arial"/>
          <w:sz w:val="16"/>
          <w:szCs w:val="16"/>
          <w:color w:val="000000"/>
        </w:rPr>
        <w:t>results, partially offset by below-target 2022 free cash flow results, and their LTI payouts were based on exceptional multi-year ROCE and free cash flow conversion results.</w:t>
      </w:r>
    </w:p>
    <w:p>
      <w:pPr>
        <w:sectPr>
          <w:pgSz w:w="11900" w:h="16838" w:orient="portrait"/>
          <w:cols w:equalWidth="0" w:num="1">
            <w:col w:w="11240"/>
          </w:cols>
          <w:pgMar w:left="320" w:top="238" w:right="339" w:bottom="763" w:gutter="0" w:footer="0" w:header="0"/>
        </w:sectPr>
      </w:pPr>
    </w:p>
    <w:p>
      <w:pPr>
        <w:spacing w:after="0" w:line="16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FFFFFF"/>
        </w:rPr>
        <w:t>Short-Term Incentive Results</w:t>
      </w:r>
    </w:p>
    <w:p>
      <w:pPr>
        <w:spacing w:after="0" w:line="135" w:lineRule="exact"/>
        <w:rPr>
          <w:sz w:val="20"/>
          <w:szCs w:val="20"/>
          <w:color w:val="auto"/>
        </w:rPr>
      </w:pPr>
    </w:p>
    <w:p>
      <w:pPr>
        <w:ind w:left="560" w:right="200" w:hanging="179"/>
        <w:spacing w:after="0" w:line="286" w:lineRule="auto"/>
        <w:tabs>
          <w:tab w:leader="none" w:pos="566" w:val="left"/>
        </w:tabs>
        <w:numPr>
          <w:ilvl w:val="0"/>
          <w:numId w:val="8"/>
        </w:numPr>
        <w:rPr>
          <w:rFonts w:ascii="Arial" w:cs="Arial" w:eastAsia="Arial" w:hAnsi="Arial"/>
          <w:sz w:val="16"/>
          <w:szCs w:val="16"/>
          <w:color w:val="0233A1"/>
        </w:rPr>
      </w:pPr>
      <w:r>
        <w:rPr>
          <w:rFonts w:ascii="Arial" w:cs="Arial" w:eastAsia="Arial" w:hAnsi="Arial"/>
          <w:sz w:val="16"/>
          <w:szCs w:val="16"/>
          <w:b w:val="1"/>
          <w:bCs w:val="1"/>
          <w:color w:val="auto"/>
        </w:rPr>
        <w:t xml:space="preserve">Average NEO Payout — 80% — </w:t>
      </w:r>
      <w:r>
        <w:rPr>
          <w:rFonts w:ascii="Arial" w:cs="Arial" w:eastAsia="Arial" w:hAnsi="Arial"/>
          <w:sz w:val="16"/>
          <w:szCs w:val="16"/>
          <w:color w:val="auto"/>
        </w:rPr>
        <w:t>Our NEOs earned an average</w:t>
      </w:r>
      <w:r>
        <w:rPr>
          <w:rFonts w:ascii="Arial" w:cs="Arial" w:eastAsia="Arial" w:hAnsi="Arial"/>
          <w:sz w:val="16"/>
          <w:szCs w:val="16"/>
          <w:b w:val="1"/>
          <w:bCs w:val="1"/>
          <w:color w:val="auto"/>
        </w:rPr>
        <w:t xml:space="preserve"> </w:t>
      </w:r>
      <w:r>
        <w:rPr>
          <w:rFonts w:ascii="Arial" w:cs="Arial" w:eastAsia="Arial" w:hAnsi="Arial"/>
          <w:sz w:val="16"/>
          <w:szCs w:val="16"/>
          <w:color w:val="auto"/>
        </w:rPr>
        <w:t>2022 cash incentive payout of 80%.</w:t>
      </w:r>
    </w:p>
    <w:p>
      <w:pPr>
        <w:spacing w:after="0" w:line="34" w:lineRule="exact"/>
        <w:rPr>
          <w:rFonts w:ascii="Arial" w:cs="Arial" w:eastAsia="Arial" w:hAnsi="Arial"/>
          <w:sz w:val="16"/>
          <w:szCs w:val="16"/>
          <w:color w:val="0233A1"/>
        </w:rPr>
      </w:pPr>
    </w:p>
    <w:p>
      <w:pPr>
        <w:ind w:left="560" w:right="140" w:hanging="179"/>
        <w:spacing w:after="0" w:line="231" w:lineRule="auto"/>
        <w:tabs>
          <w:tab w:leader="none" w:pos="566" w:val="left"/>
        </w:tabs>
        <w:numPr>
          <w:ilvl w:val="0"/>
          <w:numId w:val="8"/>
        </w:numPr>
        <w:rPr>
          <w:rFonts w:ascii="Arial" w:cs="Arial" w:eastAsia="Arial" w:hAnsi="Arial"/>
          <w:sz w:val="16"/>
          <w:szCs w:val="16"/>
          <w:color w:val="0233A1"/>
        </w:rPr>
      </w:pPr>
      <w:r>
        <w:rPr>
          <w:rFonts w:ascii="Arial" w:cs="Arial" w:eastAsia="Arial" w:hAnsi="Arial"/>
          <w:sz w:val="16"/>
          <w:szCs w:val="16"/>
          <w:b w:val="1"/>
          <w:bCs w:val="1"/>
          <w:color w:val="auto"/>
        </w:rPr>
        <w:t xml:space="preserve">Adjusted EBITDA Payout — 157% — </w:t>
      </w:r>
      <w:r>
        <w:rPr>
          <w:rFonts w:ascii="Arial" w:cs="Arial" w:eastAsia="Arial" w:hAnsi="Arial"/>
          <w:sz w:val="16"/>
          <w:szCs w:val="16"/>
          <w:color w:val="auto"/>
        </w:rPr>
        <w:t>Our 2022 adjusted</w:t>
      </w:r>
      <w:r>
        <w:rPr>
          <w:rFonts w:ascii="Arial" w:cs="Arial" w:eastAsia="Arial" w:hAnsi="Arial"/>
          <w:sz w:val="16"/>
          <w:szCs w:val="16"/>
          <w:b w:val="1"/>
          <w:bCs w:val="1"/>
          <w:color w:val="auto"/>
        </w:rPr>
        <w:t xml:space="preserve"> </w:t>
      </w:r>
      <w:r>
        <w:rPr>
          <w:rFonts w:ascii="Arial" w:cs="Arial" w:eastAsia="Arial" w:hAnsi="Arial"/>
          <w:sz w:val="16"/>
          <w:szCs w:val="16"/>
          <w:color w:val="auto"/>
        </w:rPr>
        <w:t>EBITDA</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was $6.462 billion, representing a 31% increase over 2021, and resulting in a payout of </w:t>
      </w:r>
      <w:r>
        <w:rPr>
          <w:rFonts w:ascii="Arial" w:cs="Arial" w:eastAsia="Arial" w:hAnsi="Arial"/>
          <w:sz w:val="16"/>
          <w:szCs w:val="16"/>
          <w:b w:val="1"/>
          <w:bCs w:val="1"/>
          <w:color w:val="auto"/>
        </w:rPr>
        <w:t>157%</w:t>
      </w:r>
      <w:r>
        <w:rPr>
          <w:rFonts w:ascii="Arial" w:cs="Arial" w:eastAsia="Arial" w:hAnsi="Arial"/>
          <w:sz w:val="16"/>
          <w:szCs w:val="16"/>
          <w:color w:val="auto"/>
        </w:rPr>
        <w:t xml:space="preserve"> of target for the adjusted EBITDA component of our 2022 cash incentive plan.</w:t>
      </w:r>
    </w:p>
    <w:p>
      <w:pPr>
        <w:spacing w:after="0" w:line="73" w:lineRule="exact"/>
        <w:rPr>
          <w:rFonts w:ascii="Arial" w:cs="Arial" w:eastAsia="Arial" w:hAnsi="Arial"/>
          <w:sz w:val="16"/>
          <w:szCs w:val="16"/>
          <w:color w:val="0233A1"/>
        </w:rPr>
      </w:pPr>
    </w:p>
    <w:p>
      <w:pPr>
        <w:ind w:left="560" w:hanging="179"/>
        <w:spacing w:after="0" w:line="234" w:lineRule="auto"/>
        <w:tabs>
          <w:tab w:leader="none" w:pos="572" w:val="left"/>
        </w:tabs>
        <w:numPr>
          <w:ilvl w:val="0"/>
          <w:numId w:val="8"/>
        </w:numPr>
        <w:rPr>
          <w:rFonts w:ascii="Arial" w:cs="Arial" w:eastAsia="Arial" w:hAnsi="Arial"/>
          <w:sz w:val="16"/>
          <w:szCs w:val="16"/>
          <w:color w:val="0233A1"/>
        </w:rPr>
      </w:pPr>
      <w:r>
        <w:rPr>
          <w:rFonts w:ascii="Arial" w:cs="Arial" w:eastAsia="Arial" w:hAnsi="Arial"/>
          <w:sz w:val="16"/>
          <w:szCs w:val="16"/>
          <w:b w:val="1"/>
          <w:bCs w:val="1"/>
          <w:color w:val="auto"/>
        </w:rPr>
        <w:t xml:space="preserve">Zero FCF Payout — </w:t>
      </w:r>
      <w:r>
        <w:rPr>
          <w:rFonts w:ascii="Arial" w:cs="Arial" w:eastAsia="Arial" w:hAnsi="Arial"/>
          <w:sz w:val="16"/>
          <w:szCs w:val="16"/>
          <w:color w:val="auto"/>
        </w:rPr>
        <w:t>Our 2022 free cash flow</w:t>
      </w:r>
      <w:r>
        <w:rPr>
          <w:rFonts w:ascii="Arial" w:cs="Arial" w:eastAsia="Arial" w:hAnsi="Arial"/>
          <w:sz w:val="26"/>
          <w:szCs w:val="26"/>
          <w:color w:val="auto"/>
          <w:vertAlign w:val="superscript"/>
        </w:rPr>
        <w:t>(1)</w:t>
      </w:r>
      <w:r>
        <w:rPr>
          <w:rFonts w:ascii="Arial" w:cs="Arial" w:eastAsia="Arial" w:hAnsi="Arial"/>
          <w:sz w:val="16"/>
          <w:szCs w:val="16"/>
          <w:b w:val="1"/>
          <w:bCs w:val="1"/>
          <w:color w:val="auto"/>
        </w:rPr>
        <w:t xml:space="preserve"> </w:t>
      </w:r>
      <w:r>
        <w:rPr>
          <w:rFonts w:ascii="Arial" w:cs="Arial" w:eastAsia="Arial" w:hAnsi="Arial"/>
          <w:sz w:val="16"/>
          <w:szCs w:val="16"/>
          <w:color w:val="auto"/>
        </w:rPr>
        <w:t>of $1.418 billion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was below the minimum performance target under our annual cash incentive plan. As a result, our CEO and other NEOs earned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payout </w:t>
      </w:r>
      <w:r>
        <w:rPr>
          <w:rFonts w:ascii="Arial" w:cs="Arial" w:eastAsia="Arial" w:hAnsi="Arial"/>
          <w:sz w:val="16"/>
          <w:szCs w:val="16"/>
          <w:color w:val="auto"/>
        </w:rPr>
        <w:t>under the free cash flow component of our 2022 cash</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plan.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376"/>
        <w:spacing w:after="0"/>
        <w:rPr>
          <w:sz w:val="20"/>
          <w:szCs w:val="20"/>
          <w:color w:val="auto"/>
        </w:rPr>
      </w:pPr>
      <w:r>
        <w:rPr>
          <w:rFonts w:ascii="Arial" w:cs="Arial" w:eastAsia="Arial" w:hAnsi="Arial"/>
          <w:sz w:val="18"/>
          <w:szCs w:val="18"/>
          <w:b w:val="1"/>
          <w:bCs w:val="1"/>
          <w:color w:val="FFFFFF"/>
        </w:rPr>
        <w:t>Long-Term Incentive Results</w:t>
      </w:r>
    </w:p>
    <w:p>
      <w:pPr>
        <w:spacing w:after="0" w:line="135" w:lineRule="exact"/>
        <w:rPr>
          <w:sz w:val="20"/>
          <w:szCs w:val="20"/>
          <w:color w:val="auto"/>
        </w:rPr>
      </w:pPr>
    </w:p>
    <w:p>
      <w:pPr>
        <w:ind w:left="176" w:right="340" w:hanging="176"/>
        <w:spacing w:after="0" w:line="286" w:lineRule="auto"/>
        <w:tabs>
          <w:tab w:leader="none" w:pos="187" w:val="left"/>
        </w:tabs>
        <w:numPr>
          <w:ilvl w:val="0"/>
          <w:numId w:val="9"/>
        </w:numPr>
        <w:rPr>
          <w:rFonts w:ascii="Arial" w:cs="Arial" w:eastAsia="Arial" w:hAnsi="Arial"/>
          <w:sz w:val="16"/>
          <w:szCs w:val="16"/>
          <w:color w:val="0233A1"/>
        </w:rPr>
      </w:pPr>
      <w:r>
        <w:rPr>
          <w:rFonts w:ascii="Arial" w:cs="Arial" w:eastAsia="Arial" w:hAnsi="Arial"/>
          <w:sz w:val="16"/>
          <w:szCs w:val="16"/>
          <w:color w:val="auto"/>
        </w:rPr>
        <w:t>Our CEO did not receive an LTI award in 2020 and therefore did not earn any 2020 PSUs.</w:t>
      </w:r>
    </w:p>
    <w:p>
      <w:pPr>
        <w:spacing w:after="0" w:line="34" w:lineRule="exact"/>
        <w:rPr>
          <w:rFonts w:ascii="Arial" w:cs="Arial" w:eastAsia="Arial" w:hAnsi="Arial"/>
          <w:sz w:val="16"/>
          <w:szCs w:val="16"/>
          <w:color w:val="0233A1"/>
        </w:rPr>
      </w:pPr>
    </w:p>
    <w:p>
      <w:pPr>
        <w:ind w:left="176" w:right="220" w:hanging="176"/>
        <w:spacing w:after="0" w:line="253" w:lineRule="auto"/>
        <w:tabs>
          <w:tab w:leader="none" w:pos="187" w:val="left"/>
        </w:tabs>
        <w:numPr>
          <w:ilvl w:val="0"/>
          <w:numId w:val="9"/>
        </w:numPr>
        <w:rPr>
          <w:rFonts w:ascii="Arial" w:cs="Arial" w:eastAsia="Arial" w:hAnsi="Arial"/>
          <w:sz w:val="16"/>
          <w:szCs w:val="16"/>
          <w:color w:val="0233A1"/>
        </w:rPr>
      </w:pPr>
      <w:r>
        <w:rPr>
          <w:rFonts w:ascii="Arial" w:cs="Arial" w:eastAsia="Arial" w:hAnsi="Arial"/>
          <w:sz w:val="16"/>
          <w:szCs w:val="16"/>
          <w:color w:val="auto"/>
        </w:rPr>
        <w:t>For our other NEOs, the 2020 LTI payout was based on: (i) SLB’s average annual ROCE for the three-year performance period, which was 407 basis points (</w:t>
      </w:r>
      <w:r>
        <w:rPr>
          <w:rFonts w:ascii="Arial" w:cs="Arial" w:eastAsia="Arial" w:hAnsi="Arial"/>
          <w:sz w:val="16"/>
          <w:szCs w:val="16"/>
          <w:b w:val="1"/>
          <w:bCs w:val="1"/>
          <w:color w:val="auto"/>
        </w:rPr>
        <w:t>bps</w:t>
      </w:r>
      <w:r>
        <w:rPr>
          <w:rFonts w:ascii="Arial" w:cs="Arial" w:eastAsia="Arial" w:hAnsi="Arial"/>
          <w:sz w:val="16"/>
          <w:szCs w:val="16"/>
          <w:color w:val="auto"/>
        </w:rPr>
        <w:t>) above the average ROCE of the comparator group, (ii) SLB’s absolute 2022 ROCE of 13%, and (iii) SLB’s cumulative FCF conversion rate of 192% from 2020 to 2021— which far exceeded the maximum performance goal for the 2020 FCF conversion PSUs.</w:t>
      </w:r>
    </w:p>
    <w:p>
      <w:pPr>
        <w:spacing w:after="0" w:line="59" w:lineRule="exact"/>
        <w:rPr>
          <w:rFonts w:ascii="Arial" w:cs="Arial" w:eastAsia="Arial" w:hAnsi="Arial"/>
          <w:sz w:val="16"/>
          <w:szCs w:val="16"/>
          <w:color w:val="0233A1"/>
        </w:rPr>
      </w:pPr>
    </w:p>
    <w:p>
      <w:pPr>
        <w:ind w:left="176" w:right="600" w:hanging="176"/>
        <w:spacing w:after="0" w:line="286" w:lineRule="auto"/>
        <w:tabs>
          <w:tab w:leader="none" w:pos="232" w:val="left"/>
        </w:tabs>
        <w:numPr>
          <w:ilvl w:val="0"/>
          <w:numId w:val="9"/>
        </w:numPr>
        <w:rPr>
          <w:rFonts w:ascii="Arial" w:cs="Arial" w:eastAsia="Arial" w:hAnsi="Arial"/>
          <w:sz w:val="16"/>
          <w:szCs w:val="16"/>
          <w:color w:val="0233A1"/>
        </w:rPr>
      </w:pPr>
      <w:r>
        <w:rPr>
          <w:rFonts w:ascii="Arial" w:cs="Arial" w:eastAsia="Arial" w:hAnsi="Arial"/>
          <w:sz w:val="16"/>
          <w:szCs w:val="16"/>
          <w:color w:val="auto"/>
        </w:rPr>
        <w:t>As a result, our NEOs, other than our CEO, earned 250% of the target shares of SLB stock under the 2020 PSUs.</w:t>
      </w:r>
    </w:p>
    <w:p>
      <w:pPr>
        <w:spacing w:after="0" w:line="245" w:lineRule="exact"/>
        <w:rPr>
          <w:sz w:val="20"/>
          <w:szCs w:val="20"/>
          <w:color w:val="auto"/>
        </w:rPr>
      </w:pPr>
    </w:p>
    <w:p>
      <w:pPr>
        <w:sectPr>
          <w:pgSz w:w="11900" w:h="16838" w:orient="portrait"/>
          <w:cols w:equalWidth="0" w:num="2">
            <w:col w:w="5360" w:space="484"/>
            <w:col w:w="5396"/>
          </w:cols>
          <w:pgMar w:left="320" w:top="238" w:right="339" w:bottom="763" w:gutter="0" w:footer="0" w:header="0"/>
          <w:type w:val="continuous"/>
        </w:sectPr>
      </w:pPr>
    </w:p>
    <w:p>
      <w:pPr>
        <w:spacing w:after="0" w:line="225" w:lineRule="exact"/>
        <w:rPr>
          <w:sz w:val="20"/>
          <w:szCs w:val="20"/>
          <w:color w:val="auto"/>
        </w:rPr>
      </w:pPr>
    </w:p>
    <w:p>
      <w:pPr>
        <w:ind w:left="520" w:hanging="319"/>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reconciliations of adjusted EBITDA and free cash flow to their most comparable GAAP measures, see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471170" cy="2825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73" w:lineRule="exact"/>
        <w:rPr>
          <w:sz w:val="20"/>
          <w:szCs w:val="20"/>
          <w:color w:val="auto"/>
        </w:rPr>
      </w:pPr>
    </w:p>
    <w:p>
      <w:pPr>
        <w:jc w:val="both"/>
        <w:ind w:left="5580"/>
        <w:spacing w:after="0"/>
        <w:tabs>
          <w:tab w:leader="none" w:pos="9540" w:val="left"/>
        </w:tabs>
        <w:rPr>
          <w:sz w:val="20"/>
          <w:szCs w:val="20"/>
          <w:color w:val="auto"/>
        </w:rPr>
      </w:pPr>
      <w:r>
        <w:rPr>
          <w:rFonts w:ascii="Arial" w:cs="Arial" w:eastAsia="Arial" w:hAnsi="Arial"/>
          <w:sz w:val="16"/>
          <w:szCs w:val="16"/>
          <w:b w:val="1"/>
          <w:bCs w:val="1"/>
          <w:color w:val="auto"/>
        </w:rPr>
        <w:t>8</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-46990</wp:posOffset>
            </wp:positionV>
            <wp:extent cx="54178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763"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6130" cy="6244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6244590"/>
                    </a:xfrm>
                    <a:prstGeom prst="rect">
                      <a:avLst/>
                    </a:prstGeom>
                    <a:noFill/>
                  </pic:spPr>
                </pic:pic>
              </a:graphicData>
            </a:graphic>
          </wp:anchor>
        </w:drawing>
      </w:r>
    </w:p>
    <w:p>
      <w:pPr>
        <w:spacing w:after="0" w:line="354" w:lineRule="exact"/>
        <w:rPr>
          <w:sz w:val="20"/>
          <w:szCs w:val="20"/>
          <w:color w:val="auto"/>
        </w:rPr>
      </w:pPr>
    </w:p>
    <w:p>
      <w:pPr>
        <w:jc w:val="both"/>
        <w:ind w:left="700" w:right="200" w:hanging="175"/>
        <w:spacing w:after="0" w:line="253" w:lineRule="auto"/>
        <w:tabs>
          <w:tab w:leader="none" w:pos="700" w:val="left"/>
        </w:tabs>
        <w:numPr>
          <w:ilvl w:val="0"/>
          <w:numId w:val="11"/>
        </w:numPr>
        <w:rPr>
          <w:rFonts w:ascii="Arial" w:cs="Arial" w:eastAsia="Arial" w:hAnsi="Arial"/>
          <w:sz w:val="16"/>
          <w:szCs w:val="16"/>
          <w:b w:val="1"/>
          <w:bCs w:val="1"/>
          <w:color w:val="0233A1"/>
        </w:rPr>
      </w:pPr>
      <w:r>
        <w:rPr>
          <w:rFonts w:ascii="Arial" w:cs="Arial" w:eastAsia="Arial" w:hAnsi="Arial"/>
          <w:sz w:val="16"/>
          <w:szCs w:val="16"/>
          <w:b w:val="1"/>
          <w:bCs w:val="1"/>
          <w:color w:val="0233A1"/>
        </w:rPr>
        <w:t xml:space="preserve">CEO and CFO Compensation Increases in Line with Market Trends </w:t>
      </w:r>
      <w:r>
        <w:rPr>
          <w:rFonts w:ascii="Arial" w:cs="Arial" w:eastAsia="Arial" w:hAnsi="Arial"/>
          <w:sz w:val="16"/>
          <w:szCs w:val="16"/>
          <w:color w:val="000000"/>
        </w:rPr>
        <w:t>— In light of SLB’s strong 2021 financial results—which surpassed all of</w:t>
      </w:r>
      <w:r>
        <w:rPr>
          <w:rFonts w:ascii="Arial" w:cs="Arial" w:eastAsia="Arial" w:hAnsi="Arial"/>
          <w:sz w:val="16"/>
          <w:szCs w:val="16"/>
          <w:b w:val="1"/>
          <w:bCs w:val="1"/>
          <w:color w:val="0233A1"/>
        </w:rPr>
        <w:t xml:space="preserve"> </w:t>
      </w:r>
      <w:r>
        <w:rPr>
          <w:rFonts w:ascii="Arial" w:cs="Arial" w:eastAsia="Arial" w:hAnsi="Arial"/>
          <w:sz w:val="16"/>
          <w:szCs w:val="16"/>
          <w:color w:val="000000"/>
        </w:rPr>
        <w:t>the Company’s annual financial targets—as well as peer comparator data showing that our CEO’s 2021 compensation was below the median of our general industry peer group, the Compensation Committee recommended, and the independent members of the Board approved, an 11% increase to our CEO’s 2022 base salary and a 14% increase in his target LTI grant value. The Committee also approved a 4% base salary increase for our CFO, Mr. Biguet, and a 9% increase in his target LTI grant value, after considering the Company’s excellent 2021 financial performance, as well as peer comparator data and internal pay equity considerations. For details regarding these market increases, see “— Elements of 2022 Total Direct Compensation—Base Salary” and “—Long-Term Equity Incentive Awards”.</w:t>
      </w:r>
    </w:p>
    <w:p>
      <w:pPr>
        <w:spacing w:after="0" w:line="154" w:lineRule="exact"/>
        <w:rPr>
          <w:rFonts w:ascii="Arial" w:cs="Arial" w:eastAsia="Arial" w:hAnsi="Arial"/>
          <w:sz w:val="16"/>
          <w:szCs w:val="16"/>
          <w:b w:val="1"/>
          <w:bCs w:val="1"/>
          <w:color w:val="0233A1"/>
        </w:rPr>
      </w:pPr>
    </w:p>
    <w:p>
      <w:pPr>
        <w:ind w:left="700" w:right="200" w:hanging="175"/>
        <w:spacing w:after="0" w:line="296" w:lineRule="auto"/>
        <w:tabs>
          <w:tab w:leader="none" w:pos="700" w:val="left"/>
        </w:tabs>
        <w:numPr>
          <w:ilvl w:val="0"/>
          <w:numId w:val="11"/>
        </w:numPr>
        <w:rPr>
          <w:rFonts w:ascii="Arial" w:cs="Arial" w:eastAsia="Arial" w:hAnsi="Arial"/>
          <w:sz w:val="16"/>
          <w:szCs w:val="16"/>
          <w:b w:val="1"/>
          <w:bCs w:val="1"/>
          <w:color w:val="0233A1"/>
        </w:rPr>
      </w:pPr>
      <w:r>
        <w:rPr>
          <w:rFonts w:ascii="Arial" w:cs="Arial" w:eastAsia="Arial" w:hAnsi="Arial"/>
          <w:sz w:val="16"/>
          <w:szCs w:val="16"/>
          <w:b w:val="1"/>
          <w:bCs w:val="1"/>
          <w:color w:val="0233A1"/>
        </w:rPr>
        <w:t xml:space="preserve">ESG Objectives for All NEOs </w:t>
      </w:r>
      <w:r>
        <w:rPr>
          <w:rFonts w:ascii="Arial" w:cs="Arial" w:eastAsia="Arial" w:hAnsi="Arial"/>
          <w:sz w:val="16"/>
          <w:szCs w:val="16"/>
          <w:color w:val="000000"/>
        </w:rPr>
        <w:t>— All of our NEOs had strategic personal objectives related to sustainability, SLB New Energy, or health, safety</w:t>
      </w:r>
      <w:r>
        <w:rPr>
          <w:rFonts w:ascii="Arial" w:cs="Arial" w:eastAsia="Arial" w:hAnsi="Arial"/>
          <w:sz w:val="16"/>
          <w:szCs w:val="16"/>
          <w:b w:val="1"/>
          <w:bCs w:val="1"/>
          <w:color w:val="0233A1"/>
        </w:rPr>
        <w:t xml:space="preserve"> </w:t>
      </w:r>
      <w:r>
        <w:rPr>
          <w:rFonts w:ascii="Arial" w:cs="Arial" w:eastAsia="Arial" w:hAnsi="Arial"/>
          <w:sz w:val="16"/>
          <w:szCs w:val="16"/>
          <w:color w:val="000000"/>
        </w:rPr>
        <w:t>and environmental (</w:t>
      </w:r>
      <w:r>
        <w:rPr>
          <w:rFonts w:ascii="Arial" w:cs="Arial" w:eastAsia="Arial" w:hAnsi="Arial"/>
          <w:sz w:val="16"/>
          <w:szCs w:val="16"/>
          <w:b w:val="1"/>
          <w:bCs w:val="1"/>
          <w:color w:val="000000"/>
        </w:rPr>
        <w:t>HSE</w:t>
      </w:r>
      <w:r>
        <w:rPr>
          <w:rFonts w:ascii="Arial" w:cs="Arial" w:eastAsia="Arial" w:hAnsi="Arial"/>
          <w:sz w:val="16"/>
          <w:szCs w:val="16"/>
          <w:color w:val="000000"/>
        </w:rPr>
        <w:t>) performance goals.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Below is a summary of some of our executive compensation best practices and policies.</w:t>
      </w:r>
    </w:p>
    <w:p>
      <w:pPr>
        <w:sectPr>
          <w:pgSz w:w="11900" w:h="16838" w:orient="portrait"/>
          <w:cols w:equalWidth="0" w:num="1">
            <w:col w:w="11240"/>
          </w:cols>
          <w:pgMar w:left="320" w:top="238" w:right="339" w:bottom="1440" w:gutter="0" w:footer="0" w:header="0"/>
        </w:sectPr>
      </w:pPr>
    </w:p>
    <w:p>
      <w:pPr>
        <w:spacing w:after="0" w:line="189"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0233A1"/>
        </w:rPr>
        <w:t>What We Do</w:t>
      </w:r>
    </w:p>
    <w:p>
      <w:pPr>
        <w:spacing w:after="0" w:line="68" w:lineRule="exact"/>
        <w:rPr>
          <w:sz w:val="20"/>
          <w:szCs w:val="20"/>
          <w:color w:val="auto"/>
        </w:rPr>
      </w:pPr>
    </w:p>
    <w:p>
      <w:pPr>
        <w:jc w:val="both"/>
        <w:ind w:left="480" w:right="40"/>
        <w:spacing w:after="0" w:line="286" w:lineRule="auto"/>
        <w:rPr>
          <w:sz w:val="20"/>
          <w:szCs w:val="20"/>
          <w:color w:val="auto"/>
        </w:rPr>
      </w:pPr>
      <w:r>
        <w:rPr>
          <w:rFonts w:ascii="Arial" w:cs="Arial" w:eastAsia="Arial" w:hAnsi="Arial"/>
          <w:sz w:val="16"/>
          <w:szCs w:val="16"/>
          <w:b w:val="1"/>
          <w:bCs w:val="1"/>
          <w:i w:val="1"/>
          <w:iCs w:val="1"/>
          <w:color w:val="auto"/>
        </w:rPr>
        <w:t xml:space="preserve">At Risk Pay </w:t>
      </w:r>
      <w:r>
        <w:rPr>
          <w:rFonts w:ascii="Arial" w:cs="Arial" w:eastAsia="Arial" w:hAnsi="Arial"/>
          <w:sz w:val="16"/>
          <w:szCs w:val="16"/>
          <w:color w:val="auto"/>
        </w:rPr>
        <w:t>— A significant portion of our executives’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at risk, based on a mix of absolute and relative financial metrics.</w:t>
      </w:r>
    </w:p>
    <w:p>
      <w:pPr>
        <w:spacing w:after="0" w:line="7" w:lineRule="exact"/>
        <w:rPr>
          <w:sz w:val="20"/>
          <w:szCs w:val="20"/>
          <w:color w:val="auto"/>
        </w:rPr>
      </w:pPr>
    </w:p>
    <w:p>
      <w:pPr>
        <w:jc w:val="both"/>
        <w:ind w:left="480" w:right="40"/>
        <w:spacing w:after="0" w:line="266" w:lineRule="auto"/>
        <w:rPr>
          <w:sz w:val="20"/>
          <w:szCs w:val="20"/>
          <w:color w:val="auto"/>
        </w:rPr>
      </w:pPr>
      <w:r>
        <w:rPr>
          <w:rFonts w:ascii="Arial" w:cs="Arial" w:eastAsia="Arial" w:hAnsi="Arial"/>
          <w:sz w:val="16"/>
          <w:szCs w:val="16"/>
          <w:b w:val="1"/>
          <w:bCs w:val="1"/>
          <w:i w:val="1"/>
          <w:iCs w:val="1"/>
          <w:color w:val="auto"/>
        </w:rPr>
        <w:t xml:space="preserve">Performance-Based Cash Incentive Awards </w:t>
      </w:r>
      <w:r>
        <w:rPr>
          <w:rFonts w:ascii="Arial" w:cs="Arial" w:eastAsia="Arial" w:hAnsi="Arial"/>
          <w:sz w:val="16"/>
          <w:szCs w:val="16"/>
          <w:color w:val="auto"/>
        </w:rPr>
        <w:t>— At least 70%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executives’ target 2022 cash incentive opportunity is based on achieving rigorous quantitative Company financial goals.</w:t>
      </w:r>
    </w:p>
    <w:p>
      <w:pPr>
        <w:spacing w:after="0" w:line="23" w:lineRule="exact"/>
        <w:rPr>
          <w:sz w:val="20"/>
          <w:szCs w:val="20"/>
          <w:color w:val="auto"/>
        </w:rPr>
      </w:pPr>
    </w:p>
    <w:p>
      <w:pPr>
        <w:jc w:val="both"/>
        <w:ind w:left="480" w:right="20"/>
        <w:spacing w:after="0" w:line="256" w:lineRule="auto"/>
        <w:rPr>
          <w:sz w:val="20"/>
          <w:szCs w:val="20"/>
          <w:color w:val="auto"/>
        </w:rPr>
      </w:pPr>
      <w:r>
        <w:rPr>
          <w:rFonts w:ascii="Arial" w:cs="Arial" w:eastAsia="Arial" w:hAnsi="Arial"/>
          <w:sz w:val="16"/>
          <w:szCs w:val="16"/>
          <w:b w:val="1"/>
          <w:bCs w:val="1"/>
          <w:i w:val="1"/>
          <w:iCs w:val="1"/>
          <w:color w:val="auto"/>
        </w:rPr>
        <w:t xml:space="preserve">Robust Stock Holding Requirements </w:t>
      </w:r>
      <w:r>
        <w:rPr>
          <w:rFonts w:ascii="Arial" w:cs="Arial" w:eastAsia="Arial" w:hAnsi="Arial"/>
          <w:sz w:val="16"/>
          <w:szCs w:val="16"/>
          <w:color w:val="auto"/>
        </w:rPr>
        <w:t>— Our CEO is required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 an amount of SLB shares valued at six times (6x) his annual salary; our EVPs must own at least three times (3x) their annual salaries; and all other executive officers must own at least two times (2x) their annual salaries.</w:t>
      </w:r>
    </w:p>
    <w:p>
      <w:pPr>
        <w:spacing w:after="0" w:line="18" w:lineRule="exact"/>
        <w:rPr>
          <w:sz w:val="20"/>
          <w:szCs w:val="20"/>
          <w:color w:val="auto"/>
        </w:rPr>
      </w:pPr>
    </w:p>
    <w:p>
      <w:pPr>
        <w:jc w:val="both"/>
        <w:ind w:left="480" w:right="40"/>
        <w:spacing w:after="0" w:line="259" w:lineRule="auto"/>
        <w:rPr>
          <w:sz w:val="20"/>
          <w:szCs w:val="20"/>
          <w:color w:val="auto"/>
        </w:rPr>
      </w:pPr>
      <w:r>
        <w:rPr>
          <w:rFonts w:ascii="Arial" w:cs="Arial" w:eastAsia="Arial" w:hAnsi="Arial"/>
          <w:sz w:val="16"/>
          <w:szCs w:val="16"/>
          <w:b w:val="1"/>
          <w:bCs w:val="1"/>
          <w:i w:val="1"/>
          <w:iCs w:val="1"/>
          <w:color w:val="auto"/>
        </w:rPr>
        <w:t xml:space="preserve">Mandatory Retention of Shares </w:t>
      </w:r>
      <w:r>
        <w:rPr>
          <w:rFonts w:ascii="Arial" w:cs="Arial" w:eastAsia="Arial" w:hAnsi="Arial"/>
          <w:sz w:val="16"/>
          <w:szCs w:val="16"/>
          <w:color w:val="auto"/>
        </w:rPr>
        <w:t>— Executives must retain 50%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net shares they acquire upon the exercise of stock options and the vesting of PSUs and RSUs, until they achieve the required ownership level under our stock ownership guidelines.</w:t>
      </w:r>
    </w:p>
    <w:p>
      <w:pPr>
        <w:spacing w:after="0" w:line="29" w:lineRule="exact"/>
        <w:rPr>
          <w:sz w:val="20"/>
          <w:szCs w:val="20"/>
          <w:color w:val="auto"/>
        </w:rPr>
      </w:pPr>
    </w:p>
    <w:p>
      <w:pPr>
        <w:jc w:val="both"/>
        <w:ind w:left="480" w:right="40"/>
        <w:spacing w:after="0" w:line="286" w:lineRule="auto"/>
        <w:rPr>
          <w:sz w:val="20"/>
          <w:szCs w:val="20"/>
          <w:color w:val="auto"/>
        </w:rPr>
      </w:pPr>
      <w:r>
        <w:rPr>
          <w:rFonts w:ascii="Arial" w:cs="Arial" w:eastAsia="Arial" w:hAnsi="Arial"/>
          <w:sz w:val="16"/>
          <w:szCs w:val="16"/>
          <w:b w:val="1"/>
          <w:bCs w:val="1"/>
          <w:i w:val="1"/>
          <w:iCs w:val="1"/>
          <w:color w:val="auto"/>
        </w:rPr>
        <w:t xml:space="preserve">Annual Peer Compensation Review </w:t>
      </w:r>
      <w:r>
        <w:rPr>
          <w:rFonts w:ascii="Arial" w:cs="Arial" w:eastAsia="Arial" w:hAnsi="Arial"/>
          <w:sz w:val="16"/>
          <w:szCs w:val="16"/>
          <w:color w:val="auto"/>
        </w:rPr>
        <w:t>— We annually review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compensation opportunities against our peer groups.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0233A1"/>
        </w:rPr>
        <w:t>What We Don’t Do</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No gross-ups on excise taxes.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No repricing or exchanging options without shareholder approval.</w:t>
      </w:r>
    </w:p>
    <w:p>
      <w:pPr>
        <w:spacing w:after="0" w:line="86"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color w:val="auto"/>
        </w:rPr>
        <w:t>No hedging or pledging of SLB stock by executive officers or directors.</w:t>
      </w:r>
    </w:p>
    <w:p>
      <w:pPr>
        <w:spacing w:after="0" w:line="21"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color w:val="auto"/>
        </w:rPr>
        <w:t>No LTI or annual cash incentive payouts if we fail to achieve pre-established minimum performance criteria.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 excessive perquisites to our executive officers.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No executive pension or insurance plans exclusively for executives.</w:t>
      </w:r>
    </w:p>
    <w:p>
      <w:pPr>
        <w:spacing w:after="0" w:line="59"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color w:val="auto"/>
        </w:rPr>
        <w:t>No change-in-control agreements, and no automatic acceleration of equity awards upon a change in control.</w:t>
      </w:r>
    </w:p>
    <w:p>
      <w:pPr>
        <w:spacing w:after="0" w:line="21"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color w:val="auto"/>
        </w:rPr>
        <w:t>PSUs and RSUs do not accrue or pay dividends or dividend equivalents or have voting rights prior to vesting.</w:t>
      </w:r>
    </w:p>
    <w:p>
      <w:pPr>
        <w:spacing w:after="0" w:line="7"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auto"/>
        </w:rPr>
        <w:t>We do not dilute our shareholders with excessive employee equity grants. Our 2022 “burn rate,” or stock awards granted as a percentage of common shares outstanding, was only 0.65%.</w:t>
      </w:r>
    </w:p>
    <w:p>
      <w:pPr>
        <w:spacing w:after="0" w:line="200" w:lineRule="exact"/>
        <w:rPr>
          <w:sz w:val="20"/>
          <w:szCs w:val="20"/>
          <w:color w:val="auto"/>
        </w:rPr>
      </w:pPr>
    </w:p>
    <w:p>
      <w:pPr>
        <w:sectPr>
          <w:pgSz w:w="11900" w:h="16838" w:orient="portrait"/>
          <w:cols w:equalWidth="0" w:num="2">
            <w:col w:w="5440" w:space="720"/>
            <w:col w:w="5080"/>
          </w:cols>
          <w:pgMar w:left="320" w:top="238" w:right="339" w:bottom="1440" w:gutter="0" w:footer="0" w:header="0"/>
          <w:type w:val="continuous"/>
        </w:sectPr>
      </w:pPr>
    </w:p>
    <w:p>
      <w:pPr>
        <w:spacing w:after="0" w:line="358" w:lineRule="exact"/>
        <w:rPr>
          <w:sz w:val="20"/>
          <w:szCs w:val="20"/>
          <w:color w:val="auto"/>
        </w:rPr>
      </w:pPr>
    </w:p>
    <w:p>
      <w:pPr>
        <w:ind w:left="200"/>
        <w:spacing w:after="0"/>
        <w:rPr>
          <w:sz w:val="20"/>
          <w:szCs w:val="20"/>
          <w:color w:val="auto"/>
        </w:rPr>
      </w:pPr>
      <w:r>
        <w:rPr>
          <w:rFonts w:ascii="Arial" w:cs="Arial" w:eastAsia="Arial" w:hAnsi="Arial"/>
          <w:sz w:val="29"/>
          <w:szCs w:val="29"/>
          <w:color w:val="16458B"/>
        </w:rPr>
        <w:t>Forward-Looking Statements</w:t>
      </w:r>
    </w:p>
    <w:p>
      <w:pPr>
        <w:spacing w:after="0" w:line="211" w:lineRule="exact"/>
        <w:rPr>
          <w:sz w:val="20"/>
          <w:szCs w:val="20"/>
          <w:color w:val="auto"/>
        </w:rPr>
      </w:pPr>
    </w:p>
    <w:p>
      <w:pPr>
        <w:jc w:val="both"/>
        <w:ind w:left="200" w:right="200" w:firstLine="324"/>
        <w:spacing w:after="0" w:line="256" w:lineRule="auto"/>
        <w:rPr>
          <w:sz w:val="20"/>
          <w:szCs w:val="20"/>
          <w:color w:val="auto"/>
        </w:rPr>
      </w:pPr>
      <w:r>
        <w:rPr>
          <w:rFonts w:ascii="Arial" w:cs="Arial" w:eastAsia="Arial" w:hAnsi="Arial"/>
          <w:sz w:val="16"/>
          <w:szCs w:val="16"/>
          <w:color w:val="auto"/>
        </w:rPr>
        <w:t>This proxy statement includes forward-looking statements within the meaning of the Private Securities Litigation Reform Act of 1995. All statements other than statements of historical or current facts made in this document are forward-looking. We use words such as anticipates, believes, expects, future, intends, and similar expressions to identify forward-looking statements. Forward-looking statements reflect management’s current expectations and are inherently uncertain, and actual results or outcomes could differ materially for a variety of reasons. Risks and uncertainties that could cause our actual results to differ significantly from management’s expectations are described in our 2022 Annual Report on Form 10-K.</w:t>
      </w:r>
    </w:p>
    <w:p>
      <w:pPr>
        <w:spacing w:after="0" w:line="153" w:lineRule="exact"/>
        <w:rPr>
          <w:sz w:val="20"/>
          <w:szCs w:val="20"/>
          <w:color w:val="auto"/>
        </w:rPr>
      </w:pPr>
    </w:p>
    <w:p>
      <w:pPr>
        <w:jc w:val="both"/>
        <w:ind w:left="200" w:right="200" w:firstLine="324"/>
        <w:spacing w:after="0" w:line="256" w:lineRule="auto"/>
        <w:rPr>
          <w:sz w:val="20"/>
          <w:szCs w:val="20"/>
          <w:color w:val="auto"/>
        </w:rPr>
      </w:pPr>
      <w:r>
        <w:rPr>
          <w:rFonts w:ascii="Arial" w:cs="Arial" w:eastAsia="Arial" w:hAnsi="Arial"/>
          <w:sz w:val="16"/>
          <w:szCs w:val="16"/>
          <w:color w:val="auto"/>
        </w:rPr>
        <w:t>Forward-looking and other statements in this proxy statement regarding our environmental, social, governance (</w:t>
      </w:r>
      <w:r>
        <w:rPr>
          <w:rFonts w:ascii="Arial" w:cs="Arial" w:eastAsia="Arial" w:hAnsi="Arial"/>
          <w:sz w:val="16"/>
          <w:szCs w:val="16"/>
          <w:b w:val="1"/>
          <w:bCs w:val="1"/>
          <w:color w:val="auto"/>
        </w:rPr>
        <w:t>ESG</w:t>
      </w:r>
      <w:r>
        <w:rPr>
          <w:rFonts w:ascii="Arial" w:cs="Arial" w:eastAsia="Arial" w:hAnsi="Arial"/>
          <w:sz w:val="16"/>
          <w:szCs w:val="16"/>
          <w:color w:val="auto"/>
        </w:rPr>
        <w:t>) and other sustainability plans and goals are not an indication that these statements are necessarily material to investors or required to be disclosed in our filings with the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In addition, historical, current, and forward-looking ESG and sustainability-related statements may be based on standards for measuring progress that are still developing, internal controls and processes that continue to evolve, and assumptions that are subject to change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328930</wp:posOffset>
            </wp:positionV>
            <wp:extent cx="471805" cy="282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Borders>
              <w:bottom w:val="single" w:sz="8" w:color="auto"/>
            </w:tcBorders>
          </w:tcPr>
          <w:p>
            <w:pPr>
              <w:spacing w:after="0"/>
              <w:rPr>
                <w:sz w:val="11"/>
                <w:szCs w:val="11"/>
                <w:color w:val="auto"/>
              </w:rPr>
            </w:pPr>
          </w:p>
        </w:tc>
        <w:tc>
          <w:tcPr>
            <w:tcW w:w="4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9</w:t>
            </w:r>
          </w:p>
        </w:tc>
        <w:tc>
          <w:tcPr>
            <w:tcW w:w="448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800" w:type="dxa"/>
            <w:vAlign w:val="bottom"/>
            <w:vMerge w:val="continue"/>
          </w:tcPr>
          <w:p>
            <w:pPr>
              <w:spacing w:after="0"/>
              <w:rPr>
                <w:sz w:val="7"/>
                <w:szCs w:val="7"/>
                <w:color w:val="auto"/>
              </w:rPr>
            </w:pPr>
          </w:p>
        </w:tc>
        <w:tc>
          <w:tcPr>
            <w:tcW w:w="36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4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7" w:lineRule="exact"/>
        <w:rPr>
          <w:sz w:val="20"/>
          <w:szCs w:val="20"/>
          <w:color w:val="auto"/>
        </w:rPr>
      </w:pPr>
    </w:p>
    <w:p>
      <w:pPr>
        <w:spacing w:after="0"/>
        <w:rPr>
          <w:sz w:val="20"/>
          <w:szCs w:val="20"/>
          <w:color w:val="auto"/>
        </w:rPr>
      </w:pPr>
      <w:r>
        <w:rPr>
          <w:rFonts w:ascii="Arial" w:cs="Arial" w:eastAsia="Arial" w:hAnsi="Arial"/>
          <w:sz w:val="50"/>
          <w:szCs w:val="50"/>
          <w:b w:val="1"/>
          <w:bCs w:val="1"/>
          <w:color w:val="0233A1"/>
        </w:rPr>
        <w:t xml:space="preserve">ITEM 1. </w:t>
      </w:r>
      <w:r>
        <w:rPr>
          <w:rFonts w:ascii="Arial" w:cs="Arial" w:eastAsia="Arial" w:hAnsi="Arial"/>
          <w:sz w:val="50"/>
          <w:szCs w:val="50"/>
          <w:color w:val="0233A1"/>
        </w:rPr>
        <w:t>Election of Directors</w:t>
      </w: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All of our directors are elected annually at our annual general meeting of shareholders. We recommend that you vote “FOR” each of the 11 director nominees, to be elected to serve until our 2024 AGM (or until their death, resignation or removal). Each of the nominees is currently a director and was previously elected by our shareholders at our 2022 AGM.</w:t>
      </w:r>
    </w:p>
    <w:p>
      <w:pPr>
        <w:spacing w:after="0" w:line="14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If any nominee is unable or unwilling to serve, the Board may decrease the size of the Board or designate a substitute nominee. If the Board designates a substitute nominee, proxies may be voted for that substitute nominee. The Board knows of no reason why any nominee would be unable or unwilling to serve if elected.</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At the 2023 AGM, votes may not be cast for a greater number of persons than the number of director nominees named in this proxy statement. Shares represented by properly executed proxies and not revoked will be voted in accordance with the instructions indicated on those proxy cards. If you have properly executed your proxy card and you have not given specific voting instructions, your shares will be voted in accordance with our Board’s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419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19735"/>
                    </a:xfrm>
                    <a:prstGeom prst="rect">
                      <a:avLst/>
                    </a:prstGeom>
                    <a:noFill/>
                  </pic:spPr>
                </pic:pic>
              </a:graphicData>
            </a:graphic>
          </wp:anchor>
        </w:drawing>
      </w:r>
    </w:p>
    <w:p>
      <w:pPr>
        <w:spacing w:after="0" w:line="348" w:lineRule="exact"/>
        <w:rPr>
          <w:sz w:val="20"/>
          <w:szCs w:val="20"/>
          <w:color w:val="auto"/>
        </w:rPr>
      </w:pPr>
    </w:p>
    <w:p>
      <w:pPr>
        <w:ind w:left="720"/>
        <w:spacing w:after="0"/>
        <w:rPr>
          <w:sz w:val="20"/>
          <w:szCs w:val="20"/>
          <w:color w:val="auto"/>
        </w:rPr>
      </w:pPr>
      <w:r>
        <w:rPr>
          <w:sz w:val="1"/>
          <w:szCs w:val="1"/>
          <w:color w:val="auto"/>
        </w:rPr>
        <w:drawing>
          <wp:inline distT="0" distB="0" distL="0" distR="0">
            <wp:extent cx="265430" cy="24828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5430" cy="248285"/>
                    </a:xfrm>
                    <a:prstGeom prst="rect">
                      <a:avLst/>
                    </a:prstGeom>
                    <a:noFill/>
                    <a:ln>
                      <a:noFill/>
                    </a:ln>
                  </pic:spPr>
                </pic:pic>
              </a:graphicData>
            </a:graphic>
          </wp:inline>
        </w:drawing>
      </w:r>
      <w:r>
        <w:rPr>
          <w:rFonts w:ascii="Arial" w:cs="Arial" w:eastAsia="Arial" w:hAnsi="Arial"/>
          <w:sz w:val="25"/>
          <w:szCs w:val="25"/>
          <w:color w:val="FFFFFF"/>
        </w:rPr>
        <w:t xml:space="preserve"> The Board of Directors recommends a vote </w:t>
      </w:r>
      <w:r>
        <w:rPr>
          <w:rFonts w:ascii="Arial" w:cs="Arial" w:eastAsia="Arial" w:hAnsi="Arial"/>
          <w:sz w:val="25"/>
          <w:szCs w:val="25"/>
          <w:b w:val="1"/>
          <w:bCs w:val="1"/>
          <w:color w:val="FFFFFF"/>
        </w:rPr>
        <w:t>FOR</w:t>
      </w:r>
      <w:r>
        <w:rPr>
          <w:rFonts w:ascii="Arial" w:cs="Arial" w:eastAsia="Arial" w:hAnsi="Arial"/>
          <w:sz w:val="25"/>
          <w:szCs w:val="25"/>
          <w:color w:val="FFFFFF"/>
        </w:rPr>
        <w:t xml:space="preserve"> each director nominee.</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9"/>
          <w:szCs w:val="29"/>
          <w:color w:val="0233A1"/>
        </w:rPr>
        <w:t>Director Qualifications and Diversity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Nominating and Governance Committee believes that SLB director nominees should have the following characteristics:</w:t>
      </w:r>
    </w:p>
    <w:p>
      <w:pPr>
        <w:spacing w:after="0" w:line="194" w:lineRule="exact"/>
        <w:rPr>
          <w:sz w:val="20"/>
          <w:szCs w:val="20"/>
          <w:color w:val="auto"/>
        </w:rPr>
      </w:pPr>
    </w:p>
    <w:p>
      <w:pPr>
        <w:ind w:left="500" w:hanging="168"/>
        <w:spacing w:after="0"/>
        <w:tabs>
          <w:tab w:leader="none" w:pos="500" w:val="left"/>
        </w:tabs>
        <w:numPr>
          <w:ilvl w:val="0"/>
          <w:numId w:val="12"/>
        </w:numPr>
        <w:rPr>
          <w:rFonts w:ascii="Arial" w:cs="Arial" w:eastAsia="Arial" w:hAnsi="Arial"/>
          <w:sz w:val="16"/>
          <w:szCs w:val="16"/>
          <w:b w:val="1"/>
          <w:bCs w:val="1"/>
          <w:color w:val="0233A1"/>
        </w:rPr>
      </w:pPr>
      <w:r>
        <w:rPr>
          <w:rFonts w:ascii="Arial" w:cs="Arial" w:eastAsia="Arial" w:hAnsi="Arial"/>
          <w:sz w:val="16"/>
          <w:szCs w:val="16"/>
          <w:color w:val="auto"/>
        </w:rPr>
        <w:t>be persons of integrity and honesty,</w:t>
      </w:r>
    </w:p>
    <w:p>
      <w:pPr>
        <w:spacing w:after="0" w:line="113" w:lineRule="exact"/>
        <w:rPr>
          <w:rFonts w:ascii="Arial" w:cs="Arial" w:eastAsia="Arial" w:hAnsi="Arial"/>
          <w:sz w:val="16"/>
          <w:szCs w:val="16"/>
          <w:b w:val="1"/>
          <w:bCs w:val="1"/>
          <w:color w:val="0233A1"/>
        </w:rPr>
      </w:pPr>
    </w:p>
    <w:p>
      <w:pPr>
        <w:ind w:left="500" w:hanging="168"/>
        <w:spacing w:after="0"/>
        <w:tabs>
          <w:tab w:leader="none" w:pos="500" w:val="left"/>
        </w:tabs>
        <w:numPr>
          <w:ilvl w:val="0"/>
          <w:numId w:val="12"/>
        </w:numPr>
        <w:rPr>
          <w:rFonts w:ascii="Arial" w:cs="Arial" w:eastAsia="Arial" w:hAnsi="Arial"/>
          <w:sz w:val="16"/>
          <w:szCs w:val="16"/>
          <w:b w:val="1"/>
          <w:bCs w:val="1"/>
          <w:color w:val="0233A1"/>
        </w:rPr>
      </w:pPr>
      <w:r>
        <w:rPr>
          <w:rFonts w:ascii="Arial" w:cs="Arial" w:eastAsia="Arial" w:hAnsi="Arial"/>
          <w:sz w:val="16"/>
          <w:szCs w:val="16"/>
          <w:color w:val="auto"/>
        </w:rPr>
        <w:t>be able to exercise sound, mature and independent business judgment in the best interests of our shareholders as a whole,</w:t>
      </w:r>
    </w:p>
    <w:p>
      <w:pPr>
        <w:spacing w:after="0" w:line="113" w:lineRule="exact"/>
        <w:rPr>
          <w:rFonts w:ascii="Arial" w:cs="Arial" w:eastAsia="Arial" w:hAnsi="Arial"/>
          <w:sz w:val="16"/>
          <w:szCs w:val="16"/>
          <w:b w:val="1"/>
          <w:bCs w:val="1"/>
          <w:color w:val="0233A1"/>
        </w:rPr>
      </w:pPr>
    </w:p>
    <w:p>
      <w:pPr>
        <w:ind w:left="500" w:hanging="168"/>
        <w:spacing w:after="0"/>
        <w:tabs>
          <w:tab w:leader="none" w:pos="500" w:val="left"/>
        </w:tabs>
        <w:numPr>
          <w:ilvl w:val="0"/>
          <w:numId w:val="12"/>
        </w:numPr>
        <w:rPr>
          <w:rFonts w:ascii="Arial" w:cs="Arial" w:eastAsia="Arial" w:hAnsi="Arial"/>
          <w:sz w:val="16"/>
          <w:szCs w:val="16"/>
          <w:b w:val="1"/>
          <w:bCs w:val="1"/>
          <w:color w:val="0233A1"/>
        </w:rPr>
      </w:pPr>
      <w:r>
        <w:rPr>
          <w:rFonts w:ascii="Arial" w:cs="Arial" w:eastAsia="Arial" w:hAnsi="Arial"/>
          <w:sz w:val="16"/>
          <w:szCs w:val="16"/>
          <w:color w:val="auto"/>
        </w:rPr>
        <w:t>be recognized leaders in business or professional activity,</w:t>
      </w:r>
    </w:p>
    <w:p>
      <w:pPr>
        <w:spacing w:after="0" w:line="113" w:lineRule="exact"/>
        <w:rPr>
          <w:rFonts w:ascii="Arial" w:cs="Arial" w:eastAsia="Arial" w:hAnsi="Arial"/>
          <w:sz w:val="16"/>
          <w:szCs w:val="16"/>
          <w:b w:val="1"/>
          <w:bCs w:val="1"/>
          <w:color w:val="0233A1"/>
        </w:rPr>
      </w:pPr>
    </w:p>
    <w:p>
      <w:pPr>
        <w:ind w:left="500" w:hanging="168"/>
        <w:spacing w:after="0"/>
        <w:tabs>
          <w:tab w:leader="none" w:pos="500" w:val="left"/>
        </w:tabs>
        <w:numPr>
          <w:ilvl w:val="0"/>
          <w:numId w:val="12"/>
        </w:numPr>
        <w:rPr>
          <w:rFonts w:ascii="Arial" w:cs="Arial" w:eastAsia="Arial" w:hAnsi="Arial"/>
          <w:sz w:val="16"/>
          <w:szCs w:val="16"/>
          <w:b w:val="1"/>
          <w:bCs w:val="1"/>
          <w:color w:val="0233A1"/>
        </w:rPr>
      </w:pPr>
      <w:r>
        <w:rPr>
          <w:rFonts w:ascii="Arial" w:cs="Arial" w:eastAsia="Arial" w:hAnsi="Arial"/>
          <w:sz w:val="16"/>
          <w:szCs w:val="16"/>
          <w:color w:val="auto"/>
        </w:rPr>
        <w:t>have background and experience that will complement those of other Board members,</w:t>
      </w:r>
    </w:p>
    <w:p>
      <w:pPr>
        <w:spacing w:after="0" w:line="113" w:lineRule="exact"/>
        <w:rPr>
          <w:rFonts w:ascii="Arial" w:cs="Arial" w:eastAsia="Arial" w:hAnsi="Arial"/>
          <w:sz w:val="16"/>
          <w:szCs w:val="16"/>
          <w:b w:val="1"/>
          <w:bCs w:val="1"/>
          <w:color w:val="0233A1"/>
        </w:rPr>
      </w:pPr>
    </w:p>
    <w:p>
      <w:pPr>
        <w:ind w:left="500" w:hanging="168"/>
        <w:spacing w:after="0"/>
        <w:tabs>
          <w:tab w:leader="none" w:pos="500" w:val="left"/>
        </w:tabs>
        <w:numPr>
          <w:ilvl w:val="0"/>
          <w:numId w:val="12"/>
        </w:numPr>
        <w:rPr>
          <w:rFonts w:ascii="Arial" w:cs="Arial" w:eastAsia="Arial" w:hAnsi="Arial"/>
          <w:sz w:val="16"/>
          <w:szCs w:val="16"/>
          <w:b w:val="1"/>
          <w:bCs w:val="1"/>
          <w:color w:val="0233A1"/>
        </w:rPr>
      </w:pPr>
      <w:r>
        <w:rPr>
          <w:rFonts w:ascii="Arial" w:cs="Arial" w:eastAsia="Arial" w:hAnsi="Arial"/>
          <w:sz w:val="16"/>
          <w:szCs w:val="16"/>
          <w:color w:val="auto"/>
        </w:rPr>
        <w:t>be willing and able to actively participate in Board and committee meetings and related activities,</w:t>
      </w:r>
    </w:p>
    <w:p>
      <w:pPr>
        <w:spacing w:after="0" w:line="113" w:lineRule="exact"/>
        <w:rPr>
          <w:rFonts w:ascii="Arial" w:cs="Arial" w:eastAsia="Arial" w:hAnsi="Arial"/>
          <w:sz w:val="16"/>
          <w:szCs w:val="16"/>
          <w:b w:val="1"/>
          <w:bCs w:val="1"/>
          <w:color w:val="0233A1"/>
        </w:rPr>
      </w:pPr>
    </w:p>
    <w:p>
      <w:pPr>
        <w:ind w:left="500" w:hanging="168"/>
        <w:spacing w:after="0"/>
        <w:tabs>
          <w:tab w:leader="none" w:pos="500" w:val="left"/>
        </w:tabs>
        <w:numPr>
          <w:ilvl w:val="0"/>
          <w:numId w:val="12"/>
        </w:numPr>
        <w:rPr>
          <w:rFonts w:ascii="Arial" w:cs="Arial" w:eastAsia="Arial" w:hAnsi="Arial"/>
          <w:sz w:val="16"/>
          <w:szCs w:val="16"/>
          <w:b w:val="1"/>
          <w:bCs w:val="1"/>
          <w:color w:val="0233A1"/>
        </w:rPr>
      </w:pPr>
      <w:r>
        <w:rPr>
          <w:rFonts w:ascii="Arial" w:cs="Arial" w:eastAsia="Arial" w:hAnsi="Arial"/>
          <w:sz w:val="16"/>
          <w:szCs w:val="16"/>
          <w:color w:val="auto"/>
        </w:rPr>
        <w:t>be able to work professionally and effectively with other Board members and SLB management,</w:t>
      </w:r>
    </w:p>
    <w:p>
      <w:pPr>
        <w:spacing w:after="0" w:line="113" w:lineRule="exact"/>
        <w:rPr>
          <w:rFonts w:ascii="Arial" w:cs="Arial" w:eastAsia="Arial" w:hAnsi="Arial"/>
          <w:sz w:val="16"/>
          <w:szCs w:val="16"/>
          <w:b w:val="1"/>
          <w:bCs w:val="1"/>
          <w:color w:val="0233A1"/>
        </w:rPr>
      </w:pPr>
    </w:p>
    <w:p>
      <w:pPr>
        <w:ind w:left="500" w:hanging="168"/>
        <w:spacing w:after="0"/>
        <w:tabs>
          <w:tab w:leader="none" w:pos="500" w:val="left"/>
        </w:tabs>
        <w:numPr>
          <w:ilvl w:val="0"/>
          <w:numId w:val="12"/>
        </w:numPr>
        <w:rPr>
          <w:rFonts w:ascii="Arial" w:cs="Arial" w:eastAsia="Arial" w:hAnsi="Arial"/>
          <w:sz w:val="16"/>
          <w:szCs w:val="16"/>
          <w:b w:val="1"/>
          <w:bCs w:val="1"/>
          <w:color w:val="0233A1"/>
        </w:rPr>
      </w:pPr>
      <w:r>
        <w:rPr>
          <w:rFonts w:ascii="Arial" w:cs="Arial" w:eastAsia="Arial" w:hAnsi="Arial"/>
          <w:sz w:val="16"/>
          <w:szCs w:val="16"/>
          <w:color w:val="auto"/>
        </w:rPr>
        <w:t>be available to remain on the Board long enough to make an effective contribution, and</w:t>
      </w:r>
    </w:p>
    <w:p>
      <w:pPr>
        <w:spacing w:after="0" w:line="113" w:lineRule="exact"/>
        <w:rPr>
          <w:rFonts w:ascii="Arial" w:cs="Arial" w:eastAsia="Arial" w:hAnsi="Arial"/>
          <w:sz w:val="16"/>
          <w:szCs w:val="16"/>
          <w:b w:val="1"/>
          <w:bCs w:val="1"/>
          <w:color w:val="0233A1"/>
        </w:rPr>
      </w:pPr>
    </w:p>
    <w:p>
      <w:pPr>
        <w:ind w:left="500" w:hanging="168"/>
        <w:spacing w:after="0" w:line="286" w:lineRule="auto"/>
        <w:tabs>
          <w:tab w:leader="none" w:pos="500" w:val="left"/>
        </w:tabs>
        <w:numPr>
          <w:ilvl w:val="0"/>
          <w:numId w:val="12"/>
        </w:numPr>
        <w:rPr>
          <w:rFonts w:ascii="Arial" w:cs="Arial" w:eastAsia="Arial" w:hAnsi="Arial"/>
          <w:sz w:val="16"/>
          <w:szCs w:val="16"/>
          <w:b w:val="1"/>
          <w:bCs w:val="1"/>
          <w:color w:val="0233A1"/>
        </w:rPr>
      </w:pPr>
      <w:r>
        <w:rPr>
          <w:rFonts w:ascii="Arial" w:cs="Arial" w:eastAsia="Arial" w:hAnsi="Arial"/>
          <w:sz w:val="16"/>
          <w:szCs w:val="16"/>
          <w:color w:val="auto"/>
        </w:rPr>
        <w:t>have no material relationship with competitors, customers or other third parties that could present realistic possibilities of conflicts of interest or legal issues.</w:t>
      </w:r>
    </w:p>
    <w:p>
      <w:pPr>
        <w:spacing w:after="0" w:line="12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In the judgment of the Board, all director nominees are able to execute their duties as members of the Board and to devote the necessary time and attention to SLB, as required by our Corporate Governance Guidelines. In addition, there are no family relationships among any SLB executive officers and directors.</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color w:val="0233A1"/>
        </w:rPr>
        <w:t>Board Diversity Policy</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Nominating and Governance Committee supports SLB’s diversity ambitions that its Board should reflect the gender, racial and ethnic, cultural and geographical diversity of our global operations. The Board seeks out women and nationally, racially and ethnically diverse candidates to include in the pool of qualified candidates from which potential director nominees are chosen. As reflected in the summary chart on page 11, our 11 director nominees represent ten nationalities across five continents, and three directors are women.</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Given our multinational footprint and culture, we endeavor to have a global perspective on diversity, including racial and ethnic diversity. This perspective includes respecting local legal requirements regarding the tracking and use of personal data pertaining to under-represented populations. Certain countries have data privacy laws prohibiting the collection or disclosure of race and ethnicity classification data, reflecting historical concerns that such data could be used to foster, rather than eliminate, discrimination. In addition, local definitions of race and ethnicity and related classifications, as well as the definition of under-represented groups, vary from country to country.</w:t>
      </w:r>
    </w:p>
    <w:p>
      <w:pPr>
        <w:spacing w:after="0" w:line="15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As a result, U.S.-centric racial and ethnic classifications as used for EEO-1 data collection purposes are applicable only to our three directors who are U.S. citizens. For our U.S. directors, we provide in the summary chart on page 11 race and ethnicity disclosures based on classifications commonly used in the United States. For all other directors, we asked if they wished to voluntarily disclose their ethnic or racial background and, if so, how they self-identify based on the classifications most relevant to their home countries. We provide self-identifications for non-U.S. directors in the summary chart on page 11. In keeping with international data privacy laws, we have not included racial or ethnic information for director nominees who did not authorize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471170" cy="2825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187"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-46990</wp:posOffset>
            </wp:positionV>
            <wp:extent cx="54178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0233A1"/>
        </w:rPr>
        <w:t>Summary of Director Nominee Skills and Characteristics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believe our director nominees provide a well-rounded set of expertise to assist in effective oversight of SLB management.</w:t>
      </w:r>
    </w:p>
    <w:p>
      <w:pPr>
        <w:spacing w:after="0" w:line="19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The following chart summarizes the qualifications of our director nominees, including knowledge, skills, experiences and other attributes that the Board believes are relevant to their Board and committee service. Each director nominee possesses numerous other skills and experience not identified in the following chart, as further detailed in their biographies beginning on page 12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6000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Substantial Knowledge, Skills and Experience</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Current or former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-98425</wp:posOffset>
            </wp:positionV>
            <wp:extent cx="111125" cy="1111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-98425</wp:posOffset>
            </wp:positionV>
            <wp:extent cx="111125" cy="1111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-98425</wp:posOffset>
            </wp:positionV>
            <wp:extent cx="111125" cy="1111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-98425</wp:posOffset>
            </wp:positionV>
            <wp:extent cx="111125" cy="1111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-98425</wp:posOffset>
            </wp:positionV>
            <wp:extent cx="111125" cy="1111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-98425</wp:posOffset>
            </wp:positionV>
            <wp:extent cx="111125" cy="1111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-98425</wp:posOffset>
            </wp:positionV>
            <wp:extent cx="111125" cy="1111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Energy industry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-98425</wp:posOffset>
            </wp:positionV>
            <wp:extent cx="111125" cy="1111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-98425</wp:posOffset>
            </wp:positionV>
            <wp:extent cx="111125" cy="1111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-98425</wp:posOffset>
            </wp:positionV>
            <wp:extent cx="111125" cy="1111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-98425</wp:posOffset>
            </wp:positionV>
            <wp:extent cx="111125" cy="1111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-98425</wp:posOffset>
            </wp:positionV>
            <wp:extent cx="111125" cy="1111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-98425</wp:posOffset>
            </wp:positionV>
            <wp:extent cx="111125" cy="1111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-98425</wp:posOffset>
            </wp:positionV>
            <wp:extent cx="111125" cy="1111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-98425</wp:posOffset>
            </wp:positionV>
            <wp:extent cx="111125" cy="1111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-98425</wp:posOffset>
            </wp:positionV>
            <wp:extent cx="111125" cy="1111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-98425</wp:posOffset>
            </wp:positionV>
            <wp:extent cx="111125" cy="1111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Finance and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-98425</wp:posOffset>
            </wp:positionV>
            <wp:extent cx="111125" cy="1111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-98425</wp:posOffset>
            </wp:positionV>
            <wp:extent cx="111125" cy="1111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-98425</wp:posOffset>
            </wp:positionV>
            <wp:extent cx="111125" cy="1111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-98425</wp:posOffset>
            </wp:positionV>
            <wp:extent cx="111125" cy="1111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-98425</wp:posOffset>
            </wp:positionV>
            <wp:extent cx="111125" cy="1111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-98425</wp:posOffset>
            </wp:positionV>
            <wp:extent cx="111125" cy="1111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-98425</wp:posOffset>
            </wp:positionV>
            <wp:extent cx="111125" cy="1111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Science, technology and engineering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-98425</wp:posOffset>
            </wp:positionV>
            <wp:extent cx="111125" cy="1111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-98425</wp:posOffset>
            </wp:positionV>
            <wp:extent cx="111125" cy="1111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-98425</wp:posOffset>
            </wp:positionV>
            <wp:extent cx="111125" cy="1111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-98425</wp:posOffset>
            </wp:positionV>
            <wp:extent cx="111125" cy="1111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-98425</wp:posOffset>
            </wp:positionV>
            <wp:extent cx="111125" cy="1111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-98425</wp:posOffset>
            </wp:positionV>
            <wp:extent cx="111125" cy="1111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-98425</wp:posOffset>
            </wp:positionV>
            <wp:extent cx="111125" cy="1111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Energy transition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-98425</wp:posOffset>
            </wp:positionV>
            <wp:extent cx="111125" cy="1111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-98425</wp:posOffset>
            </wp:positionV>
            <wp:extent cx="111125" cy="1111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-98425</wp:posOffset>
            </wp:positionV>
            <wp:extent cx="111125" cy="1111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-98425</wp:posOffset>
            </wp:positionV>
            <wp:extent cx="111125" cy="1111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-98425</wp:posOffset>
            </wp:positionV>
            <wp:extent cx="111125" cy="1111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-98425</wp:posOffset>
            </wp:positionV>
            <wp:extent cx="111125" cy="1111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-98425</wp:posOffset>
            </wp:positionV>
            <wp:extent cx="111125" cy="1111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-98425</wp:posOffset>
            </wp:positionV>
            <wp:extent cx="111125" cy="1111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-98425</wp:posOffset>
            </wp:positionV>
            <wp:extent cx="111125" cy="1111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-98425</wp:posOffset>
            </wp:positionV>
            <wp:extent cx="111125" cy="1111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Digital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-98425</wp:posOffset>
            </wp:positionV>
            <wp:extent cx="111125" cy="1111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-98425</wp:posOffset>
            </wp:positionV>
            <wp:extent cx="111125" cy="1111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-98425</wp:posOffset>
            </wp:positionV>
            <wp:extent cx="111125" cy="1111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-98425</wp:posOffset>
            </wp:positionV>
            <wp:extent cx="111125" cy="1111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-98425</wp:posOffset>
            </wp:positionV>
            <wp:extent cx="111125" cy="1111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Digital transformation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-98425</wp:posOffset>
            </wp:positionV>
            <wp:extent cx="111125" cy="1111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-98425</wp:posOffset>
            </wp:positionV>
            <wp:extent cx="111125" cy="1111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-98425</wp:posOffset>
            </wp:positionV>
            <wp:extent cx="111125" cy="1111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-98425</wp:posOffset>
            </wp:positionV>
            <wp:extent cx="111125" cy="1111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Information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-98425</wp:posOffset>
            </wp:positionV>
            <wp:extent cx="111125" cy="1111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-98425</wp:posOffset>
            </wp:positionV>
            <wp:extent cx="111125" cy="1111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Strategy development &amp;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-98425</wp:posOffset>
            </wp:positionV>
            <wp:extent cx="111125" cy="1111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-98425</wp:posOffset>
            </wp:positionV>
            <wp:extent cx="111125" cy="1111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-98425</wp:posOffset>
            </wp:positionV>
            <wp:extent cx="111125" cy="1111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-98425</wp:posOffset>
            </wp:positionV>
            <wp:extent cx="111125" cy="1111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-98425</wp:posOffset>
            </wp:positionV>
            <wp:extent cx="111125" cy="1111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-98425</wp:posOffset>
            </wp:positionV>
            <wp:extent cx="111125" cy="1111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-98425</wp:posOffset>
            </wp:positionV>
            <wp:extent cx="111125" cy="1111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-98425</wp:posOffset>
            </wp:positionV>
            <wp:extent cx="111125" cy="1111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-98425</wp:posOffset>
            </wp:positionV>
            <wp:extent cx="111125" cy="1111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-98425</wp:posOffset>
            </wp:positionV>
            <wp:extent cx="111125" cy="1111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-98425</wp:posOffset>
            </wp:positionV>
            <wp:extent cx="111125" cy="1111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International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-98425</wp:posOffset>
            </wp:positionV>
            <wp:extent cx="111125" cy="1111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-98425</wp:posOffset>
            </wp:positionV>
            <wp:extent cx="111125" cy="1111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-98425</wp:posOffset>
            </wp:positionV>
            <wp:extent cx="111125" cy="1111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-98425</wp:posOffset>
            </wp:positionV>
            <wp:extent cx="111125" cy="1111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-98425</wp:posOffset>
            </wp:positionV>
            <wp:extent cx="111125" cy="1111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-98425</wp:posOffset>
            </wp:positionV>
            <wp:extent cx="111125" cy="1111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-98425</wp:posOffset>
            </wp:positionV>
            <wp:extent cx="111125" cy="1111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-98425</wp:posOffset>
            </wp:positionV>
            <wp:extent cx="111125" cy="1111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-98425</wp:posOffset>
            </wp:positionV>
            <wp:extent cx="111125" cy="1111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-98425</wp:posOffset>
            </wp:positionV>
            <wp:extent cx="111125" cy="1111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-98425</wp:posOffset>
            </wp:positionV>
            <wp:extent cx="111125" cy="1111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-98425</wp:posOffset>
            </wp:positionV>
            <wp:extent cx="111125" cy="1111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-98425</wp:posOffset>
            </wp:positionV>
            <wp:extent cx="111125" cy="1111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-98425</wp:posOffset>
            </wp:positionV>
            <wp:extent cx="111125" cy="1111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-98425</wp:posOffset>
            </wp:positionV>
            <wp:extent cx="111125" cy="1111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-98425</wp:posOffset>
            </wp:positionV>
            <wp:extent cx="111125" cy="1111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-98425</wp:posOffset>
            </wp:positionV>
            <wp:extent cx="111125" cy="1111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-98425</wp:posOffset>
            </wp:positionV>
            <wp:extent cx="111125" cy="1111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-98425</wp:posOffset>
            </wp:positionV>
            <wp:extent cx="111125" cy="1111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-98425</wp:posOffset>
            </wp:positionV>
            <wp:extent cx="111125" cy="1111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Economic modeling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-98425</wp:posOffset>
            </wp:positionV>
            <wp:extent cx="111125" cy="1111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-98425</wp:posOffset>
            </wp:positionV>
            <wp:extent cx="111125" cy="1111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-98425</wp:posOffset>
            </wp:positionV>
            <wp:extent cx="111125" cy="1111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-98425</wp:posOffset>
            </wp:positionV>
            <wp:extent cx="111125" cy="1111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-98425</wp:posOffset>
            </wp:positionV>
            <wp:extent cx="111125" cy="1111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-98425</wp:posOffset>
            </wp:positionV>
            <wp:extent cx="111125" cy="1111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Health, safety and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-98425</wp:posOffset>
            </wp:positionV>
            <wp:extent cx="111125" cy="1111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-98425</wp:posOffset>
            </wp:positionV>
            <wp:extent cx="111125" cy="1111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-98425</wp:posOffset>
            </wp:positionV>
            <wp:extent cx="111125" cy="1111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-98425</wp:posOffset>
            </wp:positionV>
            <wp:extent cx="111125" cy="1111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-98425</wp:posOffset>
            </wp:positionV>
            <wp:extent cx="111125" cy="1111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-98425</wp:posOffset>
            </wp:positionV>
            <wp:extent cx="111125" cy="1111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-98425</wp:posOffset>
            </wp:positionV>
            <wp:extent cx="111125" cy="1111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-98425</wp:posOffset>
            </wp:positionV>
            <wp:extent cx="111125" cy="1111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-98425</wp:posOffset>
            </wp:positionV>
            <wp:extent cx="111125" cy="1111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Mergers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-98425</wp:posOffset>
            </wp:positionV>
            <wp:extent cx="111125" cy="1111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-98425</wp:posOffset>
            </wp:positionV>
            <wp:extent cx="111125" cy="1111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-98425</wp:posOffset>
            </wp:positionV>
            <wp:extent cx="111125" cy="1111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-98425</wp:posOffset>
            </wp:positionV>
            <wp:extent cx="111125" cy="1111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-98425</wp:posOffset>
            </wp:positionV>
            <wp:extent cx="111125" cy="1111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-98425</wp:posOffset>
            </wp:positionV>
            <wp:extent cx="111125" cy="1111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-98425</wp:posOffset>
            </wp:positionV>
            <wp:extent cx="111125" cy="1111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-98425</wp:posOffset>
            </wp:positionV>
            <wp:extent cx="111125" cy="1111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Academic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-98425</wp:posOffset>
            </wp:positionV>
            <wp:extent cx="111125" cy="1111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-98425</wp:posOffset>
            </wp:positionV>
            <wp:extent cx="111125" cy="1111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-98425</wp:posOffset>
            </wp:positionV>
            <wp:extent cx="111125" cy="1111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Government, regulatory &amp; public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2832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3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Demographics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Nationality</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Argentina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-98425</wp:posOffset>
            </wp:positionV>
            <wp:extent cx="111125" cy="1111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-98425</wp:posOffset>
            </wp:positionV>
            <wp:extent cx="111125" cy="1111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-98425</wp:posOffset>
            </wp:positionV>
            <wp:extent cx="111125" cy="1111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-98425</wp:posOffset>
            </wp:positionV>
            <wp:extent cx="111125" cy="1111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-98425</wp:posOffset>
            </wp:positionV>
            <wp:extent cx="111125" cy="1111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-98425</wp:posOffset>
            </wp:positionV>
            <wp:extent cx="111125" cy="1111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Norway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-98425</wp:posOffset>
            </wp:positionV>
            <wp:extent cx="111125" cy="1111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Russia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-98425</wp:posOffset>
            </wp:positionV>
            <wp:extent cx="111125" cy="1111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-98425</wp:posOffset>
            </wp:positionV>
            <wp:extent cx="111125" cy="1111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-98425</wp:posOffset>
            </wp:positionV>
            <wp:extent cx="111125" cy="1111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-98425</wp:posOffset>
            </wp:positionV>
            <wp:extent cx="111125" cy="1111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3175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Racial and Ethnicity Characteristics for U.S. Directors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Asian or Indian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-98425</wp:posOffset>
            </wp:positionV>
            <wp:extent cx="111125" cy="1117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White or Caucasian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3175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Non-U.S. Directors Electing to Self-Identify Racial or Ethnicity Characteristics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Two or More Ethnicities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-98425</wp:posOffset>
            </wp:positionV>
            <wp:extent cx="111125" cy="1111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White or Caucasian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-98425</wp:posOffset>
            </wp:positionV>
            <wp:extent cx="111125" cy="1111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-98425</wp:posOffset>
            </wp:positionV>
            <wp:extent cx="111125" cy="1111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-98425</wp:posOffset>
            </wp:positionV>
            <wp:extent cx="111125" cy="1111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800" w:type="dxa"/>
            <w:vAlign w:val="bottom"/>
            <w:shd w:val="clear" w:color="auto" w:fill="E0E2EC"/>
          </w:tcPr>
          <w:p>
            <w:pPr>
              <w:ind w:left="100"/>
              <w:spacing w:after="0"/>
              <w:rPr>
                <w:sz w:val="20"/>
                <w:szCs w:val="20"/>
                <w:color w:val="auto"/>
              </w:rPr>
            </w:pPr>
            <w:r>
              <w:rPr>
                <w:rFonts w:ascii="Arial" w:cs="Arial" w:eastAsia="Arial" w:hAnsi="Arial"/>
                <w:sz w:val="16"/>
                <w:szCs w:val="16"/>
                <w:b w:val="1"/>
                <w:bCs w:val="1"/>
                <w:color w:val="auto"/>
              </w:rPr>
              <w:t>Gender</w:t>
            </w:r>
          </w:p>
        </w:tc>
        <w:tc>
          <w:tcPr>
            <w:tcW w:w="2980" w:type="dxa"/>
            <w:vAlign w:val="bottom"/>
            <w:shd w:val="clear" w:color="auto" w:fill="E0E2EC"/>
          </w:tcPr>
          <w:p>
            <w:pPr>
              <w:ind w:left="2640"/>
              <w:spacing w:after="0"/>
              <w:rPr>
                <w:sz w:val="20"/>
                <w:szCs w:val="20"/>
                <w:color w:val="auto"/>
              </w:rPr>
            </w:pPr>
            <w:r>
              <w:rPr>
                <w:rFonts w:ascii="Arial" w:cs="Arial" w:eastAsia="Arial" w:hAnsi="Arial"/>
                <w:sz w:val="16"/>
                <w:szCs w:val="16"/>
                <w:color w:val="auto"/>
              </w:rPr>
              <w:t>M</w:t>
            </w:r>
          </w:p>
        </w:tc>
        <w:tc>
          <w:tcPr>
            <w:tcW w:w="620" w:type="dxa"/>
            <w:vAlign w:val="bottom"/>
            <w:shd w:val="clear" w:color="auto" w:fill="E0E2EC"/>
          </w:tcPr>
          <w:p>
            <w:pPr>
              <w:ind w:left="200"/>
              <w:spacing w:after="0"/>
              <w:rPr>
                <w:sz w:val="20"/>
                <w:szCs w:val="20"/>
                <w:color w:val="auto"/>
              </w:rPr>
            </w:pPr>
            <w:r>
              <w:rPr>
                <w:rFonts w:ascii="Arial" w:cs="Arial" w:eastAsia="Arial" w:hAnsi="Arial"/>
                <w:sz w:val="16"/>
                <w:szCs w:val="16"/>
                <w:color w:val="auto"/>
              </w:rPr>
              <w:t>M</w:t>
            </w:r>
          </w:p>
        </w:tc>
        <w:tc>
          <w:tcPr>
            <w:tcW w:w="780" w:type="dxa"/>
            <w:vAlign w:val="bottom"/>
            <w:gridSpan w:val="2"/>
            <w:shd w:val="clear" w:color="auto" w:fill="E0E2EC"/>
          </w:tcPr>
          <w:p>
            <w:pPr>
              <w:ind w:left="420"/>
              <w:spacing w:after="0"/>
              <w:rPr>
                <w:sz w:val="20"/>
                <w:szCs w:val="20"/>
                <w:color w:val="auto"/>
              </w:rPr>
            </w:pPr>
            <w:r>
              <w:rPr>
                <w:rFonts w:ascii="Arial" w:cs="Arial" w:eastAsia="Arial" w:hAnsi="Arial"/>
                <w:sz w:val="16"/>
                <w:szCs w:val="16"/>
                <w:color w:val="auto"/>
              </w:rPr>
              <w:t>M</w:t>
            </w:r>
          </w:p>
        </w:tc>
        <w:tc>
          <w:tcPr>
            <w:tcW w:w="560" w:type="dxa"/>
            <w:vAlign w:val="bottom"/>
            <w:shd w:val="clear" w:color="auto" w:fill="E0E2EC"/>
          </w:tcPr>
          <w:p>
            <w:pPr>
              <w:ind w:left="200"/>
              <w:spacing w:after="0"/>
              <w:rPr>
                <w:sz w:val="20"/>
                <w:szCs w:val="20"/>
                <w:color w:val="auto"/>
              </w:rPr>
            </w:pPr>
            <w:r>
              <w:rPr>
                <w:rFonts w:ascii="Arial" w:cs="Arial" w:eastAsia="Arial" w:hAnsi="Arial"/>
                <w:sz w:val="16"/>
                <w:szCs w:val="16"/>
                <w:color w:val="auto"/>
              </w:rPr>
              <w:t>M</w:t>
            </w:r>
          </w:p>
        </w:tc>
        <w:tc>
          <w:tcPr>
            <w:tcW w:w="560" w:type="dxa"/>
            <w:vAlign w:val="bottom"/>
            <w:shd w:val="clear" w:color="auto" w:fill="E0E2EC"/>
          </w:tcPr>
          <w:p>
            <w:pPr>
              <w:ind w:left="200"/>
              <w:spacing w:after="0"/>
              <w:rPr>
                <w:sz w:val="20"/>
                <w:szCs w:val="20"/>
                <w:color w:val="auto"/>
              </w:rPr>
            </w:pPr>
            <w:r>
              <w:rPr>
                <w:rFonts w:ascii="Arial" w:cs="Arial" w:eastAsia="Arial" w:hAnsi="Arial"/>
                <w:sz w:val="16"/>
                <w:szCs w:val="16"/>
                <w:color w:val="auto"/>
              </w:rPr>
              <w:t>M</w:t>
            </w:r>
          </w:p>
        </w:tc>
        <w:tc>
          <w:tcPr>
            <w:tcW w:w="520" w:type="dxa"/>
            <w:vAlign w:val="bottom"/>
            <w:shd w:val="clear" w:color="auto" w:fill="E0E2EC"/>
          </w:tcPr>
          <w:p>
            <w:pPr>
              <w:ind w:left="200"/>
              <w:spacing w:after="0"/>
              <w:rPr>
                <w:sz w:val="20"/>
                <w:szCs w:val="20"/>
                <w:color w:val="auto"/>
              </w:rPr>
            </w:pPr>
            <w:r>
              <w:rPr>
                <w:rFonts w:ascii="Arial" w:cs="Arial" w:eastAsia="Arial" w:hAnsi="Arial"/>
                <w:sz w:val="16"/>
                <w:szCs w:val="16"/>
                <w:color w:val="auto"/>
              </w:rPr>
              <w:t>F</w:t>
            </w:r>
          </w:p>
        </w:tc>
        <w:tc>
          <w:tcPr>
            <w:tcW w:w="620" w:type="dxa"/>
            <w:vAlign w:val="bottom"/>
            <w:shd w:val="clear" w:color="auto" w:fill="E0E2EC"/>
          </w:tcPr>
          <w:p>
            <w:pPr>
              <w:ind w:left="240"/>
              <w:spacing w:after="0"/>
              <w:rPr>
                <w:sz w:val="20"/>
                <w:szCs w:val="20"/>
                <w:color w:val="auto"/>
              </w:rPr>
            </w:pPr>
            <w:r>
              <w:rPr>
                <w:rFonts w:ascii="Arial" w:cs="Arial" w:eastAsia="Arial" w:hAnsi="Arial"/>
                <w:sz w:val="16"/>
                <w:szCs w:val="16"/>
                <w:color w:val="auto"/>
              </w:rPr>
              <w:t>F</w:t>
            </w:r>
          </w:p>
        </w:tc>
        <w:tc>
          <w:tcPr>
            <w:tcW w:w="660" w:type="dxa"/>
            <w:vAlign w:val="bottom"/>
            <w:shd w:val="clear" w:color="auto" w:fill="E0E2EC"/>
          </w:tcPr>
          <w:p>
            <w:pPr>
              <w:ind w:left="280"/>
              <w:spacing w:after="0"/>
              <w:rPr>
                <w:sz w:val="20"/>
                <w:szCs w:val="20"/>
                <w:color w:val="auto"/>
              </w:rPr>
            </w:pPr>
            <w:r>
              <w:rPr>
                <w:rFonts w:ascii="Arial" w:cs="Arial" w:eastAsia="Arial" w:hAnsi="Arial"/>
                <w:sz w:val="16"/>
                <w:szCs w:val="16"/>
                <w:color w:val="auto"/>
              </w:rPr>
              <w:t>F</w:t>
            </w:r>
          </w:p>
        </w:tc>
        <w:tc>
          <w:tcPr>
            <w:tcW w:w="620" w:type="dxa"/>
            <w:vAlign w:val="bottom"/>
            <w:shd w:val="clear" w:color="auto" w:fill="E0E2EC"/>
          </w:tcPr>
          <w:p>
            <w:pPr>
              <w:ind w:left="280"/>
              <w:spacing w:after="0"/>
              <w:rPr>
                <w:sz w:val="20"/>
                <w:szCs w:val="20"/>
                <w:color w:val="auto"/>
              </w:rPr>
            </w:pPr>
            <w:r>
              <w:rPr>
                <w:rFonts w:ascii="Arial" w:cs="Arial" w:eastAsia="Arial" w:hAnsi="Arial"/>
                <w:sz w:val="16"/>
                <w:szCs w:val="16"/>
                <w:color w:val="auto"/>
              </w:rPr>
              <w:t>M</w:t>
            </w:r>
          </w:p>
        </w:tc>
        <w:tc>
          <w:tcPr>
            <w:tcW w:w="620" w:type="dxa"/>
            <w:vAlign w:val="bottom"/>
            <w:shd w:val="clear" w:color="auto" w:fill="E0E2EC"/>
          </w:tcPr>
          <w:p>
            <w:pPr>
              <w:ind w:left="200"/>
              <w:spacing w:after="0"/>
              <w:rPr>
                <w:sz w:val="20"/>
                <w:szCs w:val="20"/>
                <w:color w:val="auto"/>
              </w:rPr>
            </w:pPr>
            <w:r>
              <w:rPr>
                <w:rFonts w:ascii="Arial" w:cs="Arial" w:eastAsia="Arial" w:hAnsi="Arial"/>
                <w:sz w:val="16"/>
                <w:szCs w:val="16"/>
                <w:color w:val="auto"/>
              </w:rPr>
              <w:t>M</w:t>
            </w:r>
          </w:p>
        </w:tc>
        <w:tc>
          <w:tcPr>
            <w:tcW w:w="900" w:type="dxa"/>
            <w:vAlign w:val="bottom"/>
            <w:shd w:val="clear" w:color="auto" w:fill="E0E2EC"/>
          </w:tcPr>
          <w:p>
            <w:pPr>
              <w:ind w:left="120"/>
              <w:spacing w:after="0"/>
              <w:rPr>
                <w:sz w:val="20"/>
                <w:szCs w:val="20"/>
                <w:color w:val="auto"/>
              </w:rPr>
            </w:pPr>
            <w:r>
              <w:rPr>
                <w:rFonts w:ascii="Arial" w:cs="Arial" w:eastAsia="Arial" w:hAnsi="Arial"/>
                <w:sz w:val="16"/>
                <w:szCs w:val="16"/>
                <w:color w:val="auto"/>
              </w:rPr>
              <w:t>M</w:t>
            </w:r>
          </w:p>
        </w:tc>
        <w:tc>
          <w:tcPr>
            <w:tcW w:w="0" w:type="dxa"/>
            <w:vAlign w:val="bottom"/>
          </w:tcPr>
          <w:p>
            <w:pPr>
              <w:spacing w:after="0"/>
              <w:rPr>
                <w:sz w:val="1"/>
                <w:szCs w:val="1"/>
                <w:color w:val="auto"/>
              </w:rPr>
            </w:pPr>
          </w:p>
        </w:tc>
      </w:tr>
      <w:tr>
        <w:trPr>
          <w:trHeight w:val="243"/>
        </w:trPr>
        <w:tc>
          <w:tcPr>
            <w:tcW w:w="1800" w:type="dxa"/>
            <w:vAlign w:val="bottom"/>
            <w:shd w:val="clear" w:color="auto" w:fill="0233A1"/>
          </w:tcPr>
          <w:p>
            <w:pPr>
              <w:ind w:left="100"/>
              <w:spacing w:after="0"/>
              <w:rPr>
                <w:sz w:val="20"/>
                <w:szCs w:val="20"/>
                <w:color w:val="auto"/>
              </w:rPr>
            </w:pPr>
            <w:r>
              <w:rPr>
                <w:rFonts w:ascii="Arial" w:cs="Arial" w:eastAsia="Arial" w:hAnsi="Arial"/>
                <w:sz w:val="16"/>
                <w:szCs w:val="16"/>
                <w:b w:val="1"/>
                <w:bCs w:val="1"/>
                <w:color w:val="FFFFFF"/>
              </w:rPr>
              <w:t>Other Attributes</w:t>
            </w:r>
          </w:p>
        </w:tc>
        <w:tc>
          <w:tcPr>
            <w:tcW w:w="2980" w:type="dxa"/>
            <w:vAlign w:val="bottom"/>
            <w:shd w:val="clear" w:color="auto" w:fill="0233A1"/>
          </w:tcPr>
          <w:p>
            <w:pPr>
              <w:spacing w:after="0"/>
              <w:rPr>
                <w:sz w:val="21"/>
                <w:szCs w:val="21"/>
                <w:color w:val="auto"/>
              </w:rPr>
            </w:pPr>
          </w:p>
        </w:tc>
        <w:tc>
          <w:tcPr>
            <w:tcW w:w="620" w:type="dxa"/>
            <w:vAlign w:val="bottom"/>
            <w:shd w:val="clear" w:color="auto" w:fill="0233A1"/>
          </w:tcPr>
          <w:p>
            <w:pPr>
              <w:spacing w:after="0"/>
              <w:rPr>
                <w:sz w:val="21"/>
                <w:szCs w:val="21"/>
                <w:color w:val="auto"/>
              </w:rPr>
            </w:pPr>
          </w:p>
        </w:tc>
        <w:tc>
          <w:tcPr>
            <w:tcW w:w="460" w:type="dxa"/>
            <w:vAlign w:val="bottom"/>
            <w:shd w:val="clear" w:color="auto" w:fill="0233A1"/>
          </w:tcPr>
          <w:p>
            <w:pPr>
              <w:spacing w:after="0"/>
              <w:rPr>
                <w:sz w:val="21"/>
                <w:szCs w:val="21"/>
                <w:color w:val="auto"/>
              </w:rPr>
            </w:pPr>
          </w:p>
        </w:tc>
        <w:tc>
          <w:tcPr>
            <w:tcW w:w="320" w:type="dxa"/>
            <w:vAlign w:val="bottom"/>
            <w:shd w:val="clear" w:color="auto" w:fill="0233A1"/>
          </w:tcPr>
          <w:p>
            <w:pPr>
              <w:spacing w:after="0"/>
              <w:rPr>
                <w:sz w:val="21"/>
                <w:szCs w:val="21"/>
                <w:color w:val="auto"/>
              </w:rPr>
            </w:pPr>
          </w:p>
        </w:tc>
        <w:tc>
          <w:tcPr>
            <w:tcW w:w="560" w:type="dxa"/>
            <w:vAlign w:val="bottom"/>
            <w:shd w:val="clear" w:color="auto" w:fill="0233A1"/>
          </w:tcPr>
          <w:p>
            <w:pPr>
              <w:spacing w:after="0"/>
              <w:rPr>
                <w:sz w:val="21"/>
                <w:szCs w:val="21"/>
                <w:color w:val="auto"/>
              </w:rPr>
            </w:pPr>
          </w:p>
        </w:tc>
        <w:tc>
          <w:tcPr>
            <w:tcW w:w="560" w:type="dxa"/>
            <w:vAlign w:val="bottom"/>
            <w:shd w:val="clear" w:color="auto" w:fill="0233A1"/>
          </w:tcPr>
          <w:p>
            <w:pPr>
              <w:spacing w:after="0"/>
              <w:rPr>
                <w:sz w:val="21"/>
                <w:szCs w:val="21"/>
                <w:color w:val="auto"/>
              </w:rPr>
            </w:pPr>
          </w:p>
        </w:tc>
        <w:tc>
          <w:tcPr>
            <w:tcW w:w="520" w:type="dxa"/>
            <w:vAlign w:val="bottom"/>
            <w:shd w:val="clear" w:color="auto" w:fill="0233A1"/>
          </w:tcPr>
          <w:p>
            <w:pPr>
              <w:spacing w:after="0"/>
              <w:rPr>
                <w:sz w:val="21"/>
                <w:szCs w:val="21"/>
                <w:color w:val="auto"/>
              </w:rPr>
            </w:pPr>
          </w:p>
        </w:tc>
        <w:tc>
          <w:tcPr>
            <w:tcW w:w="620" w:type="dxa"/>
            <w:vAlign w:val="bottom"/>
            <w:shd w:val="clear" w:color="auto" w:fill="0233A1"/>
          </w:tcPr>
          <w:p>
            <w:pPr>
              <w:spacing w:after="0"/>
              <w:rPr>
                <w:sz w:val="21"/>
                <w:szCs w:val="21"/>
                <w:color w:val="auto"/>
              </w:rPr>
            </w:pPr>
          </w:p>
        </w:tc>
        <w:tc>
          <w:tcPr>
            <w:tcW w:w="660" w:type="dxa"/>
            <w:vAlign w:val="bottom"/>
            <w:shd w:val="clear" w:color="auto" w:fill="0233A1"/>
          </w:tcPr>
          <w:p>
            <w:pPr>
              <w:spacing w:after="0"/>
              <w:rPr>
                <w:sz w:val="21"/>
                <w:szCs w:val="21"/>
                <w:color w:val="auto"/>
              </w:rPr>
            </w:pPr>
          </w:p>
        </w:tc>
        <w:tc>
          <w:tcPr>
            <w:tcW w:w="620" w:type="dxa"/>
            <w:vAlign w:val="bottom"/>
            <w:shd w:val="clear" w:color="auto" w:fill="0233A1"/>
          </w:tcPr>
          <w:p>
            <w:pPr>
              <w:spacing w:after="0"/>
              <w:rPr>
                <w:sz w:val="21"/>
                <w:szCs w:val="21"/>
                <w:color w:val="auto"/>
              </w:rPr>
            </w:pPr>
          </w:p>
        </w:tc>
        <w:tc>
          <w:tcPr>
            <w:tcW w:w="620" w:type="dxa"/>
            <w:vAlign w:val="bottom"/>
            <w:shd w:val="clear" w:color="auto" w:fill="0233A1"/>
          </w:tcPr>
          <w:p>
            <w:pPr>
              <w:spacing w:after="0"/>
              <w:rPr>
                <w:sz w:val="21"/>
                <w:szCs w:val="21"/>
                <w:color w:val="auto"/>
              </w:rPr>
            </w:pPr>
          </w:p>
        </w:tc>
        <w:tc>
          <w:tcPr>
            <w:tcW w:w="900" w:type="dxa"/>
            <w:vAlign w:val="bottom"/>
            <w:shd w:val="clear" w:color="auto" w:fill="0233A1"/>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800" w:type="dxa"/>
            <w:vAlign w:val="bottom"/>
          </w:tcPr>
          <w:p>
            <w:pPr>
              <w:ind w:left="100"/>
              <w:spacing w:after="0"/>
              <w:rPr>
                <w:sz w:val="20"/>
                <w:szCs w:val="20"/>
                <w:color w:val="auto"/>
              </w:rPr>
            </w:pPr>
            <w:r>
              <w:rPr>
                <w:rFonts w:ascii="Arial" w:cs="Arial" w:eastAsia="Arial" w:hAnsi="Arial"/>
                <w:sz w:val="16"/>
                <w:szCs w:val="16"/>
                <w:color w:val="auto"/>
              </w:rPr>
              <w:t>Independence</w:t>
            </w:r>
          </w:p>
        </w:tc>
        <w:tc>
          <w:tcPr>
            <w:tcW w:w="2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1800" w:type="dxa"/>
            <w:vAlign w:val="bottom"/>
            <w:tcBorders>
              <w:bottom w:val="single" w:sz="8" w:color="0233A1"/>
            </w:tcBorders>
          </w:tcPr>
          <w:p>
            <w:pPr>
              <w:ind w:left="100"/>
              <w:spacing w:after="0"/>
              <w:rPr>
                <w:sz w:val="20"/>
                <w:szCs w:val="20"/>
                <w:color w:val="auto"/>
              </w:rPr>
            </w:pPr>
            <w:r>
              <w:rPr>
                <w:rFonts w:ascii="Arial" w:cs="Arial" w:eastAsia="Arial" w:hAnsi="Arial"/>
                <w:sz w:val="16"/>
                <w:szCs w:val="16"/>
                <w:color w:val="auto"/>
              </w:rPr>
              <w:t>Tenure</w:t>
            </w:r>
          </w:p>
        </w:tc>
        <w:tc>
          <w:tcPr>
            <w:tcW w:w="2980" w:type="dxa"/>
            <w:vAlign w:val="bottom"/>
            <w:tcBorders>
              <w:bottom w:val="single" w:sz="8" w:color="0233A1"/>
            </w:tcBorders>
          </w:tcPr>
          <w:p>
            <w:pPr>
              <w:ind w:left="2640"/>
              <w:spacing w:after="0"/>
              <w:rPr>
                <w:sz w:val="20"/>
                <w:szCs w:val="20"/>
                <w:color w:val="auto"/>
              </w:rPr>
            </w:pPr>
            <w:r>
              <w:rPr>
                <w:rFonts w:ascii="Arial" w:cs="Arial" w:eastAsia="Arial" w:hAnsi="Arial"/>
                <w:sz w:val="16"/>
                <w:szCs w:val="16"/>
                <w:color w:val="auto"/>
              </w:rPr>
              <w:t>2</w:t>
            </w:r>
          </w:p>
        </w:tc>
        <w:tc>
          <w:tcPr>
            <w:tcW w:w="620" w:type="dxa"/>
            <w:vAlign w:val="bottom"/>
            <w:tcBorders>
              <w:bottom w:val="single" w:sz="8" w:color="0233A1"/>
            </w:tcBorders>
          </w:tcPr>
          <w:p>
            <w:pPr>
              <w:ind w:left="200"/>
              <w:spacing w:after="0"/>
              <w:rPr>
                <w:sz w:val="20"/>
                <w:szCs w:val="20"/>
                <w:color w:val="auto"/>
              </w:rPr>
            </w:pPr>
            <w:r>
              <w:rPr>
                <w:rFonts w:ascii="Arial" w:cs="Arial" w:eastAsia="Arial" w:hAnsi="Arial"/>
                <w:sz w:val="16"/>
                <w:szCs w:val="16"/>
                <w:color w:val="auto"/>
              </w:rPr>
              <w:t>4</w:t>
            </w:r>
          </w:p>
        </w:tc>
        <w:tc>
          <w:tcPr>
            <w:tcW w:w="780" w:type="dxa"/>
            <w:vAlign w:val="bottom"/>
            <w:tcBorders>
              <w:bottom w:val="single" w:sz="8" w:color="0233A1"/>
            </w:tcBorders>
            <w:gridSpan w:val="2"/>
          </w:tcPr>
          <w:p>
            <w:pPr>
              <w:ind w:left="420"/>
              <w:spacing w:after="0"/>
              <w:rPr>
                <w:sz w:val="20"/>
                <w:szCs w:val="20"/>
                <w:color w:val="auto"/>
              </w:rPr>
            </w:pPr>
            <w:r>
              <w:rPr>
                <w:rFonts w:ascii="Arial" w:cs="Arial" w:eastAsia="Arial" w:hAnsi="Arial"/>
                <w:sz w:val="16"/>
                <w:szCs w:val="16"/>
                <w:color w:val="auto"/>
              </w:rPr>
              <w:t>6</w:t>
            </w:r>
          </w:p>
        </w:tc>
        <w:tc>
          <w:tcPr>
            <w:tcW w:w="560" w:type="dxa"/>
            <w:vAlign w:val="bottom"/>
            <w:tcBorders>
              <w:bottom w:val="single" w:sz="8" w:color="0233A1"/>
            </w:tcBorders>
          </w:tcPr>
          <w:p>
            <w:pPr>
              <w:ind w:left="200"/>
              <w:spacing w:after="0"/>
              <w:rPr>
                <w:sz w:val="20"/>
                <w:szCs w:val="20"/>
                <w:color w:val="auto"/>
              </w:rPr>
            </w:pPr>
            <w:r>
              <w:rPr>
                <w:rFonts w:ascii="Arial" w:cs="Arial" w:eastAsia="Arial" w:hAnsi="Arial"/>
                <w:sz w:val="16"/>
                <w:szCs w:val="16"/>
                <w:color w:val="auto"/>
              </w:rPr>
              <w:t>4</w:t>
            </w:r>
          </w:p>
        </w:tc>
        <w:tc>
          <w:tcPr>
            <w:tcW w:w="560" w:type="dxa"/>
            <w:vAlign w:val="bottom"/>
            <w:tcBorders>
              <w:bottom w:val="single" w:sz="8" w:color="0233A1"/>
            </w:tcBorders>
          </w:tcPr>
          <w:p>
            <w:pPr>
              <w:ind w:left="200"/>
              <w:spacing w:after="0"/>
              <w:rPr>
                <w:sz w:val="20"/>
                <w:szCs w:val="20"/>
                <w:color w:val="auto"/>
              </w:rPr>
            </w:pPr>
            <w:r>
              <w:rPr>
                <w:rFonts w:ascii="Arial" w:cs="Arial" w:eastAsia="Arial" w:hAnsi="Arial"/>
                <w:sz w:val="16"/>
                <w:szCs w:val="16"/>
                <w:color w:val="auto"/>
              </w:rPr>
              <w:t>2</w:t>
            </w:r>
          </w:p>
        </w:tc>
        <w:tc>
          <w:tcPr>
            <w:tcW w:w="520" w:type="dxa"/>
            <w:vAlign w:val="bottom"/>
            <w:tcBorders>
              <w:bottom w:val="single" w:sz="8" w:color="0233A1"/>
            </w:tcBorders>
          </w:tcPr>
          <w:p>
            <w:pPr>
              <w:ind w:left="200"/>
              <w:spacing w:after="0"/>
              <w:rPr>
                <w:sz w:val="20"/>
                <w:szCs w:val="20"/>
                <w:color w:val="auto"/>
              </w:rPr>
            </w:pPr>
            <w:r>
              <w:rPr>
                <w:rFonts w:ascii="Arial" w:cs="Arial" w:eastAsia="Arial" w:hAnsi="Arial"/>
                <w:sz w:val="16"/>
                <w:szCs w:val="16"/>
                <w:color w:val="auto"/>
              </w:rPr>
              <w:t>5</w:t>
            </w:r>
          </w:p>
        </w:tc>
        <w:tc>
          <w:tcPr>
            <w:tcW w:w="620" w:type="dxa"/>
            <w:vAlign w:val="bottom"/>
            <w:tcBorders>
              <w:bottom w:val="single" w:sz="8" w:color="0233A1"/>
            </w:tcBorders>
          </w:tcPr>
          <w:p>
            <w:pPr>
              <w:ind w:left="240"/>
              <w:spacing w:after="0"/>
              <w:rPr>
                <w:sz w:val="20"/>
                <w:szCs w:val="20"/>
                <w:color w:val="auto"/>
              </w:rPr>
            </w:pPr>
            <w:r>
              <w:rPr>
                <w:rFonts w:ascii="Arial" w:cs="Arial" w:eastAsia="Arial" w:hAnsi="Arial"/>
                <w:sz w:val="16"/>
                <w:szCs w:val="16"/>
                <w:color w:val="auto"/>
              </w:rPr>
              <w:t>3</w:t>
            </w:r>
          </w:p>
        </w:tc>
        <w:tc>
          <w:tcPr>
            <w:tcW w:w="660" w:type="dxa"/>
            <w:vAlign w:val="bottom"/>
            <w:tcBorders>
              <w:bottom w:val="single" w:sz="8" w:color="0233A1"/>
            </w:tcBorders>
          </w:tcPr>
          <w:p>
            <w:pPr>
              <w:ind w:left="280"/>
              <w:spacing w:after="0"/>
              <w:rPr>
                <w:sz w:val="20"/>
                <w:szCs w:val="20"/>
                <w:color w:val="auto"/>
              </w:rPr>
            </w:pPr>
            <w:r>
              <w:rPr>
                <w:rFonts w:ascii="Arial" w:cs="Arial" w:eastAsia="Arial" w:hAnsi="Arial"/>
                <w:sz w:val="16"/>
                <w:szCs w:val="16"/>
                <w:color w:val="auto"/>
              </w:rPr>
              <w:t>2</w:t>
            </w:r>
          </w:p>
        </w:tc>
        <w:tc>
          <w:tcPr>
            <w:tcW w:w="620" w:type="dxa"/>
            <w:vAlign w:val="bottom"/>
            <w:tcBorders>
              <w:bottom w:val="single" w:sz="8" w:color="0233A1"/>
            </w:tcBorders>
          </w:tcPr>
          <w:p>
            <w:pPr>
              <w:ind w:left="280"/>
              <w:spacing w:after="0"/>
              <w:rPr>
                <w:sz w:val="20"/>
                <w:szCs w:val="20"/>
                <w:color w:val="auto"/>
              </w:rPr>
            </w:pPr>
            <w:r>
              <w:rPr>
                <w:rFonts w:ascii="Arial" w:cs="Arial" w:eastAsia="Arial" w:hAnsi="Arial"/>
                <w:sz w:val="16"/>
                <w:szCs w:val="16"/>
                <w:color w:val="auto"/>
              </w:rPr>
              <w:t>5</w:t>
            </w:r>
          </w:p>
        </w:tc>
        <w:tc>
          <w:tcPr>
            <w:tcW w:w="620" w:type="dxa"/>
            <w:vAlign w:val="bottom"/>
            <w:tcBorders>
              <w:bottom w:val="single" w:sz="8" w:color="0233A1"/>
            </w:tcBorders>
          </w:tcPr>
          <w:p>
            <w:pPr>
              <w:ind w:left="200"/>
              <w:spacing w:after="0"/>
              <w:rPr>
                <w:sz w:val="20"/>
                <w:szCs w:val="20"/>
                <w:color w:val="auto"/>
              </w:rPr>
            </w:pPr>
            <w:r>
              <w:rPr>
                <w:rFonts w:ascii="Arial" w:cs="Arial" w:eastAsia="Arial" w:hAnsi="Arial"/>
                <w:sz w:val="16"/>
                <w:szCs w:val="16"/>
                <w:color w:val="auto"/>
              </w:rPr>
              <w:t>4</w:t>
            </w:r>
          </w:p>
        </w:tc>
        <w:tc>
          <w:tcPr>
            <w:tcW w:w="900" w:type="dxa"/>
            <w:vAlign w:val="bottom"/>
            <w:tcBorders>
              <w:bottom w:val="single" w:sz="8" w:color="0233A1"/>
            </w:tcBorders>
          </w:tcPr>
          <w:p>
            <w:pPr>
              <w:ind w:left="1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513"/>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2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11</w:t>
            </w: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29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2980" w:type="dxa"/>
            <w:vAlign w:val="bottom"/>
            <w:tcBorders>
              <w:bottom w:val="single" w:sz="8" w:color="C0C0C0"/>
            </w:tcBorders>
          </w:tcPr>
          <w:p>
            <w:pPr>
              <w:spacing w:after="0"/>
              <w:rPr>
                <w:sz w:val="24"/>
                <w:szCs w:val="24"/>
                <w:color w:val="auto"/>
              </w:rPr>
            </w:pPr>
          </w:p>
        </w:tc>
        <w:tc>
          <w:tcPr>
            <w:tcW w:w="62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c>
          <w:tcPr>
            <w:tcW w:w="560" w:type="dxa"/>
            <w:vAlign w:val="bottom"/>
            <w:tcBorders>
              <w:bottom w:val="single" w:sz="8" w:color="C0C0C0"/>
            </w:tcBorders>
          </w:tcPr>
          <w:p>
            <w:pPr>
              <w:spacing w:after="0"/>
              <w:rPr>
                <w:sz w:val="24"/>
                <w:szCs w:val="24"/>
                <w:color w:val="auto"/>
              </w:rPr>
            </w:pPr>
          </w:p>
        </w:tc>
        <w:tc>
          <w:tcPr>
            <w:tcW w:w="560" w:type="dxa"/>
            <w:vAlign w:val="bottom"/>
            <w:tcBorders>
              <w:bottom w:val="single" w:sz="8" w:color="C0C0C0"/>
            </w:tcBorders>
          </w:tcPr>
          <w:p>
            <w:pPr>
              <w:spacing w:after="0"/>
              <w:rPr>
                <w:sz w:val="24"/>
                <w:szCs w:val="24"/>
                <w:color w:val="auto"/>
              </w:rPr>
            </w:pPr>
          </w:p>
        </w:tc>
        <w:tc>
          <w:tcPr>
            <w:tcW w:w="520" w:type="dxa"/>
            <w:vAlign w:val="bottom"/>
            <w:tcBorders>
              <w:bottom w:val="single" w:sz="8" w:color="C0C0C0"/>
            </w:tcBorders>
          </w:tcPr>
          <w:p>
            <w:pPr>
              <w:spacing w:after="0"/>
              <w:rPr>
                <w:sz w:val="24"/>
                <w:szCs w:val="24"/>
                <w:color w:val="auto"/>
              </w:rPr>
            </w:pPr>
          </w:p>
        </w:tc>
        <w:tc>
          <w:tcPr>
            <w:tcW w:w="620" w:type="dxa"/>
            <w:vAlign w:val="bottom"/>
            <w:tcBorders>
              <w:bottom w:val="single" w:sz="8" w:color="C0C0C0"/>
            </w:tcBorders>
          </w:tcPr>
          <w:p>
            <w:pPr>
              <w:spacing w:after="0"/>
              <w:rPr>
                <w:sz w:val="24"/>
                <w:szCs w:val="24"/>
                <w:color w:val="auto"/>
              </w:rPr>
            </w:pPr>
          </w:p>
        </w:tc>
        <w:tc>
          <w:tcPr>
            <w:tcW w:w="660" w:type="dxa"/>
            <w:vAlign w:val="bottom"/>
            <w:tcBorders>
              <w:bottom w:val="single" w:sz="8" w:color="C0C0C0"/>
            </w:tcBorders>
          </w:tcPr>
          <w:p>
            <w:pPr>
              <w:spacing w:after="0"/>
              <w:rPr>
                <w:sz w:val="24"/>
                <w:szCs w:val="24"/>
                <w:color w:val="auto"/>
              </w:rPr>
            </w:pPr>
          </w:p>
        </w:tc>
        <w:tc>
          <w:tcPr>
            <w:tcW w:w="620" w:type="dxa"/>
            <w:vAlign w:val="bottom"/>
            <w:tcBorders>
              <w:bottom w:val="single" w:sz="8" w:color="C0C0C0"/>
            </w:tcBorders>
          </w:tcPr>
          <w:p>
            <w:pPr>
              <w:spacing w:after="0"/>
              <w:rPr>
                <w:sz w:val="24"/>
                <w:szCs w:val="24"/>
                <w:color w:val="auto"/>
              </w:rPr>
            </w:pPr>
          </w:p>
        </w:tc>
        <w:tc>
          <w:tcPr>
            <w:tcW w:w="62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-864870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-993775</wp:posOffset>
            </wp:positionV>
            <wp:extent cx="111125" cy="1117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-993775</wp:posOffset>
            </wp:positionV>
            <wp:extent cx="111125" cy="1117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-993775</wp:posOffset>
            </wp:positionV>
            <wp:extent cx="111125" cy="1117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-993775</wp:posOffset>
            </wp:positionV>
            <wp:extent cx="111125" cy="1117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-993775</wp:posOffset>
            </wp:positionV>
            <wp:extent cx="111125" cy="1117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-993775</wp:posOffset>
            </wp:positionV>
            <wp:extent cx="111125" cy="1117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-993775</wp:posOffset>
            </wp:positionV>
            <wp:extent cx="111125" cy="1117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-993775</wp:posOffset>
            </wp:positionV>
            <wp:extent cx="111125" cy="1117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-993775</wp:posOffset>
            </wp:positionV>
            <wp:extent cx="111125" cy="1117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-454025</wp:posOffset>
            </wp:positionV>
            <wp:extent cx="471805" cy="2825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Our Director Nominees</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nominees for election to the Board, together with information regarding each nominee’s qualifications, are set forth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16458B"/>
        </w:rPr>
        <w:t>Peter Coleman,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16458B"/>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911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911350"/>
                    </a:xfrm>
                    <a:prstGeom prst="rect">
                      <a:avLst/>
                    </a:prstGeom>
                    <a:noFill/>
                  </pic:spPr>
                </pic:pic>
              </a:graphicData>
            </a:graphic>
          </wp:anchor>
        </w:drawing>
      </w:r>
    </w:p>
    <w:p>
      <w:pPr>
        <w:spacing w:after="0" w:line="138" w:lineRule="exact"/>
        <w:rPr>
          <w:sz w:val="20"/>
          <w:szCs w:val="20"/>
          <w:color w:val="auto"/>
        </w:rPr>
      </w:pPr>
    </w:p>
    <w:tbl>
      <w:tblPr>
        <w:tblLayout w:type="fixed"/>
        <w:tblInd w:w="2860" w:type="dxa"/>
        <w:tblCellMar>
          <w:top w:w="0" w:type="dxa"/>
          <w:left w:w="0" w:type="dxa"/>
          <w:bottom w:w="0" w:type="dxa"/>
          <w:right w:w="0" w:type="dxa"/>
        </w:tblCellMar>
      </w:tblPr>
      <w:tr>
        <w:trPr>
          <w:trHeight w:val="189"/>
        </w:trPr>
        <w:tc>
          <w:tcPr>
            <w:tcW w:w="3240" w:type="dxa"/>
            <w:vAlign w:val="bottom"/>
          </w:tcPr>
          <w:p>
            <w:pPr>
              <w:spacing w:after="0"/>
              <w:rPr>
                <w:sz w:val="20"/>
                <w:szCs w:val="20"/>
                <w:color w:val="auto"/>
              </w:rPr>
            </w:pPr>
            <w:r>
              <w:rPr>
                <w:rFonts w:ascii="Arial" w:cs="Arial" w:eastAsia="Arial" w:hAnsi="Arial"/>
                <w:sz w:val="16"/>
                <w:szCs w:val="16"/>
                <w:b w:val="1"/>
                <w:bCs w:val="1"/>
                <w:color w:val="auto"/>
              </w:rPr>
              <w:t>Former CEO and Managing Director,</w:t>
            </w:r>
          </w:p>
        </w:tc>
        <w:tc>
          <w:tcPr>
            <w:tcW w:w="3800" w:type="dxa"/>
            <w:vAlign w:val="bottom"/>
            <w:gridSpan w:val="2"/>
          </w:tcPr>
          <w:p>
            <w:pPr>
              <w:ind w:left="460"/>
              <w:spacing w:after="0"/>
              <w:rPr>
                <w:sz w:val="20"/>
                <w:szCs w:val="20"/>
                <w:color w:val="auto"/>
              </w:rPr>
            </w:pPr>
            <w:r>
              <w:rPr>
                <w:rFonts w:ascii="Arial" w:cs="Arial" w:eastAsia="Arial" w:hAnsi="Arial"/>
                <w:sz w:val="16"/>
                <w:szCs w:val="16"/>
                <w:b w:val="1"/>
                <w:bCs w:val="1"/>
                <w:color w:val="auto"/>
              </w:rPr>
              <w:t>Nationality</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6"/>
                <w:szCs w:val="16"/>
                <w:b w:val="1"/>
                <w:bCs w:val="1"/>
                <w:color w:val="auto"/>
              </w:rPr>
              <w:t>Woodside Petroleum Ltd.</w:t>
            </w:r>
          </w:p>
        </w:tc>
        <w:tc>
          <w:tcPr>
            <w:tcW w:w="3800" w:type="dxa"/>
            <w:vAlign w:val="bottom"/>
            <w:gridSpan w:val="2"/>
          </w:tcPr>
          <w:p>
            <w:pPr>
              <w:ind w:left="46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344"/>
        </w:trPr>
        <w:tc>
          <w:tcPr>
            <w:tcW w:w="3240" w:type="dxa"/>
            <w:vAlign w:val="bottom"/>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2021</w:t>
            </w:r>
          </w:p>
        </w:tc>
        <w:tc>
          <w:tcPr>
            <w:tcW w:w="3800" w:type="dxa"/>
            <w:vAlign w:val="bottom"/>
            <w:gridSpan w:val="2"/>
          </w:tcPr>
          <w:p>
            <w:pPr>
              <w:ind w:left="460"/>
              <w:spacing w:after="0"/>
              <w:rPr>
                <w:sz w:val="20"/>
                <w:szCs w:val="20"/>
                <w:color w:val="auto"/>
              </w:rPr>
            </w:pPr>
            <w:r>
              <w:rPr>
                <w:rFonts w:ascii="Arial" w:cs="Arial" w:eastAsia="Arial" w:hAnsi="Arial"/>
                <w:sz w:val="16"/>
                <w:szCs w:val="16"/>
                <w:b w:val="1"/>
                <w:bCs w:val="1"/>
                <w:color w:val="auto"/>
              </w:rPr>
              <w:t>SLB Board Committees</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62</w:t>
            </w:r>
          </w:p>
        </w:tc>
        <w:tc>
          <w:tcPr>
            <w:tcW w:w="580" w:type="dxa"/>
            <w:vAlign w:val="bottom"/>
          </w:tcPr>
          <w:p>
            <w:pPr>
              <w:ind w:left="460"/>
              <w:spacing w:after="0"/>
              <w:rPr>
                <w:sz w:val="20"/>
                <w:szCs w:val="20"/>
                <w:color w:val="auto"/>
              </w:rPr>
            </w:pPr>
            <w:r>
              <w:rPr>
                <w:rFonts w:ascii="Arial" w:cs="Arial" w:eastAsia="Arial" w:hAnsi="Arial"/>
                <w:sz w:val="16"/>
                <w:szCs w:val="16"/>
                <w:color w:val="16458B"/>
              </w:rPr>
              <w:t>•</w:t>
            </w:r>
          </w:p>
        </w:tc>
        <w:tc>
          <w:tcPr>
            <w:tcW w:w="3220" w:type="dxa"/>
            <w:vAlign w:val="bottom"/>
          </w:tcPr>
          <w:p>
            <w:pPr>
              <w:ind w:left="60"/>
              <w:spacing w:after="0"/>
              <w:rPr>
                <w:sz w:val="20"/>
                <w:szCs w:val="20"/>
                <w:color w:val="auto"/>
              </w:rPr>
            </w:pPr>
            <w:r>
              <w:rPr>
                <w:rFonts w:ascii="Arial" w:cs="Arial" w:eastAsia="Arial" w:hAnsi="Arial"/>
                <w:sz w:val="16"/>
                <w:szCs w:val="16"/>
                <w:color w:val="auto"/>
              </w:rPr>
              <w:t>Nominating and Governance</w:t>
            </w:r>
          </w:p>
        </w:tc>
        <w:tc>
          <w:tcPr>
            <w:tcW w:w="0" w:type="dxa"/>
            <w:vAlign w:val="bottom"/>
          </w:tcPr>
          <w:p>
            <w:pPr>
              <w:spacing w:after="0"/>
              <w:rPr>
                <w:sz w:val="1"/>
                <w:szCs w:val="1"/>
                <w:color w:val="auto"/>
              </w:rPr>
            </w:pPr>
          </w:p>
        </w:tc>
      </w:tr>
      <w:tr>
        <w:trPr>
          <w:trHeight w:val="215"/>
        </w:trPr>
        <w:tc>
          <w:tcPr>
            <w:tcW w:w="3240" w:type="dxa"/>
            <w:vAlign w:val="bottom"/>
            <w:vMerge w:val="restart"/>
          </w:tcPr>
          <w:p>
            <w:pPr>
              <w:spacing w:after="0"/>
              <w:rPr>
                <w:sz w:val="20"/>
                <w:szCs w:val="20"/>
                <w:color w:val="auto"/>
              </w:rPr>
            </w:pPr>
            <w:r>
              <w:rPr>
                <w:rFonts w:ascii="Arial" w:cs="Arial" w:eastAsia="Arial" w:hAnsi="Arial"/>
                <w:sz w:val="16"/>
                <w:szCs w:val="16"/>
                <w:b w:val="1"/>
                <w:bCs w:val="1"/>
                <w:color w:val="auto"/>
              </w:rPr>
              <w:t>Other Current Public Boards</w:t>
            </w:r>
          </w:p>
        </w:tc>
        <w:tc>
          <w:tcPr>
            <w:tcW w:w="580" w:type="dxa"/>
            <w:vAlign w:val="bottom"/>
          </w:tcPr>
          <w:p>
            <w:pPr>
              <w:ind w:left="460"/>
              <w:spacing w:after="0"/>
              <w:rPr>
                <w:sz w:val="20"/>
                <w:szCs w:val="20"/>
                <w:color w:val="auto"/>
              </w:rPr>
            </w:pPr>
            <w:r>
              <w:rPr>
                <w:rFonts w:ascii="Arial" w:cs="Arial" w:eastAsia="Arial" w:hAnsi="Arial"/>
                <w:sz w:val="16"/>
                <w:szCs w:val="16"/>
                <w:color w:val="16458B"/>
              </w:rPr>
              <w:t>•</w:t>
            </w:r>
          </w:p>
        </w:tc>
        <w:tc>
          <w:tcPr>
            <w:tcW w:w="3220" w:type="dxa"/>
            <w:vAlign w:val="bottom"/>
          </w:tcPr>
          <w:p>
            <w:pPr>
              <w:ind w:left="60"/>
              <w:spacing w:after="0"/>
              <w:rPr>
                <w:sz w:val="20"/>
                <w:szCs w:val="20"/>
                <w:color w:val="auto"/>
              </w:rPr>
            </w:pPr>
            <w:r>
              <w:rPr>
                <w:rFonts w:ascii="Arial" w:cs="Arial" w:eastAsia="Arial" w:hAnsi="Arial"/>
                <w:sz w:val="16"/>
                <w:szCs w:val="16"/>
                <w:color w:val="auto"/>
              </w:rPr>
              <w:t>Finance</w:t>
            </w:r>
          </w:p>
        </w:tc>
        <w:tc>
          <w:tcPr>
            <w:tcW w:w="0" w:type="dxa"/>
            <w:vAlign w:val="bottom"/>
          </w:tcPr>
          <w:p>
            <w:pPr>
              <w:spacing w:after="0"/>
              <w:rPr>
                <w:sz w:val="1"/>
                <w:szCs w:val="1"/>
                <w:color w:val="auto"/>
              </w:rPr>
            </w:pPr>
          </w:p>
        </w:tc>
      </w:tr>
      <w:tr>
        <w:trPr>
          <w:trHeight w:val="163"/>
        </w:trPr>
        <w:tc>
          <w:tcPr>
            <w:tcW w:w="32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Allkem Limited</w:t>
            </w:r>
          </w:p>
        </w:tc>
        <w:tc>
          <w:tcPr>
            <w:tcW w:w="3800" w:type="dxa"/>
            <w:vAlign w:val="bottom"/>
            <w:gridSpan w:val="2"/>
          </w:tcPr>
          <w:p>
            <w:pPr>
              <w:ind w:left="46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580" w:type="dxa"/>
            <w:vAlign w:val="bottom"/>
          </w:tcPr>
          <w:p>
            <w:pPr>
              <w:ind w:left="460"/>
              <w:spacing w:after="0"/>
              <w:rPr>
                <w:sz w:val="20"/>
                <w:szCs w:val="20"/>
                <w:color w:val="auto"/>
              </w:rPr>
            </w:pPr>
            <w:r>
              <w:rPr>
                <w:rFonts w:ascii="Arial" w:cs="Arial" w:eastAsia="Arial" w:hAnsi="Arial"/>
                <w:sz w:val="16"/>
                <w:szCs w:val="16"/>
                <w:color w:val="16458B"/>
              </w:rPr>
              <w:t>•</w:t>
            </w:r>
          </w:p>
        </w:tc>
        <w:tc>
          <w:tcPr>
            <w:tcW w:w="3220" w:type="dxa"/>
            <w:vAlign w:val="bottom"/>
          </w:tcPr>
          <w:p>
            <w:pPr>
              <w:ind w:left="60"/>
              <w:spacing w:after="0"/>
              <w:rPr>
                <w:sz w:val="20"/>
                <w:szCs w:val="20"/>
                <w:color w:val="auto"/>
              </w:rPr>
            </w:pPr>
            <w:r>
              <w:rPr>
                <w:rFonts w:ascii="Arial" w:cs="Arial" w:eastAsia="Arial" w:hAnsi="Arial"/>
                <w:sz w:val="16"/>
                <w:szCs w:val="16"/>
                <w:color w:val="auto"/>
              </w:rPr>
              <w:t>MBA, Deakin University</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b w:val="1"/>
                <w:bCs w:val="1"/>
                <w:color w:val="auto"/>
              </w:rPr>
              <w:t>Former Public Directorships</w:t>
            </w:r>
          </w:p>
        </w:tc>
        <w:tc>
          <w:tcPr>
            <w:tcW w:w="3800" w:type="dxa"/>
            <w:vAlign w:val="bottom"/>
            <w:gridSpan w:val="2"/>
          </w:tcPr>
          <w:p>
            <w:pPr>
              <w:ind w:left="46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Bachelor of Engineering, Monash University</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b w:val="1"/>
                <w:bCs w:val="1"/>
                <w:color w:val="auto"/>
              </w:rPr>
              <w:t>Held During the Past Five Years</w:t>
            </w:r>
          </w:p>
        </w:tc>
        <w:tc>
          <w:tcPr>
            <w:tcW w:w="3800" w:type="dxa"/>
            <w:vAlign w:val="bottom"/>
            <w:gridSpan w:val="2"/>
          </w:tcPr>
          <w:p>
            <w:pPr>
              <w:ind w:left="46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Chair of the Australia-Korea Foundation</w:t>
            </w:r>
          </w:p>
        </w:tc>
        <w:tc>
          <w:tcPr>
            <w:tcW w:w="0" w:type="dxa"/>
            <w:vAlign w:val="bottom"/>
          </w:tcPr>
          <w:p>
            <w:pPr>
              <w:spacing w:after="0"/>
              <w:rPr>
                <w:sz w:val="1"/>
                <w:szCs w:val="1"/>
                <w:color w:val="auto"/>
              </w:rPr>
            </w:pPr>
          </w:p>
        </w:tc>
      </w:tr>
      <w:tr>
        <w:trPr>
          <w:trHeight w:val="215"/>
        </w:trPr>
        <w:tc>
          <w:tcPr>
            <w:tcW w:w="3240" w:type="dxa"/>
            <w:vAlign w:val="bottom"/>
          </w:tcPr>
          <w:p>
            <w:pPr>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Woodside Petroleum Ltd.</w:t>
            </w:r>
          </w:p>
        </w:tc>
        <w:tc>
          <w:tcPr>
            <w:tcW w:w="5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429895</wp:posOffset>
            </wp:positionV>
            <wp:extent cx="1714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429895</wp:posOffset>
            </wp:positionV>
            <wp:extent cx="1714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429895</wp:posOffset>
            </wp:positionV>
            <wp:extent cx="1714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429895</wp:posOffset>
            </wp:positionV>
            <wp:extent cx="1714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429895</wp:posOffset>
            </wp:positionV>
            <wp:extent cx="1714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429895</wp:posOffset>
            </wp:positionV>
            <wp:extent cx="1714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429895</wp:posOffset>
            </wp:positionV>
            <wp:extent cx="1714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429895</wp:posOffset>
            </wp:positionV>
            <wp:extent cx="1714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429895</wp:posOffset>
            </wp:positionV>
            <wp:extent cx="1714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429895</wp:posOffset>
            </wp:positionV>
            <wp:extent cx="1714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429895</wp:posOffset>
            </wp:positionV>
            <wp:extent cx="1714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429895</wp:posOffset>
            </wp:positionV>
            <wp:extent cx="1714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429895</wp:posOffset>
            </wp:positionV>
            <wp:extent cx="1714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429895</wp:posOffset>
            </wp:positionV>
            <wp:extent cx="1714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429895</wp:posOffset>
            </wp:positionV>
            <wp:extent cx="1714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429895</wp:posOffset>
            </wp:positionV>
            <wp:extent cx="1714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429895</wp:posOffset>
            </wp:positionV>
            <wp:extent cx="1714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429895</wp:posOffset>
            </wp:positionV>
            <wp:extent cx="1714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429895</wp:posOffset>
            </wp:positionV>
            <wp:extent cx="1714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429895</wp:posOffset>
            </wp:positionV>
            <wp:extent cx="1714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429895</wp:posOffset>
            </wp:positionV>
            <wp:extent cx="1714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429895</wp:posOffset>
            </wp:positionV>
            <wp:extent cx="1714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429895</wp:posOffset>
            </wp:positionV>
            <wp:extent cx="1714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429895</wp:posOffset>
            </wp:positionV>
            <wp:extent cx="1714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429895</wp:posOffset>
            </wp:positionV>
            <wp:extent cx="1714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429895</wp:posOffset>
            </wp:positionV>
            <wp:extent cx="1714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429895</wp:posOffset>
            </wp:positionV>
            <wp:extent cx="1714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429895</wp:posOffset>
            </wp:positionV>
            <wp:extent cx="1714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429895</wp:posOffset>
            </wp:positionV>
            <wp:extent cx="1714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429895</wp:posOffset>
            </wp:positionV>
            <wp:extent cx="1714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429895</wp:posOffset>
            </wp:positionV>
            <wp:extent cx="1714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429895</wp:posOffset>
            </wp:positionV>
            <wp:extent cx="1714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429895</wp:posOffset>
            </wp:positionV>
            <wp:extent cx="1714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429895</wp:posOffset>
            </wp:positionV>
            <wp:extent cx="1714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429895</wp:posOffset>
            </wp:positionV>
            <wp:extent cx="1714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429895</wp:posOffset>
            </wp:positionV>
            <wp:extent cx="1714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429895</wp:posOffset>
            </wp:positionV>
            <wp:extent cx="1714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429895</wp:posOffset>
            </wp:positionV>
            <wp:extent cx="1714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429895</wp:posOffset>
            </wp:positionV>
            <wp:extent cx="1714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429895</wp:posOffset>
            </wp:positionV>
            <wp:extent cx="1714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429895</wp:posOffset>
            </wp:positionV>
            <wp:extent cx="1714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429895</wp:posOffset>
            </wp:positionV>
            <wp:extent cx="1714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429895</wp:posOffset>
            </wp:positionV>
            <wp:extent cx="1714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429895</wp:posOffset>
            </wp:positionV>
            <wp:extent cx="1714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429895</wp:posOffset>
            </wp:positionV>
            <wp:extent cx="1714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429895</wp:posOffset>
            </wp:positionV>
            <wp:extent cx="1714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429895</wp:posOffset>
            </wp:positionV>
            <wp:extent cx="1714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429895</wp:posOffset>
            </wp:positionV>
            <wp:extent cx="1714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429895</wp:posOffset>
            </wp:positionV>
            <wp:extent cx="1714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429895</wp:posOffset>
            </wp:positionV>
            <wp:extent cx="1714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429895</wp:posOffset>
            </wp:positionV>
            <wp:extent cx="1714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429895</wp:posOffset>
            </wp:positionV>
            <wp:extent cx="1714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429895</wp:posOffset>
            </wp:positionV>
            <wp:extent cx="1714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429895</wp:posOffset>
            </wp:positionV>
            <wp:extent cx="1714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429895</wp:posOffset>
            </wp:positionV>
            <wp:extent cx="1714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429895</wp:posOffset>
            </wp:positionV>
            <wp:extent cx="1714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429895</wp:posOffset>
            </wp:positionV>
            <wp:extent cx="1714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429895</wp:posOffset>
            </wp:positionV>
            <wp:extent cx="1714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429895</wp:posOffset>
            </wp:positionV>
            <wp:extent cx="1714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429895</wp:posOffset>
            </wp:positionV>
            <wp:extent cx="1714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429895</wp:posOffset>
            </wp:positionV>
            <wp:extent cx="1714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429895</wp:posOffset>
            </wp:positionV>
            <wp:extent cx="1714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429895</wp:posOffset>
            </wp:positionV>
            <wp:extent cx="1714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429895</wp:posOffset>
            </wp:positionV>
            <wp:extent cx="1714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429895</wp:posOffset>
            </wp:positionV>
            <wp:extent cx="1714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429895</wp:posOffset>
            </wp:positionV>
            <wp:extent cx="1714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429895</wp:posOffset>
            </wp:positionV>
            <wp:extent cx="1714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429895</wp:posOffset>
            </wp:positionV>
            <wp:extent cx="1714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429895</wp:posOffset>
            </wp:positionV>
            <wp:extent cx="1714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429895</wp:posOffset>
            </wp:positionV>
            <wp:extent cx="1714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429895</wp:posOffset>
            </wp:positionV>
            <wp:extent cx="1714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429895</wp:posOffset>
            </wp:positionV>
            <wp:extent cx="1714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429895</wp:posOffset>
            </wp:positionV>
            <wp:extent cx="1714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429895</wp:posOffset>
            </wp:positionV>
            <wp:extent cx="1714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429895</wp:posOffset>
            </wp:positionV>
            <wp:extent cx="1714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429895</wp:posOffset>
            </wp:positionV>
            <wp:extent cx="1714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429895</wp:posOffset>
            </wp:positionV>
            <wp:extent cx="1714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429895</wp:posOffset>
            </wp:positionV>
            <wp:extent cx="1714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429895</wp:posOffset>
            </wp:positionV>
            <wp:extent cx="1714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429895</wp:posOffset>
            </wp:positionV>
            <wp:extent cx="1714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429895</wp:posOffset>
            </wp:positionV>
            <wp:extent cx="1714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429895</wp:posOffset>
            </wp:positionV>
            <wp:extent cx="1714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429895</wp:posOffset>
            </wp:positionV>
            <wp:extent cx="1714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429895</wp:posOffset>
            </wp:positionV>
            <wp:extent cx="1714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429895</wp:posOffset>
            </wp:positionV>
            <wp:extent cx="1714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429895</wp:posOffset>
            </wp:positionV>
            <wp:extent cx="1714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429895</wp:posOffset>
            </wp:positionV>
            <wp:extent cx="417449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1744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PETER COLEMAN is the former Chief Executive Officer, Executive Director and Managing Director of Woodside Petroleum Ltd., Australia’s largest independent gas producer, having served in that role from 2011 until his retirement in June 2021. Prior to joining Woodside, Mr. Coleman spent 27 years with the ExxonMobil group in a variety of roles, including Vice President Asia Pacific from 2010 to 2011 and Vice President Americas from 2008 to 2010. Since 2012, he has been an adjunct professor of corporate strategy at the University of Western Australia Business School. Since November 2022, he has served as chair of Allkem Limited, a global lithium chemicals company, having served as a director since October 2022. He has also served as chairman of the board of Infinite Blue Energy, an Australian green hydrogen renewable energy company, since August 2021, as chair of H2EX, an Australian hydrogen exploration start-up, since April 2022, and as chair of DIRECT Infrastructure, an Australian-based offshore wind developer, since June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Skills and Expertise</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Mr. Coleman brings to the Board decades of experience in the oil and gas industry, including as the former CEO and Chairman of Australia’s largest independent gas producer. The Board benefits from his expertise in strategic planning, as well as his extensive business experience in Australia and Asia, regions that are strategically important to SLB’s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471170" cy="2825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73"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-46990</wp:posOffset>
            </wp:positionV>
            <wp:extent cx="54178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16458B"/>
        </w:rPr>
        <w:t>Patrick de La Chevardière,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16458B"/>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1619885" cy="1911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619885" cy="1911350"/>
                    </a:xfrm>
                    <a:prstGeom prst="rect">
                      <a:avLst/>
                    </a:prstGeom>
                    <a:noFill/>
                  </pic:spPr>
                </pic:pic>
              </a:graphicData>
            </a:graphic>
          </wp:anchor>
        </w:drawing>
      </w:r>
    </w:p>
    <w:p>
      <w:pPr>
        <w:spacing w:after="0" w:line="138" w:lineRule="exact"/>
        <w:rPr>
          <w:sz w:val="20"/>
          <w:szCs w:val="20"/>
          <w:color w:val="auto"/>
        </w:rPr>
      </w:pPr>
    </w:p>
    <w:p>
      <w:pPr>
        <w:ind w:left="2860" w:right="615"/>
        <w:spacing w:after="0" w:line="296" w:lineRule="auto"/>
        <w:rPr>
          <w:sz w:val="20"/>
          <w:szCs w:val="20"/>
          <w:color w:val="auto"/>
        </w:rPr>
      </w:pPr>
      <w:r>
        <w:rPr>
          <w:rFonts w:ascii="Arial" w:cs="Arial" w:eastAsia="Arial" w:hAnsi="Arial"/>
          <w:sz w:val="16"/>
          <w:szCs w:val="16"/>
          <w:b w:val="1"/>
          <w:bCs w:val="1"/>
          <w:color w:val="auto"/>
        </w:rPr>
        <w:t>Former Chief Financial Officer, Total S.A.</w:t>
      </w:r>
    </w:p>
    <w:p>
      <w:pPr>
        <w:spacing w:after="0" w:line="113"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2019</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65</w:t>
      </w:r>
    </w:p>
    <w:p>
      <w:pPr>
        <w:spacing w:after="0" w:line="178"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auto"/>
        </w:rPr>
        <w:t>Other Current Public Boards</w:t>
      </w:r>
    </w:p>
    <w:p>
      <w:pPr>
        <w:spacing w:after="0" w:line="21" w:lineRule="exact"/>
        <w:rPr>
          <w:sz w:val="20"/>
          <w:szCs w:val="20"/>
          <w:color w:val="auto"/>
        </w:rPr>
      </w:pPr>
    </w:p>
    <w:p>
      <w:pPr>
        <w:ind w:left="3040" w:right="255" w:hanging="179"/>
        <w:spacing w:after="0" w:line="265" w:lineRule="auto"/>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Michelin (Compagnie Générale des</w:t>
      </w:r>
      <w:r>
        <w:rPr>
          <w:rFonts w:ascii="Arial" w:cs="Arial" w:eastAsia="Arial" w:hAnsi="Arial"/>
          <w:sz w:val="16"/>
          <w:szCs w:val="16"/>
          <w:color w:val="16458B"/>
        </w:rPr>
        <w:t xml:space="preserve"> </w:t>
      </w:r>
      <w:r>
        <w:rPr>
          <w:rFonts w:ascii="Arial" w:cs="Arial" w:eastAsia="Arial" w:hAnsi="Arial"/>
          <w:sz w:val="16"/>
          <w:szCs w:val="16"/>
          <w:color w:val="000000"/>
        </w:rPr>
        <w:t>Établissements Michelin SCA)</w:t>
      </w:r>
    </w:p>
    <w:p>
      <w:pPr>
        <w:spacing w:after="0" w:line="145" w:lineRule="exact"/>
        <w:rPr>
          <w:sz w:val="20"/>
          <w:szCs w:val="20"/>
          <w:color w:val="auto"/>
        </w:rPr>
      </w:pPr>
    </w:p>
    <w:p>
      <w:pPr>
        <w:ind w:left="2860" w:right="535"/>
        <w:spacing w:after="0" w:line="256" w:lineRule="auto"/>
        <w:rPr>
          <w:sz w:val="20"/>
          <w:szCs w:val="20"/>
          <w:color w:val="auto"/>
        </w:rPr>
      </w:pPr>
      <w:r>
        <w:rPr>
          <w:rFonts w:ascii="Arial" w:cs="Arial" w:eastAsia="Arial" w:hAnsi="Arial"/>
          <w:sz w:val="16"/>
          <w:szCs w:val="16"/>
          <w:b w:val="1"/>
          <w:bCs w:val="1"/>
          <w:color w:val="auto"/>
        </w:rPr>
        <w:t>Former Public Directorships Held During the Past Five Years</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384873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8487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Nationality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-2416810</wp:posOffset>
            </wp:positionH>
            <wp:positionV relativeFrom="paragraph">
              <wp:posOffset>-175895</wp:posOffset>
            </wp:positionV>
            <wp:extent cx="539178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391785" cy="8255"/>
                    </a:xfrm>
                    <a:prstGeom prst="rect">
                      <a:avLst/>
                    </a:prstGeom>
                    <a:noFill/>
                  </pic:spPr>
                </pic:pic>
              </a:graphicData>
            </a:graphic>
          </wp:anchor>
        </w:drawing>
      </w:r>
    </w:p>
    <w:p>
      <w:pPr>
        <w:spacing w:after="0" w:line="1" w:lineRule="exact"/>
        <w:rPr>
          <w:sz w:val="20"/>
          <w:szCs w:val="20"/>
          <w:color w:val="auto"/>
        </w:rPr>
      </w:pPr>
    </w:p>
    <w:p>
      <w:pPr>
        <w:ind w:left="5"/>
        <w:spacing w:after="0"/>
        <w:rPr>
          <w:sz w:val="20"/>
          <w:szCs w:val="20"/>
          <w:color w:val="auto"/>
        </w:rPr>
      </w:pPr>
      <w:r>
        <w:rPr>
          <w:rFonts w:ascii="Arial" w:cs="Arial" w:eastAsia="Arial" w:hAnsi="Arial"/>
          <w:sz w:val="16"/>
          <w:szCs w:val="16"/>
          <w:color w:val="auto"/>
        </w:rPr>
        <w:t>France</w:t>
      </w:r>
    </w:p>
    <w:p>
      <w:pPr>
        <w:spacing w:after="0" w:line="17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SLB Board Committees</w:t>
      </w:r>
    </w:p>
    <w:p>
      <w:pPr>
        <w:spacing w:after="0" w:line="21" w:lineRule="exact"/>
        <w:rPr>
          <w:sz w:val="20"/>
          <w:szCs w:val="20"/>
          <w:color w:val="auto"/>
        </w:rPr>
      </w:pPr>
    </w:p>
    <w:p>
      <w:pPr>
        <w:ind w:left="185" w:hanging="185"/>
        <w:spacing w:after="0"/>
        <w:tabs>
          <w:tab w:leader="none" w:pos="185" w:val="left"/>
        </w:tabs>
        <w:numPr>
          <w:ilvl w:val="0"/>
          <w:numId w:val="13"/>
        </w:numPr>
        <w:rPr>
          <w:rFonts w:ascii="Arial" w:cs="Arial" w:eastAsia="Arial" w:hAnsi="Arial"/>
          <w:sz w:val="16"/>
          <w:szCs w:val="16"/>
          <w:color w:val="16458B"/>
        </w:rPr>
      </w:pPr>
      <w:r>
        <w:rPr>
          <w:rFonts w:ascii="Arial" w:cs="Arial" w:eastAsia="Arial" w:hAnsi="Arial"/>
          <w:sz w:val="16"/>
          <w:szCs w:val="16"/>
          <w:color w:val="auto"/>
        </w:rPr>
        <w:t>Audit, Chair</w:t>
      </w:r>
    </w:p>
    <w:p>
      <w:pPr>
        <w:spacing w:after="0" w:line="5" w:lineRule="exact"/>
        <w:rPr>
          <w:rFonts w:ascii="Arial" w:cs="Arial" w:eastAsia="Arial" w:hAnsi="Arial"/>
          <w:sz w:val="16"/>
          <w:szCs w:val="16"/>
          <w:color w:val="16458B"/>
        </w:rPr>
      </w:pPr>
    </w:p>
    <w:p>
      <w:pPr>
        <w:ind w:left="185" w:hanging="185"/>
        <w:spacing w:after="0"/>
        <w:tabs>
          <w:tab w:leader="none" w:pos="185" w:val="left"/>
        </w:tabs>
        <w:numPr>
          <w:ilvl w:val="0"/>
          <w:numId w:val="13"/>
        </w:numPr>
        <w:rPr>
          <w:rFonts w:ascii="Arial" w:cs="Arial" w:eastAsia="Arial" w:hAnsi="Arial"/>
          <w:sz w:val="16"/>
          <w:szCs w:val="16"/>
          <w:color w:val="16458B"/>
        </w:rPr>
      </w:pPr>
      <w:r>
        <w:rPr>
          <w:rFonts w:ascii="Arial" w:cs="Arial" w:eastAsia="Arial" w:hAnsi="Arial"/>
          <w:sz w:val="16"/>
          <w:szCs w:val="16"/>
          <w:color w:val="auto"/>
        </w:rPr>
        <w:t>Finance</w:t>
      </w:r>
    </w:p>
    <w:p>
      <w:pPr>
        <w:spacing w:after="0" w:line="17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Other Experience and Education</w:t>
      </w:r>
    </w:p>
    <w:p>
      <w:pPr>
        <w:spacing w:after="0" w:line="21" w:lineRule="exact"/>
        <w:rPr>
          <w:sz w:val="20"/>
          <w:szCs w:val="20"/>
          <w:color w:val="auto"/>
        </w:rPr>
      </w:pPr>
    </w:p>
    <w:p>
      <w:pPr>
        <w:ind w:left="165" w:right="740" w:hanging="165"/>
        <w:spacing w:after="0" w:line="246" w:lineRule="auto"/>
        <w:tabs>
          <w:tab w:leader="none" w:pos="185" w:val="left"/>
        </w:tabs>
        <w:numPr>
          <w:ilvl w:val="0"/>
          <w:numId w:val="14"/>
        </w:numPr>
        <w:rPr>
          <w:rFonts w:ascii="Arial" w:cs="Arial" w:eastAsia="Arial" w:hAnsi="Arial"/>
          <w:sz w:val="16"/>
          <w:szCs w:val="16"/>
          <w:color w:val="16458B"/>
        </w:rPr>
      </w:pPr>
      <w:r>
        <w:rPr>
          <w:rFonts w:ascii="Arial" w:cs="Arial" w:eastAsia="Arial" w:hAnsi="Arial"/>
          <w:sz w:val="16"/>
          <w:szCs w:val="16"/>
          <w:color w:val="auto"/>
        </w:rPr>
        <w:t>Experienced director of several French-based public companies</w:t>
      </w:r>
    </w:p>
    <w:p>
      <w:pPr>
        <w:ind w:left="165" w:right="200" w:hanging="165"/>
        <w:spacing w:after="0" w:line="265" w:lineRule="auto"/>
        <w:tabs>
          <w:tab w:leader="none" w:pos="185" w:val="left"/>
        </w:tabs>
        <w:numPr>
          <w:ilvl w:val="0"/>
          <w:numId w:val="14"/>
        </w:numPr>
        <w:rPr>
          <w:rFonts w:ascii="Arial" w:cs="Arial" w:eastAsia="Arial" w:hAnsi="Arial"/>
          <w:sz w:val="16"/>
          <w:szCs w:val="16"/>
          <w:color w:val="16458B"/>
        </w:rPr>
      </w:pPr>
      <w:r>
        <w:rPr>
          <w:rFonts w:ascii="Arial" w:cs="Arial" w:eastAsia="Arial" w:hAnsi="Arial"/>
          <w:sz w:val="16"/>
          <w:szCs w:val="16"/>
          <w:color w:val="auto"/>
        </w:rPr>
        <w:t>Diplôme d’Ingénieur, an engineering degree, École Centrale de Paris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417830</wp:posOffset>
            </wp:positionV>
            <wp:extent cx="1714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417830</wp:posOffset>
            </wp:positionV>
            <wp:extent cx="1714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417830</wp:posOffset>
            </wp:positionV>
            <wp:extent cx="1714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417830</wp:posOffset>
            </wp:positionV>
            <wp:extent cx="1714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180340</wp:posOffset>
            </wp:positionH>
            <wp:positionV relativeFrom="paragraph">
              <wp:posOffset>417830</wp:posOffset>
            </wp:positionV>
            <wp:extent cx="1714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417830</wp:posOffset>
            </wp:positionV>
            <wp:extent cx="1714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417830</wp:posOffset>
            </wp:positionV>
            <wp:extent cx="1714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417830</wp:posOffset>
            </wp:positionV>
            <wp:extent cx="1714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317500</wp:posOffset>
            </wp:positionH>
            <wp:positionV relativeFrom="paragraph">
              <wp:posOffset>417830</wp:posOffset>
            </wp:positionV>
            <wp:extent cx="1714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351790</wp:posOffset>
            </wp:positionH>
            <wp:positionV relativeFrom="paragraph">
              <wp:posOffset>417830</wp:posOffset>
            </wp:positionV>
            <wp:extent cx="1714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386080</wp:posOffset>
            </wp:positionH>
            <wp:positionV relativeFrom="paragraph">
              <wp:posOffset>417830</wp:posOffset>
            </wp:positionV>
            <wp:extent cx="1714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417830</wp:posOffset>
            </wp:positionV>
            <wp:extent cx="1714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417830</wp:posOffset>
            </wp:positionV>
            <wp:extent cx="1714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488950</wp:posOffset>
            </wp:positionH>
            <wp:positionV relativeFrom="paragraph">
              <wp:posOffset>417830</wp:posOffset>
            </wp:positionV>
            <wp:extent cx="1714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417830</wp:posOffset>
            </wp:positionV>
            <wp:extent cx="1714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557530</wp:posOffset>
            </wp:positionH>
            <wp:positionV relativeFrom="paragraph">
              <wp:posOffset>417830</wp:posOffset>
            </wp:positionV>
            <wp:extent cx="1714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417830</wp:posOffset>
            </wp:positionV>
            <wp:extent cx="1714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417830</wp:posOffset>
            </wp:positionV>
            <wp:extent cx="1714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417830</wp:posOffset>
            </wp:positionV>
            <wp:extent cx="1714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694690</wp:posOffset>
            </wp:positionH>
            <wp:positionV relativeFrom="paragraph">
              <wp:posOffset>417830</wp:posOffset>
            </wp:positionV>
            <wp:extent cx="1714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417830</wp:posOffset>
            </wp:positionV>
            <wp:extent cx="1714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417830</wp:posOffset>
            </wp:positionV>
            <wp:extent cx="17145"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797560</wp:posOffset>
            </wp:positionH>
            <wp:positionV relativeFrom="paragraph">
              <wp:posOffset>417830</wp:posOffset>
            </wp:positionV>
            <wp:extent cx="1714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831850</wp:posOffset>
            </wp:positionH>
            <wp:positionV relativeFrom="paragraph">
              <wp:posOffset>417830</wp:posOffset>
            </wp:positionV>
            <wp:extent cx="1714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866140</wp:posOffset>
            </wp:positionH>
            <wp:positionV relativeFrom="paragraph">
              <wp:posOffset>417830</wp:posOffset>
            </wp:positionV>
            <wp:extent cx="17145"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900430</wp:posOffset>
            </wp:positionH>
            <wp:positionV relativeFrom="paragraph">
              <wp:posOffset>417830</wp:posOffset>
            </wp:positionV>
            <wp:extent cx="17145"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934720</wp:posOffset>
            </wp:positionH>
            <wp:positionV relativeFrom="paragraph">
              <wp:posOffset>417830</wp:posOffset>
            </wp:positionV>
            <wp:extent cx="1714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969010</wp:posOffset>
            </wp:positionH>
            <wp:positionV relativeFrom="paragraph">
              <wp:posOffset>417830</wp:posOffset>
            </wp:positionV>
            <wp:extent cx="17145"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1003300</wp:posOffset>
            </wp:positionH>
            <wp:positionV relativeFrom="paragraph">
              <wp:posOffset>417830</wp:posOffset>
            </wp:positionV>
            <wp:extent cx="17145"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1037590</wp:posOffset>
            </wp:positionH>
            <wp:positionV relativeFrom="paragraph">
              <wp:posOffset>417830</wp:posOffset>
            </wp:positionV>
            <wp:extent cx="1714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1071880</wp:posOffset>
            </wp:positionH>
            <wp:positionV relativeFrom="paragraph">
              <wp:posOffset>417830</wp:posOffset>
            </wp:positionV>
            <wp:extent cx="1714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1106170</wp:posOffset>
            </wp:positionH>
            <wp:positionV relativeFrom="paragraph">
              <wp:posOffset>417830</wp:posOffset>
            </wp:positionV>
            <wp:extent cx="17145"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1140460</wp:posOffset>
            </wp:positionH>
            <wp:positionV relativeFrom="paragraph">
              <wp:posOffset>417830</wp:posOffset>
            </wp:positionV>
            <wp:extent cx="17145"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1174750</wp:posOffset>
            </wp:positionH>
            <wp:positionV relativeFrom="paragraph">
              <wp:posOffset>417830</wp:posOffset>
            </wp:positionV>
            <wp:extent cx="17145"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1209040</wp:posOffset>
            </wp:positionH>
            <wp:positionV relativeFrom="paragraph">
              <wp:posOffset>417830</wp:posOffset>
            </wp:positionV>
            <wp:extent cx="1714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1243330</wp:posOffset>
            </wp:positionH>
            <wp:positionV relativeFrom="paragraph">
              <wp:posOffset>417830</wp:posOffset>
            </wp:positionV>
            <wp:extent cx="1714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1277620</wp:posOffset>
            </wp:positionH>
            <wp:positionV relativeFrom="paragraph">
              <wp:posOffset>417830</wp:posOffset>
            </wp:positionV>
            <wp:extent cx="1714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1311910</wp:posOffset>
            </wp:positionH>
            <wp:positionV relativeFrom="paragraph">
              <wp:posOffset>417830</wp:posOffset>
            </wp:positionV>
            <wp:extent cx="1714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1346200</wp:posOffset>
            </wp:positionH>
            <wp:positionV relativeFrom="paragraph">
              <wp:posOffset>417830</wp:posOffset>
            </wp:positionV>
            <wp:extent cx="1714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1380490</wp:posOffset>
            </wp:positionH>
            <wp:positionV relativeFrom="paragraph">
              <wp:posOffset>417830</wp:posOffset>
            </wp:positionV>
            <wp:extent cx="17145"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1414780</wp:posOffset>
            </wp:positionH>
            <wp:positionV relativeFrom="paragraph">
              <wp:posOffset>417830</wp:posOffset>
            </wp:positionV>
            <wp:extent cx="17145"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1449070</wp:posOffset>
            </wp:positionH>
            <wp:positionV relativeFrom="paragraph">
              <wp:posOffset>417830</wp:posOffset>
            </wp:positionV>
            <wp:extent cx="17145"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1483360</wp:posOffset>
            </wp:positionH>
            <wp:positionV relativeFrom="paragraph">
              <wp:posOffset>417830</wp:posOffset>
            </wp:positionV>
            <wp:extent cx="17145"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1517650</wp:posOffset>
            </wp:positionH>
            <wp:positionV relativeFrom="paragraph">
              <wp:posOffset>417830</wp:posOffset>
            </wp:positionV>
            <wp:extent cx="17145"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1551940</wp:posOffset>
            </wp:positionH>
            <wp:positionV relativeFrom="paragraph">
              <wp:posOffset>417830</wp:posOffset>
            </wp:positionV>
            <wp:extent cx="1714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1586230</wp:posOffset>
            </wp:positionH>
            <wp:positionV relativeFrom="paragraph">
              <wp:posOffset>417830</wp:posOffset>
            </wp:positionV>
            <wp:extent cx="17145"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1620520</wp:posOffset>
            </wp:positionH>
            <wp:positionV relativeFrom="paragraph">
              <wp:posOffset>417830</wp:posOffset>
            </wp:positionV>
            <wp:extent cx="1714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1654810</wp:posOffset>
            </wp:positionH>
            <wp:positionV relativeFrom="paragraph">
              <wp:posOffset>417830</wp:posOffset>
            </wp:positionV>
            <wp:extent cx="17145"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1689100</wp:posOffset>
            </wp:positionH>
            <wp:positionV relativeFrom="paragraph">
              <wp:posOffset>417830</wp:posOffset>
            </wp:positionV>
            <wp:extent cx="17145"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1723390</wp:posOffset>
            </wp:positionH>
            <wp:positionV relativeFrom="paragraph">
              <wp:posOffset>417830</wp:posOffset>
            </wp:positionV>
            <wp:extent cx="17145"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1757680</wp:posOffset>
            </wp:positionH>
            <wp:positionV relativeFrom="paragraph">
              <wp:posOffset>417830</wp:posOffset>
            </wp:positionV>
            <wp:extent cx="17145"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1791970</wp:posOffset>
            </wp:positionH>
            <wp:positionV relativeFrom="paragraph">
              <wp:posOffset>417830</wp:posOffset>
            </wp:positionV>
            <wp:extent cx="17145"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1826260</wp:posOffset>
            </wp:positionH>
            <wp:positionV relativeFrom="paragraph">
              <wp:posOffset>417830</wp:posOffset>
            </wp:positionV>
            <wp:extent cx="17145"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1860550</wp:posOffset>
            </wp:positionH>
            <wp:positionV relativeFrom="paragraph">
              <wp:posOffset>417830</wp:posOffset>
            </wp:positionV>
            <wp:extent cx="17145"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1894840</wp:posOffset>
            </wp:positionH>
            <wp:positionV relativeFrom="paragraph">
              <wp:posOffset>417830</wp:posOffset>
            </wp:positionV>
            <wp:extent cx="17145"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1929130</wp:posOffset>
            </wp:positionH>
            <wp:positionV relativeFrom="paragraph">
              <wp:posOffset>417830</wp:posOffset>
            </wp:positionV>
            <wp:extent cx="17145"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1963420</wp:posOffset>
            </wp:positionH>
            <wp:positionV relativeFrom="paragraph">
              <wp:posOffset>417830</wp:posOffset>
            </wp:positionV>
            <wp:extent cx="17145"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1997710</wp:posOffset>
            </wp:positionH>
            <wp:positionV relativeFrom="paragraph">
              <wp:posOffset>417830</wp:posOffset>
            </wp:positionV>
            <wp:extent cx="17145"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2032000</wp:posOffset>
            </wp:positionH>
            <wp:positionV relativeFrom="paragraph">
              <wp:posOffset>417830</wp:posOffset>
            </wp:positionV>
            <wp:extent cx="17145"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2066290</wp:posOffset>
            </wp:positionH>
            <wp:positionV relativeFrom="paragraph">
              <wp:posOffset>417830</wp:posOffset>
            </wp:positionV>
            <wp:extent cx="17145"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2100580</wp:posOffset>
            </wp:positionH>
            <wp:positionV relativeFrom="paragraph">
              <wp:posOffset>417830</wp:posOffset>
            </wp:positionV>
            <wp:extent cx="17145"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2134870</wp:posOffset>
            </wp:positionH>
            <wp:positionV relativeFrom="paragraph">
              <wp:posOffset>417830</wp:posOffset>
            </wp:positionV>
            <wp:extent cx="17145"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2169160</wp:posOffset>
            </wp:positionH>
            <wp:positionV relativeFrom="paragraph">
              <wp:posOffset>417830</wp:posOffset>
            </wp:positionV>
            <wp:extent cx="17145"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417830</wp:posOffset>
            </wp:positionV>
            <wp:extent cx="17145"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2237740</wp:posOffset>
            </wp:positionH>
            <wp:positionV relativeFrom="paragraph">
              <wp:posOffset>417830</wp:posOffset>
            </wp:positionV>
            <wp:extent cx="17145"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2272030</wp:posOffset>
            </wp:positionH>
            <wp:positionV relativeFrom="paragraph">
              <wp:posOffset>417830</wp:posOffset>
            </wp:positionV>
            <wp:extent cx="1714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2306320</wp:posOffset>
            </wp:positionH>
            <wp:positionV relativeFrom="paragraph">
              <wp:posOffset>417830</wp:posOffset>
            </wp:positionV>
            <wp:extent cx="17145"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2340610</wp:posOffset>
            </wp:positionH>
            <wp:positionV relativeFrom="paragraph">
              <wp:posOffset>417830</wp:posOffset>
            </wp:positionV>
            <wp:extent cx="17145"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2374900</wp:posOffset>
            </wp:positionH>
            <wp:positionV relativeFrom="paragraph">
              <wp:posOffset>417830</wp:posOffset>
            </wp:positionV>
            <wp:extent cx="17145"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417830</wp:posOffset>
            </wp:positionV>
            <wp:extent cx="17145"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2443480</wp:posOffset>
            </wp:positionH>
            <wp:positionV relativeFrom="paragraph">
              <wp:posOffset>417830</wp:posOffset>
            </wp:positionV>
            <wp:extent cx="17145"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2477770</wp:posOffset>
            </wp:positionH>
            <wp:positionV relativeFrom="paragraph">
              <wp:posOffset>417830</wp:posOffset>
            </wp:positionV>
            <wp:extent cx="17145"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2512060</wp:posOffset>
            </wp:positionH>
            <wp:positionV relativeFrom="paragraph">
              <wp:posOffset>417830</wp:posOffset>
            </wp:positionV>
            <wp:extent cx="17145"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2546350</wp:posOffset>
            </wp:positionH>
            <wp:positionV relativeFrom="paragraph">
              <wp:posOffset>417830</wp:posOffset>
            </wp:positionV>
            <wp:extent cx="17145"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417830</wp:posOffset>
            </wp:positionV>
            <wp:extent cx="17145"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2614930</wp:posOffset>
            </wp:positionH>
            <wp:positionV relativeFrom="paragraph">
              <wp:posOffset>417830</wp:posOffset>
            </wp:positionV>
            <wp:extent cx="17145"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2649220</wp:posOffset>
            </wp:positionH>
            <wp:positionV relativeFrom="paragraph">
              <wp:posOffset>417830</wp:posOffset>
            </wp:positionV>
            <wp:extent cx="17145"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2683510</wp:posOffset>
            </wp:positionH>
            <wp:positionV relativeFrom="paragraph">
              <wp:posOffset>417830</wp:posOffset>
            </wp:positionV>
            <wp:extent cx="17145"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2717800</wp:posOffset>
            </wp:positionH>
            <wp:positionV relativeFrom="paragraph">
              <wp:posOffset>417830</wp:posOffset>
            </wp:positionV>
            <wp:extent cx="17145"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2752090</wp:posOffset>
            </wp:positionH>
            <wp:positionV relativeFrom="paragraph">
              <wp:posOffset>417830</wp:posOffset>
            </wp:positionV>
            <wp:extent cx="17145"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2786380</wp:posOffset>
            </wp:positionH>
            <wp:positionV relativeFrom="paragraph">
              <wp:posOffset>417830</wp:posOffset>
            </wp:positionV>
            <wp:extent cx="17145"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2820670</wp:posOffset>
            </wp:positionH>
            <wp:positionV relativeFrom="paragraph">
              <wp:posOffset>417830</wp:posOffset>
            </wp:positionV>
            <wp:extent cx="17145"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2854960</wp:posOffset>
            </wp:positionH>
            <wp:positionV relativeFrom="paragraph">
              <wp:posOffset>417830</wp:posOffset>
            </wp:positionV>
            <wp:extent cx="17145"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417830</wp:posOffset>
            </wp:positionV>
            <wp:extent cx="17145"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2923540</wp:posOffset>
            </wp:positionH>
            <wp:positionV relativeFrom="paragraph">
              <wp:posOffset>417830</wp:posOffset>
            </wp:positionV>
            <wp:extent cx="17145"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2957830</wp:posOffset>
            </wp:positionH>
            <wp:positionV relativeFrom="paragraph">
              <wp:posOffset>417830</wp:posOffset>
            </wp:positionV>
            <wp:extent cx="17145"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417830</wp:posOffset>
            </wp:positionV>
            <wp:extent cx="17145"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-256540</wp:posOffset>
            </wp:positionH>
            <wp:positionV relativeFrom="paragraph">
              <wp:posOffset>417830</wp:posOffset>
            </wp:positionV>
            <wp:extent cx="17145"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417830</wp:posOffset>
            </wp:positionV>
            <wp:extent cx="17145"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417830</wp:posOffset>
            </wp:positionV>
            <wp:extent cx="17145"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-153670</wp:posOffset>
            </wp:positionH>
            <wp:positionV relativeFrom="paragraph">
              <wp:posOffset>417830</wp:posOffset>
            </wp:positionV>
            <wp:extent cx="17145"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417830</wp:posOffset>
            </wp:positionV>
            <wp:extent cx="17145"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417830</wp:posOffset>
            </wp:positionV>
            <wp:extent cx="17145"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417830</wp:posOffset>
            </wp:positionV>
            <wp:extent cx="6858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17145"/>
                    </a:xfrm>
                    <a:prstGeom prst="rect">
                      <a:avLst/>
                    </a:prstGeom>
                    <a:noFill/>
                  </pic:spPr>
                </pic:pic>
              </a:graphicData>
            </a:graphic>
          </wp:anchor>
        </w:drawing>
      </w:r>
    </w:p>
    <w:p>
      <w:pPr>
        <w:spacing w:after="0" w:line="355" w:lineRule="exact"/>
        <w:rPr>
          <w:sz w:val="20"/>
          <w:szCs w:val="20"/>
          <w:color w:val="auto"/>
        </w:rPr>
      </w:pPr>
    </w:p>
    <w:p>
      <w:pPr>
        <w:sectPr>
          <w:pgSz w:w="11900" w:h="16838" w:orient="portrait"/>
          <w:cols w:equalWidth="0" w:num="2">
            <w:col w:w="5835" w:space="720"/>
            <w:col w:w="4685"/>
          </w:cols>
          <w:pgMar w:left="320" w:top="238" w:right="339" w:bottom="1440" w:gutter="0" w:footer="0" w:header="0"/>
        </w:sectPr>
      </w:pPr>
    </w:p>
    <w:p>
      <w:pPr>
        <w:spacing w:after="0" w:line="38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PATRICK DE LA CHEVARDIÈRE is the former Chief Financial Officer of Total S.A., a French multinational integrated oil and gas company. He served as Total’s CFO and as a member of its executive committee from 2008 until his retirement in August 2019. Prior to that, he served in a variety of finance and operational roles with Total over his 37-year career, including as Deputy Chief Financial Officer from 2003 to 2008, Vice President, Asia for Refining &amp; Marketing from 2000 to 2003, and Vice President, Operations and Subsidiaries from 1995 to 2000. Since June 2020, Mr. de La Chevardière has also served as a member and chairman of the audit committee of the supervisory board of Michelin, a French multinational tire manufacturer. He also previously served on the boards of directors of two other French-based public companies, Sanofi-Aventis and Compagnie Générale de Géophysique.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Skills and Expertise</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Mr. de La Chevardière brings to the Board financial and industry experience as a former CFO of a large multinational oil and gas company. The Board benefits from his customer-focused perspective on the oilfield services industry, and from his experience across the entire oil and gas value chain, from exploration, operations, production, trading and marketing to refining and new 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16458B"/>
        </w:rPr>
        <w:t>Miguel Galuccio,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16458B"/>
        </w:rPr>
        <w:t>Non-Executive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9113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911350"/>
                    </a:xfrm>
                    <a:prstGeom prst="rect">
                      <a:avLst/>
                    </a:prstGeom>
                    <a:noFill/>
                  </pic:spPr>
                </pic:pic>
              </a:graphicData>
            </a:graphic>
          </wp:anchor>
        </w:drawing>
      </w:r>
    </w:p>
    <w:p>
      <w:pPr>
        <w:spacing w:after="0" w:line="138" w:lineRule="exact"/>
        <w:rPr>
          <w:sz w:val="20"/>
          <w:szCs w:val="20"/>
          <w:color w:val="auto"/>
        </w:rPr>
      </w:pPr>
    </w:p>
    <w:p>
      <w:pPr>
        <w:ind w:left="2860"/>
        <w:spacing w:after="0"/>
        <w:tabs>
          <w:tab w:leader="none" w:pos="6540" w:val="left"/>
        </w:tabs>
        <w:rPr>
          <w:sz w:val="20"/>
          <w:szCs w:val="20"/>
          <w:color w:val="auto"/>
        </w:rPr>
      </w:pPr>
      <w:r>
        <w:rPr>
          <w:rFonts w:ascii="Arial" w:cs="Arial" w:eastAsia="Arial" w:hAnsi="Arial"/>
          <w:sz w:val="16"/>
          <w:szCs w:val="16"/>
          <w:b w:val="1"/>
          <w:bCs w:val="1"/>
          <w:color w:val="auto"/>
        </w:rPr>
        <w:t>Chairman and Chief Executive Officer,</w:t>
      </w:r>
      <w:r>
        <w:rPr>
          <w:sz w:val="20"/>
          <w:szCs w:val="20"/>
          <w:color w:val="auto"/>
        </w:rPr>
        <w:tab/>
      </w:r>
      <w:r>
        <w:rPr>
          <w:rFonts w:ascii="Arial" w:cs="Arial" w:eastAsia="Arial" w:hAnsi="Arial"/>
          <w:sz w:val="16"/>
          <w:szCs w:val="16"/>
          <w:b w:val="1"/>
          <w:bCs w:val="1"/>
          <w:color w:val="auto"/>
        </w:rPr>
        <w:t>Nationality</w:t>
      </w:r>
    </w:p>
    <w:p>
      <w:pPr>
        <w:spacing w:after="0" w:line="21" w:lineRule="exact"/>
        <w:rPr>
          <w:sz w:val="20"/>
          <w:szCs w:val="20"/>
          <w:color w:val="auto"/>
        </w:rPr>
      </w:pPr>
    </w:p>
    <w:p>
      <w:pPr>
        <w:ind w:left="2860"/>
        <w:spacing w:after="0"/>
        <w:tabs>
          <w:tab w:leader="none" w:pos="6540" w:val="left"/>
        </w:tabs>
        <w:rPr>
          <w:sz w:val="20"/>
          <w:szCs w:val="20"/>
          <w:color w:val="auto"/>
        </w:rPr>
      </w:pPr>
      <w:r>
        <w:rPr>
          <w:rFonts w:ascii="Arial" w:cs="Arial" w:eastAsia="Arial" w:hAnsi="Arial"/>
          <w:sz w:val="16"/>
          <w:szCs w:val="16"/>
          <w:b w:val="1"/>
          <w:bCs w:val="1"/>
          <w:color w:val="auto"/>
        </w:rPr>
        <w:t>Vista</w:t>
      </w:r>
      <w:r>
        <w:rPr>
          <w:sz w:val="20"/>
          <w:szCs w:val="20"/>
          <w:color w:val="auto"/>
        </w:rPr>
        <w:tab/>
      </w:r>
      <w:r>
        <w:rPr>
          <w:rFonts w:ascii="Arial" w:cs="Arial" w:eastAsia="Arial" w:hAnsi="Arial"/>
          <w:sz w:val="16"/>
          <w:szCs w:val="16"/>
          <w:color w:val="auto"/>
        </w:rPr>
        <w:t>Argentina and United Kingdom</w:t>
      </w:r>
    </w:p>
    <w:p>
      <w:pPr>
        <w:spacing w:after="0" w:line="178" w:lineRule="exact"/>
        <w:rPr>
          <w:sz w:val="20"/>
          <w:szCs w:val="20"/>
          <w:color w:val="auto"/>
        </w:rPr>
      </w:pPr>
    </w:p>
    <w:p>
      <w:pPr>
        <w:ind w:left="2860"/>
        <w:spacing w:after="0"/>
        <w:tabs>
          <w:tab w:leader="none" w:pos="6540" w:val="left"/>
        </w:tabs>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SLB Board Committees</w:t>
      </w:r>
    </w:p>
    <w:p>
      <w:pPr>
        <w:spacing w:after="0" w:line="21" w:lineRule="exact"/>
        <w:rPr>
          <w:sz w:val="20"/>
          <w:szCs w:val="20"/>
          <w:color w:val="auto"/>
        </w:rPr>
      </w:pPr>
    </w:p>
    <w:p>
      <w:pPr>
        <w:ind w:left="2860"/>
        <w:spacing w:after="0"/>
        <w:tabs>
          <w:tab w:leader="none" w:pos="6540" w:val="left"/>
        </w:tabs>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54</w:t>
      </w:r>
      <w:r>
        <w:rPr>
          <w:sz w:val="20"/>
          <w:szCs w:val="20"/>
          <w:color w:val="auto"/>
        </w:rPr>
        <w:tab/>
      </w:r>
      <w:r>
        <w:rPr>
          <w:rFonts w:ascii="Arial" w:cs="Arial" w:eastAsia="Arial" w:hAnsi="Arial"/>
          <w:sz w:val="16"/>
          <w:szCs w:val="16"/>
          <w:color w:val="16458B"/>
        </w:rPr>
        <w:t xml:space="preserve">•  </w:t>
      </w:r>
      <w:r>
        <w:rPr>
          <w:rFonts w:ascii="Arial" w:cs="Arial" w:eastAsia="Arial" w:hAnsi="Arial"/>
          <w:sz w:val="16"/>
          <w:szCs w:val="16"/>
          <w:color w:val="000000"/>
        </w:rPr>
        <w:t>Finance, Chair</w:t>
      </w:r>
    </w:p>
    <w:p>
      <w:pPr>
        <w:spacing w:after="0" w:line="178" w:lineRule="exact"/>
        <w:rPr>
          <w:sz w:val="20"/>
          <w:szCs w:val="20"/>
          <w:color w:val="auto"/>
        </w:rPr>
      </w:pPr>
    </w:p>
    <w:p>
      <w:pPr>
        <w:ind w:left="2860"/>
        <w:spacing w:after="0"/>
        <w:tabs>
          <w:tab w:leader="none" w:pos="6540" w:val="left"/>
        </w:tabs>
        <w:rPr>
          <w:sz w:val="20"/>
          <w:szCs w:val="20"/>
          <w:color w:val="auto"/>
        </w:rPr>
      </w:pPr>
      <w:r>
        <w:rPr>
          <w:rFonts w:ascii="Arial" w:cs="Arial" w:eastAsia="Arial" w:hAnsi="Arial"/>
          <w:sz w:val="16"/>
          <w:szCs w:val="16"/>
          <w:b w:val="1"/>
          <w:bCs w:val="1"/>
          <w:color w:val="auto"/>
        </w:rPr>
        <w:t>Other Current Public Boards</w:t>
      </w:r>
      <w:r>
        <w:rPr>
          <w:sz w:val="20"/>
          <w:szCs w:val="20"/>
          <w:color w:val="auto"/>
        </w:rPr>
        <w:tab/>
      </w:r>
      <w:r>
        <w:rPr>
          <w:rFonts w:ascii="Arial" w:cs="Arial" w:eastAsia="Arial" w:hAnsi="Arial"/>
          <w:sz w:val="16"/>
          <w:szCs w:val="16"/>
          <w:b w:val="1"/>
          <w:bCs w:val="1"/>
          <w:color w:val="auto"/>
        </w:rPr>
        <w:t>Other Experience and Education</w:t>
      </w:r>
    </w:p>
    <w:p>
      <w:pPr>
        <w:spacing w:after="0" w:line="21" w:lineRule="exact"/>
        <w:rPr>
          <w:sz w:val="20"/>
          <w:szCs w:val="20"/>
          <w:color w:val="auto"/>
        </w:rPr>
      </w:pPr>
    </w:p>
    <w:p>
      <w:pPr>
        <w:ind w:left="2860"/>
        <w:spacing w:after="0"/>
        <w:tabs>
          <w:tab w:leader="none" w:pos="6540" w:val="left"/>
        </w:tabs>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Vista</w:t>
      </w:r>
      <w:r>
        <w:rPr>
          <w:sz w:val="20"/>
          <w:szCs w:val="20"/>
          <w:color w:val="auto"/>
        </w:rPr>
        <w:tab/>
      </w:r>
      <w:r>
        <w:rPr>
          <w:rFonts w:ascii="Arial" w:cs="Arial" w:eastAsia="Arial" w:hAnsi="Arial"/>
          <w:sz w:val="16"/>
          <w:szCs w:val="16"/>
          <w:color w:val="16458B"/>
        </w:rPr>
        <w:t xml:space="preserve">•  </w:t>
      </w:r>
      <w:r>
        <w:rPr>
          <w:rFonts w:ascii="Arial" w:cs="Arial" w:eastAsia="Arial" w:hAnsi="Arial"/>
          <w:sz w:val="16"/>
          <w:szCs w:val="16"/>
          <w:color w:val="000000"/>
        </w:rPr>
        <w:t>Bachelor of Science in Petroleum Engineering, Instituto</w:t>
      </w:r>
    </w:p>
    <w:p>
      <w:pPr>
        <w:spacing w:after="0" w:line="5"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Tecnológico de Buenos Aires</w:t>
      </w:r>
    </w:p>
    <w:p>
      <w:pPr>
        <w:spacing w:after="0" w:line="5" w:lineRule="exact"/>
        <w:rPr>
          <w:sz w:val="20"/>
          <w:szCs w:val="20"/>
          <w:color w:val="auto"/>
        </w:rPr>
      </w:pPr>
    </w:p>
    <w:p>
      <w:pPr>
        <w:ind w:left="2860"/>
        <w:spacing w:after="0"/>
        <w:tabs>
          <w:tab w:leader="none" w:pos="6540" w:val="left"/>
        </w:tabs>
        <w:rPr>
          <w:sz w:val="20"/>
          <w:szCs w:val="20"/>
          <w:color w:val="auto"/>
        </w:rPr>
      </w:pPr>
      <w:r>
        <w:rPr>
          <w:rFonts w:ascii="Arial" w:cs="Arial" w:eastAsia="Arial" w:hAnsi="Arial"/>
          <w:sz w:val="16"/>
          <w:szCs w:val="16"/>
          <w:b w:val="1"/>
          <w:bCs w:val="1"/>
          <w:color w:val="auto"/>
        </w:rPr>
        <w:t>Former Public Directorships</w:t>
      </w:r>
      <w:r>
        <w:rPr>
          <w:sz w:val="20"/>
          <w:szCs w:val="20"/>
          <w:color w:val="auto"/>
        </w:rPr>
        <w:tab/>
      </w:r>
      <w:r>
        <w:rPr>
          <w:rFonts w:ascii="Arial" w:cs="Arial" w:eastAsia="Arial" w:hAnsi="Arial"/>
          <w:sz w:val="16"/>
          <w:szCs w:val="16"/>
          <w:color w:val="16458B"/>
        </w:rPr>
        <w:t xml:space="preserve">•  </w:t>
      </w:r>
      <w:r>
        <w:rPr>
          <w:rFonts w:ascii="Arial" w:cs="Arial" w:eastAsia="Arial" w:hAnsi="Arial"/>
          <w:sz w:val="16"/>
          <w:szCs w:val="16"/>
          <w:color w:val="000000"/>
        </w:rPr>
        <w:t>SLB training and expertise</w:t>
      </w:r>
    </w:p>
    <w:p>
      <w:pPr>
        <w:spacing w:after="0" w:line="5" w:lineRule="exact"/>
        <w:rPr>
          <w:sz w:val="20"/>
          <w:szCs w:val="20"/>
          <w:color w:val="auto"/>
        </w:rPr>
      </w:pPr>
    </w:p>
    <w:p>
      <w:pPr>
        <w:ind w:left="2860"/>
        <w:spacing w:after="0"/>
        <w:tabs>
          <w:tab w:leader="none" w:pos="6540" w:val="left"/>
        </w:tabs>
        <w:rPr>
          <w:sz w:val="20"/>
          <w:szCs w:val="20"/>
          <w:color w:val="auto"/>
        </w:rPr>
      </w:pPr>
      <w:r>
        <w:rPr>
          <w:rFonts w:ascii="Arial" w:cs="Arial" w:eastAsia="Arial" w:hAnsi="Arial"/>
          <w:sz w:val="16"/>
          <w:szCs w:val="16"/>
          <w:b w:val="1"/>
          <w:bCs w:val="1"/>
          <w:color w:val="auto"/>
        </w:rPr>
        <w:t>Held During the Past Five Years</w:t>
      </w:r>
      <w:r>
        <w:rPr>
          <w:sz w:val="20"/>
          <w:szCs w:val="20"/>
          <w:color w:val="auto"/>
        </w:rPr>
        <w:tab/>
      </w:r>
      <w:r>
        <w:rPr>
          <w:rFonts w:ascii="Arial" w:cs="Arial" w:eastAsia="Arial" w:hAnsi="Arial"/>
          <w:sz w:val="16"/>
          <w:szCs w:val="16"/>
          <w:color w:val="16458B"/>
        </w:rPr>
        <w:t xml:space="preserve">•  </w:t>
      </w:r>
      <w:r>
        <w:rPr>
          <w:rFonts w:ascii="Arial" w:cs="Arial" w:eastAsia="Arial" w:hAnsi="Arial"/>
          <w:sz w:val="16"/>
          <w:szCs w:val="16"/>
          <w:color w:val="000000"/>
        </w:rPr>
        <w:t>Latin America energy policy expertise</w:t>
      </w:r>
    </w:p>
    <w:p>
      <w:pPr>
        <w:spacing w:after="0" w:line="5" w:lineRule="exact"/>
        <w:rPr>
          <w:sz w:val="20"/>
          <w:szCs w:val="20"/>
          <w:color w:val="auto"/>
        </w:rPr>
      </w:pPr>
    </w:p>
    <w:p>
      <w:pPr>
        <w:ind w:left="286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439420</wp:posOffset>
            </wp:positionV>
            <wp:extent cx="17145"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439420</wp:posOffset>
            </wp:positionV>
            <wp:extent cx="17145"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439420</wp:posOffset>
            </wp:positionV>
            <wp:extent cx="17145"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439420</wp:posOffset>
            </wp:positionV>
            <wp:extent cx="17145"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439420</wp:posOffset>
            </wp:positionV>
            <wp:extent cx="17145"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439420</wp:posOffset>
            </wp:positionV>
            <wp:extent cx="17145"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439420</wp:posOffset>
            </wp:positionV>
            <wp:extent cx="17145"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439420</wp:posOffset>
            </wp:positionV>
            <wp:extent cx="17145"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439420</wp:posOffset>
            </wp:positionV>
            <wp:extent cx="17145"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439420</wp:posOffset>
            </wp:positionV>
            <wp:extent cx="17145"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439420</wp:posOffset>
            </wp:positionV>
            <wp:extent cx="17145"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439420</wp:posOffset>
            </wp:positionV>
            <wp:extent cx="17145"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439420</wp:posOffset>
            </wp:positionV>
            <wp:extent cx="17145"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439420</wp:posOffset>
            </wp:positionV>
            <wp:extent cx="17145"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439420</wp:posOffset>
            </wp:positionV>
            <wp:extent cx="17145"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439420</wp:posOffset>
            </wp:positionV>
            <wp:extent cx="17145"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439420</wp:posOffset>
            </wp:positionV>
            <wp:extent cx="17145"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439420</wp:posOffset>
            </wp:positionV>
            <wp:extent cx="17145"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439420</wp:posOffset>
            </wp:positionV>
            <wp:extent cx="17145"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439420</wp:posOffset>
            </wp:positionV>
            <wp:extent cx="17145"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439420</wp:posOffset>
            </wp:positionV>
            <wp:extent cx="17145"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439420</wp:posOffset>
            </wp:positionV>
            <wp:extent cx="17145"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439420</wp:posOffset>
            </wp:positionV>
            <wp:extent cx="17145"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439420</wp:posOffset>
            </wp:positionV>
            <wp:extent cx="17145"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439420</wp:posOffset>
            </wp:positionV>
            <wp:extent cx="17145"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439420</wp:posOffset>
            </wp:positionV>
            <wp:extent cx="17145"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439420</wp:posOffset>
            </wp:positionV>
            <wp:extent cx="17145"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439420</wp:posOffset>
            </wp:positionV>
            <wp:extent cx="17145"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439420</wp:posOffset>
            </wp:positionV>
            <wp:extent cx="17145"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439420</wp:posOffset>
            </wp:positionV>
            <wp:extent cx="17145"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439420</wp:posOffset>
            </wp:positionV>
            <wp:extent cx="17145"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439420</wp:posOffset>
            </wp:positionV>
            <wp:extent cx="17145"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439420</wp:posOffset>
            </wp:positionV>
            <wp:extent cx="17145"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439420</wp:posOffset>
            </wp:positionV>
            <wp:extent cx="17145"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439420</wp:posOffset>
            </wp:positionV>
            <wp:extent cx="17145"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439420</wp:posOffset>
            </wp:positionV>
            <wp:extent cx="17145"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439420</wp:posOffset>
            </wp:positionV>
            <wp:extent cx="17145"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439420</wp:posOffset>
            </wp:positionV>
            <wp:extent cx="17145"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439420</wp:posOffset>
            </wp:positionV>
            <wp:extent cx="17145"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439420</wp:posOffset>
            </wp:positionV>
            <wp:extent cx="17145"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439420</wp:posOffset>
            </wp:positionV>
            <wp:extent cx="17145"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439420</wp:posOffset>
            </wp:positionV>
            <wp:extent cx="17145"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439420</wp:posOffset>
            </wp:positionV>
            <wp:extent cx="17145"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439420</wp:posOffset>
            </wp:positionV>
            <wp:extent cx="17145"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439420</wp:posOffset>
            </wp:positionV>
            <wp:extent cx="17145"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439420</wp:posOffset>
            </wp:positionV>
            <wp:extent cx="17145"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439420</wp:posOffset>
            </wp:positionV>
            <wp:extent cx="17145"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439420</wp:posOffset>
            </wp:positionV>
            <wp:extent cx="17145"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439420</wp:posOffset>
            </wp:positionV>
            <wp:extent cx="17145"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439420</wp:posOffset>
            </wp:positionV>
            <wp:extent cx="17145"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439420</wp:posOffset>
            </wp:positionV>
            <wp:extent cx="17145"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439420</wp:posOffset>
            </wp:positionV>
            <wp:extent cx="17145"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439420</wp:posOffset>
            </wp:positionV>
            <wp:extent cx="17145"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439420</wp:posOffset>
            </wp:positionV>
            <wp:extent cx="17145"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439420</wp:posOffset>
            </wp:positionV>
            <wp:extent cx="17145"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439420</wp:posOffset>
            </wp:positionV>
            <wp:extent cx="17145"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439420</wp:posOffset>
            </wp:positionV>
            <wp:extent cx="17145"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439420</wp:posOffset>
            </wp:positionV>
            <wp:extent cx="17145"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439420</wp:posOffset>
            </wp:positionV>
            <wp:extent cx="17145"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439420</wp:posOffset>
            </wp:positionV>
            <wp:extent cx="17145"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439420</wp:posOffset>
            </wp:positionV>
            <wp:extent cx="17145"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439420</wp:posOffset>
            </wp:positionV>
            <wp:extent cx="17145"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439420</wp:posOffset>
            </wp:positionV>
            <wp:extent cx="17145"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439420</wp:posOffset>
            </wp:positionV>
            <wp:extent cx="17145"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439420</wp:posOffset>
            </wp:positionV>
            <wp:extent cx="17145"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439420</wp:posOffset>
            </wp:positionV>
            <wp:extent cx="17145"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439420</wp:posOffset>
            </wp:positionV>
            <wp:extent cx="17145"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439420</wp:posOffset>
            </wp:positionV>
            <wp:extent cx="17145"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439420</wp:posOffset>
            </wp:positionV>
            <wp:extent cx="17145"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439420</wp:posOffset>
            </wp:positionV>
            <wp:extent cx="17145"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439420</wp:posOffset>
            </wp:positionV>
            <wp:extent cx="17145"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439420</wp:posOffset>
            </wp:positionV>
            <wp:extent cx="17145"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439420</wp:posOffset>
            </wp:positionV>
            <wp:extent cx="17145"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439420</wp:posOffset>
            </wp:positionV>
            <wp:extent cx="17145"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439420</wp:posOffset>
            </wp:positionV>
            <wp:extent cx="17145"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439420</wp:posOffset>
            </wp:positionV>
            <wp:extent cx="17145"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439420</wp:posOffset>
            </wp:positionV>
            <wp:extent cx="17145"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439420</wp:posOffset>
            </wp:positionV>
            <wp:extent cx="17145"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439420</wp:posOffset>
            </wp:positionV>
            <wp:extent cx="17145"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439420</wp:posOffset>
            </wp:positionV>
            <wp:extent cx="17145"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439420</wp:posOffset>
            </wp:positionV>
            <wp:extent cx="17145"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439420</wp:posOffset>
            </wp:positionV>
            <wp:extent cx="17145"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439420</wp:posOffset>
            </wp:positionV>
            <wp:extent cx="17145"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439420</wp:posOffset>
            </wp:positionV>
            <wp:extent cx="17145"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439420</wp:posOffset>
            </wp:positionV>
            <wp:extent cx="17145"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439420</wp:posOffset>
            </wp:positionV>
            <wp:extent cx="17145"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439420</wp:posOffset>
            </wp:positionV>
            <wp:extent cx="417449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1744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MIGUEL GALUCCIO founded and is the Chairman and Chief Executive Officer of Vista, the first listed independent energy company to operate and produce in the Vaca Muerta formation in Argentina, having held that position since 2017. In 2016, he co-founded GRIDX, a science-based company builder that creates and invests in biotech startups in Latin America, where he currently acts as chairman. Prior to that, from 2012 to 2016, he served as Chairman and Chief Executive Officer of YPF, Argentina’s largest energy company. From 1999 to 2012, he was an employee of SLB and held several international positions, his last being President, SLB Production Management. Prior to his employment at SLB, he served in various executive positions at YPF and its subsidiaries from 1994 to 1999, including YPF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Skills and Expertise</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Mr. Galuccio brings to the Board leadership and operational expertise from his experience as former chairman and chief executive officer of Argentina’s largest energy company, which under his leadership became the world’s largest producer of shale oil outside of North America. He has valuable insight into the domestic and international energy policies of Argentina, Mexico, Venezuela and Ecuador, as well as extensive experience negotiating with SLB customers in Latin America, Russia and China. He also remains active in the oil and gas exploration and production industry as a chief executive officer of an oil and gas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268605</wp:posOffset>
            </wp:positionV>
            <wp:extent cx="471805" cy="28257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Pr>
          <w:p>
            <w:pPr>
              <w:spacing w:after="0"/>
              <w:rPr>
                <w:sz w:val="9"/>
                <w:szCs w:val="9"/>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13</w:t>
            </w:r>
          </w:p>
        </w:tc>
        <w:tc>
          <w:tcPr>
            <w:tcW w:w="44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16458B"/>
        </w:rPr>
        <w:t>Olivier Le Peuch,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16458B"/>
        </w:rPr>
        <w:t>SLB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190309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32320" cy="190309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169"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auto"/>
        </w:rPr>
        <w:t>Chief Executive Officer,</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auto"/>
        </w:rPr>
        <w:t>SLB</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Nationality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178" w:lineRule="exact"/>
        <w:rPr>
          <w:sz w:val="20"/>
          <w:szCs w:val="20"/>
          <w:color w:val="auto"/>
        </w:rPr>
      </w:pPr>
    </w:p>
    <w:p>
      <w:pPr>
        <w:sectPr>
          <w:pgSz w:w="11900" w:h="16838" w:orient="portrait"/>
          <w:cols w:equalWidth="0" w:num="2">
            <w:col w:w="5840" w:space="720"/>
            <w:col w:w="4680"/>
          </w:cols>
          <w:pgMar w:left="320" w:top="238" w:right="339" w:bottom="1440" w:gutter="0" w:footer="0" w:header="0"/>
          <w:type w:val="continuous"/>
        </w:sectPr>
      </w:pPr>
    </w:p>
    <w:p>
      <w:pPr>
        <w:ind w:left="286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2019</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SLB Board Committees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None</w:t>
      </w:r>
    </w:p>
    <w:p>
      <w:pPr>
        <w:spacing w:after="0" w:line="178" w:lineRule="exact"/>
        <w:rPr>
          <w:sz w:val="20"/>
          <w:szCs w:val="20"/>
          <w:color w:val="auto"/>
        </w:rPr>
      </w:pPr>
    </w:p>
    <w:p>
      <w:pPr>
        <w:sectPr>
          <w:pgSz w:w="11900" w:h="16838" w:orient="portrait"/>
          <w:cols w:equalWidth="0" w:num="2">
            <w:col w:w="5840" w:space="720"/>
            <w:col w:w="4680"/>
          </w:cols>
          <w:pgMar w:left="320" w:top="238" w:right="339" w:bottom="1440" w:gutter="0" w:footer="0" w:header="0"/>
          <w:type w:val="continuous"/>
        </w:sectPr>
      </w:pPr>
    </w:p>
    <w:p>
      <w:pPr>
        <w:ind w:left="2860"/>
        <w:spacing w:after="0"/>
        <w:rPr>
          <w:sz w:val="20"/>
          <w:szCs w:val="20"/>
          <w:color w:val="auto"/>
        </w:rPr>
      </w:pPr>
      <w:r>
        <w:rPr>
          <w:rFonts w:ascii="Arial" w:cs="Arial" w:eastAsia="Arial" w:hAnsi="Arial"/>
          <w:sz w:val="16"/>
          <w:szCs w:val="16"/>
          <w:b w:val="1"/>
          <w:bCs w:val="1"/>
          <w:color w:val="auto"/>
        </w:rPr>
        <w:t>Other Current Public Boards</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None</w:t>
      </w:r>
    </w:p>
    <w:p>
      <w:pPr>
        <w:spacing w:after="0" w:line="178"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auto"/>
        </w:rPr>
        <w:t>Former Public Directorships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Other Experience and Education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Master’s Degree in Microelectronics, Bordeaux University of</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Science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SLB training and expertise</w:t>
      </w:r>
    </w:p>
    <w:p>
      <w:pPr>
        <w:spacing w:after="0" w:line="10" w:lineRule="exact"/>
        <w:rPr>
          <w:sz w:val="20"/>
          <w:szCs w:val="20"/>
          <w:color w:val="auto"/>
        </w:rPr>
      </w:pPr>
    </w:p>
    <w:p>
      <w:pPr>
        <w:sectPr>
          <w:pgSz w:w="11900" w:h="16838" w:orient="portrait"/>
          <w:cols w:equalWidth="0" w:num="2">
            <w:col w:w="5840" w:space="720"/>
            <w:col w:w="4680"/>
          </w:cols>
          <w:pgMar w:left="320" w:top="238" w:right="339" w:bottom="1440" w:gutter="0" w:footer="0" w:header="0"/>
          <w:type w:val="continuous"/>
        </w:sectPr>
      </w:pPr>
    </w:p>
    <w:p>
      <w:pPr>
        <w:ind w:left="2860"/>
        <w:spacing w:after="0"/>
        <w:rPr>
          <w:sz w:val="20"/>
          <w:szCs w:val="20"/>
          <w:color w:val="auto"/>
        </w:rPr>
      </w:pPr>
      <w:r>
        <w:rPr>
          <w:rFonts w:ascii="Arial" w:cs="Arial" w:eastAsia="Arial" w:hAnsi="Arial"/>
          <w:sz w:val="16"/>
          <w:szCs w:val="16"/>
          <w:b w:val="1"/>
          <w:bCs w:val="1"/>
          <w:color w:val="auto"/>
        </w:rPr>
        <w:t>Held During the Past Five Years</w:t>
      </w:r>
    </w:p>
    <w:p>
      <w:pPr>
        <w:ind w:left="286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430530</wp:posOffset>
            </wp:positionV>
            <wp:extent cx="17145"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430530</wp:posOffset>
            </wp:positionV>
            <wp:extent cx="17145"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430530</wp:posOffset>
            </wp:positionV>
            <wp:extent cx="17145"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430530</wp:posOffset>
            </wp:positionV>
            <wp:extent cx="17145"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430530</wp:posOffset>
            </wp:positionV>
            <wp:extent cx="17145"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430530</wp:posOffset>
            </wp:positionV>
            <wp:extent cx="17145"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430530</wp:posOffset>
            </wp:positionV>
            <wp:extent cx="17145"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430530</wp:posOffset>
            </wp:positionV>
            <wp:extent cx="17145"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430530</wp:posOffset>
            </wp:positionV>
            <wp:extent cx="17145"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430530</wp:posOffset>
            </wp:positionV>
            <wp:extent cx="17145"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430530</wp:posOffset>
            </wp:positionV>
            <wp:extent cx="17145"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430530</wp:posOffset>
            </wp:positionV>
            <wp:extent cx="17145"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430530</wp:posOffset>
            </wp:positionV>
            <wp:extent cx="17145"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430530</wp:posOffset>
            </wp:positionV>
            <wp:extent cx="17145"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430530</wp:posOffset>
            </wp:positionV>
            <wp:extent cx="17145"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430530</wp:posOffset>
            </wp:positionV>
            <wp:extent cx="17145"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430530</wp:posOffset>
            </wp:positionV>
            <wp:extent cx="17145"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430530</wp:posOffset>
            </wp:positionV>
            <wp:extent cx="17145"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430530</wp:posOffset>
            </wp:positionV>
            <wp:extent cx="17145"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430530</wp:posOffset>
            </wp:positionV>
            <wp:extent cx="17145"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430530</wp:posOffset>
            </wp:positionV>
            <wp:extent cx="17145"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430530</wp:posOffset>
            </wp:positionV>
            <wp:extent cx="17145"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430530</wp:posOffset>
            </wp:positionV>
            <wp:extent cx="17145"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430530</wp:posOffset>
            </wp:positionV>
            <wp:extent cx="17145"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430530</wp:posOffset>
            </wp:positionV>
            <wp:extent cx="17145"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430530</wp:posOffset>
            </wp:positionV>
            <wp:extent cx="17145"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430530</wp:posOffset>
            </wp:positionV>
            <wp:extent cx="17145"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430530</wp:posOffset>
            </wp:positionV>
            <wp:extent cx="17145"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430530</wp:posOffset>
            </wp:positionV>
            <wp:extent cx="17145"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430530</wp:posOffset>
            </wp:positionV>
            <wp:extent cx="17145"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430530</wp:posOffset>
            </wp:positionV>
            <wp:extent cx="17145"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430530</wp:posOffset>
            </wp:positionV>
            <wp:extent cx="17145"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430530</wp:posOffset>
            </wp:positionV>
            <wp:extent cx="17145"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430530</wp:posOffset>
            </wp:positionV>
            <wp:extent cx="17145"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430530</wp:posOffset>
            </wp:positionV>
            <wp:extent cx="17145"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430530</wp:posOffset>
            </wp:positionV>
            <wp:extent cx="17145"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430530</wp:posOffset>
            </wp:positionV>
            <wp:extent cx="17145"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430530</wp:posOffset>
            </wp:positionV>
            <wp:extent cx="17145"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430530</wp:posOffset>
            </wp:positionV>
            <wp:extent cx="17145"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430530</wp:posOffset>
            </wp:positionV>
            <wp:extent cx="17145"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430530</wp:posOffset>
            </wp:positionV>
            <wp:extent cx="17145"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430530</wp:posOffset>
            </wp:positionV>
            <wp:extent cx="17145"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430530</wp:posOffset>
            </wp:positionV>
            <wp:extent cx="17145"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430530</wp:posOffset>
            </wp:positionV>
            <wp:extent cx="17145"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430530</wp:posOffset>
            </wp:positionV>
            <wp:extent cx="17145"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430530</wp:posOffset>
            </wp:positionV>
            <wp:extent cx="17145" cy="171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430530</wp:posOffset>
            </wp:positionV>
            <wp:extent cx="17145"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430530</wp:posOffset>
            </wp:positionV>
            <wp:extent cx="17145"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430530</wp:posOffset>
            </wp:positionV>
            <wp:extent cx="17145"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430530</wp:posOffset>
            </wp:positionV>
            <wp:extent cx="17145"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430530</wp:posOffset>
            </wp:positionV>
            <wp:extent cx="17145"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430530</wp:posOffset>
            </wp:positionV>
            <wp:extent cx="17145" cy="171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430530</wp:posOffset>
            </wp:positionV>
            <wp:extent cx="17145"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430530</wp:posOffset>
            </wp:positionV>
            <wp:extent cx="17145"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430530</wp:posOffset>
            </wp:positionV>
            <wp:extent cx="17145"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430530</wp:posOffset>
            </wp:positionV>
            <wp:extent cx="17145"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430530</wp:posOffset>
            </wp:positionV>
            <wp:extent cx="17145" cy="171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430530</wp:posOffset>
            </wp:positionV>
            <wp:extent cx="17145"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430530</wp:posOffset>
            </wp:positionV>
            <wp:extent cx="17145"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430530</wp:posOffset>
            </wp:positionV>
            <wp:extent cx="17145" cy="171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430530</wp:posOffset>
            </wp:positionV>
            <wp:extent cx="17145"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430530</wp:posOffset>
            </wp:positionV>
            <wp:extent cx="17145" cy="171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430530</wp:posOffset>
            </wp:positionV>
            <wp:extent cx="17145"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430530</wp:posOffset>
            </wp:positionV>
            <wp:extent cx="17145" cy="171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430530</wp:posOffset>
            </wp:positionV>
            <wp:extent cx="17145" cy="171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430530</wp:posOffset>
            </wp:positionV>
            <wp:extent cx="17145"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430530</wp:posOffset>
            </wp:positionV>
            <wp:extent cx="17145" cy="171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430530</wp:posOffset>
            </wp:positionV>
            <wp:extent cx="17145" cy="171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430530</wp:posOffset>
            </wp:positionV>
            <wp:extent cx="17145" cy="171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430530</wp:posOffset>
            </wp:positionV>
            <wp:extent cx="17145"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430530</wp:posOffset>
            </wp:positionV>
            <wp:extent cx="17145" cy="171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430530</wp:posOffset>
            </wp:positionV>
            <wp:extent cx="17145" cy="171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430530</wp:posOffset>
            </wp:positionV>
            <wp:extent cx="17145" cy="171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430530</wp:posOffset>
            </wp:positionV>
            <wp:extent cx="17145" cy="171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430530</wp:posOffset>
            </wp:positionV>
            <wp:extent cx="17145" cy="171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430530</wp:posOffset>
            </wp:positionV>
            <wp:extent cx="17145" cy="171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430530</wp:posOffset>
            </wp:positionV>
            <wp:extent cx="17145" cy="171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430530</wp:posOffset>
            </wp:positionV>
            <wp:extent cx="17145" cy="171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430530</wp:posOffset>
            </wp:positionV>
            <wp:extent cx="17145" cy="171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430530</wp:posOffset>
            </wp:positionV>
            <wp:extent cx="17145" cy="171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430530</wp:posOffset>
            </wp:positionV>
            <wp:extent cx="17145" cy="17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430530</wp:posOffset>
            </wp:positionV>
            <wp:extent cx="17145" cy="171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430530</wp:posOffset>
            </wp:positionV>
            <wp:extent cx="17145" cy="171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430530</wp:posOffset>
            </wp:positionV>
            <wp:extent cx="17145" cy="171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430530</wp:posOffset>
            </wp:positionV>
            <wp:extent cx="17145" cy="171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430530</wp:posOffset>
            </wp:positionV>
            <wp:extent cx="17145" cy="171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4174490" cy="171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174490" cy="171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OLIVIER LE PEUCH has been SLB’s Chief Executive Officer and a member of the Board since August 2019. He was SLB’s Chief Operating Officer from February 2019 to July 2019. Prior to that, he served in a variety of global management positions, including Executive Vice President, Reservoir and Infrastructure from May 2018 to February 2019, President of the Cameron Group from 2017 to May 2018, President of SLB Completions from 2014 to 2017, and Vice President of Engineering, Manufacturing and Sustaining from 2010 to 2014. Earlier in his career, Mr. Le Peuch was GeoMarket Manager for the North Sea and President of Software Integrated Solutions. He has been with SLB since 1987 and began his career as an electrical engineer.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Skills and Expertise</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Mr. Le Peuch brings to the Board a unique operational perspective and thorough knowledge of SLB’s operational activities worldwide as a result of his service in various global leadership positions at SLB. The Board believes that Mr. Le Peuch’s service as our CEO is an important link between management and the Board, enabling the Board to perform its oversight function with the benefit of his perspectives on SLB’s business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16458B"/>
        </w:rPr>
        <w:t>Samuel Leupold,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16458B"/>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92024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32320" cy="1920240"/>
                    </a:xfrm>
                    <a:prstGeom prst="rect">
                      <a:avLst/>
                    </a:prstGeom>
                    <a:noFill/>
                  </pic:spPr>
                </pic:pic>
              </a:graphicData>
            </a:graphic>
          </wp:anchor>
        </w:drawing>
      </w:r>
    </w:p>
    <w:p>
      <w:pPr>
        <w:spacing w:after="0" w:line="138" w:lineRule="exact"/>
        <w:rPr>
          <w:sz w:val="20"/>
          <w:szCs w:val="20"/>
          <w:color w:val="auto"/>
        </w:rPr>
      </w:pPr>
    </w:p>
    <w:tbl>
      <w:tblPr>
        <w:tblLayout w:type="fixed"/>
        <w:tblInd w:w="2860" w:type="dxa"/>
        <w:tblCellMar>
          <w:top w:w="0" w:type="dxa"/>
          <w:left w:w="0" w:type="dxa"/>
          <w:bottom w:w="0" w:type="dxa"/>
          <w:right w:w="0" w:type="dxa"/>
        </w:tblCellMar>
      </w:tblPr>
      <w:tr>
        <w:trPr>
          <w:trHeight w:val="189"/>
        </w:trPr>
        <w:tc>
          <w:tcPr>
            <w:tcW w:w="3060" w:type="dxa"/>
            <w:vAlign w:val="bottom"/>
          </w:tcPr>
          <w:p>
            <w:pPr>
              <w:spacing w:after="0"/>
              <w:rPr>
                <w:sz w:val="20"/>
                <w:szCs w:val="20"/>
                <w:color w:val="auto"/>
              </w:rPr>
            </w:pPr>
            <w:r>
              <w:rPr>
                <w:rFonts w:ascii="Arial" w:cs="Arial" w:eastAsia="Arial" w:hAnsi="Arial"/>
                <w:sz w:val="16"/>
                <w:szCs w:val="16"/>
                <w:b w:val="1"/>
                <w:bCs w:val="1"/>
                <w:color w:val="auto"/>
              </w:rPr>
              <w:t>Former Chief Executive Officer,</w:t>
            </w:r>
          </w:p>
        </w:tc>
        <w:tc>
          <w:tcPr>
            <w:tcW w:w="5080" w:type="dxa"/>
            <w:vAlign w:val="bottom"/>
            <w:gridSpan w:val="2"/>
          </w:tcPr>
          <w:p>
            <w:pPr>
              <w:ind w:left="640"/>
              <w:spacing w:after="0"/>
              <w:rPr>
                <w:sz w:val="20"/>
                <w:szCs w:val="20"/>
                <w:color w:val="auto"/>
              </w:rPr>
            </w:pPr>
            <w:r>
              <w:rPr>
                <w:rFonts w:ascii="Arial" w:cs="Arial" w:eastAsia="Arial" w:hAnsi="Arial"/>
                <w:sz w:val="16"/>
                <w:szCs w:val="16"/>
                <w:b w:val="1"/>
                <w:bCs w:val="1"/>
                <w:color w:val="auto"/>
              </w:rPr>
              <w:t>Nationality</w:t>
            </w:r>
          </w:p>
        </w:tc>
        <w:tc>
          <w:tcPr>
            <w:tcW w:w="0" w:type="dxa"/>
            <w:vAlign w:val="bottom"/>
          </w:tcPr>
          <w:p>
            <w:pPr>
              <w:spacing w:after="0"/>
              <w:rPr>
                <w:sz w:val="1"/>
                <w:szCs w:val="1"/>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6"/>
                <w:szCs w:val="16"/>
                <w:b w:val="1"/>
                <w:bCs w:val="1"/>
                <w:color w:val="auto"/>
              </w:rPr>
              <w:t>Ørsted Wind Power A/S</w:t>
            </w:r>
          </w:p>
        </w:tc>
        <w:tc>
          <w:tcPr>
            <w:tcW w:w="5080" w:type="dxa"/>
            <w:vAlign w:val="bottom"/>
            <w:gridSpan w:val="2"/>
          </w:tcPr>
          <w:p>
            <w:pPr>
              <w:ind w:left="640"/>
              <w:spacing w:after="0"/>
              <w:rPr>
                <w:sz w:val="20"/>
                <w:szCs w:val="20"/>
                <w:color w:val="auto"/>
              </w:rPr>
            </w:pPr>
            <w:r>
              <w:rPr>
                <w:rFonts w:ascii="Arial" w:cs="Arial" w:eastAsia="Arial" w:hAnsi="Arial"/>
                <w:sz w:val="16"/>
                <w:szCs w:val="16"/>
                <w:color w:val="auto"/>
              </w:rPr>
              <w:t>Switzerland</w:t>
            </w:r>
          </w:p>
        </w:tc>
        <w:tc>
          <w:tcPr>
            <w:tcW w:w="0" w:type="dxa"/>
            <w:vAlign w:val="bottom"/>
          </w:tcPr>
          <w:p>
            <w:pPr>
              <w:spacing w:after="0"/>
              <w:rPr>
                <w:sz w:val="1"/>
                <w:szCs w:val="1"/>
                <w:color w:val="auto"/>
              </w:rPr>
            </w:pPr>
          </w:p>
        </w:tc>
      </w:tr>
      <w:tr>
        <w:trPr>
          <w:trHeight w:val="344"/>
        </w:trPr>
        <w:tc>
          <w:tcPr>
            <w:tcW w:w="3060" w:type="dxa"/>
            <w:vAlign w:val="bottom"/>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2021</w:t>
            </w:r>
          </w:p>
        </w:tc>
        <w:tc>
          <w:tcPr>
            <w:tcW w:w="5080" w:type="dxa"/>
            <w:vAlign w:val="bottom"/>
            <w:gridSpan w:val="2"/>
          </w:tcPr>
          <w:p>
            <w:pPr>
              <w:ind w:left="640"/>
              <w:spacing w:after="0"/>
              <w:rPr>
                <w:sz w:val="20"/>
                <w:szCs w:val="20"/>
                <w:color w:val="auto"/>
              </w:rPr>
            </w:pPr>
            <w:r>
              <w:rPr>
                <w:rFonts w:ascii="Arial" w:cs="Arial" w:eastAsia="Arial" w:hAnsi="Arial"/>
                <w:sz w:val="16"/>
                <w:szCs w:val="16"/>
                <w:b w:val="1"/>
                <w:bCs w:val="1"/>
                <w:color w:val="auto"/>
              </w:rPr>
              <w:t>SLB Board Committees</w:t>
            </w:r>
          </w:p>
        </w:tc>
        <w:tc>
          <w:tcPr>
            <w:tcW w:w="0" w:type="dxa"/>
            <w:vAlign w:val="bottom"/>
          </w:tcPr>
          <w:p>
            <w:pPr>
              <w:spacing w:after="0"/>
              <w:rPr>
                <w:sz w:val="1"/>
                <w:szCs w:val="1"/>
                <w:color w:val="auto"/>
              </w:rPr>
            </w:pPr>
          </w:p>
        </w:tc>
      </w:tr>
      <w:tr>
        <w:trPr>
          <w:trHeight w:val="189"/>
        </w:trPr>
        <w:tc>
          <w:tcPr>
            <w:tcW w:w="3060" w:type="dxa"/>
            <w:vAlign w:val="bottom"/>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52</w:t>
            </w:r>
          </w:p>
        </w:tc>
        <w:tc>
          <w:tcPr>
            <w:tcW w:w="740" w:type="dxa"/>
            <w:vAlign w:val="bottom"/>
          </w:tcPr>
          <w:p>
            <w:pPr>
              <w:ind w:left="640"/>
              <w:spacing w:after="0"/>
              <w:rPr>
                <w:sz w:val="20"/>
                <w:szCs w:val="20"/>
                <w:color w:val="auto"/>
              </w:rPr>
            </w:pPr>
            <w:r>
              <w:rPr>
                <w:rFonts w:ascii="Arial" w:cs="Arial" w:eastAsia="Arial" w:hAnsi="Arial"/>
                <w:sz w:val="16"/>
                <w:szCs w:val="16"/>
                <w:color w:val="16458B"/>
              </w:rPr>
              <w:t>•</w:t>
            </w:r>
          </w:p>
        </w:tc>
        <w:tc>
          <w:tcPr>
            <w:tcW w:w="4340" w:type="dxa"/>
            <w:vAlign w:val="bottom"/>
          </w:tcPr>
          <w:p>
            <w:pPr>
              <w:ind w:left="80"/>
              <w:spacing w:after="0"/>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189"/>
        </w:trPr>
        <w:tc>
          <w:tcPr>
            <w:tcW w:w="3060" w:type="dxa"/>
            <w:vAlign w:val="bottom"/>
          </w:tcPr>
          <w:p>
            <w:pPr>
              <w:spacing w:after="0"/>
              <w:rPr>
                <w:sz w:val="16"/>
                <w:szCs w:val="16"/>
                <w:color w:val="auto"/>
              </w:rPr>
            </w:pPr>
          </w:p>
        </w:tc>
        <w:tc>
          <w:tcPr>
            <w:tcW w:w="740" w:type="dxa"/>
            <w:vAlign w:val="bottom"/>
          </w:tcPr>
          <w:p>
            <w:pPr>
              <w:ind w:left="640"/>
              <w:spacing w:after="0"/>
              <w:rPr>
                <w:sz w:val="20"/>
                <w:szCs w:val="20"/>
                <w:color w:val="auto"/>
              </w:rPr>
            </w:pPr>
            <w:r>
              <w:rPr>
                <w:rFonts w:ascii="Arial" w:cs="Arial" w:eastAsia="Arial" w:hAnsi="Arial"/>
                <w:sz w:val="16"/>
                <w:szCs w:val="16"/>
                <w:color w:val="16458B"/>
              </w:rPr>
              <w:t>•</w:t>
            </w:r>
          </w:p>
        </w:tc>
        <w:tc>
          <w:tcPr>
            <w:tcW w:w="4340" w:type="dxa"/>
            <w:vAlign w:val="bottom"/>
          </w:tcPr>
          <w:p>
            <w:pPr>
              <w:ind w:left="80"/>
              <w:spacing w:after="0"/>
              <w:rPr>
                <w:sz w:val="20"/>
                <w:szCs w:val="20"/>
                <w:color w:val="auto"/>
              </w:rPr>
            </w:pPr>
            <w:r>
              <w:rPr>
                <w:rFonts w:ascii="Arial" w:cs="Arial" w:eastAsia="Arial" w:hAnsi="Arial"/>
                <w:sz w:val="16"/>
                <w:szCs w:val="16"/>
                <w:color w:val="auto"/>
              </w:rPr>
              <w:t>Finance</w:t>
            </w:r>
          </w:p>
        </w:tc>
        <w:tc>
          <w:tcPr>
            <w:tcW w:w="0" w:type="dxa"/>
            <w:vAlign w:val="bottom"/>
          </w:tcPr>
          <w:p>
            <w:pPr>
              <w:spacing w:after="0"/>
              <w:rPr>
                <w:sz w:val="1"/>
                <w:szCs w:val="1"/>
                <w:color w:val="auto"/>
              </w:rPr>
            </w:pPr>
          </w:p>
        </w:tc>
      </w:tr>
      <w:tr>
        <w:trPr>
          <w:trHeight w:val="189"/>
        </w:trPr>
        <w:tc>
          <w:tcPr>
            <w:tcW w:w="3060" w:type="dxa"/>
            <w:vAlign w:val="bottom"/>
          </w:tcPr>
          <w:p>
            <w:pPr>
              <w:spacing w:after="0"/>
              <w:rPr>
                <w:sz w:val="20"/>
                <w:szCs w:val="20"/>
                <w:color w:val="auto"/>
              </w:rPr>
            </w:pPr>
            <w:r>
              <w:rPr>
                <w:rFonts w:ascii="Arial" w:cs="Arial" w:eastAsia="Arial" w:hAnsi="Arial"/>
                <w:sz w:val="16"/>
                <w:szCs w:val="16"/>
                <w:b w:val="1"/>
                <w:bCs w:val="1"/>
                <w:color w:val="auto"/>
              </w:rPr>
              <w:t>Other Current Public Boards</w:t>
            </w:r>
          </w:p>
        </w:tc>
        <w:tc>
          <w:tcPr>
            <w:tcW w:w="5080" w:type="dxa"/>
            <w:vAlign w:val="bottom"/>
            <w:gridSpan w:val="2"/>
          </w:tcPr>
          <w:p>
            <w:pPr>
              <w:ind w:left="64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New Energy and Innovation</w:t>
            </w:r>
          </w:p>
        </w:tc>
        <w:tc>
          <w:tcPr>
            <w:tcW w:w="0" w:type="dxa"/>
            <w:vAlign w:val="bottom"/>
          </w:tcPr>
          <w:p>
            <w:pPr>
              <w:spacing w:after="0"/>
              <w:rPr>
                <w:sz w:val="1"/>
                <w:szCs w:val="1"/>
                <w:color w:val="auto"/>
              </w:rPr>
            </w:pPr>
          </w:p>
        </w:tc>
      </w:tr>
      <w:tr>
        <w:trPr>
          <w:trHeight w:val="215"/>
        </w:trPr>
        <w:tc>
          <w:tcPr>
            <w:tcW w:w="3060" w:type="dxa"/>
            <w:vAlign w:val="bottom"/>
          </w:tcPr>
          <w:p>
            <w:pPr>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Enel SpA</w:t>
            </w:r>
          </w:p>
        </w:tc>
        <w:tc>
          <w:tcPr>
            <w:tcW w:w="5080" w:type="dxa"/>
            <w:vAlign w:val="bottom"/>
            <w:gridSpan w:val="2"/>
            <w:vMerge w:val="restart"/>
          </w:tcPr>
          <w:p>
            <w:pPr>
              <w:ind w:left="64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163"/>
        </w:trPr>
        <w:tc>
          <w:tcPr>
            <w:tcW w:w="3060" w:type="dxa"/>
            <w:vAlign w:val="bottom"/>
          </w:tcPr>
          <w:p>
            <w:pPr>
              <w:spacing w:after="0"/>
              <w:rPr>
                <w:sz w:val="14"/>
                <w:szCs w:val="14"/>
                <w:color w:val="auto"/>
              </w:rPr>
            </w:pPr>
          </w:p>
        </w:tc>
        <w:tc>
          <w:tcPr>
            <w:tcW w:w="5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60" w:type="dxa"/>
            <w:vAlign w:val="bottom"/>
          </w:tcPr>
          <w:p>
            <w:pPr>
              <w:spacing w:after="0"/>
              <w:rPr>
                <w:sz w:val="20"/>
                <w:szCs w:val="20"/>
                <w:color w:val="auto"/>
              </w:rPr>
            </w:pPr>
            <w:r>
              <w:rPr>
                <w:rFonts w:ascii="Arial" w:cs="Arial" w:eastAsia="Arial" w:hAnsi="Arial"/>
                <w:sz w:val="16"/>
                <w:szCs w:val="16"/>
                <w:b w:val="1"/>
                <w:bCs w:val="1"/>
                <w:color w:val="auto"/>
              </w:rPr>
              <w:t>Former Public Directorships</w:t>
            </w:r>
          </w:p>
        </w:tc>
        <w:tc>
          <w:tcPr>
            <w:tcW w:w="5080" w:type="dxa"/>
            <w:vAlign w:val="bottom"/>
            <w:gridSpan w:val="2"/>
          </w:tcPr>
          <w:p>
            <w:pPr>
              <w:ind w:left="64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Master’s Degree in Mechanical Engineering, Swiss Federal</w:t>
            </w:r>
          </w:p>
        </w:tc>
        <w:tc>
          <w:tcPr>
            <w:tcW w:w="0" w:type="dxa"/>
            <w:vAlign w:val="bottom"/>
          </w:tcPr>
          <w:p>
            <w:pPr>
              <w:spacing w:after="0"/>
              <w:rPr>
                <w:sz w:val="1"/>
                <w:szCs w:val="1"/>
                <w:color w:val="auto"/>
              </w:rPr>
            </w:pPr>
          </w:p>
        </w:tc>
      </w:tr>
      <w:tr>
        <w:trPr>
          <w:trHeight w:val="189"/>
        </w:trPr>
        <w:tc>
          <w:tcPr>
            <w:tcW w:w="3060" w:type="dxa"/>
            <w:vAlign w:val="bottom"/>
          </w:tcPr>
          <w:p>
            <w:pPr>
              <w:spacing w:after="0"/>
              <w:rPr>
                <w:sz w:val="20"/>
                <w:szCs w:val="20"/>
                <w:color w:val="auto"/>
              </w:rPr>
            </w:pPr>
            <w:r>
              <w:rPr>
                <w:rFonts w:ascii="Arial" w:cs="Arial" w:eastAsia="Arial" w:hAnsi="Arial"/>
                <w:sz w:val="16"/>
                <w:szCs w:val="16"/>
                <w:b w:val="1"/>
                <w:bCs w:val="1"/>
                <w:color w:val="auto"/>
              </w:rPr>
              <w:t>Held During the Past Five Years</w:t>
            </w:r>
          </w:p>
        </w:tc>
        <w:tc>
          <w:tcPr>
            <w:tcW w:w="740" w:type="dxa"/>
            <w:vAlign w:val="bottom"/>
          </w:tcPr>
          <w:p>
            <w:pPr>
              <w:spacing w:after="0"/>
              <w:rPr>
                <w:sz w:val="16"/>
                <w:szCs w:val="16"/>
                <w:color w:val="auto"/>
              </w:rPr>
            </w:pPr>
          </w:p>
        </w:tc>
        <w:tc>
          <w:tcPr>
            <w:tcW w:w="4340" w:type="dxa"/>
            <w:vAlign w:val="bottom"/>
          </w:tcPr>
          <w:p>
            <w:pPr>
              <w:ind w:left="60"/>
              <w:spacing w:after="0"/>
              <w:rPr>
                <w:sz w:val="20"/>
                <w:szCs w:val="20"/>
                <w:color w:val="auto"/>
              </w:rPr>
            </w:pPr>
            <w:r>
              <w:rPr>
                <w:rFonts w:ascii="Arial" w:cs="Arial" w:eastAsia="Arial" w:hAnsi="Arial"/>
                <w:sz w:val="16"/>
                <w:szCs w:val="16"/>
                <w:color w:val="auto"/>
              </w:rPr>
              <w:t>Institute of Technology (Zurich)</w:t>
            </w:r>
          </w:p>
        </w:tc>
        <w:tc>
          <w:tcPr>
            <w:tcW w:w="0" w:type="dxa"/>
            <w:vAlign w:val="bottom"/>
          </w:tcPr>
          <w:p>
            <w:pPr>
              <w:spacing w:after="0"/>
              <w:rPr>
                <w:sz w:val="1"/>
                <w:szCs w:val="1"/>
                <w:color w:val="auto"/>
              </w:rPr>
            </w:pPr>
          </w:p>
        </w:tc>
      </w:tr>
      <w:tr>
        <w:trPr>
          <w:trHeight w:val="189"/>
        </w:trPr>
        <w:tc>
          <w:tcPr>
            <w:tcW w:w="3060" w:type="dxa"/>
            <w:vAlign w:val="bottom"/>
          </w:tcPr>
          <w:p>
            <w:pPr>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None</w:t>
            </w:r>
          </w:p>
        </w:tc>
        <w:tc>
          <w:tcPr>
            <w:tcW w:w="740" w:type="dxa"/>
            <w:vAlign w:val="bottom"/>
          </w:tcPr>
          <w:p>
            <w:pPr>
              <w:ind w:left="640"/>
              <w:spacing w:after="0"/>
              <w:rPr>
                <w:sz w:val="20"/>
                <w:szCs w:val="20"/>
                <w:color w:val="auto"/>
              </w:rPr>
            </w:pPr>
            <w:r>
              <w:rPr>
                <w:rFonts w:ascii="Arial" w:cs="Arial" w:eastAsia="Arial" w:hAnsi="Arial"/>
                <w:sz w:val="16"/>
                <w:szCs w:val="16"/>
                <w:color w:val="16458B"/>
              </w:rPr>
              <w:t>•</w:t>
            </w:r>
          </w:p>
        </w:tc>
        <w:tc>
          <w:tcPr>
            <w:tcW w:w="4340" w:type="dxa"/>
            <w:vAlign w:val="bottom"/>
          </w:tcPr>
          <w:p>
            <w:pPr>
              <w:ind w:left="80"/>
              <w:spacing w:after="0"/>
              <w:rPr>
                <w:sz w:val="20"/>
                <w:szCs w:val="20"/>
                <w:color w:val="auto"/>
              </w:rPr>
            </w:pPr>
            <w:r>
              <w:rPr>
                <w:rFonts w:ascii="Arial" w:cs="Arial" w:eastAsia="Arial" w:hAnsi="Arial"/>
                <w:sz w:val="16"/>
                <w:szCs w:val="16"/>
                <w:color w:val="auto"/>
              </w:rPr>
              <w:t>MBA, INSEAD (Fontainebleau)</w:t>
            </w:r>
          </w:p>
        </w:tc>
        <w:tc>
          <w:tcPr>
            <w:tcW w:w="0" w:type="dxa"/>
            <w:vAlign w:val="bottom"/>
          </w:tcPr>
          <w:p>
            <w:pPr>
              <w:spacing w:after="0"/>
              <w:rPr>
                <w:sz w:val="1"/>
                <w:szCs w:val="1"/>
                <w:color w:val="auto"/>
              </w:rPr>
            </w:pPr>
          </w:p>
        </w:tc>
      </w:tr>
      <w:tr>
        <w:trPr>
          <w:trHeight w:val="215"/>
        </w:trPr>
        <w:tc>
          <w:tcPr>
            <w:tcW w:w="3060" w:type="dxa"/>
            <w:vAlign w:val="bottom"/>
          </w:tcPr>
          <w:p>
            <w:pPr>
              <w:spacing w:after="0"/>
              <w:rPr>
                <w:sz w:val="18"/>
                <w:szCs w:val="18"/>
                <w:color w:val="auto"/>
              </w:rPr>
            </w:pPr>
          </w:p>
        </w:tc>
        <w:tc>
          <w:tcPr>
            <w:tcW w:w="5080" w:type="dxa"/>
            <w:vAlign w:val="bottom"/>
            <w:gridSpan w:val="2"/>
          </w:tcPr>
          <w:p>
            <w:pPr>
              <w:ind w:left="64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Energy transition and sustainability expertise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318770</wp:posOffset>
            </wp:positionV>
            <wp:extent cx="17145" cy="171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318770</wp:posOffset>
            </wp:positionV>
            <wp:extent cx="17145" cy="171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318770</wp:posOffset>
            </wp:positionV>
            <wp:extent cx="17145" cy="171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318770</wp:posOffset>
            </wp:positionV>
            <wp:extent cx="17145" cy="171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318770</wp:posOffset>
            </wp:positionV>
            <wp:extent cx="17145" cy="171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318770</wp:posOffset>
            </wp:positionV>
            <wp:extent cx="17145" cy="171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318770</wp:posOffset>
            </wp:positionV>
            <wp:extent cx="17145" cy="171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318770</wp:posOffset>
            </wp:positionV>
            <wp:extent cx="17145" cy="171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318770</wp:posOffset>
            </wp:positionV>
            <wp:extent cx="17145" cy="171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318770</wp:posOffset>
            </wp:positionV>
            <wp:extent cx="17145" cy="171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318770</wp:posOffset>
            </wp:positionV>
            <wp:extent cx="17145" cy="171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318770</wp:posOffset>
            </wp:positionV>
            <wp:extent cx="17145" cy="171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318770</wp:posOffset>
            </wp:positionV>
            <wp:extent cx="17145" cy="171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318770</wp:posOffset>
            </wp:positionV>
            <wp:extent cx="17145" cy="171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318770</wp:posOffset>
            </wp:positionV>
            <wp:extent cx="17145" cy="171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318770</wp:posOffset>
            </wp:positionV>
            <wp:extent cx="17145" cy="171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318770</wp:posOffset>
            </wp:positionV>
            <wp:extent cx="17145" cy="171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318770</wp:posOffset>
            </wp:positionV>
            <wp:extent cx="17145" cy="171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318770</wp:posOffset>
            </wp:positionV>
            <wp:extent cx="17145" cy="171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318770</wp:posOffset>
            </wp:positionV>
            <wp:extent cx="17145" cy="171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318770</wp:posOffset>
            </wp:positionV>
            <wp:extent cx="17145" cy="171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318770</wp:posOffset>
            </wp:positionV>
            <wp:extent cx="17145" cy="171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318770</wp:posOffset>
            </wp:positionV>
            <wp:extent cx="17145" cy="171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318770</wp:posOffset>
            </wp:positionV>
            <wp:extent cx="17145" cy="171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318770</wp:posOffset>
            </wp:positionV>
            <wp:extent cx="17145" cy="171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318770</wp:posOffset>
            </wp:positionV>
            <wp:extent cx="17145" cy="171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318770</wp:posOffset>
            </wp:positionV>
            <wp:extent cx="17145" cy="171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318770</wp:posOffset>
            </wp:positionV>
            <wp:extent cx="17145" cy="171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318770</wp:posOffset>
            </wp:positionV>
            <wp:extent cx="17145" cy="171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318770</wp:posOffset>
            </wp:positionV>
            <wp:extent cx="17145" cy="171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318770</wp:posOffset>
            </wp:positionV>
            <wp:extent cx="17145" cy="171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318770</wp:posOffset>
            </wp:positionV>
            <wp:extent cx="17145" cy="171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318770</wp:posOffset>
            </wp:positionV>
            <wp:extent cx="17145" cy="171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318770</wp:posOffset>
            </wp:positionV>
            <wp:extent cx="17145" cy="171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318770</wp:posOffset>
            </wp:positionV>
            <wp:extent cx="17145" cy="171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318770</wp:posOffset>
            </wp:positionV>
            <wp:extent cx="17145" cy="171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318770</wp:posOffset>
            </wp:positionV>
            <wp:extent cx="17145" cy="171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318770</wp:posOffset>
            </wp:positionV>
            <wp:extent cx="17145" cy="171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318770</wp:posOffset>
            </wp:positionV>
            <wp:extent cx="17145" cy="171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318770</wp:posOffset>
            </wp:positionV>
            <wp:extent cx="17145" cy="171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318770</wp:posOffset>
            </wp:positionV>
            <wp:extent cx="17145" cy="171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318770</wp:posOffset>
            </wp:positionV>
            <wp:extent cx="17145" cy="171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318770</wp:posOffset>
            </wp:positionV>
            <wp:extent cx="17145" cy="171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318770</wp:posOffset>
            </wp:positionV>
            <wp:extent cx="17145" cy="171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318770</wp:posOffset>
            </wp:positionV>
            <wp:extent cx="17145" cy="171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318770</wp:posOffset>
            </wp:positionV>
            <wp:extent cx="17145" cy="171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318770</wp:posOffset>
            </wp:positionV>
            <wp:extent cx="17145" cy="171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318770</wp:posOffset>
            </wp:positionV>
            <wp:extent cx="17145" cy="171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318770</wp:posOffset>
            </wp:positionV>
            <wp:extent cx="17145" cy="171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318770</wp:posOffset>
            </wp:positionV>
            <wp:extent cx="17145" cy="171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318770</wp:posOffset>
            </wp:positionV>
            <wp:extent cx="17145" cy="171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318770</wp:posOffset>
            </wp:positionV>
            <wp:extent cx="17145" cy="171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318770</wp:posOffset>
            </wp:positionV>
            <wp:extent cx="17145" cy="171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318770</wp:posOffset>
            </wp:positionV>
            <wp:extent cx="17145" cy="171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318770</wp:posOffset>
            </wp:positionV>
            <wp:extent cx="17145" cy="171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318770</wp:posOffset>
            </wp:positionV>
            <wp:extent cx="17145" cy="171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318770</wp:posOffset>
            </wp:positionV>
            <wp:extent cx="17145" cy="171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318770</wp:posOffset>
            </wp:positionV>
            <wp:extent cx="17145" cy="171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318770</wp:posOffset>
            </wp:positionV>
            <wp:extent cx="17145" cy="171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318770</wp:posOffset>
            </wp:positionV>
            <wp:extent cx="17145" cy="171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318770</wp:posOffset>
            </wp:positionV>
            <wp:extent cx="17145" cy="171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318770</wp:posOffset>
            </wp:positionV>
            <wp:extent cx="17145" cy="171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318770</wp:posOffset>
            </wp:positionV>
            <wp:extent cx="17145" cy="171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318770</wp:posOffset>
            </wp:positionV>
            <wp:extent cx="17145" cy="171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318770</wp:posOffset>
            </wp:positionV>
            <wp:extent cx="17145" cy="171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318770</wp:posOffset>
            </wp:positionV>
            <wp:extent cx="17145" cy="171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318770</wp:posOffset>
            </wp:positionV>
            <wp:extent cx="17145" cy="171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318770</wp:posOffset>
            </wp:positionV>
            <wp:extent cx="17145" cy="171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318770</wp:posOffset>
            </wp:positionV>
            <wp:extent cx="17145" cy="171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318770</wp:posOffset>
            </wp:positionV>
            <wp:extent cx="17145" cy="171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318770</wp:posOffset>
            </wp:positionV>
            <wp:extent cx="17145" cy="171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318770</wp:posOffset>
            </wp:positionV>
            <wp:extent cx="17145" cy="171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318770</wp:posOffset>
            </wp:positionV>
            <wp:extent cx="17145" cy="171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318770</wp:posOffset>
            </wp:positionV>
            <wp:extent cx="17145" cy="171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318770</wp:posOffset>
            </wp:positionV>
            <wp:extent cx="17145" cy="171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318770</wp:posOffset>
            </wp:positionV>
            <wp:extent cx="17145" cy="171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318770</wp:posOffset>
            </wp:positionV>
            <wp:extent cx="17145" cy="171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318770</wp:posOffset>
            </wp:positionV>
            <wp:extent cx="17145" cy="171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318770</wp:posOffset>
            </wp:positionV>
            <wp:extent cx="17145" cy="171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318770</wp:posOffset>
            </wp:positionV>
            <wp:extent cx="17145" cy="171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318770</wp:posOffset>
            </wp:positionV>
            <wp:extent cx="17145" cy="171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318770</wp:posOffset>
            </wp:positionV>
            <wp:extent cx="17145" cy="171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318770</wp:posOffset>
            </wp:positionV>
            <wp:extent cx="17145" cy="171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318770</wp:posOffset>
            </wp:positionV>
            <wp:extent cx="17145" cy="171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318770</wp:posOffset>
            </wp:positionV>
            <wp:extent cx="17145" cy="171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318770</wp:posOffset>
            </wp:positionV>
            <wp:extent cx="17145" cy="171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318770</wp:posOffset>
            </wp:positionV>
            <wp:extent cx="4174490" cy="171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4174490" cy="1714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SAMUEL LEUPOLD is the former chief executive officer of Ørsted Wind Power A/S, the principal subsidiary of Ørsted AS, a Danish renewable energy company, where he led Ørsted Wind Power to become the world’s leading developer, operator and owner of offshore wind assets during his tenure from 2013 to March 2018. Since May 2019, Mr. Leupold has served as an independent senior advisor supporting international clients in the energy and infrastructure sectors through his consultancy firm, Leupold Advisory. In addition, since May 2020, Leupold has been an independent non-executive member of the board at Enel SpA, one of Europe’s largest utilities focused on sustainability and the energy transition. He has also served as chair of Corio Generation, a specialist offshore wind business and Macquarie Green Investment Group portfolio company, since March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Skills and Expertise</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Mr. Leupold brings to the Board operational experience as the former chief executive officer of a renewable energy company, as well as significant experience in energy transition and sustainability. The Board benefits from his expertise on these issues as SLB seeks to implement our net-zero ambition and our strategy to deploy sustainable technologies to provide access to energy for the benefit of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471170" cy="28257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73"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14</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-46990</wp:posOffset>
            </wp:positionV>
            <wp:extent cx="5417820" cy="171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16458B"/>
        </w:rPr>
        <w:t>Tatiana Mitrova,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16458B"/>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90309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32320" cy="1903095"/>
                    </a:xfrm>
                    <a:prstGeom prst="rect">
                      <a:avLst/>
                    </a:prstGeom>
                    <a:noFill/>
                  </pic:spPr>
                </pic:pic>
              </a:graphicData>
            </a:graphic>
          </wp:anchor>
        </w:drawing>
      </w:r>
    </w:p>
    <w:p>
      <w:pPr>
        <w:spacing w:after="0" w:line="138" w:lineRule="exact"/>
        <w:rPr>
          <w:sz w:val="20"/>
          <w:szCs w:val="20"/>
          <w:color w:val="auto"/>
        </w:rPr>
      </w:pPr>
    </w:p>
    <w:tbl>
      <w:tblPr>
        <w:tblLayout w:type="fixed"/>
        <w:tblInd w:w="2860" w:type="dxa"/>
        <w:tblCellMar>
          <w:top w:w="0" w:type="dxa"/>
          <w:left w:w="0" w:type="dxa"/>
          <w:bottom w:w="0" w:type="dxa"/>
          <w:right w:w="0" w:type="dxa"/>
        </w:tblCellMar>
      </w:tblPr>
      <w:tr>
        <w:trPr>
          <w:trHeight w:val="189"/>
        </w:trPr>
        <w:tc>
          <w:tcPr>
            <w:tcW w:w="3160" w:type="dxa"/>
            <w:vAlign w:val="bottom"/>
          </w:tcPr>
          <w:p>
            <w:pPr>
              <w:spacing w:after="0"/>
              <w:rPr>
                <w:sz w:val="20"/>
                <w:szCs w:val="20"/>
                <w:color w:val="auto"/>
              </w:rPr>
            </w:pPr>
            <w:r>
              <w:rPr>
                <w:rFonts w:ascii="Arial" w:cs="Arial" w:eastAsia="Arial" w:hAnsi="Arial"/>
                <w:sz w:val="16"/>
                <w:szCs w:val="16"/>
                <w:b w:val="1"/>
                <w:bCs w:val="1"/>
                <w:color w:val="auto"/>
              </w:rPr>
              <w:t>Research Fellow,</w:t>
            </w:r>
          </w:p>
        </w:tc>
        <w:tc>
          <w:tcPr>
            <w:tcW w:w="5120" w:type="dxa"/>
            <w:vAlign w:val="bottom"/>
            <w:gridSpan w:val="2"/>
          </w:tcPr>
          <w:p>
            <w:pPr>
              <w:ind w:left="540"/>
              <w:spacing w:after="0"/>
              <w:rPr>
                <w:sz w:val="20"/>
                <w:szCs w:val="20"/>
                <w:color w:val="auto"/>
              </w:rPr>
            </w:pPr>
            <w:r>
              <w:rPr>
                <w:rFonts w:ascii="Arial" w:cs="Arial" w:eastAsia="Arial" w:hAnsi="Arial"/>
                <w:sz w:val="16"/>
                <w:szCs w:val="16"/>
                <w:b w:val="1"/>
                <w:bCs w:val="1"/>
                <w:color w:val="auto"/>
              </w:rPr>
              <w:t>Nationality</w:t>
            </w:r>
          </w:p>
        </w:tc>
      </w:tr>
      <w:tr>
        <w:trPr>
          <w:trHeight w:val="189"/>
        </w:trPr>
        <w:tc>
          <w:tcPr>
            <w:tcW w:w="3160" w:type="dxa"/>
            <w:vAlign w:val="bottom"/>
          </w:tcPr>
          <w:p>
            <w:pPr>
              <w:spacing w:after="0"/>
              <w:rPr>
                <w:sz w:val="20"/>
                <w:szCs w:val="20"/>
                <w:color w:val="auto"/>
              </w:rPr>
            </w:pPr>
            <w:r>
              <w:rPr>
                <w:rFonts w:ascii="Arial" w:cs="Arial" w:eastAsia="Arial" w:hAnsi="Arial"/>
                <w:sz w:val="16"/>
                <w:szCs w:val="16"/>
                <w:b w:val="1"/>
                <w:bCs w:val="1"/>
                <w:color w:val="auto"/>
              </w:rPr>
              <w:t>Center on Global Energy Policy,</w:t>
            </w:r>
          </w:p>
        </w:tc>
        <w:tc>
          <w:tcPr>
            <w:tcW w:w="5120" w:type="dxa"/>
            <w:vAlign w:val="bottom"/>
            <w:gridSpan w:val="2"/>
          </w:tcPr>
          <w:p>
            <w:pPr>
              <w:ind w:left="540"/>
              <w:spacing w:after="0"/>
              <w:rPr>
                <w:sz w:val="20"/>
                <w:szCs w:val="20"/>
                <w:color w:val="auto"/>
              </w:rPr>
            </w:pPr>
            <w:r>
              <w:rPr>
                <w:rFonts w:ascii="Arial" w:cs="Arial" w:eastAsia="Arial" w:hAnsi="Arial"/>
                <w:sz w:val="16"/>
                <w:szCs w:val="16"/>
                <w:color w:val="auto"/>
              </w:rPr>
              <w:t>Israel and Russia</w:t>
            </w:r>
          </w:p>
        </w:tc>
      </w:tr>
      <w:tr>
        <w:trPr>
          <w:trHeight w:val="189"/>
        </w:trPr>
        <w:tc>
          <w:tcPr>
            <w:tcW w:w="3160" w:type="dxa"/>
            <w:vAlign w:val="bottom"/>
          </w:tcPr>
          <w:p>
            <w:pPr>
              <w:spacing w:after="0"/>
              <w:rPr>
                <w:sz w:val="20"/>
                <w:szCs w:val="20"/>
                <w:color w:val="auto"/>
              </w:rPr>
            </w:pPr>
            <w:r>
              <w:rPr>
                <w:rFonts w:ascii="Arial" w:cs="Arial" w:eastAsia="Arial" w:hAnsi="Arial"/>
                <w:sz w:val="16"/>
                <w:szCs w:val="16"/>
                <w:b w:val="1"/>
                <w:bCs w:val="1"/>
                <w:color w:val="auto"/>
              </w:rPr>
              <w:t>School of International and Public</w:t>
            </w:r>
          </w:p>
        </w:tc>
        <w:tc>
          <w:tcPr>
            <w:tcW w:w="660" w:type="dxa"/>
            <w:vAlign w:val="bottom"/>
          </w:tcPr>
          <w:p>
            <w:pPr>
              <w:spacing w:after="0"/>
              <w:rPr>
                <w:sz w:val="16"/>
                <w:szCs w:val="16"/>
                <w:color w:val="auto"/>
              </w:rPr>
            </w:pPr>
          </w:p>
        </w:tc>
        <w:tc>
          <w:tcPr>
            <w:tcW w:w="4460" w:type="dxa"/>
            <w:vAlign w:val="bottom"/>
          </w:tcPr>
          <w:p>
            <w:pPr>
              <w:spacing w:after="0"/>
              <w:rPr>
                <w:sz w:val="16"/>
                <w:szCs w:val="16"/>
                <w:color w:val="auto"/>
              </w:rPr>
            </w:pPr>
          </w:p>
        </w:tc>
      </w:tr>
      <w:tr>
        <w:trPr>
          <w:trHeight w:val="189"/>
        </w:trPr>
        <w:tc>
          <w:tcPr>
            <w:tcW w:w="3160" w:type="dxa"/>
            <w:vAlign w:val="bottom"/>
          </w:tcPr>
          <w:p>
            <w:pPr>
              <w:spacing w:after="0"/>
              <w:rPr>
                <w:sz w:val="20"/>
                <w:szCs w:val="20"/>
                <w:color w:val="auto"/>
              </w:rPr>
            </w:pPr>
            <w:r>
              <w:rPr>
                <w:rFonts w:ascii="Arial" w:cs="Arial" w:eastAsia="Arial" w:hAnsi="Arial"/>
                <w:sz w:val="16"/>
                <w:szCs w:val="16"/>
                <w:b w:val="1"/>
                <w:bCs w:val="1"/>
                <w:color w:val="auto"/>
              </w:rPr>
              <w:t>Affairs at Columbia University</w:t>
            </w:r>
          </w:p>
        </w:tc>
        <w:tc>
          <w:tcPr>
            <w:tcW w:w="5120" w:type="dxa"/>
            <w:vAlign w:val="bottom"/>
            <w:gridSpan w:val="2"/>
          </w:tcPr>
          <w:p>
            <w:pPr>
              <w:ind w:left="540"/>
              <w:spacing w:after="0"/>
              <w:rPr>
                <w:sz w:val="20"/>
                <w:szCs w:val="20"/>
                <w:color w:val="auto"/>
              </w:rPr>
            </w:pPr>
            <w:r>
              <w:rPr>
                <w:rFonts w:ascii="Arial" w:cs="Arial" w:eastAsia="Arial" w:hAnsi="Arial"/>
                <w:sz w:val="16"/>
                <w:szCs w:val="16"/>
                <w:b w:val="1"/>
                <w:bCs w:val="1"/>
                <w:color w:val="auto"/>
              </w:rPr>
              <w:t>SLB Board Committees</w:t>
            </w:r>
          </w:p>
        </w:tc>
      </w:tr>
      <w:tr>
        <w:trPr>
          <w:trHeight w:val="189"/>
        </w:trPr>
        <w:tc>
          <w:tcPr>
            <w:tcW w:w="3160" w:type="dxa"/>
            <w:vAlign w:val="bottom"/>
          </w:tcPr>
          <w:p>
            <w:pPr>
              <w:spacing w:after="0"/>
              <w:rPr>
                <w:sz w:val="16"/>
                <w:szCs w:val="16"/>
                <w:color w:val="auto"/>
              </w:rPr>
            </w:pPr>
          </w:p>
        </w:tc>
        <w:tc>
          <w:tcPr>
            <w:tcW w:w="660" w:type="dxa"/>
            <w:vAlign w:val="bottom"/>
          </w:tcPr>
          <w:p>
            <w:pPr>
              <w:ind w:left="540"/>
              <w:spacing w:after="0"/>
              <w:rPr>
                <w:sz w:val="20"/>
                <w:szCs w:val="20"/>
                <w:color w:val="auto"/>
              </w:rPr>
            </w:pPr>
            <w:r>
              <w:rPr>
                <w:rFonts w:ascii="Arial" w:cs="Arial" w:eastAsia="Arial" w:hAnsi="Arial"/>
                <w:sz w:val="16"/>
                <w:szCs w:val="16"/>
                <w:color w:val="16458B"/>
              </w:rPr>
              <w:t>•</w:t>
            </w:r>
          </w:p>
        </w:tc>
        <w:tc>
          <w:tcPr>
            <w:tcW w:w="4460" w:type="dxa"/>
            <w:vAlign w:val="bottom"/>
          </w:tcPr>
          <w:p>
            <w:pPr>
              <w:ind w:left="60"/>
              <w:spacing w:after="0"/>
              <w:rPr>
                <w:sz w:val="20"/>
                <w:szCs w:val="20"/>
                <w:color w:val="auto"/>
              </w:rPr>
            </w:pPr>
            <w:r>
              <w:rPr>
                <w:rFonts w:ascii="Arial" w:cs="Arial" w:eastAsia="Arial" w:hAnsi="Arial"/>
                <w:sz w:val="16"/>
                <w:szCs w:val="16"/>
                <w:color w:val="auto"/>
              </w:rPr>
              <w:t>Audit</w:t>
            </w:r>
          </w:p>
        </w:tc>
      </w:tr>
      <w:tr>
        <w:trPr>
          <w:trHeight w:val="189"/>
        </w:trPr>
        <w:tc>
          <w:tcPr>
            <w:tcW w:w="3160" w:type="dxa"/>
            <w:vAlign w:val="bottom"/>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2018</w:t>
            </w:r>
          </w:p>
        </w:tc>
        <w:tc>
          <w:tcPr>
            <w:tcW w:w="660" w:type="dxa"/>
            <w:vAlign w:val="bottom"/>
          </w:tcPr>
          <w:p>
            <w:pPr>
              <w:ind w:left="540"/>
              <w:spacing w:after="0"/>
              <w:rPr>
                <w:sz w:val="20"/>
                <w:szCs w:val="20"/>
                <w:color w:val="auto"/>
              </w:rPr>
            </w:pPr>
            <w:r>
              <w:rPr>
                <w:rFonts w:ascii="Arial" w:cs="Arial" w:eastAsia="Arial" w:hAnsi="Arial"/>
                <w:sz w:val="16"/>
                <w:szCs w:val="16"/>
                <w:color w:val="16458B"/>
              </w:rPr>
              <w:t>•</w:t>
            </w:r>
          </w:p>
        </w:tc>
        <w:tc>
          <w:tcPr>
            <w:tcW w:w="4460" w:type="dxa"/>
            <w:vAlign w:val="bottom"/>
          </w:tcPr>
          <w:p>
            <w:pPr>
              <w:ind w:left="60"/>
              <w:spacing w:after="0"/>
              <w:rPr>
                <w:sz w:val="20"/>
                <w:szCs w:val="20"/>
                <w:color w:val="auto"/>
              </w:rPr>
            </w:pPr>
            <w:r>
              <w:rPr>
                <w:rFonts w:ascii="Arial" w:cs="Arial" w:eastAsia="Arial" w:hAnsi="Arial"/>
                <w:sz w:val="16"/>
                <w:szCs w:val="16"/>
                <w:color w:val="auto"/>
              </w:rPr>
              <w:t>Finance</w:t>
            </w:r>
          </w:p>
        </w:tc>
      </w:tr>
      <w:tr>
        <w:trPr>
          <w:trHeight w:val="223"/>
        </w:trPr>
        <w:tc>
          <w:tcPr>
            <w:tcW w:w="3160" w:type="dxa"/>
            <w:vAlign w:val="bottom"/>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48</w:t>
            </w:r>
          </w:p>
        </w:tc>
        <w:tc>
          <w:tcPr>
            <w:tcW w:w="5120" w:type="dxa"/>
            <w:vAlign w:val="bottom"/>
            <w:gridSpan w:val="2"/>
          </w:tcPr>
          <w:p>
            <w:pPr>
              <w:ind w:left="54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New Energy and Innovation</w:t>
            </w:r>
          </w:p>
        </w:tc>
      </w:tr>
      <w:tr>
        <w:trPr>
          <w:trHeight w:val="344"/>
        </w:trPr>
        <w:tc>
          <w:tcPr>
            <w:tcW w:w="3160" w:type="dxa"/>
            <w:vAlign w:val="bottom"/>
          </w:tcPr>
          <w:p>
            <w:pPr>
              <w:spacing w:after="0"/>
              <w:rPr>
                <w:sz w:val="20"/>
                <w:szCs w:val="20"/>
                <w:color w:val="auto"/>
              </w:rPr>
            </w:pPr>
            <w:r>
              <w:rPr>
                <w:rFonts w:ascii="Arial" w:cs="Arial" w:eastAsia="Arial" w:hAnsi="Arial"/>
                <w:sz w:val="16"/>
                <w:szCs w:val="16"/>
                <w:b w:val="1"/>
                <w:bCs w:val="1"/>
                <w:color w:val="auto"/>
              </w:rPr>
              <w:t>Other Current Public Boards</w:t>
            </w:r>
          </w:p>
        </w:tc>
        <w:tc>
          <w:tcPr>
            <w:tcW w:w="5120" w:type="dxa"/>
            <w:vAlign w:val="bottom"/>
            <w:gridSpan w:val="2"/>
          </w:tcPr>
          <w:p>
            <w:pPr>
              <w:ind w:left="540"/>
              <w:spacing w:after="0"/>
              <w:rPr>
                <w:sz w:val="20"/>
                <w:szCs w:val="20"/>
                <w:color w:val="auto"/>
              </w:rPr>
            </w:pPr>
            <w:r>
              <w:rPr>
                <w:rFonts w:ascii="Arial" w:cs="Arial" w:eastAsia="Arial" w:hAnsi="Arial"/>
                <w:sz w:val="16"/>
                <w:szCs w:val="16"/>
                <w:b w:val="1"/>
                <w:bCs w:val="1"/>
                <w:color w:val="auto"/>
              </w:rPr>
              <w:t>Other Experience and Education</w:t>
            </w:r>
          </w:p>
        </w:tc>
      </w:tr>
      <w:tr>
        <w:trPr>
          <w:trHeight w:val="189"/>
        </w:trPr>
        <w:tc>
          <w:tcPr>
            <w:tcW w:w="3160" w:type="dxa"/>
            <w:vAlign w:val="bottom"/>
          </w:tcPr>
          <w:p>
            <w:pPr>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None</w:t>
            </w:r>
          </w:p>
        </w:tc>
        <w:tc>
          <w:tcPr>
            <w:tcW w:w="5120" w:type="dxa"/>
            <w:vAlign w:val="bottom"/>
            <w:gridSpan w:val="2"/>
          </w:tcPr>
          <w:p>
            <w:pPr>
              <w:ind w:left="54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PhD in Economics, Moscow State University</w:t>
            </w:r>
          </w:p>
        </w:tc>
      </w:tr>
      <w:tr>
        <w:trPr>
          <w:trHeight w:val="189"/>
        </w:trPr>
        <w:tc>
          <w:tcPr>
            <w:tcW w:w="3160" w:type="dxa"/>
            <w:vAlign w:val="bottom"/>
          </w:tcPr>
          <w:p>
            <w:pPr>
              <w:spacing w:after="0"/>
              <w:rPr>
                <w:sz w:val="16"/>
                <w:szCs w:val="16"/>
                <w:color w:val="auto"/>
              </w:rPr>
            </w:pPr>
          </w:p>
        </w:tc>
        <w:tc>
          <w:tcPr>
            <w:tcW w:w="5120" w:type="dxa"/>
            <w:vAlign w:val="bottom"/>
            <w:gridSpan w:val="2"/>
          </w:tcPr>
          <w:p>
            <w:pPr>
              <w:ind w:left="54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Senior Visiting Research Fellow at Oxford Institute for Energy</w:t>
            </w:r>
          </w:p>
        </w:tc>
      </w:tr>
      <w:tr>
        <w:trPr>
          <w:trHeight w:val="189"/>
        </w:trPr>
        <w:tc>
          <w:tcPr>
            <w:tcW w:w="3160" w:type="dxa"/>
            <w:vAlign w:val="bottom"/>
          </w:tcPr>
          <w:p>
            <w:pPr>
              <w:spacing w:after="0"/>
              <w:rPr>
                <w:sz w:val="20"/>
                <w:szCs w:val="20"/>
                <w:color w:val="auto"/>
              </w:rPr>
            </w:pPr>
            <w:r>
              <w:rPr>
                <w:rFonts w:ascii="Arial" w:cs="Arial" w:eastAsia="Arial" w:hAnsi="Arial"/>
                <w:sz w:val="16"/>
                <w:szCs w:val="16"/>
                <w:b w:val="1"/>
                <w:bCs w:val="1"/>
                <w:color w:val="auto"/>
              </w:rPr>
              <w:t>Former Public Directorships</w:t>
            </w:r>
          </w:p>
        </w:tc>
        <w:tc>
          <w:tcPr>
            <w:tcW w:w="660" w:type="dxa"/>
            <w:vAlign w:val="bottom"/>
          </w:tcPr>
          <w:p>
            <w:pPr>
              <w:spacing w:after="0"/>
              <w:rPr>
                <w:sz w:val="16"/>
                <w:szCs w:val="16"/>
                <w:color w:val="auto"/>
              </w:rPr>
            </w:pPr>
          </w:p>
        </w:tc>
        <w:tc>
          <w:tcPr>
            <w:tcW w:w="4460" w:type="dxa"/>
            <w:vAlign w:val="bottom"/>
          </w:tcPr>
          <w:p>
            <w:pPr>
              <w:ind w:left="60"/>
              <w:spacing w:after="0"/>
              <w:rPr>
                <w:sz w:val="20"/>
                <w:szCs w:val="20"/>
                <w:color w:val="auto"/>
              </w:rPr>
            </w:pPr>
            <w:r>
              <w:rPr>
                <w:rFonts w:ascii="Arial" w:cs="Arial" w:eastAsia="Arial" w:hAnsi="Arial"/>
                <w:sz w:val="16"/>
                <w:szCs w:val="16"/>
                <w:color w:val="auto"/>
              </w:rPr>
              <w:t>Studies</w:t>
            </w:r>
          </w:p>
        </w:tc>
      </w:tr>
      <w:tr>
        <w:trPr>
          <w:trHeight w:val="189"/>
        </w:trPr>
        <w:tc>
          <w:tcPr>
            <w:tcW w:w="3160" w:type="dxa"/>
            <w:vAlign w:val="bottom"/>
          </w:tcPr>
          <w:p>
            <w:pPr>
              <w:spacing w:after="0"/>
              <w:rPr>
                <w:sz w:val="20"/>
                <w:szCs w:val="20"/>
                <w:color w:val="auto"/>
              </w:rPr>
            </w:pPr>
            <w:r>
              <w:rPr>
                <w:rFonts w:ascii="Arial" w:cs="Arial" w:eastAsia="Arial" w:hAnsi="Arial"/>
                <w:sz w:val="16"/>
                <w:szCs w:val="16"/>
                <w:b w:val="1"/>
                <w:bCs w:val="1"/>
                <w:color w:val="auto"/>
              </w:rPr>
              <w:t>Held During the Past Five Years</w:t>
            </w:r>
          </w:p>
        </w:tc>
        <w:tc>
          <w:tcPr>
            <w:tcW w:w="660" w:type="dxa"/>
            <w:vAlign w:val="bottom"/>
          </w:tcPr>
          <w:p>
            <w:pPr>
              <w:spacing w:after="0"/>
              <w:rPr>
                <w:sz w:val="16"/>
                <w:szCs w:val="16"/>
                <w:color w:val="auto"/>
              </w:rPr>
            </w:pPr>
          </w:p>
        </w:tc>
        <w:tc>
          <w:tcPr>
            <w:tcW w:w="4460" w:type="dxa"/>
            <w:vAlign w:val="bottom"/>
          </w:tcPr>
          <w:p>
            <w:pPr>
              <w:spacing w:after="0"/>
              <w:rPr>
                <w:sz w:val="16"/>
                <w:szCs w:val="16"/>
                <w:color w:val="auto"/>
              </w:rPr>
            </w:pPr>
          </w:p>
        </w:tc>
      </w:tr>
      <w:tr>
        <w:trPr>
          <w:trHeight w:val="215"/>
        </w:trPr>
        <w:tc>
          <w:tcPr>
            <w:tcW w:w="3160" w:type="dxa"/>
            <w:vAlign w:val="bottom"/>
          </w:tcPr>
          <w:p>
            <w:pPr>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PAO Novatek</w:t>
            </w:r>
          </w:p>
        </w:tc>
        <w:tc>
          <w:tcPr>
            <w:tcW w:w="660" w:type="dxa"/>
            <w:vAlign w:val="bottom"/>
          </w:tcPr>
          <w:p>
            <w:pPr>
              <w:spacing w:after="0"/>
              <w:rPr>
                <w:sz w:val="18"/>
                <w:szCs w:val="18"/>
                <w:color w:val="auto"/>
              </w:rPr>
            </w:pPr>
          </w:p>
        </w:tc>
        <w:tc>
          <w:tcPr>
            <w:tcW w:w="44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181610</wp:posOffset>
            </wp:positionV>
            <wp:extent cx="17145" cy="171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181610</wp:posOffset>
            </wp:positionV>
            <wp:extent cx="17145" cy="171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181610</wp:posOffset>
            </wp:positionV>
            <wp:extent cx="17145" cy="171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181610</wp:posOffset>
            </wp:positionV>
            <wp:extent cx="17145" cy="171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181610</wp:posOffset>
            </wp:positionV>
            <wp:extent cx="17145" cy="171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181610</wp:posOffset>
            </wp:positionV>
            <wp:extent cx="17145" cy="171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181610</wp:posOffset>
            </wp:positionV>
            <wp:extent cx="17145" cy="171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181610</wp:posOffset>
            </wp:positionV>
            <wp:extent cx="17145" cy="171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181610</wp:posOffset>
            </wp:positionV>
            <wp:extent cx="17145" cy="171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181610</wp:posOffset>
            </wp:positionV>
            <wp:extent cx="17145" cy="171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181610</wp:posOffset>
            </wp:positionV>
            <wp:extent cx="17145" cy="171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181610</wp:posOffset>
            </wp:positionV>
            <wp:extent cx="17145" cy="171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181610</wp:posOffset>
            </wp:positionV>
            <wp:extent cx="17145" cy="171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181610</wp:posOffset>
            </wp:positionV>
            <wp:extent cx="17145" cy="171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181610</wp:posOffset>
            </wp:positionV>
            <wp:extent cx="17145" cy="171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181610</wp:posOffset>
            </wp:positionV>
            <wp:extent cx="17145" cy="171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181610</wp:posOffset>
            </wp:positionV>
            <wp:extent cx="17145" cy="171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181610</wp:posOffset>
            </wp:positionV>
            <wp:extent cx="17145" cy="171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181610</wp:posOffset>
            </wp:positionV>
            <wp:extent cx="17145" cy="171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181610</wp:posOffset>
            </wp:positionV>
            <wp:extent cx="17145" cy="171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181610</wp:posOffset>
            </wp:positionV>
            <wp:extent cx="17145" cy="171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181610</wp:posOffset>
            </wp:positionV>
            <wp:extent cx="17145" cy="171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181610</wp:posOffset>
            </wp:positionV>
            <wp:extent cx="17145" cy="171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181610</wp:posOffset>
            </wp:positionV>
            <wp:extent cx="17145" cy="171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181610</wp:posOffset>
            </wp:positionV>
            <wp:extent cx="17145" cy="171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181610</wp:posOffset>
            </wp:positionV>
            <wp:extent cx="17145" cy="171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181610</wp:posOffset>
            </wp:positionV>
            <wp:extent cx="17145" cy="171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181610</wp:posOffset>
            </wp:positionV>
            <wp:extent cx="17145" cy="171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181610</wp:posOffset>
            </wp:positionV>
            <wp:extent cx="17145" cy="171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181610</wp:posOffset>
            </wp:positionV>
            <wp:extent cx="17145" cy="171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181610</wp:posOffset>
            </wp:positionV>
            <wp:extent cx="17145" cy="171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181610</wp:posOffset>
            </wp:positionV>
            <wp:extent cx="17145" cy="171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181610</wp:posOffset>
            </wp:positionV>
            <wp:extent cx="17145" cy="171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181610</wp:posOffset>
            </wp:positionV>
            <wp:extent cx="17145" cy="171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181610</wp:posOffset>
            </wp:positionV>
            <wp:extent cx="17145" cy="171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181610</wp:posOffset>
            </wp:positionV>
            <wp:extent cx="17145" cy="171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181610</wp:posOffset>
            </wp:positionV>
            <wp:extent cx="17145" cy="171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181610</wp:posOffset>
            </wp:positionV>
            <wp:extent cx="17145" cy="171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181610</wp:posOffset>
            </wp:positionV>
            <wp:extent cx="17145" cy="171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181610</wp:posOffset>
            </wp:positionV>
            <wp:extent cx="17145" cy="171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181610</wp:posOffset>
            </wp:positionV>
            <wp:extent cx="17145" cy="171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181610</wp:posOffset>
            </wp:positionV>
            <wp:extent cx="17145" cy="171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181610</wp:posOffset>
            </wp:positionV>
            <wp:extent cx="17145" cy="171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181610</wp:posOffset>
            </wp:positionV>
            <wp:extent cx="17145" cy="171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181610</wp:posOffset>
            </wp:positionV>
            <wp:extent cx="17145" cy="171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181610</wp:posOffset>
            </wp:positionV>
            <wp:extent cx="17145" cy="171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181610</wp:posOffset>
            </wp:positionV>
            <wp:extent cx="17145" cy="171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181610</wp:posOffset>
            </wp:positionV>
            <wp:extent cx="17145" cy="171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181610</wp:posOffset>
            </wp:positionV>
            <wp:extent cx="17145" cy="171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181610</wp:posOffset>
            </wp:positionV>
            <wp:extent cx="17145" cy="171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181610</wp:posOffset>
            </wp:positionV>
            <wp:extent cx="17145" cy="171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181610</wp:posOffset>
            </wp:positionV>
            <wp:extent cx="17145" cy="171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181610</wp:posOffset>
            </wp:positionV>
            <wp:extent cx="17145" cy="171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181610</wp:posOffset>
            </wp:positionV>
            <wp:extent cx="17145" cy="171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181610</wp:posOffset>
            </wp:positionV>
            <wp:extent cx="17145" cy="171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181610</wp:posOffset>
            </wp:positionV>
            <wp:extent cx="17145" cy="171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181610</wp:posOffset>
            </wp:positionV>
            <wp:extent cx="17145" cy="171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181610</wp:posOffset>
            </wp:positionV>
            <wp:extent cx="17145" cy="171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181610</wp:posOffset>
            </wp:positionV>
            <wp:extent cx="17145" cy="171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181610</wp:posOffset>
            </wp:positionV>
            <wp:extent cx="17145" cy="171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181610</wp:posOffset>
            </wp:positionV>
            <wp:extent cx="17145" cy="171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181610</wp:posOffset>
            </wp:positionV>
            <wp:extent cx="17145" cy="171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181610</wp:posOffset>
            </wp:positionV>
            <wp:extent cx="17145" cy="171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181610</wp:posOffset>
            </wp:positionV>
            <wp:extent cx="17145" cy="171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181610</wp:posOffset>
            </wp:positionV>
            <wp:extent cx="17145" cy="171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181610</wp:posOffset>
            </wp:positionV>
            <wp:extent cx="17145" cy="171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181610</wp:posOffset>
            </wp:positionV>
            <wp:extent cx="17145" cy="171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181610</wp:posOffset>
            </wp:positionV>
            <wp:extent cx="17145" cy="171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181610</wp:posOffset>
            </wp:positionV>
            <wp:extent cx="17145" cy="171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181610</wp:posOffset>
            </wp:positionV>
            <wp:extent cx="17145" cy="171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181610</wp:posOffset>
            </wp:positionV>
            <wp:extent cx="17145" cy="171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181610</wp:posOffset>
            </wp:positionV>
            <wp:extent cx="17145" cy="171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181610</wp:posOffset>
            </wp:positionV>
            <wp:extent cx="17145" cy="171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181610</wp:posOffset>
            </wp:positionV>
            <wp:extent cx="17145" cy="171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181610</wp:posOffset>
            </wp:positionV>
            <wp:extent cx="17145" cy="171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181610</wp:posOffset>
            </wp:positionV>
            <wp:extent cx="17145" cy="171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181610</wp:posOffset>
            </wp:positionV>
            <wp:extent cx="17145" cy="171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181610</wp:posOffset>
            </wp:positionV>
            <wp:extent cx="17145" cy="171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181610</wp:posOffset>
            </wp:positionV>
            <wp:extent cx="17145" cy="171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181610</wp:posOffset>
            </wp:positionV>
            <wp:extent cx="17145" cy="171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181610</wp:posOffset>
            </wp:positionV>
            <wp:extent cx="17145" cy="171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181610</wp:posOffset>
            </wp:positionV>
            <wp:extent cx="17145" cy="171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181610</wp:posOffset>
            </wp:positionV>
            <wp:extent cx="17145" cy="171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181610</wp:posOffset>
            </wp:positionV>
            <wp:extent cx="17145" cy="171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181610</wp:posOffset>
            </wp:positionV>
            <wp:extent cx="17145" cy="171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181610</wp:posOffset>
            </wp:positionV>
            <wp:extent cx="17145" cy="171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4174490" cy="171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4174490" cy="17145"/>
                    </a:xfrm>
                    <a:prstGeom prst="rect">
                      <a:avLst/>
                    </a:prstGeom>
                    <a:noFill/>
                  </pic:spPr>
                </pic:pic>
              </a:graphicData>
            </a:graphic>
          </wp:anchor>
        </w:drawing>
      </w:r>
    </w:p>
    <w:p>
      <w:pPr>
        <w:spacing w:after="0" w:line="34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TATIANA MITROVA has been a research fellow at the Center on Global Energy Policy at the School of International and Public Affairs at Columbia University since 2016. She has also been a visiting professor at the Paris School of International Affairs, part of the Paris Institute of Political Studies, since 2014. From 2017 to December 2020, she served as executive director of the Energy Centre of the Moscow School of Management SKOLKOVO, a graduate business school, where she also served as a professor until February 2022. She was also the head of research in the Oil and Gas Department in the Energy Research Institute of the Russian Academy of Sciences from 2011 to February 2022, and an assistant professor at the Gubkin Russian State University of Oil and Gas from 2008 to February 2022. She was previously a member of the board of directors of PAO Novatek from April 2020 to September 2022 and Unipro PJSC from 2014 to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Skills and Expertise</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Dr. Mitrova brings to the Board valuable expertise regarding energy market dynamics and the various factors affecting supply and demand for SLB’s products and services, as well as expertise relating to sustainability, decarbonization and the new energy economy. The Board values Dr. Mitrova’s knowledge of Russian and Central Asian energy markets and related risks, as well as her ties to the academic community. Her global economic perspective provides insight into emerging markets and trends, and is useful for the development of SLB’s global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71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16458B"/>
        </w:rPr>
        <w:t>Maria Moræus Hanssen,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16458B"/>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91135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32320" cy="1911350"/>
                    </a:xfrm>
                    <a:prstGeom prst="rect">
                      <a:avLst/>
                    </a:prstGeom>
                    <a:noFill/>
                  </pic:spPr>
                </pic:pic>
              </a:graphicData>
            </a:graphic>
          </wp:anchor>
        </w:drawing>
      </w:r>
    </w:p>
    <w:p>
      <w:pPr>
        <w:spacing w:after="0" w:line="138" w:lineRule="exact"/>
        <w:rPr>
          <w:sz w:val="20"/>
          <w:szCs w:val="20"/>
          <w:color w:val="auto"/>
        </w:rPr>
      </w:pPr>
    </w:p>
    <w:tbl>
      <w:tblPr>
        <w:tblLayout w:type="fixed"/>
        <w:tblInd w:w="2860" w:type="dxa"/>
        <w:tblCellMar>
          <w:top w:w="0" w:type="dxa"/>
          <w:left w:w="0" w:type="dxa"/>
          <w:bottom w:w="0" w:type="dxa"/>
          <w:right w:w="0" w:type="dxa"/>
        </w:tblCellMar>
      </w:tblPr>
      <w:tr>
        <w:trPr>
          <w:trHeight w:val="189"/>
        </w:trPr>
        <w:tc>
          <w:tcPr>
            <w:tcW w:w="3340" w:type="dxa"/>
            <w:vAlign w:val="bottom"/>
            <w:gridSpan w:val="2"/>
          </w:tcPr>
          <w:p>
            <w:pPr>
              <w:spacing w:after="0"/>
              <w:rPr>
                <w:sz w:val="20"/>
                <w:szCs w:val="20"/>
                <w:color w:val="auto"/>
              </w:rPr>
            </w:pPr>
            <w:r>
              <w:rPr>
                <w:rFonts w:ascii="Arial" w:cs="Arial" w:eastAsia="Arial" w:hAnsi="Arial"/>
                <w:sz w:val="16"/>
                <w:szCs w:val="16"/>
                <w:b w:val="1"/>
                <w:bCs w:val="1"/>
                <w:color w:val="auto"/>
              </w:rPr>
              <w:t>Former Deputy Chief Executive Officer</w:t>
            </w:r>
          </w:p>
        </w:tc>
        <w:tc>
          <w:tcPr>
            <w:tcW w:w="4820" w:type="dxa"/>
            <w:vAlign w:val="bottom"/>
            <w:gridSpan w:val="2"/>
          </w:tcPr>
          <w:p>
            <w:pPr>
              <w:ind w:left="360"/>
              <w:spacing w:after="0"/>
              <w:rPr>
                <w:sz w:val="20"/>
                <w:szCs w:val="20"/>
                <w:color w:val="auto"/>
              </w:rPr>
            </w:pPr>
            <w:r>
              <w:rPr>
                <w:rFonts w:ascii="Arial" w:cs="Arial" w:eastAsia="Arial" w:hAnsi="Arial"/>
                <w:sz w:val="16"/>
                <w:szCs w:val="16"/>
                <w:b w:val="1"/>
                <w:bCs w:val="1"/>
                <w:color w:val="auto"/>
              </w:rPr>
              <w:t>Nationality</w:t>
            </w: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rPr>
                <w:sz w:val="20"/>
                <w:szCs w:val="20"/>
                <w:color w:val="auto"/>
              </w:rPr>
            </w:pPr>
            <w:r>
              <w:rPr>
                <w:rFonts w:ascii="Arial" w:cs="Arial" w:eastAsia="Arial" w:hAnsi="Arial"/>
                <w:sz w:val="16"/>
                <w:szCs w:val="16"/>
                <w:b w:val="1"/>
                <w:bCs w:val="1"/>
                <w:color w:val="auto"/>
              </w:rPr>
              <w:t>and Chief Operating Officer,</w:t>
            </w:r>
          </w:p>
        </w:tc>
        <w:tc>
          <w:tcPr>
            <w:tcW w:w="4820" w:type="dxa"/>
            <w:vAlign w:val="bottom"/>
            <w:gridSpan w:val="2"/>
          </w:tcPr>
          <w:p>
            <w:pPr>
              <w:ind w:left="360"/>
              <w:spacing w:after="0"/>
              <w:rPr>
                <w:sz w:val="20"/>
                <w:szCs w:val="20"/>
                <w:color w:val="auto"/>
              </w:rPr>
            </w:pPr>
            <w:r>
              <w:rPr>
                <w:rFonts w:ascii="Arial" w:cs="Arial" w:eastAsia="Arial" w:hAnsi="Arial"/>
                <w:sz w:val="16"/>
                <w:szCs w:val="16"/>
                <w:color w:val="auto"/>
              </w:rPr>
              <w:t>Norway</w:t>
            </w: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6"/>
                <w:szCs w:val="16"/>
                <w:b w:val="1"/>
                <w:bCs w:val="1"/>
                <w:color w:val="auto"/>
              </w:rPr>
              <w:t>Wintershall Dea GmbH</w:t>
            </w:r>
          </w:p>
        </w:tc>
        <w:tc>
          <w:tcPr>
            <w:tcW w:w="482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SLB Board Committees</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4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2020</w:t>
            </w:r>
          </w:p>
        </w:tc>
        <w:tc>
          <w:tcPr>
            <w:tcW w:w="4820" w:type="dxa"/>
            <w:vAlign w:val="bottom"/>
            <w:gridSpan w:val="2"/>
          </w:tcPr>
          <w:p>
            <w:pPr>
              <w:ind w:left="36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New Energy and Innovation, Chair</w:t>
            </w: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58</w:t>
            </w:r>
          </w:p>
        </w:tc>
        <w:tc>
          <w:tcPr>
            <w:tcW w:w="480" w:type="dxa"/>
            <w:vAlign w:val="bottom"/>
          </w:tcPr>
          <w:p>
            <w:pPr>
              <w:ind w:left="360"/>
              <w:spacing w:after="0"/>
              <w:rPr>
                <w:sz w:val="20"/>
                <w:szCs w:val="20"/>
                <w:color w:val="auto"/>
              </w:rPr>
            </w:pPr>
            <w:r>
              <w:rPr>
                <w:rFonts w:ascii="Arial" w:cs="Arial" w:eastAsia="Arial" w:hAnsi="Arial"/>
                <w:sz w:val="16"/>
                <w:szCs w:val="16"/>
                <w:color w:val="16458B"/>
              </w:rPr>
              <w:t>•</w:t>
            </w:r>
          </w:p>
        </w:tc>
        <w:tc>
          <w:tcPr>
            <w:tcW w:w="4340" w:type="dxa"/>
            <w:vAlign w:val="bottom"/>
          </w:tcPr>
          <w:p>
            <w:pPr>
              <w:ind w:left="60"/>
              <w:spacing w:after="0"/>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215"/>
        </w:trPr>
        <w:tc>
          <w:tcPr>
            <w:tcW w:w="33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Other Current Public Boards</w:t>
            </w:r>
          </w:p>
        </w:tc>
        <w:tc>
          <w:tcPr>
            <w:tcW w:w="480" w:type="dxa"/>
            <w:vAlign w:val="bottom"/>
          </w:tcPr>
          <w:p>
            <w:pPr>
              <w:ind w:left="360"/>
              <w:spacing w:after="0"/>
              <w:rPr>
                <w:sz w:val="20"/>
                <w:szCs w:val="20"/>
                <w:color w:val="auto"/>
              </w:rPr>
            </w:pPr>
            <w:r>
              <w:rPr>
                <w:rFonts w:ascii="Arial" w:cs="Arial" w:eastAsia="Arial" w:hAnsi="Arial"/>
                <w:sz w:val="16"/>
                <w:szCs w:val="16"/>
                <w:color w:val="16458B"/>
              </w:rPr>
              <w:t>•</w:t>
            </w:r>
          </w:p>
        </w:tc>
        <w:tc>
          <w:tcPr>
            <w:tcW w:w="4340" w:type="dxa"/>
            <w:vAlign w:val="bottom"/>
          </w:tcPr>
          <w:p>
            <w:pPr>
              <w:ind w:left="60"/>
              <w:spacing w:after="0"/>
              <w:rPr>
                <w:sz w:val="20"/>
                <w:szCs w:val="20"/>
                <w:color w:val="auto"/>
              </w:rPr>
            </w:pPr>
            <w:r>
              <w:rPr>
                <w:rFonts w:ascii="Arial" w:cs="Arial" w:eastAsia="Arial" w:hAnsi="Arial"/>
                <w:sz w:val="16"/>
                <w:szCs w:val="16"/>
                <w:color w:val="auto"/>
              </w:rPr>
              <w:t>Nominating and Governance</w:t>
            </w:r>
          </w:p>
        </w:tc>
        <w:tc>
          <w:tcPr>
            <w:tcW w:w="0" w:type="dxa"/>
            <w:vAlign w:val="bottom"/>
          </w:tcPr>
          <w:p>
            <w:pPr>
              <w:spacing w:after="0"/>
              <w:rPr>
                <w:sz w:val="1"/>
                <w:szCs w:val="1"/>
                <w:color w:val="auto"/>
              </w:rPr>
            </w:pPr>
          </w:p>
        </w:tc>
      </w:tr>
      <w:tr>
        <w:trPr>
          <w:trHeight w:val="163"/>
        </w:trPr>
        <w:tc>
          <w:tcPr>
            <w:tcW w:w="33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20"/>
                <w:szCs w:val="20"/>
                <w:color w:val="auto"/>
              </w:rPr>
            </w:pPr>
            <w:r>
              <w:rPr>
                <w:rFonts w:ascii="Arial" w:cs="Arial" w:eastAsia="Arial" w:hAnsi="Arial"/>
                <w:sz w:val="16"/>
                <w:szCs w:val="16"/>
                <w:color w:val="16458B"/>
              </w:rPr>
              <w:t>•</w:t>
            </w:r>
          </w:p>
        </w:tc>
        <w:tc>
          <w:tcPr>
            <w:tcW w:w="3220" w:type="dxa"/>
            <w:vAlign w:val="bottom"/>
          </w:tcPr>
          <w:p>
            <w:pPr>
              <w:ind w:left="60"/>
              <w:spacing w:after="0"/>
              <w:rPr>
                <w:sz w:val="20"/>
                <w:szCs w:val="20"/>
                <w:color w:val="auto"/>
              </w:rPr>
            </w:pPr>
            <w:r>
              <w:rPr>
                <w:rFonts w:ascii="Arial" w:cs="Arial" w:eastAsia="Arial" w:hAnsi="Arial"/>
                <w:sz w:val="16"/>
                <w:szCs w:val="16"/>
                <w:color w:val="auto"/>
              </w:rPr>
              <w:t>Alfa Laval AB</w:t>
            </w:r>
          </w:p>
        </w:tc>
        <w:tc>
          <w:tcPr>
            <w:tcW w:w="4820" w:type="dxa"/>
            <w:vAlign w:val="bottom"/>
            <w:gridSpan w:val="2"/>
          </w:tcPr>
          <w:p>
            <w:pPr>
              <w:ind w:left="36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20"/>
                <w:szCs w:val="20"/>
                <w:color w:val="auto"/>
              </w:rPr>
            </w:pPr>
            <w:r>
              <w:rPr>
                <w:rFonts w:ascii="Arial" w:cs="Arial" w:eastAsia="Arial" w:hAnsi="Arial"/>
                <w:sz w:val="16"/>
                <w:szCs w:val="16"/>
                <w:color w:val="16458B"/>
              </w:rPr>
              <w:t>•</w:t>
            </w:r>
          </w:p>
        </w:tc>
        <w:tc>
          <w:tcPr>
            <w:tcW w:w="3220" w:type="dxa"/>
            <w:vAlign w:val="bottom"/>
          </w:tcPr>
          <w:p>
            <w:pPr>
              <w:ind w:left="60"/>
              <w:spacing w:after="0"/>
              <w:rPr>
                <w:sz w:val="20"/>
                <w:szCs w:val="20"/>
                <w:color w:val="auto"/>
              </w:rPr>
            </w:pPr>
            <w:r>
              <w:rPr>
                <w:rFonts w:ascii="Arial" w:cs="Arial" w:eastAsia="Arial" w:hAnsi="Arial"/>
                <w:sz w:val="16"/>
                <w:szCs w:val="16"/>
                <w:color w:val="auto"/>
              </w:rPr>
              <w:t>Scatec Solar ASA</w:t>
            </w:r>
          </w:p>
        </w:tc>
        <w:tc>
          <w:tcPr>
            <w:tcW w:w="4820" w:type="dxa"/>
            <w:vAlign w:val="bottom"/>
            <w:gridSpan w:val="2"/>
          </w:tcPr>
          <w:p>
            <w:pPr>
              <w:ind w:left="36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Former CEO of multiple E&amp;P companies</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820" w:type="dxa"/>
            <w:vAlign w:val="bottom"/>
            <w:gridSpan w:val="2"/>
          </w:tcPr>
          <w:p>
            <w:pPr>
              <w:ind w:left="36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Master’s Degrees in Petroleum Engineering, Norwegian</w:t>
            </w: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rPr>
                <w:sz w:val="20"/>
                <w:szCs w:val="20"/>
                <w:color w:val="auto"/>
              </w:rPr>
            </w:pPr>
            <w:r>
              <w:rPr>
                <w:rFonts w:ascii="Arial" w:cs="Arial" w:eastAsia="Arial" w:hAnsi="Arial"/>
                <w:sz w:val="16"/>
                <w:szCs w:val="16"/>
                <w:b w:val="1"/>
                <w:bCs w:val="1"/>
                <w:color w:val="auto"/>
              </w:rPr>
              <w:t>Former Public Directorships</w:t>
            </w:r>
          </w:p>
        </w:tc>
        <w:tc>
          <w:tcPr>
            <w:tcW w:w="480" w:type="dxa"/>
            <w:vAlign w:val="bottom"/>
          </w:tcPr>
          <w:p>
            <w:pPr>
              <w:spacing w:after="0"/>
              <w:rPr>
                <w:sz w:val="16"/>
                <w:szCs w:val="16"/>
                <w:color w:val="auto"/>
              </w:rPr>
            </w:pPr>
          </w:p>
        </w:tc>
        <w:tc>
          <w:tcPr>
            <w:tcW w:w="4340" w:type="dxa"/>
            <w:vAlign w:val="bottom"/>
          </w:tcPr>
          <w:p>
            <w:pPr>
              <w:ind w:left="60"/>
              <w:spacing w:after="0"/>
              <w:rPr>
                <w:sz w:val="20"/>
                <w:szCs w:val="20"/>
                <w:color w:val="auto"/>
              </w:rPr>
            </w:pPr>
            <w:r>
              <w:rPr>
                <w:rFonts w:ascii="Arial" w:cs="Arial" w:eastAsia="Arial" w:hAnsi="Arial"/>
                <w:sz w:val="16"/>
                <w:szCs w:val="16"/>
                <w:color w:val="auto"/>
              </w:rPr>
              <w:t>University of Science and Technology, and Petroleum</w:t>
            </w: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rPr>
                <w:sz w:val="20"/>
                <w:szCs w:val="20"/>
                <w:color w:val="auto"/>
              </w:rPr>
            </w:pPr>
            <w:r>
              <w:rPr>
                <w:rFonts w:ascii="Arial" w:cs="Arial" w:eastAsia="Arial" w:hAnsi="Arial"/>
                <w:sz w:val="16"/>
                <w:szCs w:val="16"/>
                <w:b w:val="1"/>
                <w:bCs w:val="1"/>
                <w:color w:val="auto"/>
              </w:rPr>
              <w:t>Held During the Past Five Years</w:t>
            </w:r>
          </w:p>
        </w:tc>
        <w:tc>
          <w:tcPr>
            <w:tcW w:w="480" w:type="dxa"/>
            <w:vAlign w:val="bottom"/>
          </w:tcPr>
          <w:p>
            <w:pPr>
              <w:spacing w:after="0"/>
              <w:rPr>
                <w:sz w:val="16"/>
                <w:szCs w:val="16"/>
                <w:color w:val="auto"/>
              </w:rPr>
            </w:pPr>
          </w:p>
        </w:tc>
        <w:tc>
          <w:tcPr>
            <w:tcW w:w="4340" w:type="dxa"/>
            <w:vAlign w:val="bottom"/>
          </w:tcPr>
          <w:p>
            <w:pPr>
              <w:ind w:left="60"/>
              <w:spacing w:after="0"/>
              <w:rPr>
                <w:sz w:val="20"/>
                <w:szCs w:val="20"/>
                <w:color w:val="auto"/>
              </w:rPr>
            </w:pPr>
            <w:r>
              <w:rPr>
                <w:rFonts w:ascii="Arial" w:cs="Arial" w:eastAsia="Arial" w:hAnsi="Arial"/>
                <w:sz w:val="16"/>
                <w:szCs w:val="16"/>
                <w:color w:val="auto"/>
              </w:rPr>
              <w:t>Economics and Management, IFP School</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20"/>
                <w:szCs w:val="20"/>
                <w:color w:val="auto"/>
              </w:rPr>
            </w:pPr>
            <w:r>
              <w:rPr>
                <w:rFonts w:ascii="Arial" w:cs="Arial" w:eastAsia="Arial" w:hAnsi="Arial"/>
                <w:sz w:val="16"/>
                <w:szCs w:val="16"/>
                <w:color w:val="16458B"/>
              </w:rPr>
              <w:t>•</w:t>
            </w:r>
          </w:p>
        </w:tc>
        <w:tc>
          <w:tcPr>
            <w:tcW w:w="3220" w:type="dxa"/>
            <w:vAlign w:val="bottom"/>
          </w:tcPr>
          <w:p>
            <w:pPr>
              <w:ind w:left="60"/>
              <w:spacing w:after="0"/>
              <w:rPr>
                <w:sz w:val="20"/>
                <w:szCs w:val="20"/>
                <w:color w:val="auto"/>
              </w:rPr>
            </w:pPr>
            <w:r>
              <w:rPr>
                <w:rFonts w:ascii="Arial" w:cs="Arial" w:eastAsia="Arial" w:hAnsi="Arial"/>
                <w:sz w:val="16"/>
                <w:szCs w:val="16"/>
                <w:color w:val="auto"/>
              </w:rPr>
              <w:t>Yara International ASA</w:t>
            </w:r>
          </w:p>
        </w:tc>
        <w:tc>
          <w:tcPr>
            <w:tcW w:w="4820" w:type="dxa"/>
            <w:vAlign w:val="bottom"/>
            <w:gridSpan w:val="2"/>
          </w:tcPr>
          <w:p>
            <w:pPr>
              <w:ind w:left="36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Corporate director certificate from Harvard Business School</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340" w:type="dxa"/>
            <w:vAlign w:val="bottom"/>
          </w:tcPr>
          <w:p>
            <w:pPr>
              <w:ind w:left="60"/>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69850</wp:posOffset>
            </wp:positionV>
            <wp:extent cx="17145" cy="171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69850</wp:posOffset>
            </wp:positionV>
            <wp:extent cx="17145" cy="171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69850</wp:posOffset>
            </wp:positionV>
            <wp:extent cx="17145" cy="171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69850</wp:posOffset>
            </wp:positionV>
            <wp:extent cx="17145" cy="171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69850</wp:posOffset>
            </wp:positionV>
            <wp:extent cx="17145" cy="171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69850</wp:posOffset>
            </wp:positionV>
            <wp:extent cx="17145" cy="171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69850</wp:posOffset>
            </wp:positionV>
            <wp:extent cx="17145" cy="171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69850</wp:posOffset>
            </wp:positionV>
            <wp:extent cx="17145" cy="171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69850</wp:posOffset>
            </wp:positionV>
            <wp:extent cx="17145" cy="171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69850</wp:posOffset>
            </wp:positionV>
            <wp:extent cx="17145" cy="171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69850</wp:posOffset>
            </wp:positionV>
            <wp:extent cx="17145" cy="171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69850</wp:posOffset>
            </wp:positionV>
            <wp:extent cx="17145" cy="171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69850</wp:posOffset>
            </wp:positionV>
            <wp:extent cx="17145" cy="171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69850</wp:posOffset>
            </wp:positionV>
            <wp:extent cx="17145" cy="171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69850</wp:posOffset>
            </wp:positionV>
            <wp:extent cx="17145" cy="171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69850</wp:posOffset>
            </wp:positionV>
            <wp:extent cx="17145" cy="171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69850</wp:posOffset>
            </wp:positionV>
            <wp:extent cx="17145" cy="171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69850</wp:posOffset>
            </wp:positionV>
            <wp:extent cx="17145" cy="171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69850</wp:posOffset>
            </wp:positionV>
            <wp:extent cx="17145" cy="171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69850</wp:posOffset>
            </wp:positionV>
            <wp:extent cx="17145" cy="171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69850</wp:posOffset>
            </wp:positionV>
            <wp:extent cx="17145" cy="171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69850</wp:posOffset>
            </wp:positionV>
            <wp:extent cx="17145" cy="171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69850</wp:posOffset>
            </wp:positionV>
            <wp:extent cx="17145" cy="171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69850</wp:posOffset>
            </wp:positionV>
            <wp:extent cx="17145" cy="171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69850</wp:posOffset>
            </wp:positionV>
            <wp:extent cx="17145" cy="171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69850</wp:posOffset>
            </wp:positionV>
            <wp:extent cx="17145" cy="171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69850</wp:posOffset>
            </wp:positionV>
            <wp:extent cx="17145" cy="171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69850</wp:posOffset>
            </wp:positionV>
            <wp:extent cx="17145" cy="171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69850</wp:posOffset>
            </wp:positionV>
            <wp:extent cx="17145" cy="171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69850</wp:posOffset>
            </wp:positionV>
            <wp:extent cx="17145" cy="171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69850</wp:posOffset>
            </wp:positionV>
            <wp:extent cx="17145" cy="171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69850</wp:posOffset>
            </wp:positionV>
            <wp:extent cx="17145" cy="171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69850</wp:posOffset>
            </wp:positionV>
            <wp:extent cx="17145" cy="171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69850</wp:posOffset>
            </wp:positionV>
            <wp:extent cx="17145" cy="171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69850</wp:posOffset>
            </wp:positionV>
            <wp:extent cx="17145" cy="171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69850</wp:posOffset>
            </wp:positionV>
            <wp:extent cx="17145" cy="171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69850</wp:posOffset>
            </wp:positionV>
            <wp:extent cx="17145" cy="171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69850</wp:posOffset>
            </wp:positionV>
            <wp:extent cx="17145" cy="171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69850</wp:posOffset>
            </wp:positionV>
            <wp:extent cx="17145" cy="171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69850</wp:posOffset>
            </wp:positionV>
            <wp:extent cx="17145" cy="171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69850</wp:posOffset>
            </wp:positionV>
            <wp:extent cx="17145" cy="171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69850</wp:posOffset>
            </wp:positionV>
            <wp:extent cx="17145" cy="171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69850</wp:posOffset>
            </wp:positionV>
            <wp:extent cx="17145" cy="171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69850</wp:posOffset>
            </wp:positionV>
            <wp:extent cx="17145" cy="171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69850</wp:posOffset>
            </wp:positionV>
            <wp:extent cx="17145" cy="171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69850</wp:posOffset>
            </wp:positionV>
            <wp:extent cx="17145" cy="171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69850</wp:posOffset>
            </wp:positionV>
            <wp:extent cx="17145" cy="171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69850</wp:posOffset>
            </wp:positionV>
            <wp:extent cx="17145" cy="171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69850</wp:posOffset>
            </wp:positionV>
            <wp:extent cx="17145" cy="171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69850</wp:posOffset>
            </wp:positionV>
            <wp:extent cx="17145" cy="171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69850</wp:posOffset>
            </wp:positionV>
            <wp:extent cx="17145" cy="171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69850</wp:posOffset>
            </wp:positionV>
            <wp:extent cx="17145" cy="171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69850</wp:posOffset>
            </wp:positionV>
            <wp:extent cx="17145" cy="171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69850</wp:posOffset>
            </wp:positionV>
            <wp:extent cx="17145" cy="171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69850</wp:posOffset>
            </wp:positionV>
            <wp:extent cx="17145" cy="171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69850</wp:posOffset>
            </wp:positionV>
            <wp:extent cx="17145" cy="171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69850</wp:posOffset>
            </wp:positionV>
            <wp:extent cx="17145" cy="171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69850</wp:posOffset>
            </wp:positionV>
            <wp:extent cx="17145" cy="171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69850</wp:posOffset>
            </wp:positionV>
            <wp:extent cx="17145" cy="171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69850</wp:posOffset>
            </wp:positionV>
            <wp:extent cx="17145" cy="171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69850</wp:posOffset>
            </wp:positionV>
            <wp:extent cx="17145" cy="171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69850</wp:posOffset>
            </wp:positionV>
            <wp:extent cx="17145" cy="171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69850</wp:posOffset>
            </wp:positionV>
            <wp:extent cx="17145" cy="171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69850</wp:posOffset>
            </wp:positionV>
            <wp:extent cx="17145" cy="171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69850</wp:posOffset>
            </wp:positionV>
            <wp:extent cx="17145" cy="171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69850</wp:posOffset>
            </wp:positionV>
            <wp:extent cx="17145" cy="171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69850</wp:posOffset>
            </wp:positionV>
            <wp:extent cx="17145" cy="171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69850</wp:posOffset>
            </wp:positionV>
            <wp:extent cx="17145" cy="171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69850</wp:posOffset>
            </wp:positionV>
            <wp:extent cx="17145" cy="171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69850</wp:posOffset>
            </wp:positionV>
            <wp:extent cx="17145" cy="171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69850</wp:posOffset>
            </wp:positionV>
            <wp:extent cx="17145" cy="171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69850</wp:posOffset>
            </wp:positionV>
            <wp:extent cx="17145" cy="171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69850</wp:posOffset>
            </wp:positionV>
            <wp:extent cx="17145" cy="171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69850</wp:posOffset>
            </wp:positionV>
            <wp:extent cx="17145" cy="171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69850</wp:posOffset>
            </wp:positionV>
            <wp:extent cx="17145" cy="171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69850</wp:posOffset>
            </wp:positionV>
            <wp:extent cx="17145" cy="171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69850</wp:posOffset>
            </wp:positionV>
            <wp:extent cx="17145" cy="171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69850</wp:posOffset>
            </wp:positionV>
            <wp:extent cx="17145" cy="171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69850</wp:posOffset>
            </wp:positionV>
            <wp:extent cx="17145" cy="171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69850</wp:posOffset>
            </wp:positionV>
            <wp:extent cx="17145" cy="171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69850</wp:posOffset>
            </wp:positionV>
            <wp:extent cx="17145" cy="171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69850</wp:posOffset>
            </wp:positionV>
            <wp:extent cx="17145" cy="171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69850</wp:posOffset>
            </wp:positionV>
            <wp:extent cx="17145" cy="171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69850</wp:posOffset>
            </wp:positionV>
            <wp:extent cx="17145" cy="171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69850</wp:posOffset>
            </wp:positionV>
            <wp:extent cx="17145" cy="171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69850</wp:posOffset>
            </wp:positionV>
            <wp:extent cx="17145" cy="171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4174490" cy="171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4174490" cy="17145"/>
                    </a:xfrm>
                    <a:prstGeom prst="rect">
                      <a:avLst/>
                    </a:prstGeom>
                    <a:noFill/>
                  </pic:spPr>
                </pic:pic>
              </a:graphicData>
            </a:graphic>
          </wp:anchor>
        </w:drawing>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MARIA MORÆUS HANSSEN is the former Deputy CEO and Chief Operating Officer of Wintershall Dea GmbH, a German-based oil and gas producer, having served in that role from May 2019 to December 2019 following the merger between DEA Deutsche Erdoel AG (DEA) and Wintershall Holding GmbH. Prior to that, she served as CEO of DEA and chair of its management board from January 2018 until April 2019. Before joining DEA, she served as CEO of ENGIE E&amp;P International SA and Head of the E&amp;P Business Unit for the ENGIE Group in Paris from 2015 to 2017. Ms. Moræus Hanssen served in various management and operations roles at Aker from 2008 to 2013, Statoil (now Equinor) from 2007 to 2008, and Norsk Hydro from 1992 to 2007. She has served on the boards of Scandinavian public companies Alfa Laval AB since April 2019 and Scatec Solar ASA since April 2020, and also serves in director and chair roles on various private company and non-profit boards. She previously served as deputy chairman and audit committee chair of Yara International from 2015 to May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Skills and Expertise</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Ms. Moræus Hanssen brings to the Board leadership and operational expertise as the former CEO of several European E&amp;P companies. The Board values her insight into the domestic and international energy policies of Norway, Germany, France and other countries that are strategically important to SLB, as well as her experience addressing risks related to the energy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263525</wp:posOffset>
            </wp:positionV>
            <wp:extent cx="471805" cy="28257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Pr>
          <w:p>
            <w:pPr>
              <w:spacing w:after="0"/>
              <w:rPr>
                <w:sz w:val="9"/>
                <w:szCs w:val="9"/>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15</w:t>
            </w:r>
          </w:p>
        </w:tc>
        <w:tc>
          <w:tcPr>
            <w:tcW w:w="44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16458B"/>
        </w:rPr>
        <w:t>Vanitha Narayanan,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16458B"/>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91198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32320" cy="1911985"/>
                    </a:xfrm>
                    <a:prstGeom prst="rect">
                      <a:avLst/>
                    </a:prstGeom>
                    <a:noFill/>
                  </pic:spPr>
                </pic:pic>
              </a:graphicData>
            </a:graphic>
          </wp:anchor>
        </w:drawing>
      </w:r>
    </w:p>
    <w:p>
      <w:pPr>
        <w:spacing w:after="0" w:line="138" w:lineRule="exact"/>
        <w:rPr>
          <w:sz w:val="20"/>
          <w:szCs w:val="20"/>
          <w:color w:val="auto"/>
        </w:rPr>
      </w:pPr>
    </w:p>
    <w:tbl>
      <w:tblPr>
        <w:tblLayout w:type="fixed"/>
        <w:tblInd w:w="2860" w:type="dxa"/>
        <w:tblCellMar>
          <w:top w:w="0" w:type="dxa"/>
          <w:left w:w="0" w:type="dxa"/>
          <w:bottom w:w="0" w:type="dxa"/>
          <w:right w:w="0" w:type="dxa"/>
        </w:tblCellMar>
      </w:tblPr>
      <w:tr>
        <w:trPr>
          <w:trHeight w:val="189"/>
        </w:trPr>
        <w:tc>
          <w:tcPr>
            <w:tcW w:w="3080" w:type="dxa"/>
            <w:vAlign w:val="bottom"/>
            <w:gridSpan w:val="2"/>
          </w:tcPr>
          <w:p>
            <w:pPr>
              <w:spacing w:after="0"/>
              <w:rPr>
                <w:sz w:val="20"/>
                <w:szCs w:val="20"/>
                <w:color w:val="auto"/>
              </w:rPr>
            </w:pPr>
            <w:r>
              <w:rPr>
                <w:rFonts w:ascii="Arial" w:cs="Arial" w:eastAsia="Arial" w:hAnsi="Arial"/>
                <w:sz w:val="16"/>
                <w:szCs w:val="16"/>
                <w:b w:val="1"/>
                <w:bCs w:val="1"/>
                <w:color w:val="auto"/>
              </w:rPr>
              <w:t>Former Chairman and Managing</w:t>
            </w:r>
          </w:p>
        </w:tc>
        <w:tc>
          <w:tcPr>
            <w:tcW w:w="5220" w:type="dxa"/>
            <w:vAlign w:val="bottom"/>
            <w:gridSpan w:val="2"/>
          </w:tcPr>
          <w:p>
            <w:pPr>
              <w:ind w:left="620"/>
              <w:spacing w:after="0"/>
              <w:rPr>
                <w:sz w:val="20"/>
                <w:szCs w:val="20"/>
                <w:color w:val="auto"/>
              </w:rPr>
            </w:pPr>
            <w:r>
              <w:rPr>
                <w:rFonts w:ascii="Arial" w:cs="Arial" w:eastAsia="Arial" w:hAnsi="Arial"/>
                <w:sz w:val="16"/>
                <w:szCs w:val="16"/>
                <w:b w:val="1"/>
                <w:bCs w:val="1"/>
                <w:color w:val="auto"/>
              </w:rPr>
              <w:t>Nationality</w:t>
            </w:r>
          </w:p>
        </w:tc>
        <w:tc>
          <w:tcPr>
            <w:tcW w:w="0" w:type="dxa"/>
            <w:vAlign w:val="bottom"/>
          </w:tcPr>
          <w:p>
            <w:pPr>
              <w:spacing w:after="0"/>
              <w:rPr>
                <w:sz w:val="1"/>
                <w:szCs w:val="1"/>
                <w:color w:val="auto"/>
              </w:rPr>
            </w:pPr>
          </w:p>
        </w:tc>
      </w:tr>
      <w:tr>
        <w:trPr>
          <w:trHeight w:val="189"/>
        </w:trPr>
        <w:tc>
          <w:tcPr>
            <w:tcW w:w="3080" w:type="dxa"/>
            <w:vAlign w:val="bottom"/>
            <w:gridSpan w:val="2"/>
          </w:tcPr>
          <w:p>
            <w:pPr>
              <w:spacing w:after="0"/>
              <w:rPr>
                <w:sz w:val="20"/>
                <w:szCs w:val="20"/>
                <w:color w:val="auto"/>
              </w:rPr>
            </w:pPr>
            <w:r>
              <w:rPr>
                <w:rFonts w:ascii="Arial" w:cs="Arial" w:eastAsia="Arial" w:hAnsi="Arial"/>
                <w:sz w:val="16"/>
                <w:szCs w:val="16"/>
                <w:b w:val="1"/>
                <w:bCs w:val="1"/>
                <w:color w:val="auto"/>
              </w:rPr>
              <w:t>Director,</w:t>
            </w:r>
          </w:p>
        </w:tc>
        <w:tc>
          <w:tcPr>
            <w:tcW w:w="5220" w:type="dxa"/>
            <w:vAlign w:val="bottom"/>
            <w:gridSpan w:val="2"/>
          </w:tcPr>
          <w:p>
            <w:pPr>
              <w:ind w:left="6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23"/>
        </w:trPr>
        <w:tc>
          <w:tcPr>
            <w:tcW w:w="3080" w:type="dxa"/>
            <w:vAlign w:val="bottom"/>
            <w:gridSpan w:val="2"/>
          </w:tcPr>
          <w:p>
            <w:pPr>
              <w:spacing w:after="0"/>
              <w:rPr>
                <w:sz w:val="20"/>
                <w:szCs w:val="20"/>
                <w:color w:val="auto"/>
              </w:rPr>
            </w:pPr>
            <w:r>
              <w:rPr>
                <w:rFonts w:ascii="Arial" w:cs="Arial" w:eastAsia="Arial" w:hAnsi="Arial"/>
                <w:sz w:val="16"/>
                <w:szCs w:val="16"/>
                <w:b w:val="1"/>
                <w:bCs w:val="1"/>
                <w:color w:val="auto"/>
              </w:rPr>
              <w:t>IBM India</w:t>
            </w:r>
          </w:p>
        </w:tc>
        <w:tc>
          <w:tcPr>
            <w:tcW w:w="5220" w:type="dxa"/>
            <w:vAlign w:val="bottom"/>
            <w:gridSpan w:val="2"/>
            <w:vMerge w:val="restart"/>
          </w:tcPr>
          <w:p>
            <w:pPr>
              <w:ind w:left="620"/>
              <w:spacing w:after="0"/>
              <w:rPr>
                <w:sz w:val="20"/>
                <w:szCs w:val="20"/>
                <w:color w:val="auto"/>
              </w:rPr>
            </w:pPr>
            <w:r>
              <w:rPr>
                <w:rFonts w:ascii="Arial" w:cs="Arial" w:eastAsia="Arial" w:hAnsi="Arial"/>
                <w:sz w:val="16"/>
                <w:szCs w:val="16"/>
                <w:b w:val="1"/>
                <w:bCs w:val="1"/>
                <w:color w:val="auto"/>
              </w:rPr>
              <w:t>SLB Board Committees</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5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80" w:type="dxa"/>
            <w:vAlign w:val="bottom"/>
            <w:gridSpan w:val="2"/>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2021</w:t>
            </w:r>
          </w:p>
        </w:tc>
        <w:tc>
          <w:tcPr>
            <w:tcW w:w="720" w:type="dxa"/>
            <w:vAlign w:val="bottom"/>
          </w:tcPr>
          <w:p>
            <w:pPr>
              <w:ind w:left="620"/>
              <w:spacing w:after="0"/>
              <w:rPr>
                <w:sz w:val="20"/>
                <w:szCs w:val="20"/>
                <w:color w:val="auto"/>
              </w:rPr>
            </w:pPr>
            <w:r>
              <w:rPr>
                <w:rFonts w:ascii="Arial" w:cs="Arial" w:eastAsia="Arial" w:hAnsi="Arial"/>
                <w:sz w:val="16"/>
                <w:szCs w:val="16"/>
                <w:color w:val="16458B"/>
              </w:rPr>
              <w:t>•</w:t>
            </w:r>
          </w:p>
        </w:tc>
        <w:tc>
          <w:tcPr>
            <w:tcW w:w="4500" w:type="dxa"/>
            <w:vAlign w:val="bottom"/>
          </w:tcPr>
          <w:p>
            <w:pPr>
              <w:ind w:left="80"/>
              <w:spacing w:after="0"/>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223"/>
        </w:trPr>
        <w:tc>
          <w:tcPr>
            <w:tcW w:w="3080" w:type="dxa"/>
            <w:vAlign w:val="bottom"/>
            <w:gridSpan w:val="2"/>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63</w:t>
            </w:r>
          </w:p>
        </w:tc>
        <w:tc>
          <w:tcPr>
            <w:tcW w:w="720" w:type="dxa"/>
            <w:vAlign w:val="bottom"/>
          </w:tcPr>
          <w:p>
            <w:pPr>
              <w:ind w:left="620"/>
              <w:spacing w:after="0"/>
              <w:rPr>
                <w:sz w:val="20"/>
                <w:szCs w:val="20"/>
                <w:color w:val="auto"/>
              </w:rPr>
            </w:pPr>
            <w:r>
              <w:rPr>
                <w:rFonts w:ascii="Arial" w:cs="Arial" w:eastAsia="Arial" w:hAnsi="Arial"/>
                <w:sz w:val="16"/>
                <w:szCs w:val="16"/>
                <w:color w:val="16458B"/>
              </w:rPr>
              <w:t>•</w:t>
            </w:r>
          </w:p>
        </w:tc>
        <w:tc>
          <w:tcPr>
            <w:tcW w:w="4500" w:type="dxa"/>
            <w:vAlign w:val="bottom"/>
          </w:tcPr>
          <w:p>
            <w:pPr>
              <w:ind w:left="80"/>
              <w:spacing w:after="0"/>
              <w:rPr>
                <w:sz w:val="20"/>
                <w:szCs w:val="20"/>
                <w:color w:val="auto"/>
              </w:rPr>
            </w:pPr>
            <w:r>
              <w:rPr>
                <w:rFonts w:ascii="Arial" w:cs="Arial" w:eastAsia="Arial" w:hAnsi="Arial"/>
                <w:sz w:val="16"/>
                <w:szCs w:val="16"/>
                <w:color w:val="auto"/>
              </w:rPr>
              <w:t>Nominating and Governance</w:t>
            </w:r>
          </w:p>
        </w:tc>
        <w:tc>
          <w:tcPr>
            <w:tcW w:w="0" w:type="dxa"/>
            <w:vAlign w:val="bottom"/>
          </w:tcPr>
          <w:p>
            <w:pPr>
              <w:spacing w:after="0"/>
              <w:rPr>
                <w:sz w:val="1"/>
                <w:szCs w:val="1"/>
                <w:color w:val="auto"/>
              </w:rPr>
            </w:pPr>
          </w:p>
        </w:tc>
      </w:tr>
      <w:tr>
        <w:trPr>
          <w:trHeight w:val="344"/>
        </w:trPr>
        <w:tc>
          <w:tcPr>
            <w:tcW w:w="3080" w:type="dxa"/>
            <w:vAlign w:val="bottom"/>
            <w:gridSpan w:val="2"/>
          </w:tcPr>
          <w:p>
            <w:pPr>
              <w:spacing w:after="0"/>
              <w:rPr>
                <w:sz w:val="20"/>
                <w:szCs w:val="20"/>
                <w:color w:val="auto"/>
              </w:rPr>
            </w:pPr>
            <w:r>
              <w:rPr>
                <w:rFonts w:ascii="Arial" w:cs="Arial" w:eastAsia="Arial" w:hAnsi="Arial"/>
                <w:sz w:val="16"/>
                <w:szCs w:val="16"/>
                <w:b w:val="1"/>
                <w:bCs w:val="1"/>
                <w:color w:val="auto"/>
              </w:rPr>
              <w:t>Other Current Public Boards</w:t>
            </w:r>
          </w:p>
        </w:tc>
        <w:tc>
          <w:tcPr>
            <w:tcW w:w="5220" w:type="dxa"/>
            <w:vAlign w:val="bottom"/>
            <w:gridSpan w:val="2"/>
          </w:tcPr>
          <w:p>
            <w:pPr>
              <w:ind w:left="62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20"/>
                <w:szCs w:val="20"/>
                <w:color w:val="auto"/>
              </w:rPr>
            </w:pPr>
            <w:r>
              <w:rPr>
                <w:rFonts w:ascii="Arial" w:cs="Arial" w:eastAsia="Arial" w:hAnsi="Arial"/>
                <w:sz w:val="16"/>
                <w:szCs w:val="16"/>
                <w:color w:val="16458B"/>
              </w:rPr>
              <w:t>•</w:t>
            </w:r>
          </w:p>
        </w:tc>
        <w:tc>
          <w:tcPr>
            <w:tcW w:w="2960" w:type="dxa"/>
            <w:vAlign w:val="bottom"/>
          </w:tcPr>
          <w:p>
            <w:pPr>
              <w:ind w:left="60"/>
              <w:spacing w:after="0"/>
              <w:rPr>
                <w:sz w:val="20"/>
                <w:szCs w:val="20"/>
                <w:color w:val="auto"/>
              </w:rPr>
            </w:pPr>
            <w:r>
              <w:rPr>
                <w:rFonts w:ascii="Arial" w:cs="Arial" w:eastAsia="Arial" w:hAnsi="Arial"/>
                <w:sz w:val="16"/>
                <w:szCs w:val="16"/>
                <w:color w:val="auto"/>
              </w:rPr>
              <w:t>ReNew Power</w:t>
            </w:r>
          </w:p>
        </w:tc>
        <w:tc>
          <w:tcPr>
            <w:tcW w:w="5220" w:type="dxa"/>
            <w:vAlign w:val="bottom"/>
            <w:gridSpan w:val="2"/>
          </w:tcPr>
          <w:p>
            <w:pPr>
              <w:ind w:left="62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MBA, University of Houston</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20"/>
                <w:szCs w:val="20"/>
                <w:color w:val="auto"/>
              </w:rPr>
            </w:pPr>
            <w:r>
              <w:rPr>
                <w:rFonts w:ascii="Arial" w:cs="Arial" w:eastAsia="Arial" w:hAnsi="Arial"/>
                <w:sz w:val="16"/>
                <w:szCs w:val="16"/>
                <w:color w:val="16458B"/>
              </w:rPr>
              <w:t>•</w:t>
            </w:r>
          </w:p>
        </w:tc>
        <w:tc>
          <w:tcPr>
            <w:tcW w:w="2960" w:type="dxa"/>
            <w:vAlign w:val="bottom"/>
          </w:tcPr>
          <w:p>
            <w:pPr>
              <w:ind w:left="60"/>
              <w:spacing w:after="0"/>
              <w:rPr>
                <w:sz w:val="20"/>
                <w:szCs w:val="20"/>
                <w:color w:val="auto"/>
              </w:rPr>
            </w:pPr>
            <w:r>
              <w:rPr>
                <w:rFonts w:ascii="Arial" w:cs="Arial" w:eastAsia="Arial" w:hAnsi="Arial"/>
                <w:sz w:val="16"/>
                <w:szCs w:val="16"/>
                <w:color w:val="auto"/>
              </w:rPr>
              <w:t>HCL Technologies</w:t>
            </w:r>
          </w:p>
        </w:tc>
        <w:tc>
          <w:tcPr>
            <w:tcW w:w="5220" w:type="dxa"/>
            <w:vAlign w:val="bottom"/>
            <w:gridSpan w:val="2"/>
          </w:tcPr>
          <w:p>
            <w:pPr>
              <w:ind w:left="62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First woman chairperson of American Chamber of Commerce</w:t>
            </w: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500" w:type="dxa"/>
            <w:vAlign w:val="bottom"/>
          </w:tcPr>
          <w:p>
            <w:pPr>
              <w:ind w:left="60"/>
              <w:spacing w:after="0"/>
              <w:rPr>
                <w:sz w:val="20"/>
                <w:szCs w:val="20"/>
                <w:color w:val="auto"/>
              </w:rPr>
            </w:pPr>
            <w:r>
              <w:rPr>
                <w:rFonts w:ascii="Arial" w:cs="Arial" w:eastAsia="Arial" w:hAnsi="Arial"/>
                <w:sz w:val="16"/>
                <w:szCs w:val="16"/>
                <w:color w:val="auto"/>
              </w:rPr>
              <w:t>in India (AMCHAM India)</w:t>
            </w:r>
          </w:p>
        </w:tc>
        <w:tc>
          <w:tcPr>
            <w:tcW w:w="0" w:type="dxa"/>
            <w:vAlign w:val="bottom"/>
          </w:tcPr>
          <w:p>
            <w:pPr>
              <w:spacing w:after="0"/>
              <w:rPr>
                <w:sz w:val="1"/>
                <w:szCs w:val="1"/>
                <w:color w:val="auto"/>
              </w:rPr>
            </w:pPr>
          </w:p>
        </w:tc>
      </w:tr>
    </w:tbl>
    <w:p>
      <w:pPr>
        <w:ind w:left="2860"/>
        <w:spacing w:after="0"/>
        <w:rPr>
          <w:sz w:val="20"/>
          <w:szCs w:val="20"/>
          <w:color w:val="auto"/>
        </w:rPr>
      </w:pPr>
      <w:r>
        <w:rPr>
          <w:rFonts w:ascii="Arial" w:cs="Arial" w:eastAsia="Arial" w:hAnsi="Arial"/>
          <w:sz w:val="16"/>
          <w:szCs w:val="16"/>
          <w:b w:val="1"/>
          <w:bCs w:val="1"/>
          <w:color w:val="auto"/>
        </w:rPr>
        <w:t>Former Public Directorships</w:t>
      </w:r>
    </w:p>
    <w:p>
      <w:pPr>
        <w:spacing w:after="0" w:line="5"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auto"/>
        </w:rPr>
        <w:t>Held During the Past Five Years</w:t>
      </w:r>
    </w:p>
    <w:p>
      <w:pPr>
        <w:spacing w:after="0" w:line="5" w:lineRule="exact"/>
        <w:rPr>
          <w:sz w:val="20"/>
          <w:szCs w:val="20"/>
          <w:color w:val="auto"/>
        </w:rPr>
      </w:pPr>
    </w:p>
    <w:p>
      <w:pPr>
        <w:ind w:left="3040" w:hanging="184"/>
        <w:spacing w:after="0"/>
        <w:tabs>
          <w:tab w:leader="none" w:pos="3040" w:val="left"/>
        </w:tabs>
        <w:numPr>
          <w:ilvl w:val="0"/>
          <w:numId w:val="15"/>
        </w:numPr>
        <w:rPr>
          <w:rFonts w:ascii="Arial" w:cs="Arial" w:eastAsia="Arial" w:hAnsi="Arial"/>
          <w:sz w:val="16"/>
          <w:szCs w:val="16"/>
          <w:color w:val="16458B"/>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199390</wp:posOffset>
            </wp:positionV>
            <wp:extent cx="17145" cy="171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199390</wp:posOffset>
            </wp:positionV>
            <wp:extent cx="17145" cy="171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199390</wp:posOffset>
            </wp:positionV>
            <wp:extent cx="17145" cy="171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199390</wp:posOffset>
            </wp:positionV>
            <wp:extent cx="17145" cy="171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199390</wp:posOffset>
            </wp:positionV>
            <wp:extent cx="17145" cy="171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199390</wp:posOffset>
            </wp:positionV>
            <wp:extent cx="17145" cy="171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199390</wp:posOffset>
            </wp:positionV>
            <wp:extent cx="17145" cy="171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199390</wp:posOffset>
            </wp:positionV>
            <wp:extent cx="17145" cy="171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199390</wp:posOffset>
            </wp:positionV>
            <wp:extent cx="17145" cy="171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199390</wp:posOffset>
            </wp:positionV>
            <wp:extent cx="17145" cy="171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199390</wp:posOffset>
            </wp:positionV>
            <wp:extent cx="17145" cy="171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199390</wp:posOffset>
            </wp:positionV>
            <wp:extent cx="17145" cy="171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199390</wp:posOffset>
            </wp:positionV>
            <wp:extent cx="17145" cy="171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199390</wp:posOffset>
            </wp:positionV>
            <wp:extent cx="17145" cy="171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199390</wp:posOffset>
            </wp:positionV>
            <wp:extent cx="17145" cy="1714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199390</wp:posOffset>
            </wp:positionV>
            <wp:extent cx="17145" cy="171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199390</wp:posOffset>
            </wp:positionV>
            <wp:extent cx="17145" cy="171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199390</wp:posOffset>
            </wp:positionV>
            <wp:extent cx="17145" cy="171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199390</wp:posOffset>
            </wp:positionV>
            <wp:extent cx="17145" cy="171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199390</wp:posOffset>
            </wp:positionV>
            <wp:extent cx="17145" cy="171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199390</wp:posOffset>
            </wp:positionV>
            <wp:extent cx="17145" cy="171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199390</wp:posOffset>
            </wp:positionV>
            <wp:extent cx="17145" cy="171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199390</wp:posOffset>
            </wp:positionV>
            <wp:extent cx="17145" cy="1714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199390</wp:posOffset>
            </wp:positionV>
            <wp:extent cx="17145" cy="171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199390</wp:posOffset>
            </wp:positionV>
            <wp:extent cx="17145" cy="1714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199390</wp:posOffset>
            </wp:positionV>
            <wp:extent cx="17145" cy="171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199390</wp:posOffset>
            </wp:positionV>
            <wp:extent cx="17145" cy="171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199390</wp:posOffset>
            </wp:positionV>
            <wp:extent cx="17145" cy="171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199390</wp:posOffset>
            </wp:positionV>
            <wp:extent cx="17145" cy="171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199390</wp:posOffset>
            </wp:positionV>
            <wp:extent cx="17145" cy="171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199390</wp:posOffset>
            </wp:positionV>
            <wp:extent cx="17145" cy="1714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199390</wp:posOffset>
            </wp:positionV>
            <wp:extent cx="17145" cy="171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199390</wp:posOffset>
            </wp:positionV>
            <wp:extent cx="17145" cy="171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199390</wp:posOffset>
            </wp:positionV>
            <wp:extent cx="17145" cy="1714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199390</wp:posOffset>
            </wp:positionV>
            <wp:extent cx="17145" cy="171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199390</wp:posOffset>
            </wp:positionV>
            <wp:extent cx="17145" cy="1714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199390</wp:posOffset>
            </wp:positionV>
            <wp:extent cx="17145" cy="1714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199390</wp:posOffset>
            </wp:positionV>
            <wp:extent cx="17145" cy="171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199390</wp:posOffset>
            </wp:positionV>
            <wp:extent cx="17145" cy="1714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199390</wp:posOffset>
            </wp:positionV>
            <wp:extent cx="17145" cy="1714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199390</wp:posOffset>
            </wp:positionV>
            <wp:extent cx="17145" cy="1714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199390</wp:posOffset>
            </wp:positionV>
            <wp:extent cx="17145" cy="1714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199390</wp:posOffset>
            </wp:positionV>
            <wp:extent cx="17145" cy="1714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199390</wp:posOffset>
            </wp:positionV>
            <wp:extent cx="17145" cy="1714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199390</wp:posOffset>
            </wp:positionV>
            <wp:extent cx="17145" cy="171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199390</wp:posOffset>
            </wp:positionV>
            <wp:extent cx="17145" cy="1714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199390</wp:posOffset>
            </wp:positionV>
            <wp:extent cx="17145" cy="171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199390</wp:posOffset>
            </wp:positionV>
            <wp:extent cx="17145" cy="171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199390</wp:posOffset>
            </wp:positionV>
            <wp:extent cx="17145" cy="1714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199390</wp:posOffset>
            </wp:positionV>
            <wp:extent cx="17145" cy="1714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199390</wp:posOffset>
            </wp:positionV>
            <wp:extent cx="17145" cy="171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199390</wp:posOffset>
            </wp:positionV>
            <wp:extent cx="17145" cy="171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199390</wp:posOffset>
            </wp:positionV>
            <wp:extent cx="17145" cy="1714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199390</wp:posOffset>
            </wp:positionV>
            <wp:extent cx="17145" cy="1714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199390</wp:posOffset>
            </wp:positionV>
            <wp:extent cx="17145" cy="1714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199390</wp:posOffset>
            </wp:positionV>
            <wp:extent cx="17145" cy="1714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199390</wp:posOffset>
            </wp:positionV>
            <wp:extent cx="17145" cy="1714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199390</wp:posOffset>
            </wp:positionV>
            <wp:extent cx="17145" cy="1714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199390</wp:posOffset>
            </wp:positionV>
            <wp:extent cx="17145" cy="1714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199390</wp:posOffset>
            </wp:positionV>
            <wp:extent cx="17145" cy="1714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199390</wp:posOffset>
            </wp:positionV>
            <wp:extent cx="17145" cy="1714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199390</wp:posOffset>
            </wp:positionV>
            <wp:extent cx="17145" cy="171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199390</wp:posOffset>
            </wp:positionV>
            <wp:extent cx="17145" cy="1714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199390</wp:posOffset>
            </wp:positionV>
            <wp:extent cx="17145" cy="1714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199390</wp:posOffset>
            </wp:positionV>
            <wp:extent cx="17145" cy="171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199390</wp:posOffset>
            </wp:positionV>
            <wp:extent cx="17145" cy="171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199390</wp:posOffset>
            </wp:positionV>
            <wp:extent cx="17145" cy="1714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199390</wp:posOffset>
            </wp:positionV>
            <wp:extent cx="17145" cy="1714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199390</wp:posOffset>
            </wp:positionV>
            <wp:extent cx="17145" cy="171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199390</wp:posOffset>
            </wp:positionV>
            <wp:extent cx="17145" cy="1714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199390</wp:posOffset>
            </wp:positionV>
            <wp:extent cx="17145" cy="1714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199390</wp:posOffset>
            </wp:positionV>
            <wp:extent cx="17145" cy="171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199390</wp:posOffset>
            </wp:positionV>
            <wp:extent cx="17145" cy="171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199390</wp:posOffset>
            </wp:positionV>
            <wp:extent cx="17145" cy="171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199390</wp:posOffset>
            </wp:positionV>
            <wp:extent cx="17145" cy="1714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199390</wp:posOffset>
            </wp:positionV>
            <wp:extent cx="17145" cy="1714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199390</wp:posOffset>
            </wp:positionV>
            <wp:extent cx="17145" cy="1714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199390</wp:posOffset>
            </wp:positionV>
            <wp:extent cx="17145" cy="1714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199390</wp:posOffset>
            </wp:positionV>
            <wp:extent cx="17145" cy="1714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199390</wp:posOffset>
            </wp:positionV>
            <wp:extent cx="17145" cy="1714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199390</wp:posOffset>
            </wp:positionV>
            <wp:extent cx="17145" cy="1714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199390</wp:posOffset>
            </wp:positionV>
            <wp:extent cx="17145" cy="1714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199390</wp:posOffset>
            </wp:positionV>
            <wp:extent cx="17145" cy="1714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199390</wp:posOffset>
            </wp:positionV>
            <wp:extent cx="17145" cy="1714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199390</wp:posOffset>
            </wp:positionV>
            <wp:extent cx="17145" cy="1714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199390</wp:posOffset>
            </wp:positionV>
            <wp:extent cx="17145" cy="1714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199390</wp:posOffset>
            </wp:positionV>
            <wp:extent cx="4174490" cy="1714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4174490" cy="17145"/>
                    </a:xfrm>
                    <a:prstGeom prst="rect">
                      <a:avLst/>
                    </a:prstGeom>
                    <a:noFill/>
                  </pic:spPr>
                </pic:pic>
              </a:graphicData>
            </a:graphic>
          </wp:anchor>
        </w:drawing>
      </w:r>
    </w:p>
    <w:p>
      <w:pPr>
        <w:spacing w:after="0" w:line="3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VANITHA NARAYANAN is the former Chairman and Managing Director of IBM India, a subsidiary of IBM, a multinational technology corporation. Over her career spanning three decades at IBM, she held senior executive positions with responsibility for digital businesses in the United States, Asia-Pacific and India regions, including as Chairman of IBM India from January 2017 to March 2018 and Managing Director from 2013 to 2016. During her tenure, IBM India was one of IBM’s fastest-growing growth markets. Most recently, Ms. Narayanan served as Managing Director for a strategic telecommunications client of IBM’s from April 2018 until her retirement in 2020, leading a strategic 5G business partnership. Since August 2020, she has served as a director of ReNew Power, one of the largest renewable power companies in India, where she serves as a member of the audit and ESG committees. She has also been a director of HCL Technologies since July 2021, where she serves as a member of the nominating and remuneration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Skills and Expertise</w:t>
      </w:r>
    </w:p>
    <w:p>
      <w:pPr>
        <w:spacing w:after="0" w:line="10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Ms. Narayanan brings to the Board a wealth of global leadership and technology experience, particularly in the Asia-Pacific and India geographies. The Board values Ms. Narayanan’s digital expertise leading global technology businesses, as SLB continues to implement its digital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16458B"/>
        </w:rPr>
        <w:t>Mark Papa,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16458B"/>
        </w:rPr>
        <w:t>Independent Chairman of the SLB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91198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132320" cy="1911985"/>
                    </a:xfrm>
                    <a:prstGeom prst="rect">
                      <a:avLst/>
                    </a:prstGeom>
                    <a:noFill/>
                  </pic:spPr>
                </pic:pic>
              </a:graphicData>
            </a:graphic>
          </wp:anchor>
        </w:drawing>
      </w:r>
    </w:p>
    <w:p>
      <w:pPr>
        <w:spacing w:after="0" w:line="138" w:lineRule="exact"/>
        <w:rPr>
          <w:sz w:val="20"/>
          <w:szCs w:val="20"/>
          <w:color w:val="auto"/>
        </w:rPr>
      </w:pPr>
    </w:p>
    <w:tbl>
      <w:tblPr>
        <w:tblLayout w:type="fixed"/>
        <w:tblInd w:w="2860" w:type="dxa"/>
        <w:tblCellMar>
          <w:top w:w="0" w:type="dxa"/>
          <w:left w:w="0" w:type="dxa"/>
          <w:bottom w:w="0" w:type="dxa"/>
          <w:right w:w="0" w:type="dxa"/>
        </w:tblCellMar>
      </w:tblPr>
      <w:tr>
        <w:trPr>
          <w:trHeight w:val="189"/>
        </w:trPr>
        <w:tc>
          <w:tcPr>
            <w:tcW w:w="3200" w:type="dxa"/>
            <w:vAlign w:val="bottom"/>
            <w:gridSpan w:val="2"/>
          </w:tcPr>
          <w:p>
            <w:pPr>
              <w:spacing w:after="0"/>
              <w:rPr>
                <w:sz w:val="20"/>
                <w:szCs w:val="20"/>
                <w:color w:val="auto"/>
              </w:rPr>
            </w:pPr>
            <w:r>
              <w:rPr>
                <w:rFonts w:ascii="Arial" w:cs="Arial" w:eastAsia="Arial" w:hAnsi="Arial"/>
                <w:sz w:val="16"/>
                <w:szCs w:val="16"/>
                <w:b w:val="1"/>
                <w:bCs w:val="1"/>
                <w:color w:val="auto"/>
              </w:rPr>
              <w:t>Former Chairman and CEO,</w:t>
            </w:r>
          </w:p>
        </w:tc>
        <w:tc>
          <w:tcPr>
            <w:tcW w:w="4980" w:type="dxa"/>
            <w:vAlign w:val="bottom"/>
          </w:tcPr>
          <w:p>
            <w:pPr>
              <w:ind w:left="500"/>
              <w:spacing w:after="0"/>
              <w:rPr>
                <w:sz w:val="20"/>
                <w:szCs w:val="20"/>
                <w:color w:val="auto"/>
              </w:rPr>
            </w:pPr>
            <w:r>
              <w:rPr>
                <w:rFonts w:ascii="Arial" w:cs="Arial" w:eastAsia="Arial" w:hAnsi="Arial"/>
                <w:sz w:val="16"/>
                <w:szCs w:val="16"/>
                <w:b w:val="1"/>
                <w:bCs w:val="1"/>
                <w:color w:val="auto"/>
              </w:rPr>
              <w:t>Nationality</w:t>
            </w:r>
          </w:p>
        </w:tc>
      </w:tr>
      <w:tr>
        <w:trPr>
          <w:trHeight w:val="223"/>
        </w:trPr>
        <w:tc>
          <w:tcPr>
            <w:tcW w:w="3200" w:type="dxa"/>
            <w:vAlign w:val="bottom"/>
            <w:gridSpan w:val="2"/>
          </w:tcPr>
          <w:p>
            <w:pPr>
              <w:spacing w:after="0"/>
              <w:rPr>
                <w:sz w:val="20"/>
                <w:szCs w:val="20"/>
                <w:color w:val="auto"/>
              </w:rPr>
            </w:pPr>
            <w:r>
              <w:rPr>
                <w:rFonts w:ascii="Arial" w:cs="Arial" w:eastAsia="Arial" w:hAnsi="Arial"/>
                <w:sz w:val="16"/>
                <w:szCs w:val="16"/>
                <w:b w:val="1"/>
                <w:bCs w:val="1"/>
                <w:color w:val="auto"/>
              </w:rPr>
              <w:t>Centennial Resource Development</w:t>
            </w:r>
          </w:p>
        </w:tc>
        <w:tc>
          <w:tcPr>
            <w:tcW w:w="4980" w:type="dxa"/>
            <w:vAlign w:val="bottom"/>
          </w:tcPr>
          <w:p>
            <w:pPr>
              <w:ind w:left="500"/>
              <w:spacing w:after="0"/>
              <w:rPr>
                <w:sz w:val="20"/>
                <w:szCs w:val="20"/>
                <w:color w:val="auto"/>
              </w:rPr>
            </w:pPr>
            <w:r>
              <w:rPr>
                <w:rFonts w:ascii="Arial" w:cs="Arial" w:eastAsia="Arial" w:hAnsi="Arial"/>
                <w:sz w:val="16"/>
                <w:szCs w:val="16"/>
                <w:color w:val="auto"/>
              </w:rPr>
              <w:t>United States of America</w:t>
            </w:r>
          </w:p>
        </w:tc>
      </w:tr>
      <w:tr>
        <w:trPr>
          <w:trHeight w:val="344"/>
        </w:trPr>
        <w:tc>
          <w:tcPr>
            <w:tcW w:w="3200" w:type="dxa"/>
            <w:vAlign w:val="bottom"/>
            <w:gridSpan w:val="2"/>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2018</w:t>
            </w:r>
          </w:p>
        </w:tc>
        <w:tc>
          <w:tcPr>
            <w:tcW w:w="4980" w:type="dxa"/>
            <w:vAlign w:val="bottom"/>
          </w:tcPr>
          <w:p>
            <w:pPr>
              <w:ind w:left="500"/>
              <w:spacing w:after="0"/>
              <w:rPr>
                <w:sz w:val="20"/>
                <w:szCs w:val="20"/>
                <w:color w:val="auto"/>
              </w:rPr>
            </w:pPr>
            <w:r>
              <w:rPr>
                <w:rFonts w:ascii="Arial" w:cs="Arial" w:eastAsia="Arial" w:hAnsi="Arial"/>
                <w:sz w:val="16"/>
                <w:szCs w:val="16"/>
                <w:b w:val="1"/>
                <w:bCs w:val="1"/>
                <w:color w:val="auto"/>
              </w:rPr>
              <w:t>SLB Board Committees</w:t>
            </w:r>
          </w:p>
        </w:tc>
      </w:tr>
      <w:tr>
        <w:trPr>
          <w:trHeight w:val="223"/>
        </w:trPr>
        <w:tc>
          <w:tcPr>
            <w:tcW w:w="3200" w:type="dxa"/>
            <w:vAlign w:val="bottom"/>
            <w:gridSpan w:val="2"/>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76</w:t>
            </w:r>
          </w:p>
        </w:tc>
        <w:tc>
          <w:tcPr>
            <w:tcW w:w="4980" w:type="dxa"/>
            <w:vAlign w:val="bottom"/>
          </w:tcPr>
          <w:p>
            <w:pPr>
              <w:ind w:left="50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Nominating and Governance, Chair</w:t>
            </w:r>
          </w:p>
        </w:tc>
      </w:tr>
      <w:tr>
        <w:trPr>
          <w:trHeight w:val="344"/>
        </w:trPr>
        <w:tc>
          <w:tcPr>
            <w:tcW w:w="3200" w:type="dxa"/>
            <w:vAlign w:val="bottom"/>
            <w:gridSpan w:val="2"/>
          </w:tcPr>
          <w:p>
            <w:pPr>
              <w:spacing w:after="0"/>
              <w:rPr>
                <w:sz w:val="20"/>
                <w:szCs w:val="20"/>
                <w:color w:val="auto"/>
              </w:rPr>
            </w:pPr>
            <w:r>
              <w:rPr>
                <w:rFonts w:ascii="Arial" w:cs="Arial" w:eastAsia="Arial" w:hAnsi="Arial"/>
                <w:sz w:val="16"/>
                <w:szCs w:val="16"/>
                <w:b w:val="1"/>
                <w:bCs w:val="1"/>
                <w:color w:val="auto"/>
              </w:rPr>
              <w:t>Other Current Public Boards</w:t>
            </w:r>
          </w:p>
        </w:tc>
        <w:tc>
          <w:tcPr>
            <w:tcW w:w="4980" w:type="dxa"/>
            <w:vAlign w:val="bottom"/>
          </w:tcPr>
          <w:p>
            <w:pPr>
              <w:ind w:left="500"/>
              <w:spacing w:after="0"/>
              <w:rPr>
                <w:sz w:val="20"/>
                <w:szCs w:val="20"/>
                <w:color w:val="auto"/>
              </w:rPr>
            </w:pPr>
            <w:r>
              <w:rPr>
                <w:rFonts w:ascii="Arial" w:cs="Arial" w:eastAsia="Arial" w:hAnsi="Arial"/>
                <w:sz w:val="16"/>
                <w:szCs w:val="16"/>
                <w:b w:val="1"/>
                <w:bCs w:val="1"/>
                <w:color w:val="auto"/>
              </w:rPr>
              <w:t>Other Experience and Education</w:t>
            </w:r>
          </w:p>
        </w:tc>
      </w:tr>
      <w:tr>
        <w:trPr>
          <w:trHeight w:val="189"/>
        </w:trPr>
        <w:tc>
          <w:tcPr>
            <w:tcW w:w="120" w:type="dxa"/>
            <w:vAlign w:val="bottom"/>
          </w:tcPr>
          <w:p>
            <w:pPr>
              <w:spacing w:after="0"/>
              <w:rPr>
                <w:sz w:val="20"/>
                <w:szCs w:val="20"/>
                <w:color w:val="auto"/>
              </w:rPr>
            </w:pPr>
            <w:r>
              <w:rPr>
                <w:rFonts w:ascii="Arial" w:cs="Arial" w:eastAsia="Arial" w:hAnsi="Arial"/>
                <w:sz w:val="16"/>
                <w:szCs w:val="16"/>
                <w:color w:val="16458B"/>
              </w:rPr>
              <w:t>•</w:t>
            </w:r>
          </w:p>
        </w:tc>
        <w:tc>
          <w:tcPr>
            <w:tcW w:w="3080" w:type="dxa"/>
            <w:vAlign w:val="bottom"/>
          </w:tcPr>
          <w:p>
            <w:pPr>
              <w:ind w:left="60"/>
              <w:spacing w:after="0"/>
              <w:rPr>
                <w:sz w:val="20"/>
                <w:szCs w:val="20"/>
                <w:color w:val="auto"/>
              </w:rPr>
            </w:pPr>
            <w:r>
              <w:rPr>
                <w:rFonts w:ascii="Arial" w:cs="Arial" w:eastAsia="Arial" w:hAnsi="Arial"/>
                <w:sz w:val="16"/>
                <w:szCs w:val="16"/>
                <w:color w:val="auto"/>
              </w:rPr>
              <w:t>None</w:t>
            </w:r>
          </w:p>
        </w:tc>
        <w:tc>
          <w:tcPr>
            <w:tcW w:w="4980" w:type="dxa"/>
            <w:vAlign w:val="bottom"/>
          </w:tcPr>
          <w:p>
            <w:pPr>
              <w:ind w:left="50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Former chairman and CEO of two public oil and gas</w:t>
            </w:r>
          </w:p>
        </w:tc>
      </w:tr>
      <w:tr>
        <w:trPr>
          <w:trHeight w:val="189"/>
        </w:trPr>
        <w:tc>
          <w:tcPr>
            <w:tcW w:w="1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980" w:type="dxa"/>
            <w:vAlign w:val="bottom"/>
          </w:tcPr>
          <w:p>
            <w:pPr>
              <w:ind w:left="660"/>
              <w:spacing w:after="0"/>
              <w:rPr>
                <w:sz w:val="20"/>
                <w:szCs w:val="20"/>
                <w:color w:val="auto"/>
              </w:rPr>
            </w:pPr>
            <w:r>
              <w:rPr>
                <w:rFonts w:ascii="Arial" w:cs="Arial" w:eastAsia="Arial" w:hAnsi="Arial"/>
                <w:sz w:val="16"/>
                <w:szCs w:val="16"/>
                <w:color w:val="auto"/>
              </w:rPr>
              <w:t>companies</w:t>
            </w:r>
          </w:p>
        </w:tc>
      </w:tr>
      <w:tr>
        <w:trPr>
          <w:trHeight w:val="189"/>
        </w:trPr>
        <w:tc>
          <w:tcPr>
            <w:tcW w:w="3200" w:type="dxa"/>
            <w:vAlign w:val="bottom"/>
            <w:gridSpan w:val="2"/>
          </w:tcPr>
          <w:p>
            <w:pPr>
              <w:spacing w:after="0"/>
              <w:rPr>
                <w:sz w:val="20"/>
                <w:szCs w:val="20"/>
                <w:color w:val="auto"/>
              </w:rPr>
            </w:pPr>
            <w:r>
              <w:rPr>
                <w:rFonts w:ascii="Arial" w:cs="Arial" w:eastAsia="Arial" w:hAnsi="Arial"/>
                <w:sz w:val="16"/>
                <w:szCs w:val="16"/>
                <w:b w:val="1"/>
                <w:bCs w:val="1"/>
                <w:color w:val="auto"/>
              </w:rPr>
              <w:t>Former Public Directorships</w:t>
            </w:r>
          </w:p>
        </w:tc>
        <w:tc>
          <w:tcPr>
            <w:tcW w:w="4980" w:type="dxa"/>
            <w:vAlign w:val="bottom"/>
          </w:tcPr>
          <w:p>
            <w:pPr>
              <w:ind w:left="50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MBA, University of Houston</w:t>
            </w:r>
          </w:p>
        </w:tc>
      </w:tr>
      <w:tr>
        <w:trPr>
          <w:trHeight w:val="189"/>
        </w:trPr>
        <w:tc>
          <w:tcPr>
            <w:tcW w:w="3200" w:type="dxa"/>
            <w:vAlign w:val="bottom"/>
            <w:gridSpan w:val="2"/>
          </w:tcPr>
          <w:p>
            <w:pPr>
              <w:spacing w:after="0"/>
              <w:rPr>
                <w:sz w:val="20"/>
                <w:szCs w:val="20"/>
                <w:color w:val="auto"/>
              </w:rPr>
            </w:pPr>
            <w:r>
              <w:rPr>
                <w:rFonts w:ascii="Arial" w:cs="Arial" w:eastAsia="Arial" w:hAnsi="Arial"/>
                <w:sz w:val="16"/>
                <w:szCs w:val="16"/>
                <w:b w:val="1"/>
                <w:bCs w:val="1"/>
                <w:color w:val="auto"/>
              </w:rPr>
              <w:t>Held During the Past Five Years</w:t>
            </w:r>
          </w:p>
        </w:tc>
        <w:tc>
          <w:tcPr>
            <w:tcW w:w="4980" w:type="dxa"/>
            <w:vAlign w:val="bottom"/>
          </w:tcPr>
          <w:p>
            <w:pPr>
              <w:ind w:left="50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Bachelor of Science in Petroleum Engineering, University of</w:t>
            </w:r>
          </w:p>
        </w:tc>
      </w:tr>
      <w:tr>
        <w:trPr>
          <w:trHeight w:val="189"/>
        </w:trPr>
        <w:tc>
          <w:tcPr>
            <w:tcW w:w="120" w:type="dxa"/>
            <w:vAlign w:val="bottom"/>
          </w:tcPr>
          <w:p>
            <w:pPr>
              <w:spacing w:after="0"/>
              <w:rPr>
                <w:sz w:val="20"/>
                <w:szCs w:val="20"/>
                <w:color w:val="auto"/>
              </w:rPr>
            </w:pPr>
            <w:r>
              <w:rPr>
                <w:rFonts w:ascii="Arial" w:cs="Arial" w:eastAsia="Arial" w:hAnsi="Arial"/>
                <w:sz w:val="16"/>
                <w:szCs w:val="16"/>
                <w:color w:val="16458B"/>
              </w:rPr>
              <w:t>•</w:t>
            </w:r>
          </w:p>
        </w:tc>
        <w:tc>
          <w:tcPr>
            <w:tcW w:w="3080" w:type="dxa"/>
            <w:vAlign w:val="bottom"/>
          </w:tcPr>
          <w:p>
            <w:pPr>
              <w:ind w:left="60"/>
              <w:spacing w:after="0"/>
              <w:rPr>
                <w:sz w:val="20"/>
                <w:szCs w:val="20"/>
                <w:color w:val="auto"/>
              </w:rPr>
            </w:pPr>
            <w:r>
              <w:rPr>
                <w:rFonts w:ascii="Arial" w:cs="Arial" w:eastAsia="Arial" w:hAnsi="Arial"/>
                <w:sz w:val="16"/>
                <w:szCs w:val="16"/>
                <w:color w:val="auto"/>
              </w:rPr>
              <w:t>Centennial Resource Development</w:t>
            </w:r>
          </w:p>
        </w:tc>
        <w:tc>
          <w:tcPr>
            <w:tcW w:w="4980" w:type="dxa"/>
            <w:vAlign w:val="bottom"/>
          </w:tcPr>
          <w:p>
            <w:pPr>
              <w:ind w:left="660"/>
              <w:spacing w:after="0"/>
              <w:rPr>
                <w:sz w:val="20"/>
                <w:szCs w:val="20"/>
                <w:color w:val="auto"/>
              </w:rPr>
            </w:pPr>
            <w:r>
              <w:rPr>
                <w:rFonts w:ascii="Arial" w:cs="Arial" w:eastAsia="Arial" w:hAnsi="Arial"/>
                <w:sz w:val="16"/>
                <w:szCs w:val="16"/>
                <w:color w:val="auto"/>
              </w:rPr>
              <w:t>Pittsburgh</w:t>
            </w:r>
          </w:p>
        </w:tc>
      </w:tr>
      <w:tr>
        <w:trPr>
          <w:trHeight w:val="215"/>
        </w:trPr>
        <w:tc>
          <w:tcPr>
            <w:tcW w:w="120" w:type="dxa"/>
            <w:vAlign w:val="bottom"/>
          </w:tcPr>
          <w:p>
            <w:pPr>
              <w:spacing w:after="0"/>
              <w:rPr>
                <w:sz w:val="20"/>
                <w:szCs w:val="20"/>
                <w:color w:val="auto"/>
              </w:rPr>
            </w:pPr>
            <w:r>
              <w:rPr>
                <w:rFonts w:ascii="Arial" w:cs="Arial" w:eastAsia="Arial" w:hAnsi="Arial"/>
                <w:sz w:val="16"/>
                <w:szCs w:val="16"/>
                <w:color w:val="16458B"/>
              </w:rPr>
              <w:t>•</w:t>
            </w:r>
          </w:p>
        </w:tc>
        <w:tc>
          <w:tcPr>
            <w:tcW w:w="3080" w:type="dxa"/>
            <w:vAlign w:val="bottom"/>
          </w:tcPr>
          <w:p>
            <w:pPr>
              <w:ind w:left="60"/>
              <w:spacing w:after="0"/>
              <w:rPr>
                <w:sz w:val="20"/>
                <w:szCs w:val="20"/>
                <w:color w:val="auto"/>
              </w:rPr>
            </w:pPr>
            <w:r>
              <w:rPr>
                <w:rFonts w:ascii="Arial" w:cs="Arial" w:eastAsia="Arial" w:hAnsi="Arial"/>
                <w:sz w:val="16"/>
                <w:szCs w:val="16"/>
                <w:color w:val="auto"/>
              </w:rPr>
              <w:t>Oil States International</w:t>
            </w:r>
          </w:p>
        </w:tc>
        <w:tc>
          <w:tcPr>
            <w:tcW w:w="4980" w:type="dxa"/>
            <w:vAlign w:val="bottom"/>
          </w:tcPr>
          <w:p>
            <w:pPr>
              <w:ind w:left="50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North American energy industry pioneer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309880</wp:posOffset>
            </wp:positionV>
            <wp:extent cx="17145" cy="1714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309880</wp:posOffset>
            </wp:positionV>
            <wp:extent cx="17145" cy="171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309880</wp:posOffset>
            </wp:positionV>
            <wp:extent cx="17145" cy="171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309880</wp:posOffset>
            </wp:positionV>
            <wp:extent cx="17145" cy="1714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309880</wp:posOffset>
            </wp:positionV>
            <wp:extent cx="17145" cy="1714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309880</wp:posOffset>
            </wp:positionV>
            <wp:extent cx="17145" cy="1714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309880</wp:posOffset>
            </wp:positionV>
            <wp:extent cx="17145" cy="1714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309880</wp:posOffset>
            </wp:positionV>
            <wp:extent cx="17145" cy="1714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309880</wp:posOffset>
            </wp:positionV>
            <wp:extent cx="17145" cy="1714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309880</wp:posOffset>
            </wp:positionV>
            <wp:extent cx="17145" cy="1714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309880</wp:posOffset>
            </wp:positionV>
            <wp:extent cx="17145" cy="1714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309880</wp:posOffset>
            </wp:positionV>
            <wp:extent cx="17145" cy="1714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309880</wp:posOffset>
            </wp:positionV>
            <wp:extent cx="17145" cy="1714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309880</wp:posOffset>
            </wp:positionV>
            <wp:extent cx="17145" cy="1714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309880</wp:posOffset>
            </wp:positionV>
            <wp:extent cx="17145" cy="1714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309880</wp:posOffset>
            </wp:positionV>
            <wp:extent cx="17145" cy="1714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309880</wp:posOffset>
            </wp:positionV>
            <wp:extent cx="17145" cy="1714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309880</wp:posOffset>
            </wp:positionV>
            <wp:extent cx="17145" cy="1714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309880</wp:posOffset>
            </wp:positionV>
            <wp:extent cx="17145" cy="1714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309880</wp:posOffset>
            </wp:positionV>
            <wp:extent cx="17145" cy="1714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309880</wp:posOffset>
            </wp:positionV>
            <wp:extent cx="17145" cy="1714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309880</wp:posOffset>
            </wp:positionV>
            <wp:extent cx="17145" cy="1714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309880</wp:posOffset>
            </wp:positionV>
            <wp:extent cx="17145" cy="1714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309880</wp:posOffset>
            </wp:positionV>
            <wp:extent cx="17145" cy="1714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309880</wp:posOffset>
            </wp:positionV>
            <wp:extent cx="17145" cy="1714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309880</wp:posOffset>
            </wp:positionV>
            <wp:extent cx="17145" cy="1714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309880</wp:posOffset>
            </wp:positionV>
            <wp:extent cx="17145" cy="1714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309880</wp:posOffset>
            </wp:positionV>
            <wp:extent cx="17145" cy="1714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309880</wp:posOffset>
            </wp:positionV>
            <wp:extent cx="17145" cy="1714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309880</wp:posOffset>
            </wp:positionV>
            <wp:extent cx="17145" cy="1714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309880</wp:posOffset>
            </wp:positionV>
            <wp:extent cx="17145" cy="1714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309880</wp:posOffset>
            </wp:positionV>
            <wp:extent cx="17145" cy="1714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309880</wp:posOffset>
            </wp:positionV>
            <wp:extent cx="17145" cy="1714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309880</wp:posOffset>
            </wp:positionV>
            <wp:extent cx="17145" cy="1714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309880</wp:posOffset>
            </wp:positionV>
            <wp:extent cx="17145" cy="1714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309880</wp:posOffset>
            </wp:positionV>
            <wp:extent cx="17145" cy="1714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309880</wp:posOffset>
            </wp:positionV>
            <wp:extent cx="17145" cy="1714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309880</wp:posOffset>
            </wp:positionV>
            <wp:extent cx="17145" cy="1714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309880</wp:posOffset>
            </wp:positionV>
            <wp:extent cx="17145" cy="1714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309880</wp:posOffset>
            </wp:positionV>
            <wp:extent cx="17145" cy="1714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309880</wp:posOffset>
            </wp:positionV>
            <wp:extent cx="17145" cy="1714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309880</wp:posOffset>
            </wp:positionV>
            <wp:extent cx="17145" cy="1714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309880</wp:posOffset>
            </wp:positionV>
            <wp:extent cx="17145" cy="1714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309880</wp:posOffset>
            </wp:positionV>
            <wp:extent cx="17145" cy="1714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309880</wp:posOffset>
            </wp:positionV>
            <wp:extent cx="17145" cy="1714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309880</wp:posOffset>
            </wp:positionV>
            <wp:extent cx="17145" cy="1714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309880</wp:posOffset>
            </wp:positionV>
            <wp:extent cx="17145" cy="1714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309880</wp:posOffset>
            </wp:positionV>
            <wp:extent cx="17145" cy="1714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309880</wp:posOffset>
            </wp:positionV>
            <wp:extent cx="17145" cy="1714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309880</wp:posOffset>
            </wp:positionV>
            <wp:extent cx="17145" cy="1714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309880</wp:posOffset>
            </wp:positionV>
            <wp:extent cx="17145" cy="1714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309880</wp:posOffset>
            </wp:positionV>
            <wp:extent cx="17145" cy="1714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309880</wp:posOffset>
            </wp:positionV>
            <wp:extent cx="17145" cy="1714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309880</wp:posOffset>
            </wp:positionV>
            <wp:extent cx="17145" cy="1714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309880</wp:posOffset>
            </wp:positionV>
            <wp:extent cx="17145" cy="1714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309880</wp:posOffset>
            </wp:positionV>
            <wp:extent cx="17145" cy="1714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309880</wp:posOffset>
            </wp:positionV>
            <wp:extent cx="17145" cy="1714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309880</wp:posOffset>
            </wp:positionV>
            <wp:extent cx="17145" cy="1714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309880</wp:posOffset>
            </wp:positionV>
            <wp:extent cx="17145" cy="1714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309880</wp:posOffset>
            </wp:positionV>
            <wp:extent cx="17145" cy="1714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309880</wp:posOffset>
            </wp:positionV>
            <wp:extent cx="17145" cy="1714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309880</wp:posOffset>
            </wp:positionV>
            <wp:extent cx="17145" cy="1714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309880</wp:posOffset>
            </wp:positionV>
            <wp:extent cx="17145" cy="1714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309880</wp:posOffset>
            </wp:positionV>
            <wp:extent cx="17145" cy="1714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309880</wp:posOffset>
            </wp:positionV>
            <wp:extent cx="17145" cy="1714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309880</wp:posOffset>
            </wp:positionV>
            <wp:extent cx="17145" cy="1714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309880</wp:posOffset>
            </wp:positionV>
            <wp:extent cx="17145" cy="1714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309880</wp:posOffset>
            </wp:positionV>
            <wp:extent cx="17145" cy="1714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309880</wp:posOffset>
            </wp:positionV>
            <wp:extent cx="17145" cy="1714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309880</wp:posOffset>
            </wp:positionV>
            <wp:extent cx="17145" cy="1714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309880</wp:posOffset>
            </wp:positionV>
            <wp:extent cx="17145" cy="1714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309880</wp:posOffset>
            </wp:positionV>
            <wp:extent cx="17145" cy="1714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309880</wp:posOffset>
            </wp:positionV>
            <wp:extent cx="17145" cy="1714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309880</wp:posOffset>
            </wp:positionV>
            <wp:extent cx="17145" cy="1714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309880</wp:posOffset>
            </wp:positionV>
            <wp:extent cx="17145" cy="1714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309880</wp:posOffset>
            </wp:positionV>
            <wp:extent cx="17145" cy="1714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309880</wp:posOffset>
            </wp:positionV>
            <wp:extent cx="17145" cy="1714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309880</wp:posOffset>
            </wp:positionV>
            <wp:extent cx="17145" cy="1714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309880</wp:posOffset>
            </wp:positionV>
            <wp:extent cx="17145" cy="1714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309880</wp:posOffset>
            </wp:positionV>
            <wp:extent cx="17145" cy="1714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309880</wp:posOffset>
            </wp:positionV>
            <wp:extent cx="17145" cy="1714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309880</wp:posOffset>
            </wp:positionV>
            <wp:extent cx="17145" cy="1714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309880</wp:posOffset>
            </wp:positionV>
            <wp:extent cx="17145" cy="1714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309880</wp:posOffset>
            </wp:positionV>
            <wp:extent cx="17145" cy="1714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309880</wp:posOffset>
            </wp:positionV>
            <wp:extent cx="17145" cy="1714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309880</wp:posOffset>
            </wp:positionV>
            <wp:extent cx="17145" cy="1714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309880</wp:posOffset>
            </wp:positionV>
            <wp:extent cx="4174490" cy="1714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4174490" cy="1714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MARK PAPA is the former Chief Executive Officer and Chairman of the Board of Centennial Resource Development, an independent oil and natural gas producer, having served in that role from 2016 until his retirement in March 2020. From 2015 to December 2019, Mr. Papa served as an advisor to Riverstone Holdings, a private equity firm specializing in energy investments. Prior to that, Mr. Papa was Chairman and CEO of EOG Resources, an independent oil and gas company, from 1999 to 2013, and he served as a member of EOG’s board of directors from 1999 until 2014. He worked at EOG for 32 years in various management positions. Mr. Papa also served on the board of Oil States International, an international field services company, from 2001 to August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Skills and Expertise</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Mr. Papa brings decades of experience in the oil and gas industry and a unique insight into the North American market. He is a pioneer in the U.S. shale oil industry and built EOG Resources into one of the most profitable U.S. shale companies. He provides the Board with key insights on the U.S. shale market and SLB’s customers in North America. He also brings extensive leadership experience to the Board through his experience as CEO and chairman of multiple public companies. Mr. Papa has been involved in succession planning, compensation, employee management and the evaluation of acquisition opportunities, and provides the Board with valuable insight regarding the challenges and opportunities facing SLB in these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471170" cy="28257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81"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16</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-46990</wp:posOffset>
            </wp:positionV>
            <wp:extent cx="5417820" cy="1714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16458B"/>
        </w:rPr>
        <w:t>Jeff Sheets,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16458B"/>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91198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132320" cy="1911985"/>
                    </a:xfrm>
                    <a:prstGeom prst="rect">
                      <a:avLst/>
                    </a:prstGeom>
                    <a:noFill/>
                  </pic:spPr>
                </pic:pic>
              </a:graphicData>
            </a:graphic>
          </wp:anchor>
        </w:drawing>
      </w:r>
    </w:p>
    <w:p>
      <w:pPr>
        <w:spacing w:after="0" w:line="138" w:lineRule="exact"/>
        <w:rPr>
          <w:sz w:val="20"/>
          <w:szCs w:val="20"/>
          <w:color w:val="auto"/>
        </w:rPr>
      </w:pPr>
    </w:p>
    <w:tbl>
      <w:tblPr>
        <w:tblLayout w:type="fixed"/>
        <w:tblInd w:w="2860" w:type="dxa"/>
        <w:tblCellMar>
          <w:top w:w="0" w:type="dxa"/>
          <w:left w:w="0" w:type="dxa"/>
          <w:bottom w:w="0" w:type="dxa"/>
          <w:right w:w="0" w:type="dxa"/>
        </w:tblCellMar>
      </w:tblPr>
      <w:tr>
        <w:trPr>
          <w:trHeight w:val="189"/>
        </w:trPr>
        <w:tc>
          <w:tcPr>
            <w:tcW w:w="3380" w:type="dxa"/>
            <w:vAlign w:val="bottom"/>
            <w:gridSpan w:val="2"/>
          </w:tcPr>
          <w:p>
            <w:pPr>
              <w:spacing w:after="0"/>
              <w:rPr>
                <w:sz w:val="20"/>
                <w:szCs w:val="20"/>
                <w:color w:val="auto"/>
              </w:rPr>
            </w:pPr>
            <w:r>
              <w:rPr>
                <w:rFonts w:ascii="Arial" w:cs="Arial" w:eastAsia="Arial" w:hAnsi="Arial"/>
                <w:sz w:val="16"/>
                <w:szCs w:val="16"/>
                <w:b w:val="1"/>
                <w:bCs w:val="1"/>
                <w:color w:val="auto"/>
              </w:rPr>
              <w:t>Former EVP and Chief Financial Officer,</w:t>
            </w:r>
          </w:p>
        </w:tc>
        <w:tc>
          <w:tcPr>
            <w:tcW w:w="4440" w:type="dxa"/>
            <w:vAlign w:val="bottom"/>
            <w:gridSpan w:val="2"/>
          </w:tcPr>
          <w:p>
            <w:pPr>
              <w:ind w:left="320"/>
              <w:spacing w:after="0"/>
              <w:rPr>
                <w:sz w:val="20"/>
                <w:szCs w:val="20"/>
                <w:color w:val="auto"/>
              </w:rPr>
            </w:pPr>
            <w:r>
              <w:rPr>
                <w:rFonts w:ascii="Arial" w:cs="Arial" w:eastAsia="Arial" w:hAnsi="Arial"/>
                <w:sz w:val="16"/>
                <w:szCs w:val="16"/>
                <w:b w:val="1"/>
                <w:bCs w:val="1"/>
                <w:color w:val="auto"/>
              </w:rPr>
              <w:t>Nationality</w:t>
            </w:r>
          </w:p>
        </w:tc>
        <w:tc>
          <w:tcPr>
            <w:tcW w:w="0" w:type="dxa"/>
            <w:vAlign w:val="bottom"/>
          </w:tcPr>
          <w:p>
            <w:pPr>
              <w:spacing w:after="0"/>
              <w:rPr>
                <w:sz w:val="1"/>
                <w:szCs w:val="1"/>
                <w:color w:val="auto"/>
              </w:rPr>
            </w:pPr>
          </w:p>
        </w:tc>
      </w:tr>
      <w:tr>
        <w:trPr>
          <w:trHeight w:val="223"/>
        </w:trPr>
        <w:tc>
          <w:tcPr>
            <w:tcW w:w="3380" w:type="dxa"/>
            <w:vAlign w:val="bottom"/>
            <w:gridSpan w:val="2"/>
          </w:tcPr>
          <w:p>
            <w:pPr>
              <w:spacing w:after="0"/>
              <w:rPr>
                <w:sz w:val="20"/>
                <w:szCs w:val="20"/>
                <w:color w:val="auto"/>
              </w:rPr>
            </w:pPr>
            <w:r>
              <w:rPr>
                <w:rFonts w:ascii="Arial" w:cs="Arial" w:eastAsia="Arial" w:hAnsi="Arial"/>
                <w:sz w:val="16"/>
                <w:szCs w:val="16"/>
                <w:b w:val="1"/>
                <w:bCs w:val="1"/>
                <w:color w:val="auto"/>
              </w:rPr>
              <w:t>ConocoPhillips</w:t>
            </w:r>
          </w:p>
        </w:tc>
        <w:tc>
          <w:tcPr>
            <w:tcW w:w="4440" w:type="dxa"/>
            <w:vAlign w:val="bottom"/>
            <w:gridSpan w:val="2"/>
          </w:tcPr>
          <w:p>
            <w:pPr>
              <w:ind w:left="3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344"/>
        </w:trPr>
        <w:tc>
          <w:tcPr>
            <w:tcW w:w="3380" w:type="dxa"/>
            <w:vAlign w:val="bottom"/>
            <w:gridSpan w:val="2"/>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2019</w:t>
            </w:r>
          </w:p>
        </w:tc>
        <w:tc>
          <w:tcPr>
            <w:tcW w:w="4440" w:type="dxa"/>
            <w:vAlign w:val="bottom"/>
            <w:gridSpan w:val="2"/>
          </w:tcPr>
          <w:p>
            <w:pPr>
              <w:ind w:left="320"/>
              <w:spacing w:after="0"/>
              <w:rPr>
                <w:sz w:val="20"/>
                <w:szCs w:val="20"/>
                <w:color w:val="auto"/>
              </w:rPr>
            </w:pPr>
            <w:r>
              <w:rPr>
                <w:rFonts w:ascii="Arial" w:cs="Arial" w:eastAsia="Arial" w:hAnsi="Arial"/>
                <w:sz w:val="16"/>
                <w:szCs w:val="16"/>
                <w:b w:val="1"/>
                <w:bCs w:val="1"/>
                <w:color w:val="auto"/>
              </w:rPr>
              <w:t>SLB Board Committees</w:t>
            </w:r>
          </w:p>
        </w:tc>
        <w:tc>
          <w:tcPr>
            <w:tcW w:w="0" w:type="dxa"/>
            <w:vAlign w:val="bottom"/>
          </w:tcPr>
          <w:p>
            <w:pPr>
              <w:spacing w:after="0"/>
              <w:rPr>
                <w:sz w:val="1"/>
                <w:szCs w:val="1"/>
                <w:color w:val="auto"/>
              </w:rPr>
            </w:pPr>
          </w:p>
        </w:tc>
      </w:tr>
      <w:tr>
        <w:trPr>
          <w:trHeight w:val="189"/>
        </w:trPr>
        <w:tc>
          <w:tcPr>
            <w:tcW w:w="3380" w:type="dxa"/>
            <w:vAlign w:val="bottom"/>
            <w:gridSpan w:val="2"/>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65</w:t>
            </w:r>
          </w:p>
        </w:tc>
        <w:tc>
          <w:tcPr>
            <w:tcW w:w="440" w:type="dxa"/>
            <w:vAlign w:val="bottom"/>
          </w:tcPr>
          <w:p>
            <w:pPr>
              <w:ind w:left="320"/>
              <w:spacing w:after="0"/>
              <w:rPr>
                <w:sz w:val="20"/>
                <w:szCs w:val="20"/>
                <w:color w:val="auto"/>
              </w:rPr>
            </w:pPr>
            <w:r>
              <w:rPr>
                <w:rFonts w:ascii="Arial" w:cs="Arial" w:eastAsia="Arial" w:hAnsi="Arial"/>
                <w:sz w:val="16"/>
                <w:szCs w:val="16"/>
                <w:color w:val="16458B"/>
              </w:rPr>
              <w:t>•</w:t>
            </w:r>
          </w:p>
        </w:tc>
        <w:tc>
          <w:tcPr>
            <w:tcW w:w="4000" w:type="dxa"/>
            <w:vAlign w:val="bottom"/>
          </w:tcPr>
          <w:p>
            <w:pPr>
              <w:ind w:left="60"/>
              <w:spacing w:after="0"/>
              <w:rPr>
                <w:sz w:val="20"/>
                <w:szCs w:val="20"/>
                <w:color w:val="auto"/>
              </w:rPr>
            </w:pPr>
            <w:r>
              <w:rPr>
                <w:rFonts w:ascii="Arial" w:cs="Arial" w:eastAsia="Arial" w:hAnsi="Arial"/>
                <w:sz w:val="16"/>
                <w:szCs w:val="16"/>
                <w:color w:val="auto"/>
              </w:rPr>
              <w:t>Compensation, Chair</w:t>
            </w:r>
          </w:p>
        </w:tc>
        <w:tc>
          <w:tcPr>
            <w:tcW w:w="0" w:type="dxa"/>
            <w:vAlign w:val="bottom"/>
          </w:tcPr>
          <w:p>
            <w:pPr>
              <w:spacing w:after="0"/>
              <w:rPr>
                <w:sz w:val="1"/>
                <w:szCs w:val="1"/>
                <w:color w:val="auto"/>
              </w:rPr>
            </w:pPr>
          </w:p>
        </w:tc>
      </w:tr>
      <w:tr>
        <w:trPr>
          <w:trHeight w:val="215"/>
        </w:trPr>
        <w:tc>
          <w:tcPr>
            <w:tcW w:w="33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Other Current Public Boards</w:t>
            </w:r>
          </w:p>
        </w:tc>
        <w:tc>
          <w:tcPr>
            <w:tcW w:w="440" w:type="dxa"/>
            <w:vAlign w:val="bottom"/>
          </w:tcPr>
          <w:p>
            <w:pPr>
              <w:ind w:left="320"/>
              <w:spacing w:after="0"/>
              <w:rPr>
                <w:sz w:val="20"/>
                <w:szCs w:val="20"/>
                <w:color w:val="auto"/>
              </w:rPr>
            </w:pPr>
            <w:r>
              <w:rPr>
                <w:rFonts w:ascii="Arial" w:cs="Arial" w:eastAsia="Arial" w:hAnsi="Arial"/>
                <w:sz w:val="16"/>
                <w:szCs w:val="16"/>
                <w:color w:val="16458B"/>
              </w:rPr>
              <w:t>•</w:t>
            </w:r>
          </w:p>
        </w:tc>
        <w:tc>
          <w:tcPr>
            <w:tcW w:w="4000" w:type="dxa"/>
            <w:vAlign w:val="bottom"/>
          </w:tcPr>
          <w:p>
            <w:pPr>
              <w:ind w:left="60"/>
              <w:spacing w:after="0"/>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163"/>
        </w:trPr>
        <w:tc>
          <w:tcPr>
            <w:tcW w:w="33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20"/>
                <w:szCs w:val="20"/>
                <w:color w:val="auto"/>
              </w:rPr>
            </w:pPr>
            <w:r>
              <w:rPr>
                <w:rFonts w:ascii="Arial" w:cs="Arial" w:eastAsia="Arial" w:hAnsi="Arial"/>
                <w:sz w:val="16"/>
                <w:szCs w:val="16"/>
                <w:color w:val="16458B"/>
              </w:rPr>
              <w:t>•</w:t>
            </w:r>
          </w:p>
        </w:tc>
        <w:tc>
          <w:tcPr>
            <w:tcW w:w="3260" w:type="dxa"/>
            <w:vAlign w:val="bottom"/>
          </w:tcPr>
          <w:p>
            <w:pPr>
              <w:ind w:left="60"/>
              <w:spacing w:after="0"/>
              <w:rPr>
                <w:sz w:val="20"/>
                <w:szCs w:val="20"/>
                <w:color w:val="auto"/>
              </w:rPr>
            </w:pPr>
            <w:r>
              <w:rPr>
                <w:rFonts w:ascii="Arial" w:cs="Arial" w:eastAsia="Arial" w:hAnsi="Arial"/>
                <w:sz w:val="16"/>
                <w:szCs w:val="16"/>
                <w:color w:val="auto"/>
              </w:rPr>
              <w:t>Enerplus Corporation</w:t>
            </w:r>
          </w:p>
        </w:tc>
        <w:tc>
          <w:tcPr>
            <w:tcW w:w="4440" w:type="dxa"/>
            <w:vAlign w:val="bottom"/>
            <w:gridSpan w:val="2"/>
          </w:tcPr>
          <w:p>
            <w:pPr>
              <w:ind w:left="32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20"/>
                <w:szCs w:val="20"/>
                <w:color w:val="auto"/>
              </w:rPr>
            </w:pPr>
            <w:r>
              <w:rPr>
                <w:rFonts w:ascii="Arial" w:cs="Arial" w:eastAsia="Arial" w:hAnsi="Arial"/>
                <w:sz w:val="16"/>
                <w:szCs w:val="16"/>
                <w:color w:val="16458B"/>
              </w:rPr>
              <w:t>•</w:t>
            </w:r>
          </w:p>
        </w:tc>
        <w:tc>
          <w:tcPr>
            <w:tcW w:w="3260" w:type="dxa"/>
            <w:vAlign w:val="bottom"/>
          </w:tcPr>
          <w:p>
            <w:pPr>
              <w:ind w:left="60"/>
              <w:spacing w:after="0"/>
              <w:rPr>
                <w:sz w:val="20"/>
                <w:szCs w:val="20"/>
                <w:color w:val="auto"/>
              </w:rPr>
            </w:pPr>
            <w:r>
              <w:rPr>
                <w:rFonts w:ascii="Arial" w:cs="Arial" w:eastAsia="Arial" w:hAnsi="Arial"/>
                <w:sz w:val="16"/>
                <w:szCs w:val="16"/>
                <w:color w:val="auto"/>
              </w:rPr>
              <w:t>Westlake Corporation</w:t>
            </w:r>
          </w:p>
        </w:tc>
        <w:tc>
          <w:tcPr>
            <w:tcW w:w="4440" w:type="dxa"/>
            <w:vAlign w:val="bottom"/>
            <w:gridSpan w:val="2"/>
          </w:tcPr>
          <w:p>
            <w:pPr>
              <w:ind w:left="32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MBA, University of Houston</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440" w:type="dxa"/>
            <w:vAlign w:val="bottom"/>
            <w:gridSpan w:val="2"/>
          </w:tcPr>
          <w:p>
            <w:pPr>
              <w:ind w:left="32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Bachelor of Science in Chemical Engineering, Missouri</w:t>
            </w:r>
          </w:p>
        </w:tc>
        <w:tc>
          <w:tcPr>
            <w:tcW w:w="0" w:type="dxa"/>
            <w:vAlign w:val="bottom"/>
          </w:tcPr>
          <w:p>
            <w:pPr>
              <w:spacing w:after="0"/>
              <w:rPr>
                <w:sz w:val="1"/>
                <w:szCs w:val="1"/>
                <w:color w:val="auto"/>
              </w:rPr>
            </w:pPr>
          </w:p>
        </w:tc>
      </w:tr>
      <w:tr>
        <w:trPr>
          <w:trHeight w:val="189"/>
        </w:trPr>
        <w:tc>
          <w:tcPr>
            <w:tcW w:w="3380" w:type="dxa"/>
            <w:vAlign w:val="bottom"/>
            <w:gridSpan w:val="2"/>
          </w:tcPr>
          <w:p>
            <w:pPr>
              <w:spacing w:after="0"/>
              <w:rPr>
                <w:sz w:val="20"/>
                <w:szCs w:val="20"/>
                <w:color w:val="auto"/>
              </w:rPr>
            </w:pPr>
            <w:r>
              <w:rPr>
                <w:rFonts w:ascii="Arial" w:cs="Arial" w:eastAsia="Arial" w:hAnsi="Arial"/>
                <w:sz w:val="16"/>
                <w:szCs w:val="16"/>
                <w:b w:val="1"/>
                <w:bCs w:val="1"/>
                <w:color w:val="auto"/>
              </w:rPr>
              <w:t>Former Public Directorships</w:t>
            </w:r>
          </w:p>
        </w:tc>
        <w:tc>
          <w:tcPr>
            <w:tcW w:w="440" w:type="dxa"/>
            <w:vAlign w:val="bottom"/>
          </w:tcPr>
          <w:p>
            <w:pPr>
              <w:spacing w:after="0"/>
              <w:rPr>
                <w:sz w:val="16"/>
                <w:szCs w:val="16"/>
                <w:color w:val="auto"/>
              </w:rPr>
            </w:pPr>
          </w:p>
        </w:tc>
        <w:tc>
          <w:tcPr>
            <w:tcW w:w="4000" w:type="dxa"/>
            <w:vAlign w:val="bottom"/>
          </w:tcPr>
          <w:p>
            <w:pPr>
              <w:ind w:left="60"/>
              <w:spacing w:after="0"/>
              <w:rPr>
                <w:sz w:val="20"/>
                <w:szCs w:val="20"/>
                <w:color w:val="auto"/>
              </w:rPr>
            </w:pPr>
            <w:r>
              <w:rPr>
                <w:rFonts w:ascii="Arial" w:cs="Arial" w:eastAsia="Arial" w:hAnsi="Arial"/>
                <w:sz w:val="16"/>
                <w:szCs w:val="16"/>
                <w:color w:val="auto"/>
              </w:rPr>
              <w:t>University of Science and Technology</w:t>
            </w:r>
          </w:p>
        </w:tc>
        <w:tc>
          <w:tcPr>
            <w:tcW w:w="0" w:type="dxa"/>
            <w:vAlign w:val="bottom"/>
          </w:tcPr>
          <w:p>
            <w:pPr>
              <w:spacing w:after="0"/>
              <w:rPr>
                <w:sz w:val="1"/>
                <w:szCs w:val="1"/>
                <w:color w:val="auto"/>
              </w:rPr>
            </w:pPr>
          </w:p>
        </w:tc>
      </w:tr>
      <w:tr>
        <w:trPr>
          <w:trHeight w:val="205"/>
        </w:trPr>
        <w:tc>
          <w:tcPr>
            <w:tcW w:w="3380" w:type="dxa"/>
            <w:vAlign w:val="bottom"/>
            <w:gridSpan w:val="2"/>
          </w:tcPr>
          <w:p>
            <w:pPr>
              <w:spacing w:after="0"/>
              <w:rPr>
                <w:sz w:val="20"/>
                <w:szCs w:val="20"/>
                <w:color w:val="auto"/>
              </w:rPr>
            </w:pPr>
            <w:r>
              <w:rPr>
                <w:rFonts w:ascii="Arial" w:cs="Arial" w:eastAsia="Arial" w:hAnsi="Arial"/>
                <w:sz w:val="16"/>
                <w:szCs w:val="16"/>
                <w:b w:val="1"/>
                <w:bCs w:val="1"/>
                <w:color w:val="auto"/>
              </w:rPr>
              <w:t>Held During the Past Five Years</w:t>
            </w:r>
          </w:p>
        </w:tc>
        <w:tc>
          <w:tcPr>
            <w:tcW w:w="4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040" w:hanging="184"/>
        <w:spacing w:after="0"/>
        <w:tabs>
          <w:tab w:leader="none" w:pos="3040" w:val="left"/>
        </w:tabs>
        <w:numPr>
          <w:ilvl w:val="0"/>
          <w:numId w:val="16"/>
        </w:numPr>
        <w:rPr>
          <w:rFonts w:ascii="Arial" w:cs="Arial" w:eastAsia="Arial" w:hAnsi="Arial"/>
          <w:sz w:val="16"/>
          <w:szCs w:val="16"/>
          <w:color w:val="16458B"/>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319405</wp:posOffset>
            </wp:positionV>
            <wp:extent cx="17145" cy="1714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319405</wp:posOffset>
            </wp:positionV>
            <wp:extent cx="17145" cy="1714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319405</wp:posOffset>
            </wp:positionV>
            <wp:extent cx="17145" cy="1714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319405</wp:posOffset>
            </wp:positionV>
            <wp:extent cx="17145" cy="1714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319405</wp:posOffset>
            </wp:positionV>
            <wp:extent cx="17145" cy="1714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319405</wp:posOffset>
            </wp:positionV>
            <wp:extent cx="17145" cy="1714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319405</wp:posOffset>
            </wp:positionV>
            <wp:extent cx="17145" cy="1714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319405</wp:posOffset>
            </wp:positionV>
            <wp:extent cx="17145" cy="1714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319405</wp:posOffset>
            </wp:positionV>
            <wp:extent cx="17145" cy="1714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319405</wp:posOffset>
            </wp:positionV>
            <wp:extent cx="17145" cy="1714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319405</wp:posOffset>
            </wp:positionV>
            <wp:extent cx="17145" cy="1714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319405</wp:posOffset>
            </wp:positionV>
            <wp:extent cx="17145" cy="1714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319405</wp:posOffset>
            </wp:positionV>
            <wp:extent cx="17145" cy="1714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319405</wp:posOffset>
            </wp:positionV>
            <wp:extent cx="17145" cy="1714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319405</wp:posOffset>
            </wp:positionV>
            <wp:extent cx="17145" cy="1714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319405</wp:posOffset>
            </wp:positionV>
            <wp:extent cx="17145" cy="1714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319405</wp:posOffset>
            </wp:positionV>
            <wp:extent cx="17145" cy="1714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319405</wp:posOffset>
            </wp:positionV>
            <wp:extent cx="17145" cy="1714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319405</wp:posOffset>
            </wp:positionV>
            <wp:extent cx="17145" cy="1714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319405</wp:posOffset>
            </wp:positionV>
            <wp:extent cx="17145" cy="1714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319405</wp:posOffset>
            </wp:positionV>
            <wp:extent cx="17145" cy="1714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319405</wp:posOffset>
            </wp:positionV>
            <wp:extent cx="17145" cy="1714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319405</wp:posOffset>
            </wp:positionV>
            <wp:extent cx="17145" cy="1714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319405</wp:posOffset>
            </wp:positionV>
            <wp:extent cx="17145" cy="1714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319405</wp:posOffset>
            </wp:positionV>
            <wp:extent cx="17145" cy="1714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319405</wp:posOffset>
            </wp:positionV>
            <wp:extent cx="17145" cy="1714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319405</wp:posOffset>
            </wp:positionV>
            <wp:extent cx="17145" cy="1714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319405</wp:posOffset>
            </wp:positionV>
            <wp:extent cx="17145" cy="1714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319405</wp:posOffset>
            </wp:positionV>
            <wp:extent cx="17145" cy="1714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319405</wp:posOffset>
            </wp:positionV>
            <wp:extent cx="17145" cy="1714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319405</wp:posOffset>
            </wp:positionV>
            <wp:extent cx="17145" cy="1714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319405</wp:posOffset>
            </wp:positionV>
            <wp:extent cx="17145" cy="1714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319405</wp:posOffset>
            </wp:positionV>
            <wp:extent cx="17145" cy="1714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319405</wp:posOffset>
            </wp:positionV>
            <wp:extent cx="17145" cy="1714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319405</wp:posOffset>
            </wp:positionV>
            <wp:extent cx="17145" cy="1714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319405</wp:posOffset>
            </wp:positionV>
            <wp:extent cx="17145" cy="1714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319405</wp:posOffset>
            </wp:positionV>
            <wp:extent cx="17145" cy="1714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319405</wp:posOffset>
            </wp:positionV>
            <wp:extent cx="17145" cy="1714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319405</wp:posOffset>
            </wp:positionV>
            <wp:extent cx="17145" cy="1714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319405</wp:posOffset>
            </wp:positionV>
            <wp:extent cx="17145" cy="1714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319405</wp:posOffset>
            </wp:positionV>
            <wp:extent cx="17145" cy="1714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319405</wp:posOffset>
            </wp:positionV>
            <wp:extent cx="17145" cy="1714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319405</wp:posOffset>
            </wp:positionV>
            <wp:extent cx="17145" cy="1714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319405</wp:posOffset>
            </wp:positionV>
            <wp:extent cx="17145" cy="1714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319405</wp:posOffset>
            </wp:positionV>
            <wp:extent cx="17145" cy="1714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319405</wp:posOffset>
            </wp:positionV>
            <wp:extent cx="17145" cy="1714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319405</wp:posOffset>
            </wp:positionV>
            <wp:extent cx="17145" cy="1714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319405</wp:posOffset>
            </wp:positionV>
            <wp:extent cx="17145" cy="1714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319405</wp:posOffset>
            </wp:positionV>
            <wp:extent cx="17145" cy="1714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319405</wp:posOffset>
            </wp:positionV>
            <wp:extent cx="17145" cy="1714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319405</wp:posOffset>
            </wp:positionV>
            <wp:extent cx="17145" cy="1714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319405</wp:posOffset>
            </wp:positionV>
            <wp:extent cx="17145" cy="1714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319405</wp:posOffset>
            </wp:positionV>
            <wp:extent cx="17145" cy="1714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319405</wp:posOffset>
            </wp:positionV>
            <wp:extent cx="17145" cy="1714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319405</wp:posOffset>
            </wp:positionV>
            <wp:extent cx="17145" cy="1714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319405</wp:posOffset>
            </wp:positionV>
            <wp:extent cx="17145" cy="1714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319405</wp:posOffset>
            </wp:positionV>
            <wp:extent cx="17145" cy="1714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319405</wp:posOffset>
            </wp:positionV>
            <wp:extent cx="17145" cy="1714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319405</wp:posOffset>
            </wp:positionV>
            <wp:extent cx="17145" cy="1714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319405</wp:posOffset>
            </wp:positionV>
            <wp:extent cx="17145" cy="1714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319405</wp:posOffset>
            </wp:positionV>
            <wp:extent cx="17145" cy="1714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319405</wp:posOffset>
            </wp:positionV>
            <wp:extent cx="17145" cy="1714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319405</wp:posOffset>
            </wp:positionV>
            <wp:extent cx="17145" cy="1714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319405</wp:posOffset>
            </wp:positionV>
            <wp:extent cx="17145" cy="1714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319405</wp:posOffset>
            </wp:positionV>
            <wp:extent cx="17145" cy="1714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319405</wp:posOffset>
            </wp:positionV>
            <wp:extent cx="17145" cy="1714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319405</wp:posOffset>
            </wp:positionV>
            <wp:extent cx="17145" cy="1714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319405</wp:posOffset>
            </wp:positionV>
            <wp:extent cx="17145" cy="1714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319405</wp:posOffset>
            </wp:positionV>
            <wp:extent cx="17145" cy="1714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319405</wp:posOffset>
            </wp:positionV>
            <wp:extent cx="17145" cy="1714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319405</wp:posOffset>
            </wp:positionV>
            <wp:extent cx="17145" cy="1714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319405</wp:posOffset>
            </wp:positionV>
            <wp:extent cx="17145" cy="1714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319405</wp:posOffset>
            </wp:positionV>
            <wp:extent cx="17145" cy="1714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319405</wp:posOffset>
            </wp:positionV>
            <wp:extent cx="17145" cy="1714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319405</wp:posOffset>
            </wp:positionV>
            <wp:extent cx="17145" cy="1714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319405</wp:posOffset>
            </wp:positionV>
            <wp:extent cx="17145" cy="1714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319405</wp:posOffset>
            </wp:positionV>
            <wp:extent cx="17145" cy="1714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319405</wp:posOffset>
            </wp:positionV>
            <wp:extent cx="17145" cy="1714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319405</wp:posOffset>
            </wp:positionV>
            <wp:extent cx="17145" cy="1714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319405</wp:posOffset>
            </wp:positionV>
            <wp:extent cx="17145" cy="1714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319405</wp:posOffset>
            </wp:positionV>
            <wp:extent cx="17145" cy="1714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319405</wp:posOffset>
            </wp:positionV>
            <wp:extent cx="17145" cy="1714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319405</wp:posOffset>
            </wp:positionV>
            <wp:extent cx="17145" cy="1714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319405</wp:posOffset>
            </wp:positionV>
            <wp:extent cx="17145" cy="1714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319405</wp:posOffset>
            </wp:positionV>
            <wp:extent cx="17145" cy="1714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319405</wp:posOffset>
            </wp:positionV>
            <wp:extent cx="17145" cy="1714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319405</wp:posOffset>
            </wp:positionV>
            <wp:extent cx="4174490" cy="1714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4174490" cy="1714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JEFF SHEETS is the former EVP and Chief Financial Officer of ConocoPhillips Company, a public international oil and gas company, having served in that role from 2010 until his retirement in 2016. Prior to that, Mr. Sheets served at ConocoPhillips and its predecessor companies for more than 36 years in a variety of finance, engineering and strategic planning roles. Since 2017, Mr. Sheets has served on the board of directors of Enerplus Corporation, a Canadian oil and gas company, where he chairs the audit and risk management committee and is a member of the compensation committee. He also has served since January 2018 on the board of directors of Westlake Corporation, an international manufacturer and supplier of petrochemicals and related products, where he chairs the nominating and governance committee and is a member of the audit, compensation and corporate risk committees. Mr. Sheets is a member of the Board of Trustees at the Missouri University of Science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Skills and Expertise</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Mr. Sheets brings to the Board financial and operational expertise as a former chief financial officer of a large upstream oil and gas company. The Board benefits from Mr. Sheets’ expertise in developing and implementing corporate strategy in the oil and gas industry, as well as his significant finance, capital management and allocation, and mergers and acquisitions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16458B"/>
        </w:rPr>
        <w:t>Ulrich Spiesshofer,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16458B"/>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90309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7132320" cy="1903095"/>
                    </a:xfrm>
                    <a:prstGeom prst="rect">
                      <a:avLst/>
                    </a:prstGeom>
                    <a:noFill/>
                  </pic:spPr>
                </pic:pic>
              </a:graphicData>
            </a:graphic>
          </wp:anchor>
        </w:drawing>
      </w:r>
    </w:p>
    <w:p>
      <w:pPr>
        <w:spacing w:after="0" w:line="138" w:lineRule="exact"/>
        <w:rPr>
          <w:sz w:val="20"/>
          <w:szCs w:val="20"/>
          <w:color w:val="auto"/>
        </w:rPr>
      </w:pPr>
    </w:p>
    <w:tbl>
      <w:tblPr>
        <w:tblLayout w:type="fixed"/>
        <w:tblInd w:w="2860" w:type="dxa"/>
        <w:tblCellMar>
          <w:top w:w="0" w:type="dxa"/>
          <w:left w:w="0" w:type="dxa"/>
          <w:bottom w:w="0" w:type="dxa"/>
          <w:right w:w="0" w:type="dxa"/>
        </w:tblCellMar>
      </w:tblPr>
      <w:tr>
        <w:trPr>
          <w:trHeight w:val="189"/>
        </w:trPr>
        <w:tc>
          <w:tcPr>
            <w:tcW w:w="3060" w:type="dxa"/>
            <w:vAlign w:val="bottom"/>
          </w:tcPr>
          <w:p>
            <w:pPr>
              <w:spacing w:after="0"/>
              <w:rPr>
                <w:sz w:val="20"/>
                <w:szCs w:val="20"/>
                <w:color w:val="auto"/>
              </w:rPr>
            </w:pPr>
            <w:r>
              <w:rPr>
                <w:rFonts w:ascii="Arial" w:cs="Arial" w:eastAsia="Arial" w:hAnsi="Arial"/>
                <w:sz w:val="16"/>
                <w:szCs w:val="16"/>
                <w:b w:val="1"/>
                <w:bCs w:val="1"/>
                <w:color w:val="auto"/>
              </w:rPr>
              <w:t>Former President and CEO,</w:t>
            </w:r>
          </w:p>
        </w:tc>
        <w:tc>
          <w:tcPr>
            <w:tcW w:w="5280" w:type="dxa"/>
            <w:vAlign w:val="bottom"/>
          </w:tcPr>
          <w:p>
            <w:pPr>
              <w:ind w:left="640"/>
              <w:spacing w:after="0"/>
              <w:rPr>
                <w:sz w:val="20"/>
                <w:szCs w:val="20"/>
                <w:color w:val="auto"/>
              </w:rPr>
            </w:pPr>
            <w:r>
              <w:rPr>
                <w:rFonts w:ascii="Arial" w:cs="Arial" w:eastAsia="Arial" w:hAnsi="Arial"/>
                <w:sz w:val="16"/>
                <w:szCs w:val="16"/>
                <w:b w:val="1"/>
                <w:bCs w:val="1"/>
                <w:color w:val="auto"/>
              </w:rPr>
              <w:t>Nationality</w:t>
            </w:r>
          </w:p>
        </w:tc>
        <w:tc>
          <w:tcPr>
            <w:tcW w:w="0" w:type="dxa"/>
            <w:vAlign w:val="bottom"/>
          </w:tcPr>
          <w:p>
            <w:pPr>
              <w:spacing w:after="0"/>
              <w:rPr>
                <w:sz w:val="1"/>
                <w:szCs w:val="1"/>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6"/>
                <w:szCs w:val="16"/>
                <w:b w:val="1"/>
                <w:bCs w:val="1"/>
                <w:color w:val="auto"/>
              </w:rPr>
              <w:t>ABB Ltd.</w:t>
            </w:r>
          </w:p>
        </w:tc>
        <w:tc>
          <w:tcPr>
            <w:tcW w:w="5280" w:type="dxa"/>
            <w:vAlign w:val="bottom"/>
          </w:tcPr>
          <w:p>
            <w:pPr>
              <w:ind w:left="640"/>
              <w:spacing w:after="0"/>
              <w:rPr>
                <w:sz w:val="20"/>
                <w:szCs w:val="20"/>
                <w:color w:val="auto"/>
              </w:rPr>
            </w:pPr>
            <w:r>
              <w:rPr>
                <w:rFonts w:ascii="Arial" w:cs="Arial" w:eastAsia="Arial" w:hAnsi="Arial"/>
                <w:sz w:val="16"/>
                <w:szCs w:val="16"/>
                <w:color w:val="auto"/>
              </w:rPr>
              <w:t>Germany and Switzerland</w:t>
            </w:r>
          </w:p>
        </w:tc>
        <w:tc>
          <w:tcPr>
            <w:tcW w:w="0" w:type="dxa"/>
            <w:vAlign w:val="bottom"/>
          </w:tcPr>
          <w:p>
            <w:pPr>
              <w:spacing w:after="0"/>
              <w:rPr>
                <w:sz w:val="1"/>
                <w:szCs w:val="1"/>
                <w:color w:val="auto"/>
              </w:rPr>
            </w:pPr>
          </w:p>
        </w:tc>
      </w:tr>
      <w:tr>
        <w:trPr>
          <w:trHeight w:val="344"/>
        </w:trPr>
        <w:tc>
          <w:tcPr>
            <w:tcW w:w="3060" w:type="dxa"/>
            <w:vAlign w:val="bottom"/>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2021</w:t>
            </w:r>
          </w:p>
        </w:tc>
        <w:tc>
          <w:tcPr>
            <w:tcW w:w="5280" w:type="dxa"/>
            <w:vAlign w:val="bottom"/>
          </w:tcPr>
          <w:p>
            <w:pPr>
              <w:ind w:left="640"/>
              <w:spacing w:after="0"/>
              <w:rPr>
                <w:sz w:val="20"/>
                <w:szCs w:val="20"/>
                <w:color w:val="auto"/>
              </w:rPr>
            </w:pPr>
            <w:r>
              <w:rPr>
                <w:rFonts w:ascii="Arial" w:cs="Arial" w:eastAsia="Arial" w:hAnsi="Arial"/>
                <w:sz w:val="16"/>
                <w:szCs w:val="16"/>
                <w:b w:val="1"/>
                <w:bCs w:val="1"/>
                <w:color w:val="auto"/>
              </w:rPr>
              <w:t>SLB Board Committees</w:t>
            </w:r>
          </w:p>
        </w:tc>
        <w:tc>
          <w:tcPr>
            <w:tcW w:w="0" w:type="dxa"/>
            <w:vAlign w:val="bottom"/>
          </w:tcPr>
          <w:p>
            <w:pPr>
              <w:spacing w:after="0"/>
              <w:rPr>
                <w:sz w:val="1"/>
                <w:szCs w:val="1"/>
                <w:color w:val="auto"/>
              </w:rPr>
            </w:pPr>
          </w:p>
        </w:tc>
      </w:tr>
      <w:tr>
        <w:trPr>
          <w:trHeight w:val="189"/>
        </w:trPr>
        <w:tc>
          <w:tcPr>
            <w:tcW w:w="3060" w:type="dxa"/>
            <w:vAlign w:val="bottom"/>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58</w:t>
            </w:r>
          </w:p>
        </w:tc>
        <w:tc>
          <w:tcPr>
            <w:tcW w:w="5280" w:type="dxa"/>
            <w:vAlign w:val="bottom"/>
          </w:tcPr>
          <w:p>
            <w:pPr>
              <w:ind w:left="64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Compensation</w:t>
            </w:r>
          </w:p>
        </w:tc>
        <w:tc>
          <w:tcPr>
            <w:tcW w:w="0" w:type="dxa"/>
            <w:vAlign w:val="bottom"/>
          </w:tcPr>
          <w:p>
            <w:pPr>
              <w:spacing w:after="0"/>
              <w:rPr>
                <w:sz w:val="1"/>
                <w:szCs w:val="1"/>
                <w:color w:val="auto"/>
              </w:rPr>
            </w:pPr>
          </w:p>
        </w:tc>
      </w:tr>
      <w:tr>
        <w:trPr>
          <w:trHeight w:val="215"/>
        </w:trPr>
        <w:tc>
          <w:tcPr>
            <w:tcW w:w="3060" w:type="dxa"/>
            <w:vAlign w:val="bottom"/>
            <w:vMerge w:val="restart"/>
          </w:tcPr>
          <w:p>
            <w:pPr>
              <w:spacing w:after="0"/>
              <w:rPr>
                <w:sz w:val="20"/>
                <w:szCs w:val="20"/>
                <w:color w:val="auto"/>
              </w:rPr>
            </w:pPr>
            <w:r>
              <w:rPr>
                <w:rFonts w:ascii="Arial" w:cs="Arial" w:eastAsia="Arial" w:hAnsi="Arial"/>
                <w:sz w:val="16"/>
                <w:szCs w:val="16"/>
                <w:b w:val="1"/>
                <w:bCs w:val="1"/>
                <w:color w:val="auto"/>
              </w:rPr>
              <w:t>Other Current Public Boards</w:t>
            </w:r>
          </w:p>
        </w:tc>
        <w:tc>
          <w:tcPr>
            <w:tcW w:w="5280" w:type="dxa"/>
            <w:vAlign w:val="bottom"/>
          </w:tcPr>
          <w:p>
            <w:pPr>
              <w:ind w:left="64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New Energy and Innovation</w:t>
            </w:r>
          </w:p>
        </w:tc>
        <w:tc>
          <w:tcPr>
            <w:tcW w:w="0" w:type="dxa"/>
            <w:vAlign w:val="bottom"/>
          </w:tcPr>
          <w:p>
            <w:pPr>
              <w:spacing w:after="0"/>
              <w:rPr>
                <w:sz w:val="1"/>
                <w:szCs w:val="1"/>
                <w:color w:val="auto"/>
              </w:rPr>
            </w:pPr>
          </w:p>
        </w:tc>
      </w:tr>
      <w:tr>
        <w:trPr>
          <w:trHeight w:val="163"/>
        </w:trPr>
        <w:tc>
          <w:tcPr>
            <w:tcW w:w="3060" w:type="dxa"/>
            <w:vAlign w:val="bottom"/>
            <w:vMerge w:val="continue"/>
          </w:tcPr>
          <w:p>
            <w:pPr>
              <w:spacing w:after="0"/>
              <w:rPr>
                <w:sz w:val="14"/>
                <w:szCs w:val="14"/>
                <w:color w:val="auto"/>
              </w:rPr>
            </w:pPr>
          </w:p>
        </w:tc>
        <w:tc>
          <w:tcPr>
            <w:tcW w:w="5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60" w:type="dxa"/>
            <w:vAlign w:val="bottom"/>
          </w:tcPr>
          <w:p>
            <w:pPr>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Infineon Technologies</w:t>
            </w:r>
          </w:p>
        </w:tc>
        <w:tc>
          <w:tcPr>
            <w:tcW w:w="5280" w:type="dxa"/>
            <w:vAlign w:val="bottom"/>
          </w:tcPr>
          <w:p>
            <w:pPr>
              <w:ind w:left="64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189"/>
        </w:trPr>
        <w:tc>
          <w:tcPr>
            <w:tcW w:w="3060" w:type="dxa"/>
            <w:vAlign w:val="bottom"/>
          </w:tcPr>
          <w:p>
            <w:pPr>
              <w:spacing w:after="0"/>
              <w:rPr>
                <w:sz w:val="16"/>
                <w:szCs w:val="16"/>
                <w:color w:val="auto"/>
              </w:rPr>
            </w:pPr>
          </w:p>
        </w:tc>
        <w:tc>
          <w:tcPr>
            <w:tcW w:w="5280" w:type="dxa"/>
            <w:vAlign w:val="bottom"/>
          </w:tcPr>
          <w:p>
            <w:pPr>
              <w:ind w:left="64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PhD in Economics, Universität Stuttgart</w:t>
            </w:r>
          </w:p>
        </w:tc>
        <w:tc>
          <w:tcPr>
            <w:tcW w:w="0" w:type="dxa"/>
            <w:vAlign w:val="bottom"/>
          </w:tcPr>
          <w:p>
            <w:pPr>
              <w:spacing w:after="0"/>
              <w:rPr>
                <w:sz w:val="1"/>
                <w:szCs w:val="1"/>
                <w:color w:val="auto"/>
              </w:rPr>
            </w:pPr>
          </w:p>
        </w:tc>
      </w:tr>
      <w:tr>
        <w:trPr>
          <w:trHeight w:val="189"/>
        </w:trPr>
        <w:tc>
          <w:tcPr>
            <w:tcW w:w="3060" w:type="dxa"/>
            <w:vAlign w:val="bottom"/>
          </w:tcPr>
          <w:p>
            <w:pPr>
              <w:spacing w:after="0"/>
              <w:rPr>
                <w:sz w:val="20"/>
                <w:szCs w:val="20"/>
                <w:color w:val="auto"/>
              </w:rPr>
            </w:pPr>
            <w:r>
              <w:rPr>
                <w:rFonts w:ascii="Arial" w:cs="Arial" w:eastAsia="Arial" w:hAnsi="Arial"/>
                <w:sz w:val="16"/>
                <w:szCs w:val="16"/>
                <w:b w:val="1"/>
                <w:bCs w:val="1"/>
                <w:color w:val="auto"/>
              </w:rPr>
              <w:t>Former Public Directorships</w:t>
            </w:r>
          </w:p>
        </w:tc>
        <w:tc>
          <w:tcPr>
            <w:tcW w:w="5280" w:type="dxa"/>
            <w:vAlign w:val="bottom"/>
          </w:tcPr>
          <w:p>
            <w:pPr>
              <w:ind w:left="64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Master’s Degree in Management and Engineering, Universität</w:t>
            </w:r>
          </w:p>
        </w:tc>
        <w:tc>
          <w:tcPr>
            <w:tcW w:w="0" w:type="dxa"/>
            <w:vAlign w:val="bottom"/>
          </w:tcPr>
          <w:p>
            <w:pPr>
              <w:spacing w:after="0"/>
              <w:rPr>
                <w:sz w:val="1"/>
                <w:szCs w:val="1"/>
                <w:color w:val="auto"/>
              </w:rPr>
            </w:pPr>
          </w:p>
        </w:tc>
      </w:tr>
      <w:tr>
        <w:trPr>
          <w:trHeight w:val="189"/>
        </w:trPr>
        <w:tc>
          <w:tcPr>
            <w:tcW w:w="3060" w:type="dxa"/>
            <w:vAlign w:val="bottom"/>
          </w:tcPr>
          <w:p>
            <w:pPr>
              <w:spacing w:after="0"/>
              <w:rPr>
                <w:sz w:val="20"/>
                <w:szCs w:val="20"/>
                <w:color w:val="auto"/>
              </w:rPr>
            </w:pPr>
            <w:r>
              <w:rPr>
                <w:rFonts w:ascii="Arial" w:cs="Arial" w:eastAsia="Arial" w:hAnsi="Arial"/>
                <w:sz w:val="16"/>
                <w:szCs w:val="16"/>
                <w:b w:val="1"/>
                <w:bCs w:val="1"/>
                <w:color w:val="auto"/>
              </w:rPr>
              <w:t>Held During the Past Five Years</w:t>
            </w:r>
          </w:p>
        </w:tc>
        <w:tc>
          <w:tcPr>
            <w:tcW w:w="5280" w:type="dxa"/>
            <w:vAlign w:val="bottom"/>
          </w:tcPr>
          <w:p>
            <w:pPr>
              <w:ind w:left="800"/>
              <w:spacing w:after="0"/>
              <w:rPr>
                <w:sz w:val="20"/>
                <w:szCs w:val="20"/>
                <w:color w:val="auto"/>
              </w:rPr>
            </w:pPr>
            <w:r>
              <w:rPr>
                <w:rFonts w:ascii="Arial" w:cs="Arial" w:eastAsia="Arial" w:hAnsi="Arial"/>
                <w:sz w:val="16"/>
                <w:szCs w:val="16"/>
                <w:color w:val="auto"/>
              </w:rPr>
              <w:t>Stuttgart</w:t>
            </w:r>
          </w:p>
        </w:tc>
        <w:tc>
          <w:tcPr>
            <w:tcW w:w="0" w:type="dxa"/>
            <w:vAlign w:val="bottom"/>
          </w:tcPr>
          <w:p>
            <w:pPr>
              <w:spacing w:after="0"/>
              <w:rPr>
                <w:sz w:val="1"/>
                <w:szCs w:val="1"/>
                <w:color w:val="auto"/>
              </w:rPr>
            </w:pPr>
          </w:p>
        </w:tc>
      </w:tr>
      <w:tr>
        <w:trPr>
          <w:trHeight w:val="189"/>
        </w:trPr>
        <w:tc>
          <w:tcPr>
            <w:tcW w:w="3060" w:type="dxa"/>
            <w:vAlign w:val="bottom"/>
          </w:tcPr>
          <w:p>
            <w:pPr>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None</w:t>
            </w:r>
          </w:p>
        </w:tc>
        <w:tc>
          <w:tcPr>
            <w:tcW w:w="5280" w:type="dxa"/>
            <w:vAlign w:val="bottom"/>
          </w:tcPr>
          <w:p>
            <w:pPr>
              <w:ind w:left="640"/>
              <w:spacing w:after="0"/>
              <w:rPr>
                <w:sz w:val="20"/>
                <w:szCs w:val="20"/>
                <w:color w:val="auto"/>
              </w:rPr>
            </w:pPr>
            <w:r>
              <w:rPr>
                <w:rFonts w:ascii="Arial" w:cs="Arial" w:eastAsia="Arial" w:hAnsi="Arial"/>
                <w:sz w:val="16"/>
                <w:szCs w:val="16"/>
                <w:color w:val="16458B"/>
              </w:rPr>
              <w:t xml:space="preserve">•  </w:t>
            </w:r>
            <w:r>
              <w:rPr>
                <w:rFonts w:ascii="Arial" w:cs="Arial" w:eastAsia="Arial" w:hAnsi="Arial"/>
                <w:sz w:val="16"/>
                <w:szCs w:val="16"/>
                <w:color w:val="000000"/>
              </w:rPr>
              <w:t>Digital transformation, restructuring and portfolio management</w:t>
            </w:r>
          </w:p>
        </w:tc>
        <w:tc>
          <w:tcPr>
            <w:tcW w:w="0" w:type="dxa"/>
            <w:vAlign w:val="bottom"/>
          </w:tcPr>
          <w:p>
            <w:pPr>
              <w:spacing w:after="0"/>
              <w:rPr>
                <w:sz w:val="1"/>
                <w:szCs w:val="1"/>
                <w:color w:val="auto"/>
              </w:rPr>
            </w:pPr>
          </w:p>
        </w:tc>
      </w:tr>
      <w:tr>
        <w:trPr>
          <w:trHeight w:val="215"/>
        </w:trPr>
        <w:tc>
          <w:tcPr>
            <w:tcW w:w="3060" w:type="dxa"/>
            <w:vAlign w:val="bottom"/>
          </w:tcPr>
          <w:p>
            <w:pPr>
              <w:spacing w:after="0"/>
              <w:rPr>
                <w:sz w:val="18"/>
                <w:szCs w:val="18"/>
                <w:color w:val="auto"/>
              </w:rPr>
            </w:pPr>
          </w:p>
        </w:tc>
        <w:tc>
          <w:tcPr>
            <w:tcW w:w="5280" w:type="dxa"/>
            <w:vAlign w:val="bottom"/>
          </w:tcPr>
          <w:p>
            <w:pPr>
              <w:ind w:left="800"/>
              <w:spacing w:after="0"/>
              <w:rPr>
                <w:sz w:val="20"/>
                <w:szCs w:val="20"/>
                <w:color w:val="auto"/>
              </w:rPr>
            </w:pPr>
            <w:r>
              <w:rPr>
                <w:rFonts w:ascii="Arial" w:cs="Arial" w:eastAsia="Arial" w:hAnsi="Arial"/>
                <w:sz w:val="16"/>
                <w:szCs w:val="16"/>
                <w:color w:val="auto"/>
              </w:rPr>
              <w:t>expertise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301625</wp:posOffset>
            </wp:positionV>
            <wp:extent cx="17145" cy="1714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301625</wp:posOffset>
            </wp:positionV>
            <wp:extent cx="17145" cy="1714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301625</wp:posOffset>
            </wp:positionV>
            <wp:extent cx="17145" cy="1714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301625</wp:posOffset>
            </wp:positionV>
            <wp:extent cx="17145" cy="1714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301625</wp:posOffset>
            </wp:positionV>
            <wp:extent cx="17145" cy="1714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301625</wp:posOffset>
            </wp:positionV>
            <wp:extent cx="17145" cy="1714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301625</wp:posOffset>
            </wp:positionV>
            <wp:extent cx="17145" cy="1714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301625</wp:posOffset>
            </wp:positionV>
            <wp:extent cx="17145" cy="1714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301625</wp:posOffset>
            </wp:positionV>
            <wp:extent cx="17145" cy="1714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301625</wp:posOffset>
            </wp:positionV>
            <wp:extent cx="17145" cy="1714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301625</wp:posOffset>
            </wp:positionV>
            <wp:extent cx="17145" cy="1714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301625</wp:posOffset>
            </wp:positionV>
            <wp:extent cx="17145" cy="1714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301625</wp:posOffset>
            </wp:positionV>
            <wp:extent cx="17145" cy="1714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301625</wp:posOffset>
            </wp:positionV>
            <wp:extent cx="17145" cy="1714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301625</wp:posOffset>
            </wp:positionV>
            <wp:extent cx="17145" cy="1714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301625</wp:posOffset>
            </wp:positionV>
            <wp:extent cx="17145" cy="1714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301625</wp:posOffset>
            </wp:positionV>
            <wp:extent cx="17145" cy="1714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301625</wp:posOffset>
            </wp:positionV>
            <wp:extent cx="17145" cy="1714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301625</wp:posOffset>
            </wp:positionV>
            <wp:extent cx="17145" cy="1714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301625</wp:posOffset>
            </wp:positionV>
            <wp:extent cx="17145" cy="1714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301625</wp:posOffset>
            </wp:positionV>
            <wp:extent cx="17145" cy="1714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301625</wp:posOffset>
            </wp:positionV>
            <wp:extent cx="17145" cy="1714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301625</wp:posOffset>
            </wp:positionV>
            <wp:extent cx="17145" cy="1714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301625</wp:posOffset>
            </wp:positionV>
            <wp:extent cx="17145" cy="1714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301625</wp:posOffset>
            </wp:positionV>
            <wp:extent cx="17145" cy="1714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301625</wp:posOffset>
            </wp:positionV>
            <wp:extent cx="17145" cy="1714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301625</wp:posOffset>
            </wp:positionV>
            <wp:extent cx="17145" cy="1714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301625</wp:posOffset>
            </wp:positionV>
            <wp:extent cx="17145" cy="1714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301625</wp:posOffset>
            </wp:positionV>
            <wp:extent cx="17145" cy="1714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301625</wp:posOffset>
            </wp:positionV>
            <wp:extent cx="17145" cy="1714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301625</wp:posOffset>
            </wp:positionV>
            <wp:extent cx="17145" cy="1714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301625</wp:posOffset>
            </wp:positionV>
            <wp:extent cx="17145" cy="1714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301625</wp:posOffset>
            </wp:positionV>
            <wp:extent cx="17145" cy="1714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301625</wp:posOffset>
            </wp:positionV>
            <wp:extent cx="17145" cy="1714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301625</wp:posOffset>
            </wp:positionV>
            <wp:extent cx="17145" cy="1714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301625</wp:posOffset>
            </wp:positionV>
            <wp:extent cx="17145" cy="1714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301625</wp:posOffset>
            </wp:positionV>
            <wp:extent cx="17145" cy="1714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301625</wp:posOffset>
            </wp:positionV>
            <wp:extent cx="17145" cy="1714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301625</wp:posOffset>
            </wp:positionV>
            <wp:extent cx="17145" cy="1714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301625</wp:posOffset>
            </wp:positionV>
            <wp:extent cx="17145" cy="1714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301625</wp:posOffset>
            </wp:positionV>
            <wp:extent cx="17145" cy="1714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301625</wp:posOffset>
            </wp:positionV>
            <wp:extent cx="17145" cy="1714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301625</wp:posOffset>
            </wp:positionV>
            <wp:extent cx="17145" cy="1714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301625</wp:posOffset>
            </wp:positionV>
            <wp:extent cx="17145" cy="1714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301625</wp:posOffset>
            </wp:positionV>
            <wp:extent cx="17145" cy="1714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301625</wp:posOffset>
            </wp:positionV>
            <wp:extent cx="17145" cy="1714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301625</wp:posOffset>
            </wp:positionV>
            <wp:extent cx="17145" cy="1714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301625</wp:posOffset>
            </wp:positionV>
            <wp:extent cx="17145" cy="1714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301625</wp:posOffset>
            </wp:positionV>
            <wp:extent cx="17145" cy="1714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301625</wp:posOffset>
            </wp:positionV>
            <wp:extent cx="17145" cy="1714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301625</wp:posOffset>
            </wp:positionV>
            <wp:extent cx="17145" cy="1714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301625</wp:posOffset>
            </wp:positionV>
            <wp:extent cx="17145" cy="1714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301625</wp:posOffset>
            </wp:positionV>
            <wp:extent cx="17145" cy="1714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301625</wp:posOffset>
            </wp:positionV>
            <wp:extent cx="17145" cy="1714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301625</wp:posOffset>
            </wp:positionV>
            <wp:extent cx="17145" cy="1714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301625</wp:posOffset>
            </wp:positionV>
            <wp:extent cx="17145" cy="1714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301625</wp:posOffset>
            </wp:positionV>
            <wp:extent cx="17145" cy="1714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301625</wp:posOffset>
            </wp:positionV>
            <wp:extent cx="17145" cy="1714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301625</wp:posOffset>
            </wp:positionV>
            <wp:extent cx="17145" cy="1714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301625</wp:posOffset>
            </wp:positionV>
            <wp:extent cx="17145" cy="1714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301625</wp:posOffset>
            </wp:positionV>
            <wp:extent cx="17145" cy="1714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301625</wp:posOffset>
            </wp:positionV>
            <wp:extent cx="17145" cy="1714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301625</wp:posOffset>
            </wp:positionV>
            <wp:extent cx="17145" cy="1714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301625</wp:posOffset>
            </wp:positionV>
            <wp:extent cx="17145" cy="1714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301625</wp:posOffset>
            </wp:positionV>
            <wp:extent cx="17145" cy="1714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301625</wp:posOffset>
            </wp:positionV>
            <wp:extent cx="17145" cy="1714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301625</wp:posOffset>
            </wp:positionV>
            <wp:extent cx="17145" cy="1714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301625</wp:posOffset>
            </wp:positionV>
            <wp:extent cx="17145" cy="1714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301625</wp:posOffset>
            </wp:positionV>
            <wp:extent cx="17145" cy="1714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301625</wp:posOffset>
            </wp:positionV>
            <wp:extent cx="17145" cy="1714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301625</wp:posOffset>
            </wp:positionV>
            <wp:extent cx="17145" cy="1714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301625</wp:posOffset>
            </wp:positionV>
            <wp:extent cx="17145" cy="1714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301625</wp:posOffset>
            </wp:positionV>
            <wp:extent cx="17145" cy="1714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301625</wp:posOffset>
            </wp:positionV>
            <wp:extent cx="17145" cy="1714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301625</wp:posOffset>
            </wp:positionV>
            <wp:extent cx="17145" cy="1714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301625</wp:posOffset>
            </wp:positionV>
            <wp:extent cx="17145" cy="1714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301625</wp:posOffset>
            </wp:positionV>
            <wp:extent cx="17145" cy="1714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301625</wp:posOffset>
            </wp:positionV>
            <wp:extent cx="17145" cy="1714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301625</wp:posOffset>
            </wp:positionV>
            <wp:extent cx="17145" cy="1714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301625</wp:posOffset>
            </wp:positionV>
            <wp:extent cx="17145" cy="1714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301625</wp:posOffset>
            </wp:positionV>
            <wp:extent cx="17145" cy="1714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301625</wp:posOffset>
            </wp:positionV>
            <wp:extent cx="17145" cy="1714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301625</wp:posOffset>
            </wp:positionV>
            <wp:extent cx="17145" cy="1714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301625</wp:posOffset>
            </wp:positionV>
            <wp:extent cx="17145" cy="1714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301625</wp:posOffset>
            </wp:positionV>
            <wp:extent cx="17145" cy="1714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301625</wp:posOffset>
            </wp:positionV>
            <wp:extent cx="17145" cy="1714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301625</wp:posOffset>
            </wp:positionV>
            <wp:extent cx="4174490" cy="1714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4174490" cy="1714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ULRICH SPIESSHOFER is the former president and Chief Executive Officer of ABB Ltd., a multinational technology-focused corporation, having served in that role from 2013 to April 2019 and as an ABB executive committee member from 2005 to April 2019. Under Dr. Spiesshofer’s leadership, ABB transformed into a global leader in digital industries and a respected technology company at the nexus of industrial products and services, robotics and software. Since June 2020, he has served as a senior advisor at The Blackstone Group L.P. (Blackstone), and in this capacity he has chaired the advisory boards of Sabre Industries since January 2021 and Schenck Process since May 2021, and has served as a director of TDI-USA Holdings LLC since December 2021, all Blackstone portfolio companies. He has also served as a director of Infineon Technologies since February 2020, where he chairs the strategy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Skills and Expertise</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Dr. Spiesshofer brings to the Board more than 30 years of global leadership experience in industries ranging from oil and gas to power and electrification to automation and digitalization. The Board values his industrial sector expertise and his business transformation experience leveraging digital technologies,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263525</wp:posOffset>
            </wp:positionV>
            <wp:extent cx="471805" cy="28257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Pr>
          <w:p>
            <w:pPr>
              <w:spacing w:after="0"/>
              <w:rPr>
                <w:sz w:val="9"/>
                <w:szCs w:val="9"/>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17</w:t>
            </w:r>
          </w:p>
        </w:tc>
        <w:tc>
          <w:tcPr>
            <w:tcW w:w="44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19" w:name="page20"/>
    <w:bookmarkEnd w:id="19"/>
    <w:p>
      <w:pPr>
        <w:spacing w:after="0" w:line="191" w:lineRule="auto"/>
        <w:framePr w:w="2600" w:h="147" w:wrap="auto" w:vAnchor="page" w:hAnchor="page" w:x="600" w:y="5933"/>
        <w:rPr>
          <w:rFonts w:ascii="Arial" w:cs="Arial" w:eastAsia="Arial" w:hAnsi="Arial"/>
          <w:sz w:val="16"/>
          <w:szCs w:val="16"/>
          <w:color w:val="auto"/>
        </w:rPr>
      </w:pPr>
      <w:r>
        <w:rPr>
          <w:rFonts w:ascii="Arial" w:cs="Arial" w:eastAsia="Arial" w:hAnsi="Arial"/>
          <w:sz w:val="16"/>
          <w:szCs w:val="16"/>
          <w:color w:val="auto"/>
        </w:rPr>
        <w:t>Proactive shareholder engagement</w:t>
      </w:r>
    </w:p>
    <w:p>
      <w:pPr>
        <w:spacing w:after="0" w:line="191" w:lineRule="auto"/>
        <w:framePr w:w="4140" w:h="147" w:wrap="auto" w:vAnchor="page" w:hAnchor="page" w:x="600" w:y="2207"/>
        <w:rPr>
          <w:rFonts w:ascii="Arial" w:cs="Arial" w:eastAsia="Arial" w:hAnsi="Arial"/>
          <w:sz w:val="16"/>
          <w:szCs w:val="16"/>
          <w:color w:val="auto"/>
        </w:rPr>
      </w:pPr>
      <w:r>
        <w:rPr>
          <w:rFonts w:ascii="Arial" w:cs="Arial" w:eastAsia="Arial" w:hAnsi="Arial"/>
          <w:sz w:val="16"/>
          <w:szCs w:val="16"/>
          <w:color w:val="auto"/>
        </w:rPr>
        <w:t>Independent Chairman of the Board, separate from CEO</w:t>
      </w:r>
    </w:p>
    <w:p>
      <w:pPr>
        <w:spacing w:after="0" w:line="191" w:lineRule="auto"/>
        <w:framePr w:w="3920" w:h="147" w:wrap="auto" w:vAnchor="page" w:hAnchor="page" w:x="600" w:y="2612"/>
        <w:rPr>
          <w:rFonts w:ascii="Arial" w:cs="Arial" w:eastAsia="Arial" w:hAnsi="Arial"/>
          <w:sz w:val="16"/>
          <w:szCs w:val="16"/>
          <w:color w:val="auto"/>
        </w:rPr>
      </w:pPr>
      <w:r>
        <w:rPr>
          <w:rFonts w:ascii="Arial" w:cs="Arial" w:eastAsia="Arial" w:hAnsi="Arial"/>
          <w:sz w:val="16"/>
          <w:szCs w:val="16"/>
          <w:color w:val="auto"/>
        </w:rPr>
        <w:t>No staggered board; all directors are elected annually</w:t>
      </w:r>
    </w:p>
    <w:p>
      <w:pPr>
        <w:spacing w:after="0" w:line="218" w:lineRule="auto"/>
        <w:framePr w:w="4440" w:h="336" w:wrap="auto" w:vAnchor="page" w:hAnchor="page" w:x="600" w:y="3017"/>
        <w:rPr>
          <w:rFonts w:ascii="Arial" w:cs="Arial" w:eastAsia="Arial" w:hAnsi="Arial"/>
          <w:sz w:val="16"/>
          <w:szCs w:val="16"/>
          <w:color w:val="auto"/>
        </w:rPr>
      </w:pPr>
      <w:r>
        <w:rPr>
          <w:rFonts w:ascii="Arial" w:cs="Arial" w:eastAsia="Arial" w:hAnsi="Arial"/>
          <w:sz w:val="16"/>
          <w:szCs w:val="16"/>
          <w:color w:val="auto"/>
        </w:rPr>
        <w:t>Fully independent Audit, Compensation, and Nominating and Governance committees</w:t>
      </w:r>
    </w:p>
    <w:p>
      <w:pPr>
        <w:spacing w:after="0" w:line="191" w:lineRule="auto"/>
        <w:framePr w:w="3960" w:h="147" w:wrap="auto" w:vAnchor="page" w:hAnchor="page" w:x="600" w:y="3584"/>
        <w:rPr>
          <w:rFonts w:ascii="Arial" w:cs="Arial" w:eastAsia="Arial" w:hAnsi="Arial"/>
          <w:sz w:val="16"/>
          <w:szCs w:val="16"/>
          <w:color w:val="auto"/>
        </w:rPr>
      </w:pPr>
      <w:r>
        <w:rPr>
          <w:rFonts w:ascii="Arial" w:cs="Arial" w:eastAsia="Arial" w:hAnsi="Arial"/>
          <w:sz w:val="16"/>
          <w:szCs w:val="16"/>
          <w:color w:val="auto"/>
        </w:rPr>
        <w:t>Regular executive sessions of non-employee directors</w:t>
      </w:r>
    </w:p>
    <w:p>
      <w:pPr>
        <w:spacing w:after="0" w:line="191" w:lineRule="auto"/>
        <w:framePr w:w="4100" w:h="147" w:wrap="auto" w:vAnchor="page" w:hAnchor="page" w:x="600" w:y="3989"/>
        <w:rPr>
          <w:rFonts w:ascii="Arial" w:cs="Arial" w:eastAsia="Arial" w:hAnsi="Arial"/>
          <w:sz w:val="16"/>
          <w:szCs w:val="16"/>
          <w:color w:val="auto"/>
        </w:rPr>
      </w:pPr>
      <w:r>
        <w:rPr>
          <w:rFonts w:ascii="Arial" w:cs="Arial" w:eastAsia="Arial" w:hAnsi="Arial"/>
          <w:sz w:val="16"/>
          <w:szCs w:val="16"/>
          <w:color w:val="auto"/>
        </w:rPr>
        <w:t>Majority vote standard for uncontested director elections</w:t>
      </w:r>
    </w:p>
    <w:p>
      <w:pPr>
        <w:spacing w:after="0" w:line="218" w:lineRule="auto"/>
        <w:framePr w:w="4540" w:h="336" w:wrap="auto" w:vAnchor="page" w:hAnchor="page" w:x="600" w:y="4394"/>
        <w:rPr>
          <w:rFonts w:ascii="Arial" w:cs="Arial" w:eastAsia="Arial" w:hAnsi="Arial"/>
          <w:sz w:val="16"/>
          <w:szCs w:val="16"/>
          <w:color w:val="auto"/>
        </w:rPr>
      </w:pPr>
      <w:r>
        <w:rPr>
          <w:rFonts w:ascii="Arial" w:cs="Arial" w:eastAsia="Arial" w:hAnsi="Arial"/>
          <w:sz w:val="16"/>
          <w:szCs w:val="16"/>
          <w:color w:val="auto"/>
        </w:rPr>
        <w:t>Annual performance evaluations of Board, its committees, and individual directors</w:t>
      </w:r>
    </w:p>
    <w:p>
      <w:pPr>
        <w:spacing w:after="0" w:line="191" w:lineRule="auto"/>
        <w:framePr w:w="2400" w:h="147" w:wrap="auto" w:vAnchor="page" w:hAnchor="page" w:x="600" w:y="4961"/>
        <w:rPr>
          <w:rFonts w:ascii="Arial" w:cs="Arial" w:eastAsia="Arial" w:hAnsi="Arial"/>
          <w:sz w:val="16"/>
          <w:szCs w:val="16"/>
          <w:color w:val="auto"/>
        </w:rPr>
      </w:pPr>
      <w:r>
        <w:rPr>
          <w:rFonts w:ascii="Arial" w:cs="Arial" w:eastAsia="Arial" w:hAnsi="Arial"/>
          <w:sz w:val="16"/>
          <w:szCs w:val="16"/>
          <w:color w:val="auto"/>
        </w:rPr>
        <w:t>100% Board attendance in 2022</w:t>
      </w:r>
    </w:p>
    <w:p>
      <w:pPr>
        <w:ind w:firstLine="1"/>
        <w:spacing w:after="0" w:line="218" w:lineRule="auto"/>
        <w:framePr w:w="4780" w:h="336" w:wrap="auto" w:vAnchor="page" w:hAnchor="page" w:x="600" w:y="5366"/>
        <w:rPr>
          <w:rFonts w:ascii="Arial" w:cs="Arial" w:eastAsia="Arial" w:hAnsi="Arial"/>
          <w:sz w:val="16"/>
          <w:szCs w:val="16"/>
          <w:color w:val="auto"/>
        </w:rPr>
      </w:pPr>
      <w:r>
        <w:rPr>
          <w:rFonts w:ascii="Arial" w:cs="Arial" w:eastAsia="Arial" w:hAnsi="Arial"/>
          <w:sz w:val="16"/>
          <w:szCs w:val="16"/>
          <w:color w:val="auto"/>
        </w:rPr>
        <w:t>Comprehensive risk assessment process designed to identify and manage enterprise-wide risks</w:t>
      </w:r>
    </w:p>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50"/>
          <w:szCs w:val="50"/>
          <w:color w:val="0233A1"/>
        </w:rPr>
        <w:t>Corporate Governance</w:t>
      </w:r>
    </w:p>
    <w:p>
      <w:pPr>
        <w:spacing w:after="0" w:line="200" w:lineRule="exact"/>
        <w:rPr>
          <w:rFonts w:ascii="Arial" w:cs="Arial" w:eastAsia="Arial" w:hAnsi="Arial"/>
          <w:sz w:val="16"/>
          <w:szCs w:val="16"/>
          <w:color w:val="auto"/>
        </w:rPr>
      </w:pPr>
    </w:p>
    <w:p>
      <w:pPr>
        <w:spacing w:after="0" w:line="257" w:lineRule="exact"/>
        <w:rPr>
          <w:rFonts w:ascii="Arial" w:cs="Arial" w:eastAsia="Arial" w:hAnsi="Arial"/>
          <w:sz w:val="16"/>
          <w:szCs w:val="16"/>
          <w:color w:val="auto"/>
        </w:rPr>
      </w:pPr>
    </w:p>
    <w:p>
      <w:pPr>
        <w:ind w:firstLine="324"/>
        <w:spacing w:after="0" w:line="286" w:lineRule="auto"/>
        <w:rPr>
          <w:sz w:val="20"/>
          <w:szCs w:val="20"/>
          <w:color w:val="auto"/>
        </w:rPr>
      </w:pPr>
      <w:r>
        <w:rPr>
          <w:rFonts w:ascii="Arial" w:cs="Arial" w:eastAsia="Arial" w:hAnsi="Arial"/>
          <w:sz w:val="16"/>
          <w:szCs w:val="16"/>
          <w:color w:val="auto"/>
        </w:rPr>
        <w:t>We are committed to strong corporate governance, which we believe is critical to achieving our performance goals and to retaining the trust of our stakeholders. Our governance practices include:</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3" w:lineRule="exact"/>
        <w:rPr>
          <w:rFonts w:ascii="Arial" w:cs="Arial" w:eastAsia="Arial" w:hAnsi="Arial"/>
          <w:sz w:val="16"/>
          <w:szCs w:val="16"/>
          <w:color w:val="auto"/>
        </w:rPr>
      </w:pPr>
    </w:p>
    <w:p>
      <w:pPr>
        <w:ind w:left="6160" w:right="280"/>
        <w:spacing w:after="0" w:line="266" w:lineRule="auto"/>
        <w:rPr>
          <w:sz w:val="20"/>
          <w:szCs w:val="20"/>
          <w:color w:val="auto"/>
        </w:rPr>
      </w:pPr>
      <w:r>
        <w:rPr>
          <w:rFonts w:ascii="Arial" w:cs="Arial" w:eastAsia="Arial" w:hAnsi="Arial"/>
          <w:sz w:val="16"/>
          <w:szCs w:val="16"/>
          <w:color w:val="auto"/>
        </w:rPr>
        <w:t>Director nominees reflect the gender, racial and ethnic, cultural and geographical diversity of our global operations, as well as diverse experience, skills, and tenure</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162560" cy="13716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-379095</wp:posOffset>
            </wp:positionV>
            <wp:extent cx="163195" cy="13716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63195" cy="137160"/>
                    </a:xfrm>
                    <a:prstGeom prst="rect">
                      <a:avLst/>
                    </a:prstGeom>
                    <a:noFill/>
                  </pic:spPr>
                </pic:pic>
              </a:graphicData>
            </a:graphic>
          </wp:anchor>
        </w:drawing>
      </w:r>
    </w:p>
    <w:p>
      <w:pPr>
        <w:spacing w:after="0" w:line="124" w:lineRule="exact"/>
        <w:rPr>
          <w:rFonts w:ascii="Arial" w:cs="Arial" w:eastAsia="Arial" w:hAnsi="Arial"/>
          <w:sz w:val="16"/>
          <w:szCs w:val="16"/>
          <w:color w:val="auto"/>
        </w:rPr>
      </w:pPr>
    </w:p>
    <w:p>
      <w:pPr>
        <w:ind w:left="6160" w:right="160"/>
        <w:spacing w:after="0" w:line="286" w:lineRule="auto"/>
        <w:rPr>
          <w:sz w:val="20"/>
          <w:szCs w:val="20"/>
          <w:color w:val="auto"/>
        </w:rPr>
      </w:pPr>
      <w:r>
        <w:rPr>
          <w:rFonts w:ascii="Arial" w:cs="Arial" w:eastAsia="Arial" w:hAnsi="Arial"/>
          <w:sz w:val="16"/>
          <w:szCs w:val="16"/>
          <w:color w:val="auto"/>
        </w:rPr>
        <w:t>Demonstrated commitment to Board refreshment, with every director joining the Board within the last six years</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162560" cy="13716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-268605</wp:posOffset>
            </wp:positionV>
            <wp:extent cx="163195" cy="13716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63195" cy="137160"/>
                    </a:xfrm>
                    <a:prstGeom prst="rect">
                      <a:avLst/>
                    </a:prstGeom>
                    <a:noFill/>
                  </pic:spPr>
                </pic:pic>
              </a:graphicData>
            </a:graphic>
          </wp:anchor>
        </w:drawing>
      </w:r>
    </w:p>
    <w:p>
      <w:pPr>
        <w:spacing w:after="0" w:line="109" w:lineRule="exact"/>
        <w:rPr>
          <w:rFonts w:ascii="Arial" w:cs="Arial" w:eastAsia="Arial" w:hAnsi="Arial"/>
          <w:sz w:val="16"/>
          <w:szCs w:val="16"/>
          <w:color w:val="auto"/>
        </w:rPr>
      </w:pPr>
    </w:p>
    <w:p>
      <w:pPr>
        <w:ind w:left="6160" w:right="140"/>
        <w:spacing w:after="0" w:line="286" w:lineRule="auto"/>
        <w:rPr>
          <w:sz w:val="20"/>
          <w:szCs w:val="20"/>
          <w:color w:val="auto"/>
        </w:rPr>
      </w:pPr>
      <w:r>
        <w:rPr>
          <w:rFonts w:ascii="Arial" w:cs="Arial" w:eastAsia="Arial" w:hAnsi="Arial"/>
          <w:sz w:val="16"/>
          <w:szCs w:val="16"/>
          <w:color w:val="auto"/>
        </w:rPr>
        <w:t>Non-employee director tenure limits of 75 years of age or 10 years of service—whichever comes first</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162560" cy="13716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162560" cy="13716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-268605</wp:posOffset>
            </wp:positionV>
            <wp:extent cx="163195" cy="13716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63195" cy="137160"/>
                    </a:xfrm>
                    <a:prstGeom prst="rect">
                      <a:avLst/>
                    </a:prstGeom>
                    <a:noFill/>
                  </pic:spPr>
                </pic:pic>
              </a:graphicData>
            </a:graphic>
          </wp:anchor>
        </w:drawing>
      </w:r>
    </w:p>
    <w:p>
      <w:pPr>
        <w:spacing w:after="0" w:line="123" w:lineRule="exact"/>
        <w:rPr>
          <w:rFonts w:ascii="Arial" w:cs="Arial" w:eastAsia="Arial" w:hAnsi="Arial"/>
          <w:sz w:val="16"/>
          <w:szCs w:val="16"/>
          <w:color w:val="auto"/>
        </w:rPr>
      </w:pPr>
    </w:p>
    <w:p>
      <w:pPr>
        <w:ind w:left="5900"/>
        <w:spacing w:after="0"/>
        <w:rPr>
          <w:sz w:val="20"/>
          <w:szCs w:val="20"/>
          <w:color w:val="auto"/>
        </w:rPr>
      </w:pPr>
      <w:r>
        <w:rPr>
          <w:sz w:val="1"/>
          <w:szCs w:val="1"/>
          <w:color w:val="auto"/>
        </w:rPr>
        <w:drawing>
          <wp:inline distT="0" distB="0" distL="0" distR="0">
            <wp:extent cx="162560" cy="137160"/>
            <wp:effectExtent l="0" t="0" r="0" b="0"/>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62560" cy="137160"/>
                    </a:xfrm>
                    <a:prstGeom prst="rect">
                      <a:avLst/>
                    </a:prstGeom>
                    <a:noFill/>
                    <a:ln>
                      <a:noFill/>
                    </a:ln>
                  </pic:spPr>
                </pic:pic>
              </a:graphicData>
            </a:graphic>
          </wp:inline>
        </w:drawing>
      </w:r>
      <w:r>
        <w:rPr>
          <w:rFonts w:ascii="Arial" w:cs="Arial" w:eastAsia="Arial" w:hAnsi="Arial"/>
          <w:sz w:val="16"/>
          <w:szCs w:val="16"/>
          <w:color w:val="auto"/>
        </w:rPr>
        <w:t>No hedging or pledging of our stock by executives or directors</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162560" cy="13716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62560" cy="137160"/>
                    </a:xfrm>
                    <a:prstGeom prst="rect">
                      <a:avLst/>
                    </a:prstGeom>
                    <a:noFill/>
                  </pic:spPr>
                </pic:pic>
              </a:graphicData>
            </a:graphic>
          </wp:anchor>
        </w:drawing>
      </w:r>
    </w:p>
    <w:p>
      <w:pPr>
        <w:spacing w:after="0" w:line="153" w:lineRule="exact"/>
        <w:rPr>
          <w:rFonts w:ascii="Arial" w:cs="Arial" w:eastAsia="Arial" w:hAnsi="Arial"/>
          <w:sz w:val="16"/>
          <w:szCs w:val="16"/>
          <w:color w:val="auto"/>
        </w:rPr>
      </w:pPr>
    </w:p>
    <w:p>
      <w:pPr>
        <w:ind w:left="5860"/>
        <w:spacing w:after="0"/>
        <w:rPr>
          <w:sz w:val="20"/>
          <w:szCs w:val="20"/>
          <w:color w:val="auto"/>
        </w:rPr>
      </w:pPr>
      <w:r>
        <w:rPr>
          <w:sz w:val="1"/>
          <w:szCs w:val="1"/>
          <w:color w:val="auto"/>
        </w:rPr>
        <w:drawing>
          <wp:inline distT="0" distB="0" distL="0" distR="0">
            <wp:extent cx="163195" cy="137160"/>
            <wp:effectExtent l="0" t="0" r="0" b="0"/>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63195" cy="137160"/>
                    </a:xfrm>
                    <a:prstGeom prst="rect">
                      <a:avLst/>
                    </a:prstGeom>
                    <a:noFill/>
                    <a:ln>
                      <a:noFill/>
                    </a:ln>
                  </pic:spPr>
                </pic:pic>
              </a:graphicData>
            </a:graphic>
          </wp:inline>
        </w:drawing>
      </w:r>
      <w:r>
        <w:rPr>
          <w:rFonts w:ascii="Arial" w:cs="Arial" w:eastAsia="Arial" w:hAnsi="Arial"/>
          <w:sz w:val="16"/>
          <w:szCs w:val="16"/>
          <w:color w:val="auto"/>
        </w:rPr>
        <w:t xml:space="preserve"> Robust stock ownership guidelines for SLB executives and directors</w:t>
      </w:r>
    </w:p>
    <w:p>
      <w:pPr>
        <w:spacing w:after="0" w:line="163" w:lineRule="exact"/>
        <w:rPr>
          <w:rFonts w:ascii="Arial" w:cs="Arial" w:eastAsia="Arial" w:hAnsi="Arial"/>
          <w:sz w:val="16"/>
          <w:szCs w:val="16"/>
          <w:color w:val="auto"/>
        </w:rPr>
      </w:pPr>
    </w:p>
    <w:p>
      <w:pPr>
        <w:ind w:left="6160" w:right="400"/>
        <w:spacing w:after="0" w:line="253" w:lineRule="auto"/>
        <w:rPr>
          <w:sz w:val="20"/>
          <w:szCs w:val="20"/>
          <w:color w:val="auto"/>
        </w:rPr>
      </w:pPr>
      <w:r>
        <w:rPr>
          <w:rFonts w:ascii="Arial" w:cs="Arial" w:eastAsia="Arial" w:hAnsi="Arial"/>
          <w:sz w:val="16"/>
          <w:szCs w:val="16"/>
          <w:color w:val="auto"/>
        </w:rPr>
        <w:t>No lobbying or making financial or in-kind contributions to political parties or candidates</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162560" cy="13716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-236855</wp:posOffset>
            </wp:positionV>
            <wp:extent cx="163195" cy="13716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63195" cy="137160"/>
                    </a:xfrm>
                    <a:prstGeom prst="rect">
                      <a:avLst/>
                    </a:prstGeom>
                    <a:noFill/>
                  </pic:spPr>
                </pic:pic>
              </a:graphicData>
            </a:graphic>
          </wp:anchor>
        </w:drawing>
      </w:r>
    </w:p>
    <w:p>
      <w:pPr>
        <w:ind w:left="5400"/>
        <w:spacing w:after="0"/>
        <w:rPr>
          <w:sz w:val="20"/>
          <w:szCs w:val="20"/>
          <w:color w:val="auto"/>
        </w:rPr>
      </w:pPr>
      <w:r>
        <w:rPr>
          <w:rFonts w:ascii="Arial" w:cs="Arial" w:eastAsia="Arial" w:hAnsi="Arial"/>
          <w:sz w:val="29"/>
          <w:szCs w:val="29"/>
          <w:color w:val="0233A1"/>
        </w:rPr>
        <w:t>Proactive Shareholder Engagement</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162560" cy="13716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62560" cy="137160"/>
                    </a:xfrm>
                    <a:prstGeom prst="rect">
                      <a:avLst/>
                    </a:prstGeom>
                    <a:noFill/>
                  </pic:spPr>
                </pic:pic>
              </a:graphicData>
            </a:graphic>
          </wp:anchor>
        </w:drawing>
      </w:r>
    </w:p>
    <w:p>
      <w:pPr>
        <w:spacing w:after="0" w:line="163" w:lineRule="exact"/>
        <w:rPr>
          <w:rFonts w:ascii="Arial" w:cs="Arial" w:eastAsia="Arial" w:hAnsi="Arial"/>
          <w:sz w:val="16"/>
          <w:szCs w:val="16"/>
          <w:color w:val="auto"/>
        </w:rPr>
      </w:pPr>
    </w:p>
    <w:p>
      <w:pPr>
        <w:jc w:val="both"/>
        <w:ind w:left="5400" w:firstLine="324"/>
        <w:spacing w:after="0" w:line="253" w:lineRule="auto"/>
        <w:rPr>
          <w:sz w:val="20"/>
          <w:szCs w:val="20"/>
          <w:color w:val="auto"/>
        </w:rPr>
      </w:pPr>
      <w:r>
        <w:rPr>
          <w:rFonts w:ascii="Arial" w:cs="Arial" w:eastAsia="Arial" w:hAnsi="Arial"/>
          <w:sz w:val="16"/>
          <w:szCs w:val="16"/>
          <w:color w:val="auto"/>
        </w:rPr>
        <w:t>Our relationship and on-going dialogue with our shareholders are important parts of our Board’s corporate governance commitment. Our investor relations, sustainability, legal, and human resources teams engage with shareholders</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62560" cy="13716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62560" cy="137160"/>
                    </a:xfrm>
                    <a:prstGeom prst="rect">
                      <a:avLst/>
                    </a:prstGeom>
                    <a:noFill/>
                  </pic:spPr>
                </pic:pic>
              </a:graphicData>
            </a:graphic>
          </wp:anchor>
        </w:drawing>
      </w:r>
    </w:p>
    <w:p>
      <w:pPr>
        <w:jc w:val="both"/>
        <w:spacing w:after="0" w:line="251" w:lineRule="auto"/>
        <w:rPr>
          <w:sz w:val="20"/>
          <w:szCs w:val="20"/>
          <w:color w:val="auto"/>
        </w:rPr>
      </w:pPr>
      <w:r>
        <w:rPr>
          <w:rFonts w:ascii="Arial" w:cs="Arial" w:eastAsia="Arial" w:hAnsi="Arial"/>
          <w:sz w:val="16"/>
          <w:szCs w:val="16"/>
          <w:color w:val="auto"/>
        </w:rPr>
        <w:t>throughout the year to seek their views on key matters, and then inform our Board and management about the issues and emerging governance trends that our shareholders tell us matter most to them. The chairs of our Compensation and Nominating and Governance committees also participate in our engagement efforts when requested. These engagements routinely cover executive compensation, corporate governance, company strategy and performance, sustainability, human rights and other current and emerging issues. For details about our 2022 Investors Conference, see “Spotlight on: 2022 Investor Day” on page 8 of this proxy statement.</w:t>
      </w:r>
    </w:p>
    <w:p>
      <w:pPr>
        <w:spacing w:after="0" w:line="327"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29"/>
          <w:szCs w:val="29"/>
          <w:color w:val="0233A1"/>
        </w:rPr>
        <w:t>Independent Chairman of the Board</w:t>
      </w:r>
    </w:p>
    <w:p>
      <w:pPr>
        <w:spacing w:after="0" w:line="211" w:lineRule="exact"/>
        <w:rPr>
          <w:rFonts w:ascii="Arial" w:cs="Arial" w:eastAsia="Arial" w:hAnsi="Arial"/>
          <w:sz w:val="16"/>
          <w:szCs w:val="16"/>
          <w:color w:val="auto"/>
        </w:rPr>
      </w:pPr>
    </w:p>
    <w:p>
      <w:pPr>
        <w:jc w:val="both"/>
        <w:ind w:firstLine="324"/>
        <w:spacing w:after="0" w:line="254" w:lineRule="auto"/>
        <w:rPr>
          <w:sz w:val="20"/>
          <w:szCs w:val="20"/>
          <w:color w:val="auto"/>
        </w:rPr>
      </w:pPr>
      <w:r>
        <w:rPr>
          <w:rFonts w:ascii="Arial" w:cs="Arial" w:eastAsia="Arial" w:hAnsi="Arial"/>
          <w:sz w:val="16"/>
          <w:szCs w:val="16"/>
          <w:color w:val="auto"/>
        </w:rPr>
        <w:t>One of the Board’s key responsibilities is to evaluate and determine an appropriate board leadership structure to provide independent oversight of SLB management. The Board believes that there is no single, generally accepted board leadership structure that is appropriate for all companies, and that the right structure may even vary for a single company as circumstances change. As a result, our independent directors, upon the recommendation of the Nominating and Governance Committee, consider the Board’s leadership structure at least annually. The Board welcomes and takes under consideration any input received from our shareholders regarding the Board’s leadership structure, and informs shareholders of any change in the Board’s leadership structure in any amended Corporate Governance Guidelines that we publish on our website and describe in our annual proxy statements.</w:t>
      </w:r>
    </w:p>
    <w:p>
      <w:pPr>
        <w:spacing w:after="0" w:line="155" w:lineRule="exact"/>
        <w:rPr>
          <w:rFonts w:ascii="Arial" w:cs="Arial" w:eastAsia="Arial" w:hAnsi="Arial"/>
          <w:sz w:val="16"/>
          <w:szCs w:val="16"/>
          <w:color w:val="auto"/>
        </w:rPr>
      </w:pPr>
    </w:p>
    <w:p>
      <w:pPr>
        <w:jc w:val="both"/>
        <w:ind w:firstLine="324"/>
        <w:spacing w:after="0" w:line="262" w:lineRule="auto"/>
        <w:rPr>
          <w:sz w:val="20"/>
          <w:szCs w:val="20"/>
          <w:color w:val="auto"/>
        </w:rPr>
      </w:pPr>
      <w:r>
        <w:rPr>
          <w:rFonts w:ascii="Arial" w:cs="Arial" w:eastAsia="Arial" w:hAnsi="Arial"/>
          <w:sz w:val="16"/>
          <w:szCs w:val="16"/>
          <w:color w:val="auto"/>
        </w:rPr>
        <w:t>Since 2019, our independent directors have separated the roles of CEO and Chairman of the Board, to allow our CEO to focus on leading SLB’s complex international business operations, while the Chairman provides the Board experienced and independent leadership. Mr. Papa currently serves as independent Chairman of the Board, and in that role, sets the agenda for and leads all Board meetings and all executive sessions of the non-executive directors.</w:t>
      </w:r>
    </w:p>
    <w:p>
      <w:pPr>
        <w:spacing w:after="0" w:line="342" w:lineRule="exact"/>
        <w:rPr>
          <w:rFonts w:ascii="Arial" w:cs="Arial" w:eastAsia="Arial" w:hAnsi="Arial"/>
          <w:sz w:val="16"/>
          <w:szCs w:val="16"/>
          <w:color w:val="auto"/>
        </w:rPr>
      </w:pPr>
    </w:p>
    <w:p>
      <w:pPr>
        <w:jc w:val="both"/>
        <w:ind w:firstLine="324"/>
        <w:spacing w:after="0" w:line="266" w:lineRule="auto"/>
        <w:rPr>
          <w:sz w:val="20"/>
          <w:szCs w:val="20"/>
          <w:color w:val="auto"/>
        </w:rPr>
      </w:pPr>
      <w:r>
        <w:rPr>
          <w:rFonts w:ascii="Arial" w:cs="Arial" w:eastAsia="Arial" w:hAnsi="Arial"/>
          <w:sz w:val="16"/>
          <w:szCs w:val="16"/>
          <w:color w:val="auto"/>
        </w:rPr>
        <w:t>The Board is currently conducting a search for a director to succeed Mr. Papa as independent chair of the Board. We expect the chair search process to be concluded in 2023 and expect Mr. Papa to retire after an appropriate handover with his successor. We do not expect Mr. Papa to stand for re-election at the Company’s 2024 annual general meeting of shareholders.</w:t>
      </w:r>
    </w:p>
    <w:p>
      <w:pPr>
        <w:spacing w:after="0" w:line="144" w:lineRule="exact"/>
        <w:rPr>
          <w:rFonts w:ascii="Arial" w:cs="Arial" w:eastAsia="Arial" w:hAnsi="Arial"/>
          <w:sz w:val="16"/>
          <w:szCs w:val="16"/>
          <w:color w:val="auto"/>
        </w:rPr>
      </w:pPr>
    </w:p>
    <w:p>
      <w:pPr>
        <w:jc w:val="both"/>
        <w:ind w:firstLine="324"/>
        <w:spacing w:after="0" w:line="259" w:lineRule="auto"/>
        <w:rPr>
          <w:sz w:val="20"/>
          <w:szCs w:val="20"/>
          <w:color w:val="auto"/>
        </w:rPr>
      </w:pPr>
      <w:r>
        <w:rPr>
          <w:rFonts w:ascii="Arial" w:cs="Arial" w:eastAsia="Arial" w:hAnsi="Arial"/>
          <w:sz w:val="16"/>
          <w:szCs w:val="16"/>
          <w:color w:val="auto"/>
        </w:rPr>
        <w:t>In considering its leadership structure, the Board took into account that SLB’s current governance practices provide for strong independent leadership, active participation by our independent directors and independent evaluation of, and communication with, many members of senior management. The Board believes that its risk oversight programs would be effective under a variety of board leadership frameworks and therefore do not materially affect the Board’s choice of leadership structure.</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471170" cy="28257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185" w:lineRule="exact"/>
        <w:rPr>
          <w:rFonts w:ascii="Arial" w:cs="Arial" w:eastAsia="Arial" w:hAnsi="Arial"/>
          <w:sz w:val="16"/>
          <w:szCs w:val="16"/>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18</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579120</wp:posOffset>
            </wp:positionH>
            <wp:positionV relativeFrom="paragraph">
              <wp:posOffset>-46990</wp:posOffset>
            </wp:positionV>
            <wp:extent cx="5417820" cy="1714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Board Oversight of Risk Management</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6"/>
          <w:szCs w:val="16"/>
          <w:color w:val="auto"/>
        </w:rPr>
        <w:t>The Board and its committees are actively involved in overseeing SLB’s risk management. The full Board routinely assesses SLB’s major risks and mitigation measures, in order to promote our shareholders’ and other stakeholders’ interests in SLB’s business continuity, long-term resilience, financial strength, and overall success. We believe that our Board composition provides SLB with robust and well-rounded experience to assist in effective oversight of SLB management, as reflected on the chart on page 11 of this proxy statement. In addition, the Board delegates to its committees responsibility for overseeing certain types of risk, as reflected in the chart below, and the committees in turn report regularly to the Board on activities in their respective areas of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11442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7132320" cy="111442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233A1"/>
        </w:rPr>
        <w:t>Board of Directors</w:t>
      </w:r>
    </w:p>
    <w:p>
      <w:pPr>
        <w:spacing w:after="0" w:line="167" w:lineRule="exact"/>
        <w:rPr>
          <w:sz w:val="20"/>
          <w:szCs w:val="20"/>
          <w:color w:val="auto"/>
        </w:rPr>
      </w:pPr>
    </w:p>
    <w:p>
      <w:pPr>
        <w:ind w:left="360" w:right="240" w:hanging="208"/>
        <w:spacing w:after="0" w:line="266" w:lineRule="auto"/>
        <w:tabs>
          <w:tab w:leader="none" w:pos="333" w:val="left"/>
        </w:tabs>
        <w:numPr>
          <w:ilvl w:val="0"/>
          <w:numId w:val="17"/>
        </w:numPr>
        <w:rPr>
          <w:rFonts w:ascii="Arial" w:cs="Arial" w:eastAsia="Arial" w:hAnsi="Arial"/>
          <w:sz w:val="16"/>
          <w:szCs w:val="16"/>
          <w:color w:val="0233A1"/>
        </w:rPr>
      </w:pPr>
      <w:r>
        <w:rPr>
          <w:rFonts w:ascii="Arial" w:cs="Arial" w:eastAsia="Arial" w:hAnsi="Arial"/>
          <w:sz w:val="16"/>
          <w:szCs w:val="16"/>
          <w:color w:val="auto"/>
        </w:rPr>
        <w:t>The full Board oversees assessment of major risks facing SLB, determining the extent to which such risks are applicable and, to the extent the Board deems it appropriate, evaluating mitigation measures. The risks that the Board routinely considers relate to financial, geopolitical, strategic, regulatory, competitive, reputational, climate-related, and operational risks.</w:t>
      </w:r>
    </w:p>
    <w:p>
      <w:pPr>
        <w:spacing w:after="0" w:line="49" w:lineRule="exact"/>
        <w:rPr>
          <w:rFonts w:ascii="Arial" w:cs="Arial" w:eastAsia="Arial" w:hAnsi="Arial"/>
          <w:sz w:val="16"/>
          <w:szCs w:val="16"/>
          <w:color w:val="0233A1"/>
        </w:rPr>
      </w:pPr>
    </w:p>
    <w:p>
      <w:pPr>
        <w:ind w:left="360" w:right="240" w:hanging="208"/>
        <w:spacing w:after="0" w:line="266" w:lineRule="auto"/>
        <w:tabs>
          <w:tab w:leader="none" w:pos="333" w:val="left"/>
        </w:tabs>
        <w:numPr>
          <w:ilvl w:val="0"/>
          <w:numId w:val="17"/>
        </w:numPr>
        <w:rPr>
          <w:rFonts w:ascii="Arial" w:cs="Arial" w:eastAsia="Arial" w:hAnsi="Arial"/>
          <w:sz w:val="16"/>
          <w:szCs w:val="16"/>
          <w:color w:val="0233A1"/>
        </w:rPr>
      </w:pPr>
      <w:r>
        <w:rPr>
          <w:rFonts w:ascii="Arial" w:cs="Arial" w:eastAsia="Arial" w:hAnsi="Arial"/>
          <w:sz w:val="16"/>
          <w:szCs w:val="16"/>
          <w:color w:val="auto"/>
        </w:rPr>
        <w:t>The full Board oversees risk management by the CEO and our senior management team, by reviewing major financial objectives, critical strategies, and long-term plans, including allocation of capital, significant proposed business acquisitions and divestitures, operating performance, sustainability, and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259715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7132320" cy="259715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374"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0233A1"/>
        </w:rPr>
        <w:t>Audit</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233A1"/>
        </w:rPr>
        <w:t>Committee</w:t>
      </w:r>
    </w:p>
    <w:p>
      <w:pPr>
        <w:spacing w:after="0" w:line="259" w:lineRule="exact"/>
        <w:rPr>
          <w:sz w:val="20"/>
          <w:szCs w:val="20"/>
          <w:color w:val="auto"/>
        </w:rPr>
      </w:pPr>
    </w:p>
    <w:p>
      <w:pPr>
        <w:ind w:left="220" w:hanging="140"/>
        <w:spacing w:after="0" w:line="286" w:lineRule="auto"/>
        <w:tabs>
          <w:tab w:leader="none" w:pos="223" w:val="left"/>
        </w:tabs>
        <w:numPr>
          <w:ilvl w:val="0"/>
          <w:numId w:val="18"/>
        </w:numPr>
        <w:rPr>
          <w:rFonts w:ascii="Arial" w:cs="Arial" w:eastAsia="Arial" w:hAnsi="Arial"/>
          <w:sz w:val="16"/>
          <w:szCs w:val="16"/>
          <w:color w:val="0233A1"/>
        </w:rPr>
      </w:pPr>
      <w:r>
        <w:rPr>
          <w:rFonts w:ascii="Arial" w:cs="Arial" w:eastAsia="Arial" w:hAnsi="Arial"/>
          <w:sz w:val="16"/>
          <w:szCs w:val="16"/>
          <w:color w:val="auto"/>
        </w:rPr>
        <w:t>Financial reporting and internal controls</w:t>
      </w:r>
    </w:p>
    <w:p>
      <w:pPr>
        <w:spacing w:after="0" w:line="34" w:lineRule="exact"/>
        <w:rPr>
          <w:rFonts w:ascii="Arial" w:cs="Arial" w:eastAsia="Arial" w:hAnsi="Arial"/>
          <w:sz w:val="16"/>
          <w:szCs w:val="16"/>
          <w:color w:val="0233A1"/>
        </w:rPr>
      </w:pPr>
    </w:p>
    <w:p>
      <w:pPr>
        <w:ind w:left="220" w:right="320" w:hanging="140"/>
        <w:spacing w:after="0" w:line="286" w:lineRule="auto"/>
        <w:tabs>
          <w:tab w:leader="none" w:pos="223" w:val="left"/>
        </w:tabs>
        <w:numPr>
          <w:ilvl w:val="0"/>
          <w:numId w:val="18"/>
        </w:numPr>
        <w:rPr>
          <w:rFonts w:ascii="Arial" w:cs="Arial" w:eastAsia="Arial" w:hAnsi="Arial"/>
          <w:sz w:val="16"/>
          <w:szCs w:val="16"/>
          <w:color w:val="0233A1"/>
        </w:rPr>
      </w:pPr>
      <w:r>
        <w:rPr>
          <w:rFonts w:ascii="Arial" w:cs="Arial" w:eastAsia="Arial" w:hAnsi="Arial"/>
          <w:sz w:val="16"/>
          <w:szCs w:val="16"/>
          <w:color w:val="auto"/>
        </w:rPr>
        <w:t>Major financial risk exposures</w:t>
      </w:r>
    </w:p>
    <w:p>
      <w:pPr>
        <w:spacing w:after="0" w:line="20" w:lineRule="exact"/>
        <w:rPr>
          <w:rFonts w:ascii="Arial" w:cs="Arial" w:eastAsia="Arial" w:hAnsi="Arial"/>
          <w:sz w:val="16"/>
          <w:szCs w:val="16"/>
          <w:color w:val="0233A1"/>
        </w:rPr>
      </w:pPr>
    </w:p>
    <w:p>
      <w:pPr>
        <w:ind w:left="220" w:hanging="140"/>
        <w:spacing w:after="0"/>
        <w:tabs>
          <w:tab w:leader="none" w:pos="220" w:val="left"/>
        </w:tabs>
        <w:numPr>
          <w:ilvl w:val="0"/>
          <w:numId w:val="18"/>
        </w:numPr>
        <w:rPr>
          <w:rFonts w:ascii="Arial" w:cs="Arial" w:eastAsia="Arial" w:hAnsi="Arial"/>
          <w:sz w:val="16"/>
          <w:szCs w:val="16"/>
          <w:color w:val="0233A1"/>
        </w:rPr>
      </w:pPr>
      <w:r>
        <w:rPr>
          <w:rFonts w:ascii="Arial" w:cs="Arial" w:eastAsia="Arial" w:hAnsi="Arial"/>
          <w:sz w:val="16"/>
          <w:szCs w:val="16"/>
          <w:color w:val="auto"/>
        </w:rPr>
        <w:t>Cybersecurity risks</w:t>
      </w:r>
    </w:p>
    <w:p>
      <w:pPr>
        <w:spacing w:after="0" w:line="99" w:lineRule="exact"/>
        <w:rPr>
          <w:rFonts w:ascii="Arial" w:cs="Arial" w:eastAsia="Arial" w:hAnsi="Arial"/>
          <w:sz w:val="16"/>
          <w:szCs w:val="16"/>
          <w:color w:val="0233A1"/>
        </w:rPr>
      </w:pPr>
    </w:p>
    <w:p>
      <w:pPr>
        <w:ind w:left="220" w:right="20" w:hanging="140"/>
        <w:spacing w:after="0" w:line="286" w:lineRule="auto"/>
        <w:tabs>
          <w:tab w:leader="none" w:pos="223" w:val="left"/>
        </w:tabs>
        <w:numPr>
          <w:ilvl w:val="0"/>
          <w:numId w:val="18"/>
        </w:numPr>
        <w:rPr>
          <w:rFonts w:ascii="Arial" w:cs="Arial" w:eastAsia="Arial" w:hAnsi="Arial"/>
          <w:sz w:val="16"/>
          <w:szCs w:val="16"/>
          <w:color w:val="0233A1"/>
        </w:rPr>
      </w:pPr>
      <w:r>
        <w:rPr>
          <w:rFonts w:ascii="Arial" w:cs="Arial" w:eastAsia="Arial" w:hAnsi="Arial"/>
          <w:sz w:val="16"/>
          <w:szCs w:val="16"/>
          <w:color w:val="auto"/>
        </w:rPr>
        <w:t>Finance-related compliance allegations</w:t>
      </w:r>
    </w:p>
    <w:p>
      <w:pPr>
        <w:spacing w:after="0" w:line="34" w:lineRule="exact"/>
        <w:rPr>
          <w:rFonts w:ascii="Arial" w:cs="Arial" w:eastAsia="Arial" w:hAnsi="Arial"/>
          <w:sz w:val="16"/>
          <w:szCs w:val="16"/>
          <w:color w:val="0233A1"/>
        </w:rPr>
      </w:pPr>
    </w:p>
    <w:p>
      <w:pPr>
        <w:ind w:left="220" w:right="40" w:hanging="140"/>
        <w:spacing w:after="0" w:line="286" w:lineRule="auto"/>
        <w:tabs>
          <w:tab w:leader="none" w:pos="223" w:val="left"/>
        </w:tabs>
        <w:numPr>
          <w:ilvl w:val="0"/>
          <w:numId w:val="18"/>
        </w:numPr>
        <w:rPr>
          <w:rFonts w:ascii="Arial" w:cs="Arial" w:eastAsia="Arial" w:hAnsi="Arial"/>
          <w:sz w:val="16"/>
          <w:szCs w:val="16"/>
          <w:color w:val="0233A1"/>
        </w:rPr>
      </w:pPr>
      <w:r>
        <w:rPr>
          <w:rFonts w:ascii="Arial" w:cs="Arial" w:eastAsia="Arial" w:hAnsi="Arial"/>
          <w:sz w:val="16"/>
          <w:szCs w:val="16"/>
          <w:color w:val="auto"/>
        </w:rPr>
        <w:t>Independent audit and internal audit</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493"/>
        <w:spacing w:after="0"/>
        <w:rPr>
          <w:sz w:val="20"/>
          <w:szCs w:val="20"/>
          <w:color w:val="auto"/>
        </w:rPr>
      </w:pPr>
      <w:r>
        <w:rPr>
          <w:rFonts w:ascii="Arial" w:cs="Arial" w:eastAsia="Arial" w:hAnsi="Arial"/>
          <w:sz w:val="16"/>
          <w:szCs w:val="16"/>
          <w:b w:val="1"/>
          <w:bCs w:val="1"/>
          <w:color w:val="0233A1"/>
        </w:rPr>
        <w:t>Compensation</w:t>
      </w:r>
    </w:p>
    <w:p>
      <w:pPr>
        <w:spacing w:after="0" w:line="21" w:lineRule="exact"/>
        <w:rPr>
          <w:sz w:val="20"/>
          <w:szCs w:val="20"/>
          <w:color w:val="auto"/>
        </w:rPr>
      </w:pPr>
    </w:p>
    <w:p>
      <w:pPr>
        <w:ind w:left="713"/>
        <w:spacing w:after="0"/>
        <w:rPr>
          <w:sz w:val="20"/>
          <w:szCs w:val="20"/>
          <w:color w:val="auto"/>
        </w:rPr>
      </w:pPr>
      <w:r>
        <w:rPr>
          <w:rFonts w:ascii="Arial" w:cs="Arial" w:eastAsia="Arial" w:hAnsi="Arial"/>
          <w:sz w:val="16"/>
          <w:szCs w:val="16"/>
          <w:b w:val="1"/>
          <w:bCs w:val="1"/>
          <w:color w:val="0233A1"/>
        </w:rPr>
        <w:t>Committee</w:t>
      </w:r>
    </w:p>
    <w:p>
      <w:pPr>
        <w:spacing w:after="0" w:line="259" w:lineRule="exact"/>
        <w:rPr>
          <w:sz w:val="20"/>
          <w:szCs w:val="20"/>
          <w:color w:val="auto"/>
        </w:rPr>
      </w:pPr>
    </w:p>
    <w:p>
      <w:pPr>
        <w:ind w:left="153" w:right="60" w:hanging="153"/>
        <w:spacing w:after="0" w:line="266" w:lineRule="auto"/>
        <w:tabs>
          <w:tab w:leader="none" w:pos="156" w:val="left"/>
        </w:tabs>
        <w:numPr>
          <w:ilvl w:val="0"/>
          <w:numId w:val="19"/>
        </w:numPr>
        <w:rPr>
          <w:rFonts w:ascii="Arial" w:cs="Arial" w:eastAsia="Arial" w:hAnsi="Arial"/>
          <w:sz w:val="16"/>
          <w:szCs w:val="16"/>
          <w:color w:val="0233A1"/>
        </w:rPr>
      </w:pPr>
      <w:r>
        <w:rPr>
          <w:rFonts w:ascii="Arial" w:cs="Arial" w:eastAsia="Arial" w:hAnsi="Arial"/>
          <w:sz w:val="16"/>
          <w:szCs w:val="16"/>
          <w:color w:val="auto"/>
        </w:rPr>
        <w:t>Compensation philosophy and policy, including addressing:</w:t>
      </w:r>
    </w:p>
    <w:p>
      <w:pPr>
        <w:spacing w:after="0" w:line="49" w:lineRule="exact"/>
        <w:rPr>
          <w:rFonts w:ascii="Arial" w:cs="Arial" w:eastAsia="Arial" w:hAnsi="Arial"/>
          <w:sz w:val="16"/>
          <w:szCs w:val="16"/>
          <w:color w:val="0233A1"/>
        </w:rPr>
      </w:pPr>
    </w:p>
    <w:p>
      <w:pPr>
        <w:ind w:left="293" w:right="20" w:hanging="149"/>
        <w:spacing w:after="0" w:line="266" w:lineRule="auto"/>
        <w:tabs>
          <w:tab w:leader="none" w:pos="296" w:val="left"/>
        </w:tabs>
        <w:numPr>
          <w:ilvl w:val="1"/>
          <w:numId w:val="19"/>
        </w:numPr>
        <w:rPr>
          <w:rFonts w:ascii="Arial" w:cs="Arial" w:eastAsia="Arial" w:hAnsi="Arial"/>
          <w:sz w:val="16"/>
          <w:szCs w:val="16"/>
          <w:color w:val="0233A1"/>
        </w:rPr>
      </w:pPr>
      <w:r>
        <w:rPr>
          <w:rFonts w:ascii="Arial" w:cs="Arial" w:eastAsia="Arial" w:hAnsi="Arial"/>
          <w:sz w:val="16"/>
          <w:szCs w:val="16"/>
          <w:color w:val="auto"/>
        </w:rPr>
        <w:t>Pay-for-performance linkage and alignment to shareholder interests</w:t>
      </w:r>
    </w:p>
    <w:p>
      <w:pPr>
        <w:spacing w:after="0" w:line="36" w:lineRule="exact"/>
        <w:rPr>
          <w:rFonts w:ascii="Arial" w:cs="Arial" w:eastAsia="Arial" w:hAnsi="Arial"/>
          <w:sz w:val="16"/>
          <w:szCs w:val="16"/>
          <w:color w:val="0233A1"/>
        </w:rPr>
      </w:pPr>
    </w:p>
    <w:p>
      <w:pPr>
        <w:ind w:left="293" w:hanging="149"/>
        <w:spacing w:after="0"/>
        <w:tabs>
          <w:tab w:leader="none" w:pos="293" w:val="left"/>
        </w:tabs>
        <w:numPr>
          <w:ilvl w:val="1"/>
          <w:numId w:val="19"/>
        </w:numPr>
        <w:rPr>
          <w:rFonts w:ascii="Arial" w:cs="Arial" w:eastAsia="Arial" w:hAnsi="Arial"/>
          <w:sz w:val="16"/>
          <w:szCs w:val="16"/>
          <w:color w:val="0233A1"/>
        </w:rPr>
      </w:pPr>
      <w:r>
        <w:rPr>
          <w:rFonts w:ascii="Arial" w:cs="Arial" w:eastAsia="Arial" w:hAnsi="Arial"/>
          <w:sz w:val="16"/>
          <w:szCs w:val="16"/>
          <w:color w:val="auto"/>
        </w:rPr>
        <w:t>Retention risk</w:t>
      </w:r>
    </w:p>
    <w:p>
      <w:pPr>
        <w:spacing w:after="0" w:line="99" w:lineRule="exact"/>
        <w:rPr>
          <w:rFonts w:ascii="Arial" w:cs="Arial" w:eastAsia="Arial" w:hAnsi="Arial"/>
          <w:sz w:val="16"/>
          <w:szCs w:val="16"/>
          <w:color w:val="0233A1"/>
        </w:rPr>
      </w:pPr>
    </w:p>
    <w:p>
      <w:pPr>
        <w:ind w:left="293" w:hanging="149"/>
        <w:spacing w:after="0"/>
        <w:tabs>
          <w:tab w:leader="none" w:pos="293" w:val="left"/>
        </w:tabs>
        <w:numPr>
          <w:ilvl w:val="1"/>
          <w:numId w:val="19"/>
        </w:numPr>
        <w:rPr>
          <w:rFonts w:ascii="Arial" w:cs="Arial" w:eastAsia="Arial" w:hAnsi="Arial"/>
          <w:sz w:val="16"/>
          <w:szCs w:val="16"/>
          <w:color w:val="0233A1"/>
        </w:rPr>
      </w:pPr>
      <w:r>
        <w:rPr>
          <w:rFonts w:ascii="Arial" w:cs="Arial" w:eastAsia="Arial" w:hAnsi="Arial"/>
          <w:sz w:val="16"/>
          <w:szCs w:val="16"/>
          <w:color w:val="auto"/>
        </w:rPr>
        <w:t>Management succession</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jc w:val="center"/>
        <w:ind w:right="56"/>
        <w:spacing w:after="0"/>
        <w:rPr>
          <w:sz w:val="20"/>
          <w:szCs w:val="20"/>
          <w:color w:val="auto"/>
        </w:rPr>
      </w:pPr>
      <w:r>
        <w:rPr>
          <w:rFonts w:ascii="Arial" w:cs="Arial" w:eastAsia="Arial" w:hAnsi="Arial"/>
          <w:sz w:val="16"/>
          <w:szCs w:val="16"/>
          <w:b w:val="1"/>
          <w:bCs w:val="1"/>
          <w:color w:val="0233A1"/>
        </w:rPr>
        <w:t>Nominating and</w:t>
      </w:r>
    </w:p>
    <w:p>
      <w:pPr>
        <w:spacing w:after="0" w:line="21" w:lineRule="exact"/>
        <w:rPr>
          <w:sz w:val="20"/>
          <w:szCs w:val="20"/>
          <w:color w:val="auto"/>
        </w:rPr>
      </w:pPr>
    </w:p>
    <w:p>
      <w:pPr>
        <w:jc w:val="center"/>
        <w:ind w:right="56"/>
        <w:spacing w:after="0"/>
        <w:rPr>
          <w:sz w:val="20"/>
          <w:szCs w:val="20"/>
          <w:color w:val="auto"/>
        </w:rPr>
      </w:pPr>
      <w:r>
        <w:rPr>
          <w:rFonts w:ascii="Arial" w:cs="Arial" w:eastAsia="Arial" w:hAnsi="Arial"/>
          <w:sz w:val="16"/>
          <w:szCs w:val="16"/>
          <w:b w:val="1"/>
          <w:bCs w:val="1"/>
          <w:color w:val="0233A1"/>
        </w:rPr>
        <w:t>Governance</w:t>
      </w:r>
    </w:p>
    <w:p>
      <w:pPr>
        <w:spacing w:after="0" w:line="5" w:lineRule="exact"/>
        <w:rPr>
          <w:sz w:val="20"/>
          <w:szCs w:val="20"/>
          <w:color w:val="auto"/>
        </w:rPr>
      </w:pPr>
    </w:p>
    <w:p>
      <w:pPr>
        <w:jc w:val="center"/>
        <w:ind w:right="56"/>
        <w:spacing w:after="0"/>
        <w:rPr>
          <w:sz w:val="20"/>
          <w:szCs w:val="20"/>
          <w:color w:val="auto"/>
        </w:rPr>
      </w:pPr>
      <w:r>
        <w:rPr>
          <w:rFonts w:ascii="Arial" w:cs="Arial" w:eastAsia="Arial" w:hAnsi="Arial"/>
          <w:sz w:val="16"/>
          <w:szCs w:val="16"/>
          <w:b w:val="1"/>
          <w:bCs w:val="1"/>
          <w:color w:val="0233A1"/>
        </w:rPr>
        <w:t>Committee</w:t>
      </w:r>
    </w:p>
    <w:p>
      <w:pPr>
        <w:spacing w:after="0" w:line="84" w:lineRule="exact"/>
        <w:rPr>
          <w:sz w:val="20"/>
          <w:szCs w:val="20"/>
          <w:color w:val="auto"/>
        </w:rPr>
      </w:pPr>
    </w:p>
    <w:p>
      <w:pPr>
        <w:ind w:left="144" w:right="40" w:hanging="144"/>
        <w:spacing w:after="0" w:line="254" w:lineRule="auto"/>
        <w:tabs>
          <w:tab w:leader="none" w:pos="147" w:val="left"/>
        </w:tabs>
        <w:numPr>
          <w:ilvl w:val="0"/>
          <w:numId w:val="20"/>
        </w:numPr>
        <w:rPr>
          <w:rFonts w:ascii="Arial" w:cs="Arial" w:eastAsia="Arial" w:hAnsi="Arial"/>
          <w:sz w:val="16"/>
          <w:szCs w:val="16"/>
          <w:color w:val="0233A1"/>
        </w:rPr>
      </w:pPr>
      <w:r>
        <w:rPr>
          <w:rFonts w:ascii="Arial" w:cs="Arial" w:eastAsia="Arial" w:hAnsi="Arial"/>
          <w:sz w:val="16"/>
          <w:szCs w:val="16"/>
          <w:color w:val="auto"/>
        </w:rPr>
        <w:t>Ethics and compliance risks, including trade compliance, anti-bribery, anti-money laundering, and human rights, and related significant allegations</w:t>
      </w:r>
    </w:p>
    <w:p>
      <w:pPr>
        <w:spacing w:after="0" w:line="46" w:lineRule="exact"/>
        <w:rPr>
          <w:rFonts w:ascii="Arial" w:cs="Arial" w:eastAsia="Arial" w:hAnsi="Arial"/>
          <w:sz w:val="16"/>
          <w:szCs w:val="16"/>
          <w:color w:val="0233A1"/>
        </w:rPr>
      </w:pPr>
    </w:p>
    <w:p>
      <w:pPr>
        <w:ind w:left="144" w:hanging="144"/>
        <w:spacing w:after="0"/>
        <w:tabs>
          <w:tab w:leader="none" w:pos="144" w:val="left"/>
        </w:tabs>
        <w:numPr>
          <w:ilvl w:val="0"/>
          <w:numId w:val="20"/>
        </w:numPr>
        <w:rPr>
          <w:rFonts w:ascii="Arial" w:cs="Arial" w:eastAsia="Arial" w:hAnsi="Arial"/>
          <w:sz w:val="16"/>
          <w:szCs w:val="16"/>
          <w:color w:val="0233A1"/>
        </w:rPr>
      </w:pPr>
      <w:r>
        <w:rPr>
          <w:rFonts w:ascii="Arial" w:cs="Arial" w:eastAsia="Arial" w:hAnsi="Arial"/>
          <w:sz w:val="16"/>
          <w:szCs w:val="16"/>
          <w:color w:val="auto"/>
        </w:rPr>
        <w:t>Related person transactions</w:t>
      </w:r>
    </w:p>
    <w:p>
      <w:pPr>
        <w:spacing w:after="0" w:line="99" w:lineRule="exact"/>
        <w:rPr>
          <w:rFonts w:ascii="Arial" w:cs="Arial" w:eastAsia="Arial" w:hAnsi="Arial"/>
          <w:sz w:val="16"/>
          <w:szCs w:val="16"/>
          <w:color w:val="0233A1"/>
        </w:rPr>
      </w:pPr>
    </w:p>
    <w:p>
      <w:pPr>
        <w:ind w:left="144" w:right="120" w:hanging="144"/>
        <w:spacing w:after="0" w:line="286" w:lineRule="auto"/>
        <w:tabs>
          <w:tab w:leader="none" w:pos="147" w:val="left"/>
        </w:tabs>
        <w:numPr>
          <w:ilvl w:val="0"/>
          <w:numId w:val="20"/>
        </w:numPr>
        <w:rPr>
          <w:rFonts w:ascii="Arial" w:cs="Arial" w:eastAsia="Arial" w:hAnsi="Arial"/>
          <w:sz w:val="16"/>
          <w:szCs w:val="16"/>
          <w:color w:val="0233A1"/>
        </w:rPr>
      </w:pPr>
      <w:r>
        <w:rPr>
          <w:rFonts w:ascii="Arial" w:cs="Arial" w:eastAsia="Arial" w:hAnsi="Arial"/>
          <w:sz w:val="16"/>
          <w:szCs w:val="16"/>
          <w:color w:val="auto"/>
        </w:rPr>
        <w:t>Board refreshment and Board and CEO succession</w:t>
      </w:r>
    </w:p>
    <w:p>
      <w:pPr>
        <w:spacing w:after="0" w:line="34" w:lineRule="exact"/>
        <w:rPr>
          <w:rFonts w:ascii="Arial" w:cs="Arial" w:eastAsia="Arial" w:hAnsi="Arial"/>
          <w:sz w:val="16"/>
          <w:szCs w:val="16"/>
          <w:color w:val="0233A1"/>
        </w:rPr>
      </w:pPr>
    </w:p>
    <w:p>
      <w:pPr>
        <w:ind w:left="144" w:right="140" w:hanging="144"/>
        <w:spacing w:after="0" w:line="266" w:lineRule="auto"/>
        <w:tabs>
          <w:tab w:leader="none" w:pos="147" w:val="left"/>
        </w:tabs>
        <w:numPr>
          <w:ilvl w:val="0"/>
          <w:numId w:val="20"/>
        </w:numPr>
        <w:rPr>
          <w:rFonts w:ascii="Arial" w:cs="Arial" w:eastAsia="Arial" w:hAnsi="Arial"/>
          <w:sz w:val="16"/>
          <w:szCs w:val="16"/>
          <w:color w:val="0233A1"/>
        </w:rPr>
      </w:pPr>
      <w:r>
        <w:rPr>
          <w:rFonts w:ascii="Arial" w:cs="Arial" w:eastAsia="Arial" w:hAnsi="Arial"/>
          <w:sz w:val="16"/>
          <w:szCs w:val="16"/>
          <w:color w:val="auto"/>
        </w:rPr>
        <w:t>Sustainability program, including acute and chronic climate risks</w:t>
      </w:r>
    </w:p>
    <w:p>
      <w:pPr>
        <w:spacing w:after="0" w:line="36" w:lineRule="exact"/>
        <w:rPr>
          <w:rFonts w:ascii="Arial" w:cs="Arial" w:eastAsia="Arial" w:hAnsi="Arial"/>
          <w:sz w:val="16"/>
          <w:szCs w:val="16"/>
          <w:color w:val="0233A1"/>
        </w:rPr>
      </w:pPr>
    </w:p>
    <w:p>
      <w:pPr>
        <w:ind w:left="144" w:hanging="144"/>
        <w:spacing w:after="0" w:line="286" w:lineRule="auto"/>
        <w:tabs>
          <w:tab w:leader="none" w:pos="147" w:val="left"/>
        </w:tabs>
        <w:numPr>
          <w:ilvl w:val="0"/>
          <w:numId w:val="20"/>
        </w:numPr>
        <w:rPr>
          <w:rFonts w:ascii="Arial" w:cs="Arial" w:eastAsia="Arial" w:hAnsi="Arial"/>
          <w:sz w:val="16"/>
          <w:szCs w:val="16"/>
          <w:color w:val="0233A1"/>
        </w:rPr>
      </w:pPr>
      <w:r>
        <w:rPr>
          <w:rFonts w:ascii="Arial" w:cs="Arial" w:eastAsia="Arial" w:hAnsi="Arial"/>
          <w:sz w:val="16"/>
          <w:szCs w:val="16"/>
          <w:color w:val="auto"/>
        </w:rPr>
        <w:t>Progress toward our net-zero ambition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-2900045</wp:posOffset>
            </wp:positionH>
            <wp:positionV relativeFrom="paragraph">
              <wp:posOffset>184785</wp:posOffset>
            </wp:positionV>
            <wp:extent cx="7132320" cy="86550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7132320" cy="8655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233A1"/>
        </w:rPr>
        <w:t>Finance</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233A1"/>
        </w:rPr>
        <w:t>Committee</w:t>
      </w:r>
    </w:p>
    <w:p>
      <w:pPr>
        <w:spacing w:after="0" w:line="259" w:lineRule="exact"/>
        <w:rPr>
          <w:sz w:val="20"/>
          <w:szCs w:val="20"/>
          <w:color w:val="auto"/>
        </w:rPr>
      </w:pPr>
    </w:p>
    <w:p>
      <w:pPr>
        <w:ind w:left="140" w:hanging="134"/>
        <w:spacing w:after="0" w:line="259" w:lineRule="auto"/>
        <w:tabs>
          <w:tab w:leader="none" w:pos="134" w:val="left"/>
        </w:tabs>
        <w:numPr>
          <w:ilvl w:val="0"/>
          <w:numId w:val="21"/>
        </w:numPr>
        <w:rPr>
          <w:rFonts w:ascii="Arial" w:cs="Arial" w:eastAsia="Arial" w:hAnsi="Arial"/>
          <w:sz w:val="16"/>
          <w:szCs w:val="16"/>
          <w:color w:val="0233A1"/>
        </w:rPr>
      </w:pPr>
      <w:r>
        <w:rPr>
          <w:rFonts w:ascii="Arial" w:cs="Arial" w:eastAsia="Arial" w:hAnsi="Arial"/>
          <w:sz w:val="16"/>
          <w:szCs w:val="16"/>
          <w:color w:val="auto"/>
        </w:rPr>
        <w:t>Appropriate leverage and related commitments, including climate-related funding</w:t>
      </w:r>
    </w:p>
    <w:p>
      <w:pPr>
        <w:spacing w:after="0" w:line="56" w:lineRule="exact"/>
        <w:rPr>
          <w:rFonts w:ascii="Arial" w:cs="Arial" w:eastAsia="Arial" w:hAnsi="Arial"/>
          <w:sz w:val="16"/>
          <w:szCs w:val="16"/>
          <w:color w:val="0233A1"/>
        </w:rPr>
      </w:pPr>
    </w:p>
    <w:p>
      <w:pPr>
        <w:ind w:left="140" w:right="120" w:hanging="134"/>
        <w:spacing w:after="0" w:line="266" w:lineRule="auto"/>
        <w:tabs>
          <w:tab w:leader="none" w:pos="143" w:val="left"/>
        </w:tabs>
        <w:numPr>
          <w:ilvl w:val="0"/>
          <w:numId w:val="21"/>
        </w:numPr>
        <w:rPr>
          <w:rFonts w:ascii="Arial" w:cs="Arial" w:eastAsia="Arial" w:hAnsi="Arial"/>
          <w:sz w:val="16"/>
          <w:szCs w:val="16"/>
          <w:color w:val="0233A1"/>
        </w:rPr>
      </w:pPr>
      <w:r>
        <w:rPr>
          <w:rFonts w:ascii="Arial" w:cs="Arial" w:eastAsia="Arial" w:hAnsi="Arial"/>
          <w:sz w:val="16"/>
          <w:szCs w:val="16"/>
          <w:color w:val="auto"/>
        </w:rPr>
        <w:t>Currency management, including non-U.S. currency fluctuation</w:t>
      </w:r>
    </w:p>
    <w:p>
      <w:pPr>
        <w:spacing w:after="0" w:line="36" w:lineRule="exact"/>
        <w:rPr>
          <w:rFonts w:ascii="Arial" w:cs="Arial" w:eastAsia="Arial" w:hAnsi="Arial"/>
          <w:sz w:val="16"/>
          <w:szCs w:val="16"/>
          <w:color w:val="0233A1"/>
        </w:rPr>
      </w:pPr>
    </w:p>
    <w:p>
      <w:pPr>
        <w:ind w:left="140" w:right="60" w:hanging="134"/>
        <w:spacing w:after="0" w:line="266" w:lineRule="auto"/>
        <w:tabs>
          <w:tab w:leader="none" w:pos="143" w:val="left"/>
        </w:tabs>
        <w:numPr>
          <w:ilvl w:val="0"/>
          <w:numId w:val="21"/>
        </w:numPr>
        <w:rPr>
          <w:rFonts w:ascii="Arial" w:cs="Arial" w:eastAsia="Arial" w:hAnsi="Arial"/>
          <w:sz w:val="16"/>
          <w:szCs w:val="16"/>
          <w:color w:val="0233A1"/>
        </w:rPr>
      </w:pPr>
      <w:r>
        <w:rPr>
          <w:rFonts w:ascii="Arial" w:cs="Arial" w:eastAsia="Arial" w:hAnsi="Arial"/>
          <w:sz w:val="16"/>
          <w:szCs w:val="16"/>
          <w:color w:val="auto"/>
        </w:rPr>
        <w:t>Financial risks related to M&amp;A and strategic transactions</w:t>
      </w:r>
    </w:p>
    <w:p>
      <w:pPr>
        <w:spacing w:after="0" w:line="49" w:lineRule="exact"/>
        <w:rPr>
          <w:rFonts w:ascii="Arial" w:cs="Arial" w:eastAsia="Arial" w:hAnsi="Arial"/>
          <w:sz w:val="16"/>
          <w:szCs w:val="16"/>
          <w:color w:val="0233A1"/>
        </w:rPr>
      </w:pPr>
    </w:p>
    <w:p>
      <w:pPr>
        <w:ind w:left="160" w:hanging="154"/>
        <w:spacing w:after="0"/>
        <w:tabs>
          <w:tab w:leader="none" w:pos="160" w:val="left"/>
        </w:tabs>
        <w:numPr>
          <w:ilvl w:val="0"/>
          <w:numId w:val="21"/>
        </w:numPr>
        <w:rPr>
          <w:rFonts w:ascii="Arial" w:cs="Arial" w:eastAsia="Arial" w:hAnsi="Arial"/>
          <w:sz w:val="16"/>
          <w:szCs w:val="16"/>
          <w:color w:val="0233A1"/>
        </w:rPr>
      </w:pPr>
      <w:r>
        <w:rPr>
          <w:rFonts w:ascii="Arial" w:cs="Arial" w:eastAsia="Arial" w:hAnsi="Arial"/>
          <w:sz w:val="16"/>
          <w:szCs w:val="16"/>
          <w:color w:val="auto"/>
        </w:rPr>
        <w:t>Pension liabilities</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347"/>
        <w:spacing w:after="0"/>
        <w:rPr>
          <w:sz w:val="20"/>
          <w:szCs w:val="20"/>
          <w:color w:val="auto"/>
        </w:rPr>
      </w:pPr>
      <w:r>
        <w:rPr>
          <w:rFonts w:ascii="Arial" w:cs="Arial" w:eastAsia="Arial" w:hAnsi="Arial"/>
          <w:sz w:val="16"/>
          <w:szCs w:val="16"/>
          <w:b w:val="1"/>
          <w:bCs w:val="1"/>
          <w:color w:val="0233A1"/>
        </w:rPr>
        <w:t>New Energy and</w:t>
      </w:r>
    </w:p>
    <w:p>
      <w:pPr>
        <w:spacing w:after="0" w:line="21" w:lineRule="exact"/>
        <w:rPr>
          <w:sz w:val="20"/>
          <w:szCs w:val="20"/>
          <w:color w:val="auto"/>
        </w:rPr>
      </w:pPr>
    </w:p>
    <w:p>
      <w:pPr>
        <w:jc w:val="right"/>
        <w:ind w:right="140"/>
        <w:spacing w:after="0"/>
        <w:rPr>
          <w:sz w:val="20"/>
          <w:szCs w:val="20"/>
          <w:color w:val="auto"/>
        </w:rPr>
      </w:pPr>
      <w:r>
        <w:rPr>
          <w:rFonts w:ascii="Arial" w:cs="Arial" w:eastAsia="Arial" w:hAnsi="Arial"/>
          <w:sz w:val="16"/>
          <w:szCs w:val="16"/>
          <w:b w:val="1"/>
          <w:bCs w:val="1"/>
          <w:color w:val="0233A1"/>
        </w:rPr>
        <w:t>Innovation Committee</w:t>
      </w:r>
    </w:p>
    <w:p>
      <w:pPr>
        <w:spacing w:after="0" w:line="259" w:lineRule="exact"/>
        <w:rPr>
          <w:sz w:val="20"/>
          <w:szCs w:val="20"/>
          <w:color w:val="auto"/>
        </w:rPr>
      </w:pPr>
    </w:p>
    <w:p>
      <w:pPr>
        <w:jc w:val="both"/>
        <w:ind w:left="147" w:right="720" w:hanging="147"/>
        <w:spacing w:after="0" w:line="286" w:lineRule="auto"/>
        <w:tabs>
          <w:tab w:leader="none" w:pos="150" w:val="left"/>
        </w:tabs>
        <w:numPr>
          <w:ilvl w:val="0"/>
          <w:numId w:val="22"/>
        </w:numPr>
        <w:rPr>
          <w:rFonts w:ascii="Arial" w:cs="Arial" w:eastAsia="Arial" w:hAnsi="Arial"/>
          <w:sz w:val="16"/>
          <w:szCs w:val="16"/>
          <w:color w:val="0233A1"/>
        </w:rPr>
      </w:pPr>
      <w:r>
        <w:rPr>
          <w:rFonts w:ascii="Arial" w:cs="Arial" w:eastAsia="Arial" w:hAnsi="Arial"/>
          <w:sz w:val="16"/>
          <w:szCs w:val="16"/>
          <w:color w:val="auto"/>
        </w:rPr>
        <w:t>Critical risks and opportunities of:</w:t>
      </w:r>
    </w:p>
    <w:p>
      <w:pPr>
        <w:spacing w:after="0" w:line="34" w:lineRule="exact"/>
        <w:rPr>
          <w:rFonts w:ascii="Arial" w:cs="Arial" w:eastAsia="Arial" w:hAnsi="Arial"/>
          <w:sz w:val="16"/>
          <w:szCs w:val="16"/>
          <w:color w:val="0233A1"/>
        </w:rPr>
      </w:pPr>
    </w:p>
    <w:p>
      <w:pPr>
        <w:ind w:left="287" w:right="240" w:hanging="144"/>
        <w:spacing w:after="0" w:line="286" w:lineRule="auto"/>
        <w:tabs>
          <w:tab w:leader="none" w:pos="287" w:val="left"/>
        </w:tabs>
        <w:numPr>
          <w:ilvl w:val="1"/>
          <w:numId w:val="22"/>
        </w:numPr>
        <w:rPr>
          <w:rFonts w:ascii="Arial" w:cs="Arial" w:eastAsia="Arial" w:hAnsi="Arial"/>
          <w:sz w:val="16"/>
          <w:szCs w:val="16"/>
          <w:color w:val="0233A1"/>
        </w:rPr>
      </w:pPr>
      <w:r>
        <w:rPr>
          <w:rFonts w:ascii="Arial" w:cs="Arial" w:eastAsia="Arial" w:hAnsi="Arial"/>
          <w:sz w:val="16"/>
          <w:szCs w:val="16"/>
          <w:color w:val="auto"/>
        </w:rPr>
        <w:t>Targeted new energy sectors</w:t>
      </w:r>
    </w:p>
    <w:p>
      <w:pPr>
        <w:spacing w:after="0" w:line="20" w:lineRule="exact"/>
        <w:rPr>
          <w:rFonts w:ascii="Arial" w:cs="Arial" w:eastAsia="Arial" w:hAnsi="Arial"/>
          <w:sz w:val="16"/>
          <w:szCs w:val="16"/>
          <w:color w:val="0233A1"/>
        </w:rPr>
      </w:pPr>
    </w:p>
    <w:p>
      <w:pPr>
        <w:ind w:left="287" w:right="480" w:hanging="144"/>
        <w:spacing w:after="0" w:line="286" w:lineRule="auto"/>
        <w:tabs>
          <w:tab w:leader="none" w:pos="290" w:val="left"/>
        </w:tabs>
        <w:numPr>
          <w:ilvl w:val="1"/>
          <w:numId w:val="22"/>
        </w:numPr>
        <w:rPr>
          <w:rFonts w:ascii="Arial" w:cs="Arial" w:eastAsia="Arial" w:hAnsi="Arial"/>
          <w:sz w:val="16"/>
          <w:szCs w:val="16"/>
          <w:color w:val="0233A1"/>
        </w:rPr>
      </w:pPr>
      <w:r>
        <w:rPr>
          <w:rFonts w:ascii="Arial" w:cs="Arial" w:eastAsia="Arial" w:hAnsi="Arial"/>
          <w:sz w:val="16"/>
          <w:szCs w:val="16"/>
          <w:color w:val="auto"/>
        </w:rPr>
        <w:t>Critical innovation initiatives</w:t>
      </w:r>
    </w:p>
    <w:p>
      <w:pPr>
        <w:spacing w:after="0" w:line="1900" w:lineRule="exact"/>
        <w:rPr>
          <w:sz w:val="20"/>
          <w:szCs w:val="20"/>
          <w:color w:val="auto"/>
        </w:rPr>
      </w:pPr>
    </w:p>
    <w:p>
      <w:pPr>
        <w:sectPr>
          <w:pgSz w:w="11900" w:h="16838" w:orient="portrait"/>
          <w:cols w:equalWidth="0" w:num="5">
            <w:col w:w="1880" w:space="387"/>
            <w:col w:w="2073" w:space="236"/>
            <w:col w:w="2244" w:space="180"/>
            <w:col w:w="1960" w:space="233"/>
            <w:col w:w="2047"/>
          </w:cols>
          <w:pgMar w:left="320" w:top="238" w:right="339" w:bottom="1440" w:gutter="0" w:footer="0" w:header="0"/>
          <w:type w:val="continuous"/>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233A1"/>
        </w:rPr>
        <w:t>SLB Senior Management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0233A1"/>
        </w:rPr>
        <w:t>Day-to-day responsibility for:</w:t>
      </w:r>
    </w:p>
    <w:p>
      <w:pPr>
        <w:sectPr>
          <w:pgSz w:w="11900" w:h="16838" w:orient="portrait"/>
          <w:cols w:equalWidth="0" w:num="1">
            <w:col w:w="11240"/>
          </w:cols>
          <w:pgMar w:left="320" w:top="238" w:right="339" w:bottom="1440" w:gutter="0" w:footer="0" w:header="0"/>
          <w:type w:val="continuous"/>
        </w:sectPr>
      </w:pPr>
    </w:p>
    <w:p>
      <w:pPr>
        <w:spacing w:after="0" w:line="84" w:lineRule="exact"/>
        <w:rPr>
          <w:sz w:val="20"/>
          <w:szCs w:val="20"/>
          <w:color w:val="auto"/>
        </w:rPr>
      </w:pPr>
    </w:p>
    <w:p>
      <w:pPr>
        <w:ind w:left="220" w:hanging="140"/>
        <w:spacing w:after="0" w:line="266" w:lineRule="auto"/>
        <w:tabs>
          <w:tab w:leader="none" w:pos="223" w:val="left"/>
        </w:tabs>
        <w:numPr>
          <w:ilvl w:val="0"/>
          <w:numId w:val="23"/>
        </w:numPr>
        <w:rPr>
          <w:rFonts w:ascii="Arial" w:cs="Arial" w:eastAsia="Arial" w:hAnsi="Arial"/>
          <w:sz w:val="16"/>
          <w:szCs w:val="16"/>
          <w:color w:val="0233A1"/>
        </w:rPr>
      </w:pPr>
      <w:r>
        <w:rPr>
          <w:rFonts w:ascii="Arial" w:cs="Arial" w:eastAsia="Arial" w:hAnsi="Arial"/>
          <w:sz w:val="16"/>
          <w:szCs w:val="16"/>
          <w:color w:val="auto"/>
        </w:rPr>
        <w:t>Identifying, assessing, monitoring, and managing the major risks to SLB through our enterprise risk management operational process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152" w:hanging="152"/>
        <w:spacing w:after="0" w:line="286" w:lineRule="auto"/>
        <w:tabs>
          <w:tab w:leader="none" w:pos="155" w:val="left"/>
        </w:tabs>
        <w:numPr>
          <w:ilvl w:val="0"/>
          <w:numId w:val="24"/>
        </w:numPr>
        <w:rPr>
          <w:rFonts w:ascii="Arial" w:cs="Arial" w:eastAsia="Arial" w:hAnsi="Arial"/>
          <w:sz w:val="16"/>
          <w:szCs w:val="16"/>
          <w:color w:val="0233A1"/>
        </w:rPr>
      </w:pPr>
      <w:r>
        <w:rPr>
          <w:rFonts w:ascii="Arial" w:cs="Arial" w:eastAsia="Arial" w:hAnsi="Arial"/>
          <w:sz w:val="16"/>
          <w:szCs w:val="16"/>
          <w:color w:val="auto"/>
        </w:rPr>
        <w:t>Implementing effective risk mitigation measures, response plans and controls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both"/>
        <w:ind w:left="142" w:right="360" w:hanging="142"/>
        <w:spacing w:after="0" w:line="286" w:lineRule="auto"/>
        <w:tabs>
          <w:tab w:leader="none" w:pos="145" w:val="left"/>
        </w:tabs>
        <w:numPr>
          <w:ilvl w:val="0"/>
          <w:numId w:val="25"/>
        </w:numPr>
        <w:rPr>
          <w:rFonts w:ascii="Arial" w:cs="Arial" w:eastAsia="Arial" w:hAnsi="Arial"/>
          <w:sz w:val="16"/>
          <w:szCs w:val="16"/>
          <w:color w:val="0233A1"/>
        </w:rPr>
      </w:pPr>
      <w:r>
        <w:rPr>
          <w:rFonts w:ascii="Arial" w:cs="Arial" w:eastAsia="Arial" w:hAnsi="Arial"/>
          <w:sz w:val="16"/>
          <w:szCs w:val="16"/>
          <w:color w:val="auto"/>
        </w:rPr>
        <w:t>Integrating risk analysis into business decisions and performance objectives</w:t>
      </w:r>
    </w:p>
    <w:p>
      <w:pPr>
        <w:spacing w:after="0" w:line="373" w:lineRule="exact"/>
        <w:rPr>
          <w:sz w:val="20"/>
          <w:szCs w:val="20"/>
          <w:color w:val="auto"/>
        </w:rPr>
      </w:pPr>
    </w:p>
    <w:p>
      <w:pPr>
        <w:sectPr>
          <w:pgSz w:w="11900" w:h="16838" w:orient="portrait"/>
          <w:cols w:equalWidth="0" w:num="3">
            <w:col w:w="4000" w:space="468"/>
            <w:col w:w="2972" w:space="578"/>
            <w:col w:w="3222"/>
          </w:cols>
          <w:pgMar w:left="320" w:top="238" w:right="339" w:bottom="1440" w:gutter="0" w:footer="0" w:header="0"/>
          <w:type w:val="continuous"/>
        </w:sectPr>
      </w:pPr>
    </w:p>
    <w:p>
      <w:pPr>
        <w:spacing w:after="0" w:line="1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Our senior management team has developed a comprehensive strategic planning and enterprise risk management process for identifying, assessing, and managing risk. Through this process, we identify key risks through a bi-annual corporate-level risk mapping exercise, which involves the CEO and other members of SLB senior management, along with a bottom-up operational (field-level) risk assessment by SLB’s various geographies, businesses, and functions. From time to time, the process also includes third-party assessments, external risk surveys, and facilitated workshops with SLB executives. Our executive leadership team has established an enterprise risk management committee to oversee this risk identification process and to monitor the implementation of mitigation processes. Our executive leadership team updates the Board at least annually as risks that could impact the implementation of the Company’s strategy are identified or evolve.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209550</wp:posOffset>
            </wp:positionV>
            <wp:extent cx="471805" cy="28321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Pr>
          <w:p>
            <w:pPr>
              <w:spacing w:after="0"/>
              <w:rPr>
                <w:sz w:val="9"/>
                <w:szCs w:val="9"/>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19</w:t>
            </w:r>
          </w:p>
        </w:tc>
        <w:tc>
          <w:tcPr>
            <w:tcW w:w="44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Board Oversight of Sustainability</w:t>
      </w:r>
    </w:p>
    <w:p>
      <w:pPr>
        <w:spacing w:after="0" w:line="21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Today, the world faces the trilemma of providing secure and affordable energy to meet growing demand, while rapidly decarbonizing for a sustainable future. With nearly a century of market and technology leadership, SLB is well positioned to be a leader in the energy transition. The evolving marketplace will require bold new technologies and ideas, digital transformation, and a deep commitment to sustainability.</w:t>
      </w:r>
    </w:p>
    <w:p>
      <w:pPr>
        <w:spacing w:after="0" w:line="144"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6"/>
          <w:szCs w:val="16"/>
          <w:color w:val="auto"/>
        </w:rPr>
        <w:t>As part of this commitment, the Board and its committees oversee the performance and management of various environmental, social and other sustainability issues, including our energy transition strategy, emissions reduction targets, climate change, sustainability reporting, workforce health and safety, human rights, diversity, equity and inclusion in our workforce, and ethics and compliance. For example:</w:t>
      </w:r>
    </w:p>
    <w:p>
      <w:pPr>
        <w:spacing w:after="0" w:line="50" w:lineRule="exact"/>
        <w:rPr>
          <w:sz w:val="20"/>
          <w:szCs w:val="20"/>
          <w:color w:val="auto"/>
        </w:rPr>
      </w:pPr>
    </w:p>
    <w:p>
      <w:pPr>
        <w:jc w:val="both"/>
        <w:ind w:left="500" w:hanging="168"/>
        <w:spacing w:after="0" w:line="259" w:lineRule="auto"/>
        <w:tabs>
          <w:tab w:leader="none" w:pos="500" w:val="left"/>
        </w:tabs>
        <w:numPr>
          <w:ilvl w:val="0"/>
          <w:numId w:val="26"/>
        </w:numPr>
        <w:rPr>
          <w:rFonts w:ascii="Arial" w:cs="Arial" w:eastAsia="Arial" w:hAnsi="Arial"/>
          <w:sz w:val="16"/>
          <w:szCs w:val="16"/>
          <w:b w:val="1"/>
          <w:bCs w:val="1"/>
          <w:color w:val="0233A1"/>
        </w:rPr>
      </w:pPr>
      <w:r>
        <w:rPr>
          <w:rFonts w:ascii="Arial" w:cs="Arial" w:eastAsia="Arial" w:hAnsi="Arial"/>
          <w:sz w:val="16"/>
          <w:szCs w:val="16"/>
          <w:color w:val="auto"/>
        </w:rPr>
        <w:t>The Board oversees SLB’s long- and short-term strategy, including monitoring portfolio advancements that focus on decarbonizing our Core businesses—such as our Transition Technologies and emissions monitoring portfolios—as well as our SLB New Energy investments in low-carbon and carbon-neutral energy technologies. The Board oversees the Company’s roadmap to reach its 2050 net zero commitment that is inclusive of Scope 3 emissions and includes interim Scope 1, 2, and 3 emissions reduction milestones.</w:t>
      </w:r>
    </w:p>
    <w:p>
      <w:pPr>
        <w:spacing w:after="0" w:line="56" w:lineRule="exact"/>
        <w:rPr>
          <w:rFonts w:ascii="Arial" w:cs="Arial" w:eastAsia="Arial" w:hAnsi="Arial"/>
          <w:sz w:val="16"/>
          <w:szCs w:val="16"/>
          <w:b w:val="1"/>
          <w:bCs w:val="1"/>
          <w:color w:val="0233A1"/>
        </w:rPr>
      </w:pPr>
    </w:p>
    <w:p>
      <w:pPr>
        <w:jc w:val="both"/>
        <w:ind w:left="500" w:hanging="168"/>
        <w:spacing w:after="0" w:line="256" w:lineRule="auto"/>
        <w:tabs>
          <w:tab w:leader="none" w:pos="500" w:val="left"/>
        </w:tabs>
        <w:numPr>
          <w:ilvl w:val="0"/>
          <w:numId w:val="26"/>
        </w:numPr>
        <w:rPr>
          <w:rFonts w:ascii="Arial" w:cs="Arial" w:eastAsia="Arial" w:hAnsi="Arial"/>
          <w:sz w:val="16"/>
          <w:szCs w:val="16"/>
          <w:b w:val="1"/>
          <w:bCs w:val="1"/>
          <w:color w:val="0233A1"/>
        </w:rPr>
      </w:pPr>
      <w:r>
        <w:rPr>
          <w:rFonts w:ascii="Arial" w:cs="Arial" w:eastAsia="Arial" w:hAnsi="Arial"/>
          <w:sz w:val="16"/>
          <w:szCs w:val="16"/>
          <w:color w:val="auto"/>
        </w:rPr>
        <w:t>The Board also oversees SLB’s enterprise risk management process, as discussed on the previous page under “—Board Oversight of Risk Management”, and reviews major risks facing SLB, including geopolitical risks, acute and chronic climate risks, and energy transition risks. We take a data-centric, scenario-based approach to managing climate and transition risk, and we use both the Task Force on Climate-Related Financial Disclosures (</w:t>
      </w:r>
      <w:r>
        <w:rPr>
          <w:rFonts w:ascii="Arial" w:cs="Arial" w:eastAsia="Arial" w:hAnsi="Arial"/>
          <w:sz w:val="16"/>
          <w:szCs w:val="16"/>
          <w:b w:val="1"/>
          <w:bCs w:val="1"/>
          <w:color w:val="auto"/>
        </w:rPr>
        <w:t>TCFD</w:t>
      </w:r>
      <w:r>
        <w:rPr>
          <w:rFonts w:ascii="Arial" w:cs="Arial" w:eastAsia="Arial" w:hAnsi="Arial"/>
          <w:sz w:val="16"/>
          <w:szCs w:val="16"/>
          <w:color w:val="auto"/>
        </w:rPr>
        <w:t>) recommendations and Sustainability Accounting Standards Board (</w:t>
      </w:r>
      <w:r>
        <w:rPr>
          <w:rFonts w:ascii="Arial" w:cs="Arial" w:eastAsia="Arial" w:hAnsi="Arial"/>
          <w:sz w:val="16"/>
          <w:szCs w:val="16"/>
          <w:b w:val="1"/>
          <w:bCs w:val="1"/>
          <w:color w:val="auto"/>
        </w:rPr>
        <w:t>SASB</w:t>
      </w:r>
      <w:r>
        <w:rPr>
          <w:rFonts w:ascii="Arial" w:cs="Arial" w:eastAsia="Arial" w:hAnsi="Arial"/>
          <w:sz w:val="16"/>
          <w:szCs w:val="16"/>
          <w:color w:val="auto"/>
        </w:rPr>
        <w:t>) standards as disclosure frameworks and methodology guides.</w:t>
      </w:r>
    </w:p>
    <w:p>
      <w:pPr>
        <w:spacing w:after="0" w:line="58" w:lineRule="exact"/>
        <w:rPr>
          <w:rFonts w:ascii="Arial" w:cs="Arial" w:eastAsia="Arial" w:hAnsi="Arial"/>
          <w:sz w:val="16"/>
          <w:szCs w:val="16"/>
          <w:b w:val="1"/>
          <w:bCs w:val="1"/>
          <w:color w:val="0233A1"/>
        </w:rPr>
      </w:pPr>
    </w:p>
    <w:p>
      <w:pPr>
        <w:jc w:val="both"/>
        <w:ind w:left="500" w:hanging="168"/>
        <w:spacing w:after="0" w:line="266" w:lineRule="auto"/>
        <w:tabs>
          <w:tab w:leader="none" w:pos="500" w:val="left"/>
        </w:tabs>
        <w:numPr>
          <w:ilvl w:val="0"/>
          <w:numId w:val="26"/>
        </w:numPr>
        <w:rPr>
          <w:rFonts w:ascii="Arial" w:cs="Arial" w:eastAsia="Arial" w:hAnsi="Arial"/>
          <w:sz w:val="16"/>
          <w:szCs w:val="16"/>
          <w:b w:val="1"/>
          <w:bCs w:val="1"/>
          <w:color w:val="0233A1"/>
        </w:rPr>
      </w:pPr>
      <w:r>
        <w:rPr>
          <w:rFonts w:ascii="Arial" w:cs="Arial" w:eastAsia="Arial" w:hAnsi="Arial"/>
          <w:sz w:val="16"/>
          <w:szCs w:val="16"/>
          <w:color w:val="auto"/>
        </w:rPr>
        <w:t>The Nominating and Governance Committee oversees our sustainability programs, initiatives, and activities, and receives regular updates from senior management on the progress we are making toward a low-carbon future. This committee also monitors and reviews the effectiveness of SLB’s Ethics and Compliance program, including our Code of Conduct and all significant compliance allegations.</w:t>
      </w:r>
    </w:p>
    <w:p>
      <w:pPr>
        <w:spacing w:after="0" w:line="49" w:lineRule="exact"/>
        <w:rPr>
          <w:rFonts w:ascii="Arial" w:cs="Arial" w:eastAsia="Arial" w:hAnsi="Arial"/>
          <w:sz w:val="16"/>
          <w:szCs w:val="16"/>
          <w:b w:val="1"/>
          <w:bCs w:val="1"/>
          <w:color w:val="0233A1"/>
        </w:rPr>
      </w:pPr>
    </w:p>
    <w:p>
      <w:pPr>
        <w:ind w:left="500" w:right="20" w:hanging="168"/>
        <w:spacing w:after="0" w:line="286" w:lineRule="auto"/>
        <w:tabs>
          <w:tab w:leader="none" w:pos="500" w:val="left"/>
        </w:tabs>
        <w:numPr>
          <w:ilvl w:val="0"/>
          <w:numId w:val="26"/>
        </w:numPr>
        <w:rPr>
          <w:rFonts w:ascii="Arial" w:cs="Arial" w:eastAsia="Arial" w:hAnsi="Arial"/>
          <w:sz w:val="16"/>
          <w:szCs w:val="16"/>
          <w:b w:val="1"/>
          <w:bCs w:val="1"/>
          <w:color w:val="0233A1"/>
        </w:rPr>
      </w:pPr>
      <w:r>
        <w:rPr>
          <w:rFonts w:ascii="Arial" w:cs="Arial" w:eastAsia="Arial" w:hAnsi="Arial"/>
          <w:sz w:val="16"/>
          <w:szCs w:val="16"/>
          <w:color w:val="auto"/>
        </w:rPr>
        <w:t>The New Energy and Innovation Committee provides insights on the growth potential, maturity and viability of SLB’s targeted New Energy business sectors, and validates the sustainability impacts of growth opportunities.</w:t>
      </w:r>
    </w:p>
    <w:p>
      <w:pPr>
        <w:spacing w:after="0" w:line="34" w:lineRule="exact"/>
        <w:rPr>
          <w:rFonts w:ascii="Arial" w:cs="Arial" w:eastAsia="Arial" w:hAnsi="Arial"/>
          <w:sz w:val="16"/>
          <w:szCs w:val="16"/>
          <w:b w:val="1"/>
          <w:bCs w:val="1"/>
          <w:color w:val="0233A1"/>
        </w:rPr>
      </w:pPr>
    </w:p>
    <w:p>
      <w:pPr>
        <w:jc w:val="both"/>
        <w:ind w:left="500" w:hanging="168"/>
        <w:spacing w:after="0" w:line="259" w:lineRule="auto"/>
        <w:tabs>
          <w:tab w:leader="none" w:pos="500" w:val="left"/>
        </w:tabs>
        <w:numPr>
          <w:ilvl w:val="0"/>
          <w:numId w:val="26"/>
        </w:numPr>
        <w:rPr>
          <w:rFonts w:ascii="Arial" w:cs="Arial" w:eastAsia="Arial" w:hAnsi="Arial"/>
          <w:sz w:val="16"/>
          <w:szCs w:val="16"/>
          <w:b w:val="1"/>
          <w:bCs w:val="1"/>
          <w:color w:val="0233A1"/>
        </w:rPr>
      </w:pPr>
      <w:r>
        <w:rPr>
          <w:rFonts w:ascii="Arial" w:cs="Arial" w:eastAsia="Arial" w:hAnsi="Arial"/>
          <w:sz w:val="16"/>
          <w:szCs w:val="16"/>
          <w:color w:val="auto"/>
        </w:rPr>
        <w:t>The Board’s other committees oversee sustainability-related topics within their respective areas of responsibility, such as the incorporation of sustainability and diversity metrics into our short-term incentive compensation programs (Compensation); the conduct of sustainability-related reviews by our internal audit team (Audit); operational risks such as cybersecurity (Audit); the disclosure of ESG risks (Audit and Nominating and Governance, jointly); and the development of our sustainable finance strategy, including financial instruments with rates linked to climate commitments (Finance).</w:t>
      </w:r>
    </w:p>
    <w:p>
      <w:pPr>
        <w:spacing w:after="0" w:line="15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6"/>
          <w:szCs w:val="16"/>
          <w:color w:val="auto"/>
        </w:rPr>
        <w:t xml:space="preserve">Our line management is directly responsible for the management and mitigation of the environmental impact of our operations. Our Vice President of HSE is responsible for our environmental management systems, and our Vice President of Sustainability is responsible for our global sustainability strategy and programs. For details about our environmental management standard and how we manage environmental risk, see our annual Sustainability Report, available at </w:t>
      </w:r>
      <w:r>
        <w:rPr>
          <w:rFonts w:ascii="Arial" w:cs="Arial" w:eastAsia="Arial" w:hAnsi="Arial"/>
          <w:sz w:val="16"/>
          <w:szCs w:val="16"/>
          <w:b w:val="1"/>
          <w:bCs w:val="1"/>
          <w:i w:val="1"/>
          <w:iCs w:val="1"/>
          <w:color w:val="auto"/>
        </w:rPr>
        <w:t>https://www.slb.com/sustainability/</w:t>
      </w:r>
      <w:r>
        <w:rPr>
          <w:rFonts w:ascii="Arial" w:cs="Arial" w:eastAsia="Arial" w:hAnsi="Arial"/>
          <w:sz w:val="16"/>
          <w:szCs w:val="16"/>
          <w:color w:val="auto"/>
        </w:rPr>
        <w:t>.</w:t>
      </w:r>
    </w:p>
    <w:p>
      <w:pPr>
        <w:spacing w:after="0" w:line="310" w:lineRule="exact"/>
        <w:rPr>
          <w:sz w:val="20"/>
          <w:szCs w:val="20"/>
          <w:color w:val="auto"/>
        </w:rPr>
      </w:pPr>
    </w:p>
    <w:p>
      <w:pPr>
        <w:spacing w:after="0"/>
        <w:rPr>
          <w:sz w:val="20"/>
          <w:szCs w:val="20"/>
          <w:color w:val="auto"/>
        </w:rPr>
      </w:pPr>
      <w:r>
        <w:rPr>
          <w:rFonts w:ascii="Arial" w:cs="Arial" w:eastAsia="Arial" w:hAnsi="Arial"/>
          <w:sz w:val="29"/>
          <w:szCs w:val="29"/>
          <w:color w:val="0233A1"/>
        </w:rPr>
        <w:t>Board Refreshment Processes</w:t>
      </w:r>
    </w:p>
    <w:p>
      <w:pPr>
        <w:spacing w:after="0" w:line="2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Board is committed to thoughtful board refreshment and ongoing board succession planning. All of our director nominees joined the Board within the last six years, bringing diverse and evolving experience and leadership skills in areas that are strategically important to SLB. The chart below reflects some of the key skills and experience of the non-employee directors who joined the Board since 2019, offering continuing expertise in our core industry and operations, while enhancing expertise in financial and capital management, sustainability, new energy, and digital technologies and transformation. For further information on each of our director nominees, see “Election of Directors” beginning on page 10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6892290" cy="261429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6892290"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20</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0233A1"/>
        </w:rPr>
        <w:t>Board Term Limits and Retirement Age</w:t>
      </w:r>
    </w:p>
    <w:p>
      <w:pPr>
        <w:spacing w:after="0" w:line="20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Under our Corporate Governance Guidelines, non-executive directors are eligible to serve on the Board until age 75 or for a maximum ten-year term, whichever occurs first. Our Board may waive this policy on a case-by-case basis on the recommendation of the Nominating and Governance Committee if a waiver is in SLB’s best interests.</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b w:val="1"/>
          <w:bCs w:val="1"/>
          <w:color w:val="auto"/>
        </w:rPr>
        <w:t xml:space="preserve">Business Continuity Waiver for Mr. Papa — </w:t>
      </w:r>
      <w:r>
        <w:rPr>
          <w:rFonts w:ascii="Arial" w:cs="Arial" w:eastAsia="Arial" w:hAnsi="Arial"/>
          <w:sz w:val="16"/>
          <w:szCs w:val="16"/>
          <w:color w:val="auto"/>
        </w:rPr>
        <w:t>Under the leadership of Mr. Papa, the Board’s independent Chairman, the Board has undergone</w:t>
      </w:r>
      <w:r>
        <w:rPr>
          <w:rFonts w:ascii="Arial" w:cs="Arial" w:eastAsia="Arial" w:hAnsi="Arial"/>
          <w:sz w:val="16"/>
          <w:szCs w:val="16"/>
          <w:b w:val="1"/>
          <w:bCs w:val="1"/>
          <w:color w:val="auto"/>
        </w:rPr>
        <w:t xml:space="preserve"> </w:t>
      </w:r>
      <w:r>
        <w:rPr>
          <w:rFonts w:ascii="Arial" w:cs="Arial" w:eastAsia="Arial" w:hAnsi="Arial"/>
          <w:sz w:val="16"/>
          <w:szCs w:val="16"/>
          <w:color w:val="auto"/>
        </w:rPr>
        <w:t>significant refreshment and transition in recent years. In addition, an active search process for a successor to Mr. Papa as independent Board chair is ongoing. In light of these circumstances, and in order to facilitate a smooth Board leadership transition process, the Board waived the retirement age policy for Mr. Papa upon the recommendation of the Nominating and Governance Committee, because the Board believes that having Mr. Papa continue to serve as independent Chairman is in the best interests of SLB and its shareholders. We expect the chair search process to be concluded in 2023, and do not expect Mr. Papa to stand for re-election at the Company’s 2024 annual general meeting of shareholders.</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color w:val="0233A1"/>
        </w:rPr>
        <w:t>Process for Selecting New Directors</w:t>
      </w:r>
    </w:p>
    <w:p>
      <w:pPr>
        <w:spacing w:after="0" w:line="20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The Nominating and Governance Committee assists the Board in identifying qualified individuals to join as new members. The Board seeks out individuals whose background, experience and skills complement those of other Board members. As a result, in evaluating potential nominees, the Committee takes into consideration the Board’s current composition, the potential nominee’s ability to contribute to the Board’s diversity, SLB’s existing and anticipated business needs, and the general qualifications of the potential nominees, as discussed above under “Election of Directors—Director Qualifications and Diversity.”</w:t>
      </w:r>
    </w:p>
    <w:p>
      <w:pPr>
        <w:spacing w:after="0" w:line="3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Nominating and Governance Committee also recommends to the Board the number and names of persons to be proposed by the Board for election as directors at our AGM. In obtaining the names of possible director nominees, the Nominating and Governance Committee makes its own inquiries and receives suggestions from other directors and management. Consideration of new Board candidates typically involves a series of internal discussions, review of information regarding potential candidates, and interviews with selected candidates.</w:t>
      </w:r>
    </w:p>
    <w:p>
      <w:pPr>
        <w:spacing w:after="0" w:line="16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From time to time, the Nominating and Governance Committee retains executive search and board advisory consulting firms to assist in identifying and evaluating potential nominees. To further our diversity policy, we request that any such firms retained by us include women and nationally, racially and ethnically diverse candidates in the proposals they present to us.</w:t>
      </w:r>
    </w:p>
    <w:p>
      <w:pPr>
        <w:spacing w:after="0" w:line="1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The Nominating and Governance Committee will also consider nominees recommended by shareholders who meet the eligibility requirements for submitting shareholder proposals for inclusion in the next proxy statement and submit their recommendations in writing to: Nominating and Governance Committee Chair, c/o SLB Chief Legal Officer and Secretary, 5599 San Felipe, 17th Floor, Houston, Texas 77056. Such recommendations must be submitted by the deadline for shareholder proposals referred to under “Other Information—2024 Annual General Meeting of Shareholders” on page 69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member of our Board, if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219075</wp:posOffset>
            </wp:positionV>
            <wp:extent cx="471805" cy="28257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Pr>
          <w:p>
            <w:pPr>
              <w:spacing w:after="0"/>
              <w:rPr>
                <w:sz w:val="9"/>
                <w:szCs w:val="9"/>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21</w:t>
            </w:r>
          </w:p>
        </w:tc>
        <w:tc>
          <w:tcPr>
            <w:tcW w:w="44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Board and Committee Evaluations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Each year, the Board and its committees conduct rigorous self-evaluations in order to assess the overall functioning, performance and effectiveness of the Board, its committees, and the individual non-employee directors. The Nominating and Governance Committee oversees this annual evaluation process. From time to time, these evaluations may be conducted using a third-party facilitator. The methodology for conducting Board and Committee self-evaluations is outlined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6319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1" w:lineRule="exact"/>
        <w:rPr>
          <w:sz w:val="20"/>
          <w:szCs w:val="20"/>
          <w:color w:val="auto"/>
        </w:rPr>
      </w:pPr>
    </w:p>
    <w:p>
      <w:pPr>
        <w:ind w:left="320"/>
        <w:spacing w:after="0"/>
        <w:tabs>
          <w:tab w:leader="none" w:pos="3320" w:val="left"/>
          <w:tab w:leader="none" w:pos="6360" w:val="left"/>
          <w:tab w:leader="none" w:pos="9080" w:val="left"/>
        </w:tabs>
        <w:rPr>
          <w:sz w:val="20"/>
          <w:szCs w:val="20"/>
          <w:color w:val="auto"/>
        </w:rPr>
      </w:pPr>
      <w:r>
        <w:rPr>
          <w:rFonts w:ascii="Arial" w:cs="Arial" w:eastAsia="Arial" w:hAnsi="Arial"/>
          <w:sz w:val="16"/>
          <w:szCs w:val="16"/>
          <w:b w:val="1"/>
          <w:bCs w:val="1"/>
          <w:color w:val="FFFFFF"/>
        </w:rPr>
        <w:t>Initiate Evaluation Process</w:t>
      </w:r>
      <w:r>
        <w:rPr>
          <w:sz w:val="20"/>
          <w:szCs w:val="20"/>
          <w:color w:val="auto"/>
        </w:rPr>
        <w:tab/>
      </w:r>
      <w:r>
        <w:rPr>
          <w:rFonts w:ascii="Arial" w:cs="Arial" w:eastAsia="Arial" w:hAnsi="Arial"/>
          <w:sz w:val="16"/>
          <w:szCs w:val="16"/>
          <w:b w:val="1"/>
          <w:bCs w:val="1"/>
          <w:color w:val="FFFFFF"/>
        </w:rPr>
        <w:t>Collect Evaluation Data</w:t>
      </w:r>
      <w:r>
        <w:rPr>
          <w:sz w:val="20"/>
          <w:szCs w:val="20"/>
          <w:color w:val="auto"/>
        </w:rPr>
        <w:tab/>
      </w:r>
      <w:r>
        <w:rPr>
          <w:rFonts w:ascii="Arial" w:cs="Arial" w:eastAsia="Arial" w:hAnsi="Arial"/>
          <w:sz w:val="16"/>
          <w:szCs w:val="16"/>
          <w:b w:val="1"/>
          <w:bCs w:val="1"/>
          <w:color w:val="FFFFFF"/>
        </w:rPr>
        <w:t>Discuss Findings</w:t>
      </w:r>
      <w:r>
        <w:rPr>
          <w:sz w:val="20"/>
          <w:szCs w:val="20"/>
          <w:color w:val="auto"/>
        </w:rPr>
        <w:tab/>
      </w:r>
      <w:r>
        <w:rPr>
          <w:rFonts w:ascii="Arial" w:cs="Arial" w:eastAsia="Arial" w:hAnsi="Arial"/>
          <w:sz w:val="16"/>
          <w:szCs w:val="16"/>
          <w:b w:val="1"/>
          <w:bCs w:val="1"/>
          <w:color w:val="FFFFFF"/>
        </w:rPr>
        <w:t>Implement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216027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7132320" cy="216027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100" w:lineRule="exact"/>
        <w:rPr>
          <w:sz w:val="20"/>
          <w:szCs w:val="20"/>
          <w:color w:val="auto"/>
        </w:rPr>
      </w:pPr>
    </w:p>
    <w:p>
      <w:pPr>
        <w:ind w:left="180" w:right="320"/>
        <w:spacing w:after="0" w:line="254" w:lineRule="auto"/>
        <w:rPr>
          <w:sz w:val="20"/>
          <w:szCs w:val="20"/>
          <w:color w:val="auto"/>
        </w:rPr>
      </w:pPr>
      <w:r>
        <w:rPr>
          <w:rFonts w:ascii="Arial" w:cs="Arial" w:eastAsia="Arial" w:hAnsi="Arial"/>
          <w:sz w:val="16"/>
          <w:szCs w:val="16"/>
          <w:color w:val="auto"/>
        </w:rPr>
        <w:t>Upon the instruction of the Nominating and Governance Committee, written self-assessment questionnaires are distributed to each member of the Board.</w:t>
      </w:r>
    </w:p>
    <w:p>
      <w:pPr>
        <w:spacing w:after="0" w:line="155" w:lineRule="exact"/>
        <w:rPr>
          <w:sz w:val="20"/>
          <w:szCs w:val="20"/>
          <w:color w:val="auto"/>
        </w:rPr>
      </w:pPr>
    </w:p>
    <w:p>
      <w:pPr>
        <w:ind w:left="180"/>
        <w:spacing w:after="0" w:line="250" w:lineRule="auto"/>
        <w:rPr>
          <w:sz w:val="20"/>
          <w:szCs w:val="20"/>
          <w:color w:val="auto"/>
        </w:rPr>
      </w:pPr>
      <w:r>
        <w:rPr>
          <w:rFonts w:ascii="Arial" w:cs="Arial" w:eastAsia="Arial" w:hAnsi="Arial"/>
          <w:sz w:val="16"/>
          <w:szCs w:val="16"/>
          <w:color w:val="auto"/>
        </w:rPr>
        <w:t xml:space="preserve">These questionnaires seek anonymous, candid feedback from </w:t>
      </w:r>
      <w:r>
        <w:rPr>
          <w:sz w:val="1"/>
          <w:szCs w:val="1"/>
          <w:color w:val="auto"/>
        </w:rPr>
        <w:drawing>
          <wp:inline distT="0" distB="0" distL="0" distR="0">
            <wp:extent cx="128905" cy="102870"/>
            <wp:effectExtent l="0" t="0" r="0" b="0"/>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8905" cy="102870"/>
                    </a:xfrm>
                    <a:prstGeom prst="rect">
                      <a:avLst/>
                    </a:prstGeom>
                    <a:noFill/>
                    <a:ln>
                      <a:noFill/>
                    </a:ln>
                  </pic:spPr>
                </pic:pic>
              </a:graphicData>
            </a:graphic>
          </wp:inline>
        </w:drawing>
      </w:r>
      <w:r>
        <w:rPr>
          <w:rFonts w:ascii="Arial" w:cs="Arial" w:eastAsia="Arial" w:hAnsi="Arial"/>
          <w:sz w:val="16"/>
          <w:szCs w:val="16"/>
          <w:color w:val="auto"/>
        </w:rPr>
        <w:t xml:space="preserve"> our directors on a variety of topics, including board composition and culture, committee effectiveness, strategic planning, risk management, peer evaluation, and succession planning.</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Directors’ responses to the questionnaires are then aggregated into summary reports for the Board, each of its committees, and the chair of the Nominating and Governance Committee.</w:t>
      </w:r>
    </w:p>
    <w:p>
      <w:pPr>
        <w:spacing w:after="0" w:line="15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In 2022, the Nominating and </w:t>
      </w:r>
      <w:r>
        <w:rPr>
          <w:sz w:val="1"/>
          <w:szCs w:val="1"/>
          <w:color w:val="auto"/>
        </w:rPr>
        <w:drawing>
          <wp:inline distT="0" distB="0" distL="0" distR="0">
            <wp:extent cx="102870" cy="102870"/>
            <wp:effectExtent l="0" t="0" r="0" b="0"/>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6"/>
          <w:szCs w:val="16"/>
          <w:color w:val="auto"/>
        </w:rPr>
        <w:t xml:space="preserve"> Governance Committee engaged</w:t>
      </w:r>
    </w:p>
    <w:p>
      <w:pPr>
        <w:ind w:right="280"/>
        <w:spacing w:after="0" w:line="252" w:lineRule="auto"/>
        <w:rPr>
          <w:sz w:val="20"/>
          <w:szCs w:val="20"/>
          <w:color w:val="auto"/>
        </w:rPr>
      </w:pPr>
      <w:r>
        <w:rPr>
          <w:rFonts w:ascii="Arial" w:cs="Arial" w:eastAsia="Arial" w:hAnsi="Arial"/>
          <w:sz w:val="16"/>
          <w:szCs w:val="16"/>
          <w:color w:val="auto"/>
        </w:rPr>
        <w:t>a third-party facilitator to conduct one-on-one interviews with our directors as part of this annual self-evaluation process.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 xml:space="preserve">Each October, findings from the evaluation process are reviewed and discussed in executive session at each committee meeting and the full Board meeting. Based on these discussions, the directors may recommend improvements to the Board’s structure, processes, </w:t>
      </w:r>
      <w:r>
        <w:rPr>
          <w:sz w:val="1"/>
          <w:szCs w:val="1"/>
          <w:color w:val="auto"/>
        </w:rPr>
        <w:drawing>
          <wp:inline distT="0" distB="0" distL="0" distR="0">
            <wp:extent cx="102870" cy="102870"/>
            <wp:effectExtent l="0" t="0" r="0" b="0"/>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6"/>
          <w:szCs w:val="16"/>
          <w:color w:val="auto"/>
        </w:rPr>
        <w:t xml:space="preserve"> policies, or composition, or other changes.</w:t>
      </w:r>
    </w:p>
    <w:p>
      <w:pPr>
        <w:spacing w:after="0" w:line="355"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In addition, the chair of the Nominating and Governance Committee may provide one-on-one feedback to individual directors as appropriate.</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Finally, the Board, its committees, and (where appropriate) management work to implement the feedback from this evaluation process to improve Board performance and effectiveness.</w:t>
      </w:r>
    </w:p>
    <w:p>
      <w:pPr>
        <w:spacing w:after="0" w:line="155"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Following this process, the Nominating and Governance Committee annually reviews— and makes recommendations to the Board regarding—its process for evaluating the effectiveness of the Board, its committees and individual directors.</w:t>
      </w:r>
    </w:p>
    <w:p>
      <w:pPr>
        <w:spacing w:after="0" w:line="580" w:lineRule="exact"/>
        <w:rPr>
          <w:sz w:val="20"/>
          <w:szCs w:val="20"/>
          <w:color w:val="auto"/>
        </w:rPr>
      </w:pPr>
    </w:p>
    <w:p>
      <w:pPr>
        <w:sectPr>
          <w:pgSz w:w="11900" w:h="16838" w:orient="portrait"/>
          <w:cols w:equalWidth="0" w:num="4">
            <w:col w:w="2920" w:space="200"/>
            <w:col w:w="2620" w:space="200"/>
            <w:col w:w="2580" w:space="220"/>
            <w:col w:w="2500"/>
          </w:cols>
          <w:pgMar w:left="320" w:top="238" w:right="339" w:bottom="1440" w:gutter="0" w:footer="0" w:header="0"/>
          <w:type w:val="continuous"/>
        </w:sectPr>
      </w:pPr>
    </w:p>
    <w:p>
      <w:pPr>
        <w:spacing w:after="0" w:line="259" w:lineRule="exact"/>
        <w:rPr>
          <w:sz w:val="20"/>
          <w:szCs w:val="20"/>
          <w:color w:val="auto"/>
        </w:rPr>
      </w:pPr>
    </w:p>
    <w:p>
      <w:pPr>
        <w:spacing w:after="0"/>
        <w:rPr>
          <w:sz w:val="20"/>
          <w:szCs w:val="20"/>
          <w:color w:val="auto"/>
        </w:rPr>
      </w:pPr>
      <w:r>
        <w:rPr>
          <w:rFonts w:ascii="Arial" w:cs="Arial" w:eastAsia="Arial" w:hAnsi="Arial"/>
          <w:sz w:val="29"/>
          <w:szCs w:val="29"/>
          <w:color w:val="0233A1"/>
        </w:rPr>
        <w:t>Director Orientation and Education</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Our director orientation and continuing education programs are designed to support our directors in fulfilling their responsibilities as members of the Board. First, all new directors participate in SLB’s director orientation program, to familiarize themselves with our business and operations, financial and performance strategies, controls and compliance systems, sustainability and HSE commitments, and industry dynamics. New directors also attend trainings with members of senior management focused on financial, industry- and committee-specific topics, as well as facility and well-site visits.</w:t>
      </w:r>
    </w:p>
    <w:p>
      <w:pPr>
        <w:spacing w:after="0" w:line="1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For new and incumbent directors, regular continuing education programs help our Board stay current on industry, corporate governance, risk management, cybersecurity, and other developments relevant to their work as directors. These programs may include presentations from SLB management or in-depth trainings developed by outside experts, as appropriate. For example, in 2022, the Audit Committee attended cybersecurity training sessions with SLB experts and external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104775</wp:posOffset>
            </wp:positionV>
            <wp:extent cx="3206115" cy="222885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320611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100"/>
        <w:spacing w:after="0"/>
        <w:rPr>
          <w:sz w:val="20"/>
          <w:szCs w:val="20"/>
          <w:color w:val="auto"/>
        </w:rPr>
      </w:pPr>
      <w:r>
        <w:rPr>
          <w:rFonts w:ascii="Arial" w:cs="Arial" w:eastAsia="Arial" w:hAnsi="Arial"/>
          <w:sz w:val="16"/>
          <w:szCs w:val="16"/>
          <w:i w:val="1"/>
          <w:iCs w:val="1"/>
          <w:color w:val="auto"/>
        </w:rPr>
        <w:t xml:space="preserve">From left to right: </w:t>
      </w:r>
      <w:r>
        <w:rPr>
          <w:rFonts w:ascii="Arial" w:cs="Arial" w:eastAsia="Arial" w:hAnsi="Arial"/>
          <w:sz w:val="16"/>
          <w:szCs w:val="16"/>
          <w:color w:val="auto"/>
        </w:rPr>
        <w:t>Vanitha Narayanan and Tatiana Mitrova, SLB</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independent directors, and Mark Papa, independent Chairman of the</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SLB Board, together with the other members of the Board, visited</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SLB’s OneSubsea* facility in Horsøy, Norway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471170" cy="28257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-46990</wp:posOffset>
            </wp:positionV>
            <wp:extent cx="541782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5417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Board Committees</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Board has five standing committees: Audit, Compensation, Nominating and Governance, Finance, and New Energy and Innovation. Each member of the Audit, Compensation and Nominating and Governance committees meets the independence and other requirements of the New York Stock Exchange (</w:t>
      </w:r>
      <w:r>
        <w:rPr>
          <w:rFonts w:ascii="Arial" w:cs="Arial" w:eastAsia="Arial" w:hAnsi="Arial"/>
          <w:sz w:val="16"/>
          <w:szCs w:val="16"/>
          <w:b w:val="1"/>
          <w:bCs w:val="1"/>
          <w:color w:val="auto"/>
        </w:rPr>
        <w:t>NYSE</w:t>
      </w:r>
      <w:r>
        <w:rPr>
          <w:rFonts w:ascii="Arial" w:cs="Arial" w:eastAsia="Arial" w:hAnsi="Arial"/>
          <w:sz w:val="16"/>
          <w:szCs w:val="16"/>
          <w:color w:val="auto"/>
        </w:rPr>
        <w:t>) listing standards and SEC rules (including the heightened requirements that apply to audit or compensation committee members, as applicable). In addition, each member of the Audit Committee is financially literate, and each of Mr. de La Chevardière and Mr. Sheets qualifies as an “audit committee financial expert” under applicable SEC rules.</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Nominating and Governance Committee nominates for Board approval directors to serve on and chair the Board’s committees. The following table reflects the membership of the Board’s standing committees as of February 1,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233A1"/>
              </w:rPr>
              <w:t>Nominating and</w:t>
            </w:r>
          </w:p>
        </w:tc>
        <w:tc>
          <w:tcPr>
            <w:tcW w:w="1600" w:type="dxa"/>
            <w:vAlign w:val="bottom"/>
          </w:tcPr>
          <w:p>
            <w:pPr>
              <w:spacing w:after="0"/>
              <w:rPr>
                <w:sz w:val="16"/>
                <w:szCs w:val="16"/>
                <w:color w:val="auto"/>
              </w:rPr>
            </w:pPr>
          </w:p>
        </w:tc>
        <w:tc>
          <w:tcPr>
            <w:tcW w:w="1760" w:type="dxa"/>
            <w:vAlign w:val="bottom"/>
          </w:tcPr>
          <w:p>
            <w:pPr>
              <w:jc w:val="center"/>
              <w:ind w:left="119"/>
              <w:spacing w:after="0"/>
              <w:rPr>
                <w:sz w:val="20"/>
                <w:szCs w:val="20"/>
                <w:color w:val="auto"/>
              </w:rPr>
            </w:pPr>
            <w:r>
              <w:rPr>
                <w:rFonts w:ascii="Arial" w:cs="Arial" w:eastAsia="Arial" w:hAnsi="Arial"/>
                <w:sz w:val="16"/>
                <w:szCs w:val="16"/>
                <w:b w:val="1"/>
                <w:bCs w:val="1"/>
                <w:color w:val="0233A1"/>
              </w:rPr>
              <w:t>New Energy</w:t>
            </w:r>
          </w:p>
        </w:tc>
      </w:tr>
      <w:tr>
        <w:trPr>
          <w:trHeight w:val="189"/>
        </w:trPr>
        <w:tc>
          <w:tcPr>
            <w:tcW w:w="24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0233A1"/>
                <w:w w:val="97"/>
              </w:rPr>
              <w:t>Audit</w:t>
            </w:r>
          </w:p>
        </w:tc>
        <w:tc>
          <w:tcPr>
            <w:tcW w:w="1840" w:type="dxa"/>
            <w:vAlign w:val="bottom"/>
          </w:tcPr>
          <w:p>
            <w:pPr>
              <w:jc w:val="center"/>
              <w:ind w:left="19"/>
              <w:spacing w:after="0"/>
              <w:rPr>
                <w:sz w:val="20"/>
                <w:szCs w:val="20"/>
                <w:color w:val="auto"/>
              </w:rPr>
            </w:pPr>
            <w:r>
              <w:rPr>
                <w:rFonts w:ascii="Arial" w:cs="Arial" w:eastAsia="Arial" w:hAnsi="Arial"/>
                <w:sz w:val="16"/>
                <w:szCs w:val="16"/>
                <w:b w:val="1"/>
                <w:bCs w:val="1"/>
                <w:color w:val="0233A1"/>
              </w:rPr>
              <w:t>Compensation</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233A1"/>
              </w:rPr>
              <w:t>Governance</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0233A1"/>
              </w:rPr>
              <w:t>Finance</w:t>
            </w:r>
          </w:p>
        </w:tc>
        <w:tc>
          <w:tcPr>
            <w:tcW w:w="1760" w:type="dxa"/>
            <w:vAlign w:val="bottom"/>
          </w:tcPr>
          <w:p>
            <w:pPr>
              <w:jc w:val="center"/>
              <w:ind w:left="119"/>
              <w:spacing w:after="0"/>
              <w:rPr>
                <w:sz w:val="20"/>
                <w:szCs w:val="20"/>
                <w:color w:val="auto"/>
              </w:rPr>
            </w:pPr>
            <w:r>
              <w:rPr>
                <w:rFonts w:ascii="Arial" w:cs="Arial" w:eastAsia="Arial" w:hAnsi="Arial"/>
                <w:sz w:val="16"/>
                <w:szCs w:val="16"/>
                <w:b w:val="1"/>
                <w:bCs w:val="1"/>
                <w:color w:val="0233A1"/>
              </w:rPr>
              <w:t>and Innovation</w:t>
            </w:r>
          </w:p>
        </w:tc>
      </w:tr>
      <w:tr>
        <w:trPr>
          <w:trHeight w:val="226"/>
        </w:trPr>
        <w:tc>
          <w:tcPr>
            <w:tcW w:w="240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Name of Director</w:t>
            </w:r>
          </w:p>
        </w:tc>
        <w:tc>
          <w:tcPr>
            <w:tcW w:w="1720" w:type="dxa"/>
            <w:vAlign w:val="bottom"/>
            <w:tcBorders>
              <w:bottom w:val="single" w:sz="8" w:color="0233A1"/>
            </w:tcBorders>
          </w:tcPr>
          <w:p>
            <w:pPr>
              <w:jc w:val="center"/>
              <w:spacing w:after="0"/>
              <w:rPr>
                <w:sz w:val="20"/>
                <w:szCs w:val="20"/>
                <w:color w:val="auto"/>
              </w:rPr>
            </w:pPr>
            <w:r>
              <w:rPr>
                <w:rFonts w:ascii="Arial" w:cs="Arial" w:eastAsia="Arial" w:hAnsi="Arial"/>
                <w:sz w:val="16"/>
                <w:szCs w:val="16"/>
                <w:b w:val="1"/>
                <w:bCs w:val="1"/>
                <w:color w:val="0233A1"/>
              </w:rPr>
              <w:t>Committee</w:t>
            </w:r>
          </w:p>
        </w:tc>
        <w:tc>
          <w:tcPr>
            <w:tcW w:w="1840" w:type="dxa"/>
            <w:vAlign w:val="bottom"/>
            <w:tcBorders>
              <w:bottom w:val="single" w:sz="8" w:color="0233A1"/>
            </w:tcBorders>
          </w:tcPr>
          <w:p>
            <w:pPr>
              <w:jc w:val="center"/>
              <w:ind w:left="19"/>
              <w:spacing w:after="0"/>
              <w:rPr>
                <w:sz w:val="20"/>
                <w:szCs w:val="20"/>
                <w:color w:val="auto"/>
              </w:rPr>
            </w:pPr>
            <w:r>
              <w:rPr>
                <w:rFonts w:ascii="Arial" w:cs="Arial" w:eastAsia="Arial" w:hAnsi="Arial"/>
                <w:sz w:val="16"/>
                <w:szCs w:val="16"/>
                <w:b w:val="1"/>
                <w:bCs w:val="1"/>
                <w:color w:val="0233A1"/>
                <w:w w:val="99"/>
              </w:rPr>
              <w:t>Committee</w:t>
            </w:r>
          </w:p>
        </w:tc>
        <w:tc>
          <w:tcPr>
            <w:tcW w:w="1920" w:type="dxa"/>
            <w:vAlign w:val="bottom"/>
            <w:tcBorders>
              <w:bottom w:val="single" w:sz="8" w:color="0233A1"/>
            </w:tcBorders>
          </w:tcPr>
          <w:p>
            <w:pPr>
              <w:jc w:val="center"/>
              <w:spacing w:after="0"/>
              <w:rPr>
                <w:sz w:val="20"/>
                <w:szCs w:val="20"/>
                <w:color w:val="auto"/>
              </w:rPr>
            </w:pPr>
            <w:r>
              <w:rPr>
                <w:rFonts w:ascii="Arial" w:cs="Arial" w:eastAsia="Arial" w:hAnsi="Arial"/>
                <w:sz w:val="16"/>
                <w:szCs w:val="16"/>
                <w:b w:val="1"/>
                <w:bCs w:val="1"/>
                <w:color w:val="0233A1"/>
              </w:rPr>
              <w:t>Committee</w:t>
            </w:r>
          </w:p>
        </w:tc>
        <w:tc>
          <w:tcPr>
            <w:tcW w:w="1600" w:type="dxa"/>
            <w:vAlign w:val="bottom"/>
            <w:tcBorders>
              <w:bottom w:val="single" w:sz="8" w:color="0233A1"/>
            </w:tcBorders>
          </w:tcPr>
          <w:p>
            <w:pPr>
              <w:jc w:val="center"/>
              <w:spacing w:after="0"/>
              <w:rPr>
                <w:sz w:val="20"/>
                <w:szCs w:val="20"/>
                <w:color w:val="auto"/>
              </w:rPr>
            </w:pPr>
            <w:r>
              <w:rPr>
                <w:rFonts w:ascii="Arial" w:cs="Arial" w:eastAsia="Arial" w:hAnsi="Arial"/>
                <w:sz w:val="16"/>
                <w:szCs w:val="16"/>
                <w:b w:val="1"/>
                <w:bCs w:val="1"/>
                <w:color w:val="0233A1"/>
              </w:rPr>
              <w:t>Committee</w:t>
            </w:r>
          </w:p>
        </w:tc>
        <w:tc>
          <w:tcPr>
            <w:tcW w:w="1760" w:type="dxa"/>
            <w:vAlign w:val="bottom"/>
            <w:tcBorders>
              <w:bottom w:val="single" w:sz="8" w:color="0233A1"/>
            </w:tcBorders>
          </w:tcPr>
          <w:p>
            <w:pPr>
              <w:jc w:val="center"/>
              <w:ind w:left="119"/>
              <w:spacing w:after="0"/>
              <w:rPr>
                <w:sz w:val="20"/>
                <w:szCs w:val="20"/>
                <w:color w:val="auto"/>
              </w:rPr>
            </w:pPr>
            <w:r>
              <w:rPr>
                <w:rFonts w:ascii="Arial" w:cs="Arial" w:eastAsia="Arial" w:hAnsi="Arial"/>
                <w:sz w:val="16"/>
                <w:szCs w:val="16"/>
                <w:b w:val="1"/>
                <w:bCs w:val="1"/>
                <w:color w:val="0233A1"/>
              </w:rPr>
              <w:t>Committee</w:t>
            </w:r>
          </w:p>
        </w:tc>
      </w:tr>
      <w:tr>
        <w:trPr>
          <w:trHeight w:val="225"/>
        </w:trPr>
        <w:tc>
          <w:tcPr>
            <w:tcW w:w="2400" w:type="dxa"/>
            <w:vAlign w:val="bottom"/>
          </w:tcPr>
          <w:p>
            <w:pPr>
              <w:ind w:left="60"/>
              <w:spacing w:after="0"/>
              <w:rPr>
                <w:sz w:val="20"/>
                <w:szCs w:val="20"/>
                <w:color w:val="auto"/>
              </w:rPr>
            </w:pPr>
            <w:r>
              <w:rPr>
                <w:rFonts w:ascii="Arial" w:cs="Arial" w:eastAsia="Arial" w:hAnsi="Arial"/>
                <w:sz w:val="16"/>
                <w:szCs w:val="16"/>
                <w:color w:val="auto"/>
              </w:rPr>
              <w:t>Peter Coleman</w:t>
            </w:r>
          </w:p>
        </w:tc>
        <w:tc>
          <w:tcPr>
            <w:tcW w:w="17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0233A1"/>
              </w:rPr>
              <w:t>●</w:t>
            </w:r>
          </w:p>
        </w:tc>
        <w:tc>
          <w:tcPr>
            <w:tcW w:w="1600" w:type="dxa"/>
            <w:vAlign w:val="bottom"/>
          </w:tcPr>
          <w:p>
            <w:pPr>
              <w:jc w:val="center"/>
              <w:spacing w:after="0"/>
              <w:rPr>
                <w:sz w:val="20"/>
                <w:szCs w:val="20"/>
                <w:color w:val="auto"/>
              </w:rPr>
            </w:pPr>
            <w:r>
              <w:rPr>
                <w:rFonts w:ascii="Arial" w:cs="Arial" w:eastAsia="Arial" w:hAnsi="Arial"/>
                <w:sz w:val="16"/>
                <w:szCs w:val="16"/>
                <w:color w:val="0233A1"/>
              </w:rPr>
              <w:t>●</w:t>
            </w:r>
          </w:p>
        </w:tc>
        <w:tc>
          <w:tcPr>
            <w:tcW w:w="1760" w:type="dxa"/>
            <w:vAlign w:val="bottom"/>
          </w:tcPr>
          <w:p>
            <w:pPr>
              <w:spacing w:after="0"/>
              <w:rPr>
                <w:sz w:val="19"/>
                <w:szCs w:val="19"/>
                <w:color w:val="auto"/>
              </w:rPr>
            </w:pPr>
          </w:p>
        </w:tc>
      </w:tr>
      <w:tr>
        <w:trPr>
          <w:trHeight w:val="256"/>
        </w:trPr>
        <w:tc>
          <w:tcPr>
            <w:tcW w:w="2400" w:type="dxa"/>
            <w:vAlign w:val="bottom"/>
          </w:tcPr>
          <w:p>
            <w:pPr>
              <w:ind w:left="60"/>
              <w:spacing w:after="0"/>
              <w:rPr>
                <w:sz w:val="20"/>
                <w:szCs w:val="20"/>
                <w:color w:val="auto"/>
              </w:rPr>
            </w:pPr>
            <w:r>
              <w:rPr>
                <w:rFonts w:ascii="Arial" w:cs="Arial" w:eastAsia="Arial" w:hAnsi="Arial"/>
                <w:sz w:val="16"/>
                <w:szCs w:val="16"/>
                <w:color w:val="auto"/>
              </w:rPr>
              <w:t>Patrick de La Chevardière</w:t>
            </w:r>
          </w:p>
        </w:tc>
        <w:tc>
          <w:tcPr>
            <w:tcW w:w="1720" w:type="dxa"/>
            <w:vAlign w:val="bottom"/>
          </w:tcPr>
          <w:p>
            <w:pPr>
              <w:jc w:val="center"/>
              <w:spacing w:after="0"/>
              <w:rPr>
                <w:sz w:val="20"/>
                <w:szCs w:val="20"/>
                <w:color w:val="auto"/>
              </w:rPr>
            </w:pPr>
            <w:r>
              <w:rPr>
                <w:rFonts w:ascii="Arial" w:cs="Arial" w:eastAsia="Arial" w:hAnsi="Arial"/>
                <w:sz w:val="16"/>
                <w:szCs w:val="16"/>
                <w:color w:val="auto"/>
              </w:rPr>
              <w:t>Chair</w:t>
            </w:r>
          </w:p>
        </w:tc>
        <w:tc>
          <w:tcPr>
            <w:tcW w:w="18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0233A1"/>
              </w:rPr>
              <w:t>●</w:t>
            </w:r>
          </w:p>
        </w:tc>
        <w:tc>
          <w:tcPr>
            <w:tcW w:w="1760" w:type="dxa"/>
            <w:vAlign w:val="bottom"/>
          </w:tcPr>
          <w:p>
            <w:pPr>
              <w:spacing w:after="0"/>
              <w:rPr>
                <w:sz w:val="22"/>
                <w:szCs w:val="22"/>
                <w:color w:val="auto"/>
              </w:rPr>
            </w:pPr>
          </w:p>
        </w:tc>
      </w:tr>
      <w:tr>
        <w:trPr>
          <w:trHeight w:val="257"/>
        </w:trPr>
        <w:tc>
          <w:tcPr>
            <w:tcW w:w="2400" w:type="dxa"/>
            <w:vAlign w:val="bottom"/>
          </w:tcPr>
          <w:p>
            <w:pPr>
              <w:ind w:left="60"/>
              <w:spacing w:after="0"/>
              <w:rPr>
                <w:sz w:val="20"/>
                <w:szCs w:val="20"/>
                <w:color w:val="auto"/>
              </w:rPr>
            </w:pPr>
            <w:r>
              <w:rPr>
                <w:rFonts w:ascii="Arial" w:cs="Arial" w:eastAsia="Arial" w:hAnsi="Arial"/>
                <w:sz w:val="16"/>
                <w:szCs w:val="16"/>
                <w:color w:val="auto"/>
              </w:rPr>
              <w:t>Miguel Galuccio</w:t>
            </w:r>
          </w:p>
        </w:tc>
        <w:tc>
          <w:tcPr>
            <w:tcW w:w="17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Chair</w:t>
            </w:r>
          </w:p>
        </w:tc>
        <w:tc>
          <w:tcPr>
            <w:tcW w:w="1760" w:type="dxa"/>
            <w:vAlign w:val="bottom"/>
          </w:tcPr>
          <w:p>
            <w:pPr>
              <w:spacing w:after="0"/>
              <w:rPr>
                <w:sz w:val="22"/>
                <w:szCs w:val="22"/>
                <w:color w:val="auto"/>
              </w:rPr>
            </w:pPr>
          </w:p>
        </w:tc>
      </w:tr>
      <w:tr>
        <w:trPr>
          <w:trHeight w:val="257"/>
        </w:trPr>
        <w:tc>
          <w:tcPr>
            <w:tcW w:w="2400" w:type="dxa"/>
            <w:vAlign w:val="bottom"/>
          </w:tcPr>
          <w:p>
            <w:pPr>
              <w:ind w:left="60"/>
              <w:spacing w:after="0"/>
              <w:rPr>
                <w:sz w:val="20"/>
                <w:szCs w:val="20"/>
                <w:color w:val="auto"/>
              </w:rPr>
            </w:pPr>
            <w:r>
              <w:rPr>
                <w:rFonts w:ascii="Arial" w:cs="Arial" w:eastAsia="Arial" w:hAnsi="Arial"/>
                <w:sz w:val="16"/>
                <w:szCs w:val="16"/>
                <w:color w:val="auto"/>
              </w:rPr>
              <w:t>Samuel Leupold</w:t>
            </w:r>
          </w:p>
        </w:tc>
        <w:tc>
          <w:tcPr>
            <w:tcW w:w="1720" w:type="dxa"/>
            <w:vAlign w:val="bottom"/>
          </w:tcPr>
          <w:p>
            <w:pPr>
              <w:jc w:val="center"/>
              <w:spacing w:after="0"/>
              <w:rPr>
                <w:sz w:val="20"/>
                <w:szCs w:val="20"/>
                <w:color w:val="auto"/>
              </w:rPr>
            </w:pPr>
            <w:r>
              <w:rPr>
                <w:rFonts w:ascii="Arial" w:cs="Arial" w:eastAsia="Arial" w:hAnsi="Arial"/>
                <w:sz w:val="16"/>
                <w:szCs w:val="16"/>
                <w:color w:val="0233A1"/>
              </w:rPr>
              <w:t>●</w:t>
            </w:r>
          </w:p>
        </w:tc>
        <w:tc>
          <w:tcPr>
            <w:tcW w:w="18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0233A1"/>
              </w:rPr>
              <w:t>●</w:t>
            </w:r>
          </w:p>
        </w:tc>
        <w:tc>
          <w:tcPr>
            <w:tcW w:w="1760" w:type="dxa"/>
            <w:vAlign w:val="bottom"/>
          </w:tcPr>
          <w:p>
            <w:pPr>
              <w:jc w:val="center"/>
              <w:ind w:left="99"/>
              <w:spacing w:after="0"/>
              <w:rPr>
                <w:sz w:val="20"/>
                <w:szCs w:val="20"/>
                <w:color w:val="auto"/>
              </w:rPr>
            </w:pPr>
            <w:r>
              <w:rPr>
                <w:rFonts w:ascii="Arial" w:cs="Arial" w:eastAsia="Arial" w:hAnsi="Arial"/>
                <w:sz w:val="16"/>
                <w:szCs w:val="16"/>
                <w:color w:val="0233A1"/>
              </w:rPr>
              <w:t>●</w:t>
            </w:r>
          </w:p>
        </w:tc>
      </w:tr>
      <w:tr>
        <w:trPr>
          <w:trHeight w:val="257"/>
        </w:trPr>
        <w:tc>
          <w:tcPr>
            <w:tcW w:w="2400" w:type="dxa"/>
            <w:vAlign w:val="bottom"/>
          </w:tcPr>
          <w:p>
            <w:pPr>
              <w:ind w:left="60"/>
              <w:spacing w:after="0"/>
              <w:rPr>
                <w:sz w:val="20"/>
                <w:szCs w:val="20"/>
                <w:color w:val="auto"/>
              </w:rPr>
            </w:pPr>
            <w:r>
              <w:rPr>
                <w:rFonts w:ascii="Arial" w:cs="Arial" w:eastAsia="Arial" w:hAnsi="Arial"/>
                <w:sz w:val="16"/>
                <w:szCs w:val="16"/>
                <w:color w:val="auto"/>
              </w:rPr>
              <w:t>Tatiana Mitrova</w:t>
            </w:r>
          </w:p>
        </w:tc>
        <w:tc>
          <w:tcPr>
            <w:tcW w:w="1720" w:type="dxa"/>
            <w:vAlign w:val="bottom"/>
          </w:tcPr>
          <w:p>
            <w:pPr>
              <w:jc w:val="center"/>
              <w:spacing w:after="0"/>
              <w:rPr>
                <w:sz w:val="20"/>
                <w:szCs w:val="20"/>
                <w:color w:val="auto"/>
              </w:rPr>
            </w:pPr>
            <w:r>
              <w:rPr>
                <w:rFonts w:ascii="Arial" w:cs="Arial" w:eastAsia="Arial" w:hAnsi="Arial"/>
                <w:sz w:val="16"/>
                <w:szCs w:val="16"/>
                <w:color w:val="0233A1"/>
              </w:rPr>
              <w:t>●</w:t>
            </w:r>
          </w:p>
        </w:tc>
        <w:tc>
          <w:tcPr>
            <w:tcW w:w="18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0233A1"/>
              </w:rPr>
              <w:t>●</w:t>
            </w:r>
          </w:p>
        </w:tc>
        <w:tc>
          <w:tcPr>
            <w:tcW w:w="1760" w:type="dxa"/>
            <w:vAlign w:val="bottom"/>
          </w:tcPr>
          <w:p>
            <w:pPr>
              <w:jc w:val="center"/>
              <w:ind w:left="99"/>
              <w:spacing w:after="0"/>
              <w:rPr>
                <w:sz w:val="20"/>
                <w:szCs w:val="20"/>
                <w:color w:val="auto"/>
              </w:rPr>
            </w:pPr>
            <w:r>
              <w:rPr>
                <w:rFonts w:ascii="Arial" w:cs="Arial" w:eastAsia="Arial" w:hAnsi="Arial"/>
                <w:sz w:val="16"/>
                <w:szCs w:val="16"/>
                <w:color w:val="0233A1"/>
              </w:rPr>
              <w:t>●</w:t>
            </w:r>
          </w:p>
        </w:tc>
      </w:tr>
      <w:tr>
        <w:trPr>
          <w:trHeight w:val="256"/>
        </w:trPr>
        <w:tc>
          <w:tcPr>
            <w:tcW w:w="2400" w:type="dxa"/>
            <w:vAlign w:val="bottom"/>
          </w:tcPr>
          <w:p>
            <w:pPr>
              <w:ind w:left="60"/>
              <w:spacing w:after="0"/>
              <w:rPr>
                <w:sz w:val="20"/>
                <w:szCs w:val="20"/>
                <w:color w:val="auto"/>
              </w:rPr>
            </w:pPr>
            <w:r>
              <w:rPr>
                <w:rFonts w:ascii="Arial" w:cs="Arial" w:eastAsia="Arial" w:hAnsi="Arial"/>
                <w:sz w:val="16"/>
                <w:szCs w:val="16"/>
                <w:color w:val="auto"/>
              </w:rPr>
              <w:t>Maria Moræus Hanssen</w:t>
            </w:r>
          </w:p>
        </w:tc>
        <w:tc>
          <w:tcPr>
            <w:tcW w:w="1720" w:type="dxa"/>
            <w:vAlign w:val="bottom"/>
          </w:tcPr>
          <w:p>
            <w:pPr>
              <w:spacing w:after="0"/>
              <w:rPr>
                <w:sz w:val="22"/>
                <w:szCs w:val="22"/>
                <w:color w:val="auto"/>
              </w:rPr>
            </w:pPr>
          </w:p>
        </w:tc>
        <w:tc>
          <w:tcPr>
            <w:tcW w:w="1840" w:type="dxa"/>
            <w:vAlign w:val="bottom"/>
          </w:tcPr>
          <w:p>
            <w:pPr>
              <w:jc w:val="center"/>
              <w:ind w:left="19"/>
              <w:spacing w:after="0"/>
              <w:rPr>
                <w:sz w:val="20"/>
                <w:szCs w:val="20"/>
                <w:color w:val="auto"/>
              </w:rPr>
            </w:pPr>
            <w:r>
              <w:rPr>
                <w:rFonts w:ascii="Arial" w:cs="Arial" w:eastAsia="Arial" w:hAnsi="Arial"/>
                <w:sz w:val="16"/>
                <w:szCs w:val="16"/>
                <w:color w:val="0233A1"/>
              </w:rPr>
              <w:t>●</w:t>
            </w:r>
          </w:p>
        </w:tc>
        <w:tc>
          <w:tcPr>
            <w:tcW w:w="1920" w:type="dxa"/>
            <w:vAlign w:val="bottom"/>
          </w:tcPr>
          <w:p>
            <w:pPr>
              <w:jc w:val="center"/>
              <w:spacing w:after="0"/>
              <w:rPr>
                <w:sz w:val="20"/>
                <w:szCs w:val="20"/>
                <w:color w:val="auto"/>
              </w:rPr>
            </w:pPr>
            <w:r>
              <w:rPr>
                <w:rFonts w:ascii="Arial" w:cs="Arial" w:eastAsia="Arial" w:hAnsi="Arial"/>
                <w:sz w:val="16"/>
                <w:szCs w:val="16"/>
                <w:color w:val="0233A1"/>
              </w:rPr>
              <w:t>●</w:t>
            </w:r>
          </w:p>
        </w:tc>
        <w:tc>
          <w:tcPr>
            <w:tcW w:w="1600" w:type="dxa"/>
            <w:vAlign w:val="bottom"/>
          </w:tcPr>
          <w:p>
            <w:pPr>
              <w:spacing w:after="0"/>
              <w:rPr>
                <w:sz w:val="22"/>
                <w:szCs w:val="22"/>
                <w:color w:val="auto"/>
              </w:rPr>
            </w:pPr>
          </w:p>
        </w:tc>
        <w:tc>
          <w:tcPr>
            <w:tcW w:w="1760" w:type="dxa"/>
            <w:vAlign w:val="bottom"/>
          </w:tcPr>
          <w:p>
            <w:pPr>
              <w:jc w:val="center"/>
              <w:ind w:left="119"/>
              <w:spacing w:after="0"/>
              <w:rPr>
                <w:sz w:val="20"/>
                <w:szCs w:val="20"/>
                <w:color w:val="auto"/>
              </w:rPr>
            </w:pPr>
            <w:r>
              <w:rPr>
                <w:rFonts w:ascii="Arial" w:cs="Arial" w:eastAsia="Arial" w:hAnsi="Arial"/>
                <w:sz w:val="16"/>
                <w:szCs w:val="16"/>
                <w:color w:val="auto"/>
              </w:rPr>
              <w:t>Chair</w:t>
            </w:r>
          </w:p>
        </w:tc>
      </w:tr>
      <w:tr>
        <w:trPr>
          <w:trHeight w:val="257"/>
        </w:trPr>
        <w:tc>
          <w:tcPr>
            <w:tcW w:w="2400" w:type="dxa"/>
            <w:vAlign w:val="bottom"/>
          </w:tcPr>
          <w:p>
            <w:pPr>
              <w:ind w:left="60"/>
              <w:spacing w:after="0"/>
              <w:rPr>
                <w:sz w:val="20"/>
                <w:szCs w:val="20"/>
                <w:color w:val="auto"/>
              </w:rPr>
            </w:pPr>
            <w:r>
              <w:rPr>
                <w:rFonts w:ascii="Arial" w:cs="Arial" w:eastAsia="Arial" w:hAnsi="Arial"/>
                <w:sz w:val="16"/>
                <w:szCs w:val="16"/>
                <w:color w:val="auto"/>
              </w:rPr>
              <w:t>Vanitha Narayanan</w:t>
            </w:r>
          </w:p>
        </w:tc>
        <w:tc>
          <w:tcPr>
            <w:tcW w:w="1720" w:type="dxa"/>
            <w:vAlign w:val="bottom"/>
          </w:tcPr>
          <w:p>
            <w:pPr>
              <w:spacing w:after="0"/>
              <w:rPr>
                <w:sz w:val="22"/>
                <w:szCs w:val="22"/>
                <w:color w:val="auto"/>
              </w:rPr>
            </w:pPr>
          </w:p>
        </w:tc>
        <w:tc>
          <w:tcPr>
            <w:tcW w:w="1840" w:type="dxa"/>
            <w:vAlign w:val="bottom"/>
          </w:tcPr>
          <w:p>
            <w:pPr>
              <w:jc w:val="center"/>
              <w:ind w:left="19"/>
              <w:spacing w:after="0"/>
              <w:rPr>
                <w:sz w:val="20"/>
                <w:szCs w:val="20"/>
                <w:color w:val="auto"/>
              </w:rPr>
            </w:pPr>
            <w:r>
              <w:rPr>
                <w:rFonts w:ascii="Arial" w:cs="Arial" w:eastAsia="Arial" w:hAnsi="Arial"/>
                <w:sz w:val="16"/>
                <w:szCs w:val="16"/>
                <w:color w:val="0233A1"/>
              </w:rPr>
              <w:t>●</w:t>
            </w:r>
          </w:p>
        </w:tc>
        <w:tc>
          <w:tcPr>
            <w:tcW w:w="1920" w:type="dxa"/>
            <w:vAlign w:val="bottom"/>
          </w:tcPr>
          <w:p>
            <w:pPr>
              <w:jc w:val="center"/>
              <w:spacing w:after="0"/>
              <w:rPr>
                <w:sz w:val="20"/>
                <w:szCs w:val="20"/>
                <w:color w:val="auto"/>
              </w:rPr>
            </w:pPr>
            <w:r>
              <w:rPr>
                <w:rFonts w:ascii="Arial" w:cs="Arial" w:eastAsia="Arial" w:hAnsi="Arial"/>
                <w:sz w:val="16"/>
                <w:szCs w:val="16"/>
                <w:color w:val="0233A1"/>
              </w:rPr>
              <w:t>●</w:t>
            </w:r>
          </w:p>
        </w:tc>
        <w:tc>
          <w:tcPr>
            <w:tcW w:w="160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339"/>
        </w:trPr>
        <w:tc>
          <w:tcPr>
            <w:tcW w:w="2400" w:type="dxa"/>
            <w:vAlign w:val="bottom"/>
          </w:tcPr>
          <w:p>
            <w:pPr>
              <w:ind w:left="60"/>
              <w:spacing w:after="0"/>
              <w:rPr>
                <w:sz w:val="20"/>
                <w:szCs w:val="20"/>
                <w:color w:val="auto"/>
              </w:rPr>
            </w:pPr>
            <w:r>
              <w:rPr>
                <w:rFonts w:ascii="Arial" w:cs="Arial" w:eastAsia="Arial" w:hAnsi="Arial"/>
                <w:sz w:val="16"/>
                <w:szCs w:val="16"/>
                <w:color w:val="auto"/>
              </w:rPr>
              <w:t>Mark Papa</w:t>
            </w:r>
            <w:r>
              <w:rPr>
                <w:rFonts w:ascii="Arial" w:cs="Arial" w:eastAsia="Arial" w:hAnsi="Arial"/>
                <w:sz w:val="26"/>
                <w:szCs w:val="26"/>
                <w:color w:val="auto"/>
                <w:vertAlign w:val="superscript"/>
              </w:rPr>
              <w:t>(1)</w:t>
            </w:r>
          </w:p>
        </w:tc>
        <w:tc>
          <w:tcPr>
            <w:tcW w:w="17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w w:val="99"/>
              </w:rPr>
              <w:t>Chair</w:t>
            </w:r>
          </w:p>
        </w:tc>
        <w:tc>
          <w:tcPr>
            <w:tcW w:w="16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5"/>
        </w:trPr>
        <w:tc>
          <w:tcPr>
            <w:tcW w:w="2400" w:type="dxa"/>
            <w:vAlign w:val="bottom"/>
          </w:tcPr>
          <w:p>
            <w:pPr>
              <w:ind w:left="60"/>
              <w:spacing w:after="0"/>
              <w:rPr>
                <w:sz w:val="20"/>
                <w:szCs w:val="20"/>
                <w:color w:val="auto"/>
              </w:rPr>
            </w:pPr>
            <w:r>
              <w:rPr>
                <w:rFonts w:ascii="Arial" w:cs="Arial" w:eastAsia="Arial" w:hAnsi="Arial"/>
                <w:sz w:val="16"/>
                <w:szCs w:val="16"/>
                <w:color w:val="auto"/>
              </w:rPr>
              <w:t>Jeff Sheets</w:t>
            </w:r>
          </w:p>
        </w:tc>
        <w:tc>
          <w:tcPr>
            <w:tcW w:w="1720" w:type="dxa"/>
            <w:vAlign w:val="bottom"/>
          </w:tcPr>
          <w:p>
            <w:pPr>
              <w:jc w:val="center"/>
              <w:spacing w:after="0"/>
              <w:rPr>
                <w:sz w:val="20"/>
                <w:szCs w:val="20"/>
                <w:color w:val="auto"/>
              </w:rPr>
            </w:pPr>
            <w:r>
              <w:rPr>
                <w:rFonts w:ascii="Arial" w:cs="Arial" w:eastAsia="Arial" w:hAnsi="Arial"/>
                <w:sz w:val="16"/>
                <w:szCs w:val="16"/>
                <w:color w:val="0233A1"/>
              </w:rPr>
              <w:t>●</w:t>
            </w:r>
          </w:p>
        </w:tc>
        <w:tc>
          <w:tcPr>
            <w:tcW w:w="1840" w:type="dxa"/>
            <w:vAlign w:val="bottom"/>
          </w:tcPr>
          <w:p>
            <w:pPr>
              <w:jc w:val="center"/>
              <w:ind w:left="19"/>
              <w:spacing w:after="0"/>
              <w:rPr>
                <w:sz w:val="20"/>
                <w:szCs w:val="20"/>
                <w:color w:val="auto"/>
              </w:rPr>
            </w:pPr>
            <w:r>
              <w:rPr>
                <w:rFonts w:ascii="Arial" w:cs="Arial" w:eastAsia="Arial" w:hAnsi="Arial"/>
                <w:sz w:val="16"/>
                <w:szCs w:val="16"/>
                <w:color w:val="auto"/>
                <w:w w:val="99"/>
              </w:rPr>
              <w:t>Chair</w:t>
            </w:r>
          </w:p>
        </w:tc>
        <w:tc>
          <w:tcPr>
            <w:tcW w:w="1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79"/>
        </w:trPr>
        <w:tc>
          <w:tcPr>
            <w:tcW w:w="240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Ulrich Spiesshofer</w:t>
            </w:r>
          </w:p>
        </w:tc>
        <w:tc>
          <w:tcPr>
            <w:tcW w:w="1720" w:type="dxa"/>
            <w:vAlign w:val="bottom"/>
            <w:tcBorders>
              <w:bottom w:val="single" w:sz="8" w:color="0233A1"/>
            </w:tcBorders>
          </w:tcPr>
          <w:p>
            <w:pPr>
              <w:spacing w:after="0"/>
              <w:rPr>
                <w:sz w:val="24"/>
                <w:szCs w:val="24"/>
                <w:color w:val="auto"/>
              </w:rPr>
            </w:pPr>
          </w:p>
        </w:tc>
        <w:tc>
          <w:tcPr>
            <w:tcW w:w="1840" w:type="dxa"/>
            <w:vAlign w:val="bottom"/>
            <w:tcBorders>
              <w:bottom w:val="single" w:sz="8" w:color="0233A1"/>
            </w:tcBorders>
          </w:tcPr>
          <w:p>
            <w:pPr>
              <w:jc w:val="center"/>
              <w:ind w:left="19"/>
              <w:spacing w:after="0"/>
              <w:rPr>
                <w:sz w:val="20"/>
                <w:szCs w:val="20"/>
                <w:color w:val="auto"/>
              </w:rPr>
            </w:pPr>
            <w:r>
              <w:rPr>
                <w:rFonts w:ascii="Arial" w:cs="Arial" w:eastAsia="Arial" w:hAnsi="Arial"/>
                <w:sz w:val="16"/>
                <w:szCs w:val="16"/>
                <w:color w:val="0233A1"/>
              </w:rPr>
              <w:t>●</w:t>
            </w:r>
          </w:p>
        </w:tc>
        <w:tc>
          <w:tcPr>
            <w:tcW w:w="1920" w:type="dxa"/>
            <w:vAlign w:val="bottom"/>
            <w:tcBorders>
              <w:bottom w:val="single" w:sz="8" w:color="0233A1"/>
            </w:tcBorders>
          </w:tcPr>
          <w:p>
            <w:pPr>
              <w:spacing w:after="0"/>
              <w:rPr>
                <w:sz w:val="24"/>
                <w:szCs w:val="24"/>
                <w:color w:val="auto"/>
              </w:rPr>
            </w:pPr>
          </w:p>
        </w:tc>
        <w:tc>
          <w:tcPr>
            <w:tcW w:w="1600" w:type="dxa"/>
            <w:vAlign w:val="bottom"/>
            <w:tcBorders>
              <w:bottom w:val="single" w:sz="8" w:color="0233A1"/>
            </w:tcBorders>
          </w:tcPr>
          <w:p>
            <w:pPr>
              <w:spacing w:after="0"/>
              <w:rPr>
                <w:sz w:val="24"/>
                <w:szCs w:val="24"/>
                <w:color w:val="auto"/>
              </w:rPr>
            </w:pPr>
          </w:p>
        </w:tc>
        <w:tc>
          <w:tcPr>
            <w:tcW w:w="1760" w:type="dxa"/>
            <w:vAlign w:val="bottom"/>
            <w:tcBorders>
              <w:bottom w:val="single" w:sz="8" w:color="0233A1"/>
            </w:tcBorders>
          </w:tcPr>
          <w:p>
            <w:pPr>
              <w:jc w:val="center"/>
              <w:ind w:left="99"/>
              <w:spacing w:after="0"/>
              <w:rPr>
                <w:sz w:val="20"/>
                <w:szCs w:val="20"/>
                <w:color w:val="auto"/>
              </w:rPr>
            </w:pPr>
            <w:r>
              <w:rPr>
                <w:rFonts w:ascii="Arial" w:cs="Arial" w:eastAsia="Arial" w:hAnsi="Arial"/>
                <w:sz w:val="16"/>
                <w:szCs w:val="16"/>
                <w:color w:val="0233A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-1019175</wp:posOffset>
            </wp:positionV>
            <wp:extent cx="7132320"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-1182370</wp:posOffset>
            </wp:positionV>
            <wp:extent cx="7132320"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Independent Chairman of the Board</w:t>
      </w:r>
    </w:p>
    <w:p>
      <w:pPr>
        <w:spacing w:after="0" w:line="18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 xml:space="preserve">Each standing committee operates under a written charter that sets forth the purposes, responsibilities and membership requirements of that committee. Each committee reviews the adequacy of its charter at least annually and recommends changes to the Board for approval. All committees also report regularly to the Board with respect to their activities. Committee charters are available on SLB’s website at </w:t>
      </w:r>
      <w:r>
        <w:rPr>
          <w:rFonts w:ascii="Arial" w:cs="Arial" w:eastAsia="Arial" w:hAnsi="Arial"/>
          <w:sz w:val="16"/>
          <w:szCs w:val="16"/>
          <w:b w:val="1"/>
          <w:bCs w:val="1"/>
          <w:i w:val="1"/>
          <w:iCs w:val="1"/>
          <w:color w:val="auto"/>
        </w:rPr>
        <w:t>https://www.slb.com/who-we-are/corporate-governance/</w:t>
      </w:r>
      <w:r>
        <w:rPr>
          <w:rFonts w:ascii="Arial" w:cs="Arial" w:eastAsia="Arial" w:hAnsi="Arial"/>
          <w:sz w:val="16"/>
          <w:szCs w:val="16"/>
          <w:color w:val="auto"/>
        </w:rPr>
        <w: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9"/>
          <w:szCs w:val="29"/>
          <w:color w:val="0233A1"/>
        </w:rPr>
        <w:t>Board Attendance</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During 2022, the Board held four regular meetings, each including an executive session of non-employee directors led by the Board’s independent Chairman, as well as one special meeting. The Board’s standing committees held 18 meetings in 2022, which included five Audit Committee, four Compensation Committee, four Nominating and Governance Committee, one New Energy and Innovation Committee, and five Finance Committee meetings. Officers regularly attend Board meetings to present information on our business and strategy, and directors have worldwide access to our employees outside of Board meetings. From time to time between meetings, Board and committee members confer with each other and with management and independent consultants regarding relevant issues, and representatives of management may meet with these consultants on behalf of the relevant committee.</w:t>
      </w:r>
    </w:p>
    <w:p>
      <w:pPr>
        <w:spacing w:after="0" w:line="3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2022, our directors attended 100% of the meetings of the Board and its committees on which they served.</w:t>
      </w:r>
    </w:p>
    <w:p>
      <w:pPr>
        <w:spacing w:after="0" w:line="20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Board’s policy regarding director attendance at our AGM is that directors are welcome, but not required, to attend. No director attended our 2022 AGM.</w:t>
      </w: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color w:val="0233A1"/>
        </w:rPr>
        <w:t>Code of Conduct</w:t>
      </w:r>
    </w:p>
    <w:p>
      <w:pPr>
        <w:spacing w:after="0" w:line="21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We have adopted a Code of Conduct that applies to all SLB directors, officers, and employees. Our Code of Conduct is available on our website at </w:t>
      </w:r>
      <w:r>
        <w:rPr>
          <w:rFonts w:ascii="Arial" w:cs="Arial" w:eastAsia="Arial" w:hAnsi="Arial"/>
          <w:sz w:val="16"/>
          <w:szCs w:val="16"/>
          <w:b w:val="1"/>
          <w:bCs w:val="1"/>
          <w:i w:val="1"/>
          <w:iCs w:val="1"/>
          <w:color w:val="auto"/>
        </w:rPr>
        <w:t>https://www.slb.com/who-we-are/guiding-principles/our-code-of-conduct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192405</wp:posOffset>
            </wp:positionV>
            <wp:extent cx="471805" cy="28321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Pr>
          <w:p>
            <w:pPr>
              <w:spacing w:after="0"/>
              <w:rPr>
                <w:sz w:val="9"/>
                <w:szCs w:val="9"/>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23</w:t>
            </w:r>
          </w:p>
        </w:tc>
        <w:tc>
          <w:tcPr>
            <w:tcW w:w="44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Corporate Governance Guidelines</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6"/>
          <w:szCs w:val="16"/>
          <w:color w:val="auto"/>
        </w:rPr>
        <w:t xml:space="preserve">We have adopted Corporate Governance Guidelines that our Board believes are consistent with our values, and that promote the effective functioning of our Board, its committees and the Company. At least annually, our Board reviews and, if appropriate, revises our Corporate Governance Guidelines to reflect the Board’s corporate governance objectives and commitments. Our Corporate Governance Guidelines are available on our website at </w:t>
      </w:r>
      <w:r>
        <w:rPr>
          <w:rFonts w:ascii="Arial" w:cs="Arial" w:eastAsia="Arial" w:hAnsi="Arial"/>
          <w:sz w:val="16"/>
          <w:szCs w:val="16"/>
          <w:b w:val="1"/>
          <w:bCs w:val="1"/>
          <w:i w:val="1"/>
          <w:iCs w:val="1"/>
          <w:color w:val="auto"/>
        </w:rPr>
        <w:t>https://www.slb.com/who-we-are/corporate-governance/guidelines</w:t>
      </w:r>
      <w:r>
        <w:rPr>
          <w:rFonts w:ascii="Arial" w:cs="Arial" w:eastAsia="Arial" w:hAnsi="Arial"/>
          <w:sz w:val="16"/>
          <w:szCs w:val="16"/>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29"/>
          <w:szCs w:val="29"/>
          <w:color w:val="0233A1"/>
        </w:rPr>
        <w:t>Director Independence</w:t>
      </w:r>
    </w:p>
    <w:p>
      <w:pPr>
        <w:spacing w:after="0" w:line="21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Our Corporate Governance Guidelines provide that at least a majority of the Board must consist of independent directors, in accordance with the NYSE listing standards. In addition, our Board has adopted director independence standards that meet or exceed the independence requirements in the NYSE listing standards, and which can be found in our Corporate Governance Guidelines.</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Based on the review and recommendation by the Nominating and Governance Committee, the Board has determined that each director nominee listed above under “Election of Directors—Our Director Nominees” is “independent” under NYSE listing standards and our director independence standards, except for our CEO and Mr. Galuccio. The Board has also determined that each member of the Audit Committee meets the heightened independence standards required for audit committee members under NYSE listing standards and the rules of the SEC, and that each member of the Compensation Committee meets the heightened independence standards for compensation committee members under NYSE listing standards. Additionally, former director Henri Seydoux, who served on the board until April 2022, was independent during the period he served on our Board.</w:t>
      </w:r>
    </w:p>
    <w:p>
      <w:pPr>
        <w:spacing w:after="0" w:line="16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Our Board’s independence determinations included a review of transactions that occurred since the beginning of 2020 with entities associated with our directors or members of their immediate family. In making its independence determinations, the Board considered that our independent directors serve as directors, trustees, outside consultants, or advisory board members at companies and universities that have had commercial business relationships with SLB. These relationships all involved ordinary course commercial transactions with SLB, which were less than the greater of $1 million or 1% of the other entity’s annual revenues during 2022, 2021 and 2020.</w:t>
      </w:r>
    </w:p>
    <w:p>
      <w:pPr>
        <w:spacing w:after="0" w:line="16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The Board also considered that SLB made charitable contributions to certain academic and other institutions with which some of our directors are currently affiliated, in each case involving less than $120,000 per year in 2022, 2021 and 2020. No director received any personal benefit from any such charitable contributions.</w:t>
      </w:r>
    </w:p>
    <w:p>
      <w:pPr>
        <w:spacing w:after="0" w:line="302" w:lineRule="exact"/>
        <w:rPr>
          <w:sz w:val="20"/>
          <w:szCs w:val="20"/>
          <w:color w:val="auto"/>
        </w:rPr>
      </w:pPr>
    </w:p>
    <w:p>
      <w:pPr>
        <w:spacing w:after="0"/>
        <w:rPr>
          <w:sz w:val="20"/>
          <w:szCs w:val="20"/>
          <w:color w:val="auto"/>
        </w:rPr>
      </w:pPr>
      <w:r>
        <w:rPr>
          <w:rFonts w:ascii="Arial" w:cs="Arial" w:eastAsia="Arial" w:hAnsi="Arial"/>
          <w:sz w:val="29"/>
          <w:szCs w:val="29"/>
          <w:color w:val="0233A1"/>
        </w:rPr>
        <w:t>Certain Relationships and Related Person Transactions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Board has a written policy governing the review, approval and ratification of “related person transactions.” Under SEC rules, as applied by the Board, “related persons” include any director, executive officer, director nominee, or greater than 5% shareholder of SLB since the beginning of the previous fiscal year, and their immediate family members. The policy applies to any transaction in which SLB is a participant and any related person has a direct or indirect material interest, where the amount involved exceeds $120,000, unless excluded under Item 404(a) of SEC Regulation S-K.</w:t>
      </w:r>
    </w:p>
    <w:p>
      <w:pPr>
        <w:spacing w:after="0" w:line="16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The Nominating and Governance Committee is responsible for reviewing and, where appropriate, approving or ratifying any related person transaction involving SLB and any related persons. The Nominating and Governance Committee approves only those related person transactions that are in, or are not inconsistent with, the best interests of SLB and its shareholders.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SLB has an ongoing commercial relationship with Vista Energy (Vista), where Mr. Galuccio serves as chairman of the board and 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 2022, SLB contracted with Vista to deliver ordinary course oilfield services and products, and Vista paid SLB approximately $156 million.</w:t>
      </w:r>
    </w:p>
    <w:p>
      <w:pPr>
        <w:spacing w:after="0" w:line="336" w:lineRule="exact"/>
        <w:rPr>
          <w:sz w:val="20"/>
          <w:szCs w:val="20"/>
          <w:color w:val="auto"/>
        </w:rPr>
      </w:pPr>
    </w:p>
    <w:p>
      <w:pPr>
        <w:spacing w:after="0"/>
        <w:rPr>
          <w:sz w:val="20"/>
          <w:szCs w:val="20"/>
          <w:color w:val="auto"/>
        </w:rPr>
      </w:pPr>
      <w:r>
        <w:rPr>
          <w:rFonts w:ascii="Arial" w:cs="Arial" w:eastAsia="Arial" w:hAnsi="Arial"/>
          <w:sz w:val="29"/>
          <w:szCs w:val="29"/>
          <w:color w:val="0233A1"/>
        </w:rPr>
        <w:t>Communicating with Our Board</w:t>
      </w:r>
    </w:p>
    <w:p>
      <w:pPr>
        <w:spacing w:after="0" w:line="21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Board recommends that shareholders and other interested parties initiate communications with the Board, the Chairman or any Board committee by writing to our Chief Legal Officer and Secretary. This process assists the Board in reviewing and responding to communications by shareholders and other interested parties. The Board has instructed our Chief Legal Officer and Secretary to review correspondence directed to the Board (including to the Chairman and any Board committee) and, at the Secretary’s discretion, to forward those items that she deems appropriate for the Board’s consideration.</w:t>
      </w:r>
    </w:p>
    <w:p>
      <w:pPr>
        <w:spacing w:after="0" w:line="3" w:lineRule="exact"/>
        <w:rPr>
          <w:sz w:val="20"/>
          <w:szCs w:val="20"/>
          <w:color w:val="auto"/>
        </w:rPr>
      </w:pPr>
    </w:p>
    <w:p>
      <w:pPr>
        <w:jc w:val="both"/>
        <w:spacing w:after="0" w:line="214" w:lineRule="auto"/>
        <w:rPr>
          <w:sz w:val="20"/>
          <w:szCs w:val="20"/>
          <w:color w:val="auto"/>
        </w:rPr>
      </w:pPr>
      <w:r>
        <w:rPr>
          <w:rFonts w:ascii="Arial" w:cs="Arial" w:eastAsia="Arial" w:hAnsi="Arial"/>
          <w:sz w:val="16"/>
          <w:szCs w:val="16"/>
          <w:color w:val="auto"/>
        </w:rPr>
        <w:t>Communications can be sent to the following address: SLB Board of Directors c/o SLB Chief Legal Officer and Secretary, 5599 San Felipe, 17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Houston, Texas 77056.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71170" cy="28257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197"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24</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-46990</wp:posOffset>
            </wp:positionV>
            <wp:extent cx="5417820" cy="1714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9" w:lineRule="exact"/>
        <w:rPr>
          <w:sz w:val="20"/>
          <w:szCs w:val="20"/>
          <w:color w:val="auto"/>
        </w:rPr>
      </w:pPr>
    </w:p>
    <w:p>
      <w:pPr>
        <w:spacing w:after="0"/>
        <w:rPr>
          <w:sz w:val="20"/>
          <w:szCs w:val="20"/>
          <w:color w:val="auto"/>
        </w:rPr>
      </w:pPr>
      <w:r>
        <w:rPr>
          <w:rFonts w:ascii="Arial" w:cs="Arial" w:eastAsia="Arial" w:hAnsi="Arial"/>
          <w:sz w:val="50"/>
          <w:szCs w:val="50"/>
          <w:color w:val="0233A1"/>
        </w:rPr>
        <w:t>Director Compensation</w:t>
      </w:r>
    </w:p>
    <w:p>
      <w:pPr>
        <w:spacing w:after="0" w:line="34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Our director compensation philosophy is to appropriately compensate our non-employee directors for the time, expertise and effort required to serve as a director of a large and complex global company, and to align the interests of our directors with those of our shareholders. Directors who are SLB employees do not receive compensation for serving on the Board.</w:t>
      </w:r>
    </w:p>
    <w:p>
      <w:pPr>
        <w:spacing w:after="0" w:line="275" w:lineRule="exact"/>
        <w:rPr>
          <w:sz w:val="20"/>
          <w:szCs w:val="20"/>
          <w:color w:val="auto"/>
        </w:rPr>
      </w:pPr>
    </w:p>
    <w:p>
      <w:pPr>
        <w:spacing w:after="0"/>
        <w:rPr>
          <w:sz w:val="20"/>
          <w:szCs w:val="20"/>
          <w:color w:val="auto"/>
        </w:rPr>
      </w:pPr>
      <w:r>
        <w:rPr>
          <w:rFonts w:ascii="Arial" w:cs="Arial" w:eastAsia="Arial" w:hAnsi="Arial"/>
          <w:sz w:val="29"/>
          <w:szCs w:val="29"/>
          <w:color w:val="0233A1"/>
        </w:rPr>
        <w:t>Director Pay Components</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color w:val="0233A1"/>
        </w:rPr>
        <w:t>Cash Compensation</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Non-employee directors receive the following cash compensation:</w:t>
      </w:r>
    </w:p>
    <w:p>
      <w:pPr>
        <w:spacing w:after="0" w:line="194" w:lineRule="exact"/>
        <w:rPr>
          <w:sz w:val="20"/>
          <w:szCs w:val="20"/>
          <w:color w:val="auto"/>
        </w:rPr>
      </w:pPr>
    </w:p>
    <w:p>
      <w:pPr>
        <w:ind w:left="500" w:hanging="168"/>
        <w:spacing w:after="0"/>
        <w:tabs>
          <w:tab w:leader="none" w:pos="500" w:val="left"/>
        </w:tabs>
        <w:numPr>
          <w:ilvl w:val="0"/>
          <w:numId w:val="28"/>
        </w:numPr>
        <w:rPr>
          <w:rFonts w:ascii="Arial" w:cs="Arial" w:eastAsia="Arial" w:hAnsi="Arial"/>
          <w:sz w:val="16"/>
          <w:szCs w:val="16"/>
          <w:b w:val="1"/>
          <w:bCs w:val="1"/>
          <w:color w:val="0233A1"/>
        </w:rPr>
      </w:pPr>
      <w:r>
        <w:rPr>
          <w:rFonts w:ascii="Arial" w:cs="Arial" w:eastAsia="Arial" w:hAnsi="Arial"/>
          <w:sz w:val="16"/>
          <w:szCs w:val="16"/>
          <w:color w:val="auto"/>
        </w:rPr>
        <w:t>an annual cash retainer of $115,000;</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28"/>
        </w:numPr>
        <w:rPr>
          <w:rFonts w:ascii="Arial" w:cs="Arial" w:eastAsia="Arial" w:hAnsi="Arial"/>
          <w:sz w:val="16"/>
          <w:szCs w:val="16"/>
          <w:b w:val="1"/>
          <w:bCs w:val="1"/>
          <w:color w:val="0233A1"/>
        </w:rPr>
      </w:pPr>
      <w:r>
        <w:rPr>
          <w:rFonts w:ascii="Arial" w:cs="Arial" w:eastAsia="Arial" w:hAnsi="Arial"/>
          <w:sz w:val="16"/>
          <w:szCs w:val="16"/>
          <w:color w:val="auto"/>
        </w:rPr>
        <w:t>an annual fee of $10,000 for each committee membership;</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28"/>
        </w:numPr>
        <w:rPr>
          <w:rFonts w:ascii="Arial" w:cs="Arial" w:eastAsia="Arial" w:hAnsi="Arial"/>
          <w:sz w:val="16"/>
          <w:szCs w:val="16"/>
          <w:b w:val="1"/>
          <w:bCs w:val="1"/>
          <w:color w:val="0233A1"/>
        </w:rPr>
      </w:pPr>
      <w:r>
        <w:rPr>
          <w:rFonts w:ascii="Arial" w:cs="Arial" w:eastAsia="Arial" w:hAnsi="Arial"/>
          <w:sz w:val="16"/>
          <w:szCs w:val="16"/>
          <w:color w:val="auto"/>
        </w:rPr>
        <w:t>if the director is the chair of a committee, an annual fee of $20,000 in lieu of the fee for committee membership; and</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28"/>
        </w:numPr>
        <w:rPr>
          <w:rFonts w:ascii="Arial" w:cs="Arial" w:eastAsia="Arial" w:hAnsi="Arial"/>
          <w:sz w:val="16"/>
          <w:szCs w:val="16"/>
          <w:b w:val="1"/>
          <w:bCs w:val="1"/>
          <w:color w:val="0233A1"/>
        </w:rPr>
      </w:pPr>
      <w:r>
        <w:rPr>
          <w:rFonts w:ascii="Arial" w:cs="Arial" w:eastAsia="Arial" w:hAnsi="Arial"/>
          <w:sz w:val="16"/>
          <w:szCs w:val="16"/>
          <w:color w:val="auto"/>
        </w:rPr>
        <w:t>if the director is the independent Board Chairman, an additional $100,000 annual cash fee.</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color w:val="0233A1"/>
        </w:rPr>
        <w:t>Equity Compensation</w:t>
      </w:r>
    </w:p>
    <w:p>
      <w:pPr>
        <w:spacing w:after="0" w:line="207"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SLB annually grants shares of our common stock valued at approximately $190,000 for each non-employee director, or $290,000 for the independent Board Chairman. The shares are valued based on our closing stock price on the last business day of April of the grant year.</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2022, our non-employee directors received the following grants of our common stock effective May 2, 2022:</w:t>
      </w:r>
    </w:p>
    <w:p>
      <w:pPr>
        <w:spacing w:after="0" w:line="194" w:lineRule="exact"/>
        <w:rPr>
          <w:sz w:val="20"/>
          <w:szCs w:val="20"/>
          <w:color w:val="auto"/>
        </w:rPr>
      </w:pPr>
    </w:p>
    <w:p>
      <w:pPr>
        <w:ind w:left="500" w:hanging="168"/>
        <w:spacing w:after="0"/>
        <w:tabs>
          <w:tab w:leader="none" w:pos="500" w:val="left"/>
        </w:tabs>
        <w:numPr>
          <w:ilvl w:val="0"/>
          <w:numId w:val="29"/>
        </w:numPr>
        <w:rPr>
          <w:rFonts w:ascii="Arial" w:cs="Arial" w:eastAsia="Arial" w:hAnsi="Arial"/>
          <w:sz w:val="16"/>
          <w:szCs w:val="16"/>
          <w:b w:val="1"/>
          <w:bCs w:val="1"/>
          <w:color w:val="0233A1"/>
        </w:rPr>
      </w:pPr>
      <w:r>
        <w:rPr>
          <w:rFonts w:ascii="Arial" w:cs="Arial" w:eastAsia="Arial" w:hAnsi="Arial"/>
          <w:sz w:val="16"/>
          <w:szCs w:val="16"/>
          <w:color w:val="auto"/>
        </w:rPr>
        <w:t>4,871 shares to each non-employee director serving on that date (except for Mr. Papa and Ms. Narayanan, as discussed below); and</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29"/>
        </w:numPr>
        <w:rPr>
          <w:rFonts w:ascii="Arial" w:cs="Arial" w:eastAsia="Arial" w:hAnsi="Arial"/>
          <w:sz w:val="16"/>
          <w:szCs w:val="16"/>
          <w:b w:val="1"/>
          <w:bCs w:val="1"/>
          <w:color w:val="0233A1"/>
        </w:rPr>
      </w:pPr>
      <w:r>
        <w:rPr>
          <w:rFonts w:ascii="Arial" w:cs="Arial" w:eastAsia="Arial" w:hAnsi="Arial"/>
          <w:sz w:val="16"/>
          <w:szCs w:val="16"/>
          <w:color w:val="auto"/>
        </w:rPr>
        <w:t>7,434 shares to Mr. Papa, our independent Board Chairman.</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information on the compensation paid to our non-employee directors in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376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Name</w:t>
            </w:r>
          </w:p>
        </w:tc>
        <w:tc>
          <w:tcPr>
            <w:tcW w:w="4580" w:type="dxa"/>
            <w:vAlign w:val="bottom"/>
            <w:tcBorders>
              <w:bottom w:val="single" w:sz="8" w:color="0233A1"/>
            </w:tcBorders>
          </w:tcPr>
          <w:p>
            <w:pPr>
              <w:jc w:val="right"/>
              <w:ind w:right="99"/>
              <w:spacing w:after="0"/>
              <w:rPr>
                <w:sz w:val="20"/>
                <w:szCs w:val="20"/>
                <w:color w:val="auto"/>
              </w:rPr>
            </w:pPr>
            <w:r>
              <w:rPr>
                <w:rFonts w:ascii="Arial" w:cs="Arial" w:eastAsia="Arial" w:hAnsi="Arial"/>
                <w:sz w:val="16"/>
                <w:szCs w:val="16"/>
                <w:b w:val="1"/>
                <w:bCs w:val="1"/>
                <w:color w:val="0233A1"/>
              </w:rPr>
              <w:t>Fees Earned or Paid in Cash ($)</w:t>
            </w:r>
            <w:r>
              <w:rPr>
                <w:rFonts w:ascii="Arial" w:cs="Arial" w:eastAsia="Arial" w:hAnsi="Arial"/>
                <w:sz w:val="26"/>
                <w:szCs w:val="26"/>
                <w:b w:val="1"/>
                <w:bCs w:val="1"/>
                <w:color w:val="0233A1"/>
                <w:vertAlign w:val="superscript"/>
              </w:rPr>
              <w:t>(1)</w:t>
            </w:r>
          </w:p>
        </w:tc>
        <w:tc>
          <w:tcPr>
            <w:tcW w:w="2020" w:type="dxa"/>
            <w:vAlign w:val="bottom"/>
            <w:tcBorders>
              <w:bottom w:val="single" w:sz="8" w:color="0233A1"/>
            </w:tcBorders>
          </w:tcPr>
          <w:p>
            <w:pPr>
              <w:jc w:val="right"/>
              <w:ind w:right="279"/>
              <w:spacing w:after="0"/>
              <w:rPr>
                <w:sz w:val="20"/>
                <w:szCs w:val="20"/>
                <w:color w:val="auto"/>
              </w:rPr>
            </w:pPr>
            <w:r>
              <w:rPr>
                <w:rFonts w:ascii="Arial" w:cs="Arial" w:eastAsia="Arial" w:hAnsi="Arial"/>
                <w:sz w:val="16"/>
                <w:szCs w:val="16"/>
                <w:b w:val="1"/>
                <w:bCs w:val="1"/>
                <w:color w:val="0233A1"/>
              </w:rPr>
              <w:t>Stock Awards ($)</w:t>
            </w:r>
            <w:r>
              <w:rPr>
                <w:rFonts w:ascii="Arial" w:cs="Arial" w:eastAsia="Arial" w:hAnsi="Arial"/>
                <w:sz w:val="26"/>
                <w:szCs w:val="26"/>
                <w:b w:val="1"/>
                <w:bCs w:val="1"/>
                <w:color w:val="0233A1"/>
                <w:vertAlign w:val="superscript"/>
              </w:rPr>
              <w:t>(2)</w:t>
            </w:r>
          </w:p>
        </w:tc>
        <w:tc>
          <w:tcPr>
            <w:tcW w:w="88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Total ($)</w:t>
            </w:r>
          </w:p>
        </w:tc>
      </w:tr>
      <w:tr>
        <w:trPr>
          <w:trHeight w:val="221"/>
        </w:trPr>
        <w:tc>
          <w:tcPr>
            <w:tcW w:w="3760" w:type="dxa"/>
            <w:vAlign w:val="bottom"/>
          </w:tcPr>
          <w:p>
            <w:pPr>
              <w:ind w:left="60"/>
              <w:spacing w:after="0"/>
              <w:rPr>
                <w:sz w:val="20"/>
                <w:szCs w:val="20"/>
                <w:color w:val="auto"/>
              </w:rPr>
            </w:pPr>
            <w:r>
              <w:rPr>
                <w:rFonts w:ascii="Arial" w:cs="Arial" w:eastAsia="Arial" w:hAnsi="Arial"/>
                <w:sz w:val="16"/>
                <w:szCs w:val="16"/>
                <w:color w:val="auto"/>
              </w:rPr>
              <w:t>Peter Coleman</w:t>
            </w:r>
          </w:p>
        </w:tc>
        <w:tc>
          <w:tcPr>
            <w:tcW w:w="4580" w:type="dxa"/>
            <w:vAlign w:val="bottom"/>
          </w:tcPr>
          <w:p>
            <w:pPr>
              <w:jc w:val="right"/>
              <w:ind w:right="259"/>
              <w:spacing w:after="0"/>
              <w:rPr>
                <w:sz w:val="20"/>
                <w:szCs w:val="20"/>
                <w:color w:val="auto"/>
              </w:rPr>
            </w:pPr>
            <w:r>
              <w:rPr>
                <w:rFonts w:ascii="Arial" w:cs="Arial" w:eastAsia="Arial" w:hAnsi="Arial"/>
                <w:sz w:val="16"/>
                <w:szCs w:val="16"/>
                <w:color w:val="auto"/>
              </w:rPr>
              <w:t>135,000</w:t>
            </w:r>
          </w:p>
        </w:tc>
        <w:tc>
          <w:tcPr>
            <w:tcW w:w="2020" w:type="dxa"/>
            <w:vAlign w:val="bottom"/>
          </w:tcPr>
          <w:p>
            <w:pPr>
              <w:jc w:val="right"/>
              <w:ind w:right="439"/>
              <w:spacing w:after="0"/>
              <w:rPr>
                <w:sz w:val="20"/>
                <w:szCs w:val="20"/>
                <w:color w:val="auto"/>
              </w:rPr>
            </w:pPr>
            <w:r>
              <w:rPr>
                <w:rFonts w:ascii="Arial" w:cs="Arial" w:eastAsia="Arial" w:hAnsi="Arial"/>
                <w:sz w:val="16"/>
                <w:szCs w:val="16"/>
                <w:color w:val="auto"/>
              </w:rPr>
              <w:t>190,505</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325,505</w:t>
            </w:r>
          </w:p>
        </w:tc>
      </w:tr>
      <w:tr>
        <w:trPr>
          <w:trHeight w:val="256"/>
        </w:trPr>
        <w:tc>
          <w:tcPr>
            <w:tcW w:w="3760" w:type="dxa"/>
            <w:vAlign w:val="bottom"/>
          </w:tcPr>
          <w:p>
            <w:pPr>
              <w:ind w:left="60"/>
              <w:spacing w:after="0"/>
              <w:rPr>
                <w:sz w:val="20"/>
                <w:szCs w:val="20"/>
                <w:color w:val="auto"/>
              </w:rPr>
            </w:pPr>
            <w:r>
              <w:rPr>
                <w:rFonts w:ascii="Arial" w:cs="Arial" w:eastAsia="Arial" w:hAnsi="Arial"/>
                <w:sz w:val="16"/>
                <w:szCs w:val="16"/>
                <w:color w:val="auto"/>
              </w:rPr>
              <w:t>Patrick de La Chevardière</w:t>
            </w:r>
          </w:p>
        </w:tc>
        <w:tc>
          <w:tcPr>
            <w:tcW w:w="4580" w:type="dxa"/>
            <w:vAlign w:val="bottom"/>
          </w:tcPr>
          <w:p>
            <w:pPr>
              <w:jc w:val="right"/>
              <w:ind w:right="259"/>
              <w:spacing w:after="0"/>
              <w:rPr>
                <w:sz w:val="20"/>
                <w:szCs w:val="20"/>
                <w:color w:val="auto"/>
              </w:rPr>
            </w:pPr>
            <w:r>
              <w:rPr>
                <w:rFonts w:ascii="Arial" w:cs="Arial" w:eastAsia="Arial" w:hAnsi="Arial"/>
                <w:sz w:val="16"/>
                <w:szCs w:val="16"/>
                <w:color w:val="auto"/>
              </w:rPr>
              <w:t>145,000</w:t>
            </w:r>
          </w:p>
        </w:tc>
        <w:tc>
          <w:tcPr>
            <w:tcW w:w="2020" w:type="dxa"/>
            <w:vAlign w:val="bottom"/>
          </w:tcPr>
          <w:p>
            <w:pPr>
              <w:jc w:val="right"/>
              <w:ind w:right="439"/>
              <w:spacing w:after="0"/>
              <w:rPr>
                <w:sz w:val="20"/>
                <w:szCs w:val="20"/>
                <w:color w:val="auto"/>
              </w:rPr>
            </w:pPr>
            <w:r>
              <w:rPr>
                <w:rFonts w:ascii="Arial" w:cs="Arial" w:eastAsia="Arial" w:hAnsi="Arial"/>
                <w:sz w:val="16"/>
                <w:szCs w:val="16"/>
                <w:color w:val="auto"/>
              </w:rPr>
              <w:t>190,505</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335,505</w:t>
            </w:r>
          </w:p>
        </w:tc>
      </w:tr>
      <w:tr>
        <w:trPr>
          <w:trHeight w:val="257"/>
        </w:trPr>
        <w:tc>
          <w:tcPr>
            <w:tcW w:w="3760" w:type="dxa"/>
            <w:vAlign w:val="bottom"/>
          </w:tcPr>
          <w:p>
            <w:pPr>
              <w:ind w:left="60"/>
              <w:spacing w:after="0"/>
              <w:rPr>
                <w:sz w:val="20"/>
                <w:szCs w:val="20"/>
                <w:color w:val="auto"/>
              </w:rPr>
            </w:pPr>
            <w:r>
              <w:rPr>
                <w:rFonts w:ascii="Arial" w:cs="Arial" w:eastAsia="Arial" w:hAnsi="Arial"/>
                <w:sz w:val="16"/>
                <w:szCs w:val="16"/>
                <w:color w:val="auto"/>
              </w:rPr>
              <w:t>Miguel Galuccio</w:t>
            </w:r>
          </w:p>
        </w:tc>
        <w:tc>
          <w:tcPr>
            <w:tcW w:w="4580" w:type="dxa"/>
            <w:vAlign w:val="bottom"/>
          </w:tcPr>
          <w:p>
            <w:pPr>
              <w:jc w:val="right"/>
              <w:ind w:right="259"/>
              <w:spacing w:after="0"/>
              <w:rPr>
                <w:sz w:val="20"/>
                <w:szCs w:val="20"/>
                <w:color w:val="auto"/>
              </w:rPr>
            </w:pPr>
            <w:r>
              <w:rPr>
                <w:rFonts w:ascii="Arial" w:cs="Arial" w:eastAsia="Arial" w:hAnsi="Arial"/>
                <w:sz w:val="16"/>
                <w:szCs w:val="16"/>
                <w:color w:val="auto"/>
              </w:rPr>
              <w:t>135,000</w:t>
            </w:r>
          </w:p>
        </w:tc>
        <w:tc>
          <w:tcPr>
            <w:tcW w:w="2020" w:type="dxa"/>
            <w:vAlign w:val="bottom"/>
          </w:tcPr>
          <w:p>
            <w:pPr>
              <w:jc w:val="right"/>
              <w:ind w:right="439"/>
              <w:spacing w:after="0"/>
              <w:rPr>
                <w:sz w:val="20"/>
                <w:szCs w:val="20"/>
                <w:color w:val="auto"/>
              </w:rPr>
            </w:pPr>
            <w:r>
              <w:rPr>
                <w:rFonts w:ascii="Arial" w:cs="Arial" w:eastAsia="Arial" w:hAnsi="Arial"/>
                <w:sz w:val="16"/>
                <w:szCs w:val="16"/>
                <w:color w:val="auto"/>
              </w:rPr>
              <w:t>190,505</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325,505</w:t>
            </w:r>
          </w:p>
        </w:tc>
      </w:tr>
      <w:tr>
        <w:trPr>
          <w:trHeight w:val="256"/>
        </w:trPr>
        <w:tc>
          <w:tcPr>
            <w:tcW w:w="3760" w:type="dxa"/>
            <w:vAlign w:val="bottom"/>
          </w:tcPr>
          <w:p>
            <w:pPr>
              <w:ind w:left="60"/>
              <w:spacing w:after="0"/>
              <w:rPr>
                <w:sz w:val="20"/>
                <w:szCs w:val="20"/>
                <w:color w:val="auto"/>
              </w:rPr>
            </w:pPr>
            <w:r>
              <w:rPr>
                <w:rFonts w:ascii="Arial" w:cs="Arial" w:eastAsia="Arial" w:hAnsi="Arial"/>
                <w:sz w:val="16"/>
                <w:szCs w:val="16"/>
                <w:color w:val="auto"/>
              </w:rPr>
              <w:t>Samuel Leupold</w:t>
            </w:r>
          </w:p>
        </w:tc>
        <w:tc>
          <w:tcPr>
            <w:tcW w:w="4580" w:type="dxa"/>
            <w:vAlign w:val="bottom"/>
          </w:tcPr>
          <w:p>
            <w:pPr>
              <w:jc w:val="right"/>
              <w:ind w:right="259"/>
              <w:spacing w:after="0"/>
              <w:rPr>
                <w:sz w:val="20"/>
                <w:szCs w:val="20"/>
                <w:color w:val="auto"/>
              </w:rPr>
            </w:pPr>
            <w:r>
              <w:rPr>
                <w:rFonts w:ascii="Arial" w:cs="Arial" w:eastAsia="Arial" w:hAnsi="Arial"/>
                <w:sz w:val="16"/>
                <w:szCs w:val="16"/>
                <w:color w:val="auto"/>
              </w:rPr>
              <w:t>145,000</w:t>
            </w:r>
          </w:p>
        </w:tc>
        <w:tc>
          <w:tcPr>
            <w:tcW w:w="2020" w:type="dxa"/>
            <w:vAlign w:val="bottom"/>
          </w:tcPr>
          <w:p>
            <w:pPr>
              <w:jc w:val="right"/>
              <w:ind w:right="439"/>
              <w:spacing w:after="0"/>
              <w:rPr>
                <w:sz w:val="20"/>
                <w:szCs w:val="20"/>
                <w:color w:val="auto"/>
              </w:rPr>
            </w:pPr>
            <w:r>
              <w:rPr>
                <w:rFonts w:ascii="Arial" w:cs="Arial" w:eastAsia="Arial" w:hAnsi="Arial"/>
                <w:sz w:val="16"/>
                <w:szCs w:val="16"/>
                <w:color w:val="auto"/>
              </w:rPr>
              <w:t>190,505</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335,505</w:t>
            </w:r>
          </w:p>
        </w:tc>
      </w:tr>
      <w:tr>
        <w:trPr>
          <w:trHeight w:val="257"/>
        </w:trPr>
        <w:tc>
          <w:tcPr>
            <w:tcW w:w="3760" w:type="dxa"/>
            <w:vAlign w:val="bottom"/>
          </w:tcPr>
          <w:p>
            <w:pPr>
              <w:ind w:left="60"/>
              <w:spacing w:after="0"/>
              <w:rPr>
                <w:sz w:val="20"/>
                <w:szCs w:val="20"/>
                <w:color w:val="auto"/>
              </w:rPr>
            </w:pPr>
            <w:r>
              <w:rPr>
                <w:rFonts w:ascii="Arial" w:cs="Arial" w:eastAsia="Arial" w:hAnsi="Arial"/>
                <w:sz w:val="16"/>
                <w:szCs w:val="16"/>
                <w:color w:val="auto"/>
              </w:rPr>
              <w:t>Tatiana Mitrova</w:t>
            </w:r>
          </w:p>
        </w:tc>
        <w:tc>
          <w:tcPr>
            <w:tcW w:w="4580" w:type="dxa"/>
            <w:vAlign w:val="bottom"/>
          </w:tcPr>
          <w:p>
            <w:pPr>
              <w:jc w:val="right"/>
              <w:ind w:right="259"/>
              <w:spacing w:after="0"/>
              <w:rPr>
                <w:sz w:val="20"/>
                <w:szCs w:val="20"/>
                <w:color w:val="auto"/>
              </w:rPr>
            </w:pPr>
            <w:r>
              <w:rPr>
                <w:rFonts w:ascii="Arial" w:cs="Arial" w:eastAsia="Arial" w:hAnsi="Arial"/>
                <w:sz w:val="16"/>
                <w:szCs w:val="16"/>
                <w:color w:val="auto"/>
              </w:rPr>
              <w:t>145,000</w:t>
            </w:r>
          </w:p>
        </w:tc>
        <w:tc>
          <w:tcPr>
            <w:tcW w:w="2020" w:type="dxa"/>
            <w:vAlign w:val="bottom"/>
          </w:tcPr>
          <w:p>
            <w:pPr>
              <w:jc w:val="right"/>
              <w:ind w:right="439"/>
              <w:spacing w:after="0"/>
              <w:rPr>
                <w:sz w:val="20"/>
                <w:szCs w:val="20"/>
                <w:color w:val="auto"/>
              </w:rPr>
            </w:pPr>
            <w:r>
              <w:rPr>
                <w:rFonts w:ascii="Arial" w:cs="Arial" w:eastAsia="Arial" w:hAnsi="Arial"/>
                <w:sz w:val="16"/>
                <w:szCs w:val="16"/>
                <w:color w:val="auto"/>
              </w:rPr>
              <w:t>190,505</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335,505</w:t>
            </w:r>
          </w:p>
        </w:tc>
      </w:tr>
      <w:tr>
        <w:trPr>
          <w:trHeight w:val="257"/>
        </w:trPr>
        <w:tc>
          <w:tcPr>
            <w:tcW w:w="3760" w:type="dxa"/>
            <w:vAlign w:val="bottom"/>
          </w:tcPr>
          <w:p>
            <w:pPr>
              <w:ind w:left="60"/>
              <w:spacing w:after="0"/>
              <w:rPr>
                <w:sz w:val="20"/>
                <w:szCs w:val="20"/>
                <w:color w:val="auto"/>
              </w:rPr>
            </w:pPr>
            <w:r>
              <w:rPr>
                <w:rFonts w:ascii="Arial" w:cs="Arial" w:eastAsia="Arial" w:hAnsi="Arial"/>
                <w:sz w:val="16"/>
                <w:szCs w:val="16"/>
                <w:color w:val="auto"/>
              </w:rPr>
              <w:t>Maria Moræus Hanssen</w:t>
            </w:r>
          </w:p>
        </w:tc>
        <w:tc>
          <w:tcPr>
            <w:tcW w:w="4580" w:type="dxa"/>
            <w:vAlign w:val="bottom"/>
          </w:tcPr>
          <w:p>
            <w:pPr>
              <w:jc w:val="right"/>
              <w:ind w:right="259"/>
              <w:spacing w:after="0"/>
              <w:rPr>
                <w:sz w:val="20"/>
                <w:szCs w:val="20"/>
                <w:color w:val="auto"/>
              </w:rPr>
            </w:pPr>
            <w:r>
              <w:rPr>
                <w:rFonts w:ascii="Arial" w:cs="Arial" w:eastAsia="Arial" w:hAnsi="Arial"/>
                <w:sz w:val="16"/>
                <w:szCs w:val="16"/>
                <w:color w:val="auto"/>
              </w:rPr>
              <w:t>155,000</w:t>
            </w:r>
          </w:p>
        </w:tc>
        <w:tc>
          <w:tcPr>
            <w:tcW w:w="2020" w:type="dxa"/>
            <w:vAlign w:val="bottom"/>
          </w:tcPr>
          <w:p>
            <w:pPr>
              <w:jc w:val="right"/>
              <w:ind w:right="439"/>
              <w:spacing w:after="0"/>
              <w:rPr>
                <w:sz w:val="20"/>
                <w:szCs w:val="20"/>
                <w:color w:val="auto"/>
              </w:rPr>
            </w:pPr>
            <w:r>
              <w:rPr>
                <w:rFonts w:ascii="Arial" w:cs="Arial" w:eastAsia="Arial" w:hAnsi="Arial"/>
                <w:sz w:val="16"/>
                <w:szCs w:val="16"/>
                <w:color w:val="auto"/>
              </w:rPr>
              <w:t>190,505</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345,505</w:t>
            </w:r>
          </w:p>
        </w:tc>
      </w:tr>
      <w:tr>
        <w:trPr>
          <w:trHeight w:val="256"/>
        </w:trPr>
        <w:tc>
          <w:tcPr>
            <w:tcW w:w="3760" w:type="dxa"/>
            <w:vAlign w:val="bottom"/>
          </w:tcPr>
          <w:p>
            <w:pPr>
              <w:ind w:left="60"/>
              <w:spacing w:after="0"/>
              <w:rPr>
                <w:sz w:val="20"/>
                <w:szCs w:val="20"/>
                <w:color w:val="auto"/>
              </w:rPr>
            </w:pPr>
            <w:r>
              <w:rPr>
                <w:rFonts w:ascii="Arial" w:cs="Arial" w:eastAsia="Arial" w:hAnsi="Arial"/>
                <w:sz w:val="16"/>
                <w:szCs w:val="16"/>
                <w:color w:val="auto"/>
              </w:rPr>
              <w:t>Vanitha Narayanan</w:t>
            </w:r>
          </w:p>
        </w:tc>
        <w:tc>
          <w:tcPr>
            <w:tcW w:w="4580" w:type="dxa"/>
            <w:vAlign w:val="bottom"/>
          </w:tcPr>
          <w:p>
            <w:pPr>
              <w:jc w:val="right"/>
              <w:ind w:right="259"/>
              <w:spacing w:after="0"/>
              <w:rPr>
                <w:sz w:val="20"/>
                <w:szCs w:val="20"/>
                <w:color w:val="auto"/>
              </w:rPr>
            </w:pPr>
            <w:r>
              <w:rPr>
                <w:rFonts w:ascii="Arial" w:cs="Arial" w:eastAsia="Arial" w:hAnsi="Arial"/>
                <w:sz w:val="16"/>
                <w:szCs w:val="16"/>
                <w:color w:val="auto"/>
              </w:rPr>
              <w:t>135,000</w:t>
            </w:r>
          </w:p>
        </w:tc>
        <w:tc>
          <w:tcPr>
            <w:tcW w:w="2020" w:type="dxa"/>
            <w:vAlign w:val="bottom"/>
          </w:tcPr>
          <w:p>
            <w:pPr>
              <w:jc w:val="right"/>
              <w:ind w:right="439"/>
              <w:spacing w:after="0"/>
              <w:rPr>
                <w:sz w:val="20"/>
                <w:szCs w:val="20"/>
                <w:color w:val="auto"/>
              </w:rPr>
            </w:pPr>
            <w:r>
              <w:rPr>
                <w:rFonts w:ascii="Arial" w:cs="Arial" w:eastAsia="Arial" w:hAnsi="Arial"/>
                <w:sz w:val="16"/>
                <w:szCs w:val="16"/>
                <w:color w:val="auto"/>
              </w:rPr>
              <w:t>190,505</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325,505</w:t>
            </w:r>
          </w:p>
        </w:tc>
      </w:tr>
      <w:tr>
        <w:trPr>
          <w:trHeight w:val="257"/>
        </w:trPr>
        <w:tc>
          <w:tcPr>
            <w:tcW w:w="3760" w:type="dxa"/>
            <w:vAlign w:val="bottom"/>
          </w:tcPr>
          <w:p>
            <w:pPr>
              <w:ind w:left="60"/>
              <w:spacing w:after="0"/>
              <w:rPr>
                <w:sz w:val="20"/>
                <w:szCs w:val="20"/>
                <w:color w:val="auto"/>
              </w:rPr>
            </w:pPr>
            <w:r>
              <w:rPr>
                <w:rFonts w:ascii="Arial" w:cs="Arial" w:eastAsia="Arial" w:hAnsi="Arial"/>
                <w:sz w:val="16"/>
                <w:szCs w:val="16"/>
                <w:color w:val="auto"/>
              </w:rPr>
              <w:t>Mark Papa</w:t>
            </w:r>
          </w:p>
        </w:tc>
        <w:tc>
          <w:tcPr>
            <w:tcW w:w="4580" w:type="dxa"/>
            <w:vAlign w:val="bottom"/>
          </w:tcPr>
          <w:p>
            <w:pPr>
              <w:jc w:val="right"/>
              <w:ind w:right="259"/>
              <w:spacing w:after="0"/>
              <w:rPr>
                <w:sz w:val="20"/>
                <w:szCs w:val="20"/>
                <w:color w:val="auto"/>
              </w:rPr>
            </w:pPr>
            <w:r>
              <w:rPr>
                <w:rFonts w:ascii="Arial" w:cs="Arial" w:eastAsia="Arial" w:hAnsi="Arial"/>
                <w:sz w:val="16"/>
                <w:szCs w:val="16"/>
                <w:color w:val="auto"/>
              </w:rPr>
              <w:t>235,000</w:t>
            </w:r>
          </w:p>
        </w:tc>
        <w:tc>
          <w:tcPr>
            <w:tcW w:w="2020" w:type="dxa"/>
            <w:vAlign w:val="bottom"/>
          </w:tcPr>
          <w:p>
            <w:pPr>
              <w:jc w:val="right"/>
              <w:ind w:right="439"/>
              <w:spacing w:after="0"/>
              <w:rPr>
                <w:sz w:val="20"/>
                <w:szCs w:val="20"/>
                <w:color w:val="auto"/>
              </w:rPr>
            </w:pPr>
            <w:r>
              <w:rPr>
                <w:rFonts w:ascii="Arial" w:cs="Arial" w:eastAsia="Arial" w:hAnsi="Arial"/>
                <w:sz w:val="16"/>
                <w:szCs w:val="16"/>
                <w:color w:val="auto"/>
              </w:rPr>
              <w:t>290,744</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525,744</w:t>
            </w:r>
          </w:p>
        </w:tc>
      </w:tr>
      <w:tr>
        <w:trPr>
          <w:trHeight w:val="339"/>
        </w:trPr>
        <w:tc>
          <w:tcPr>
            <w:tcW w:w="3760" w:type="dxa"/>
            <w:vAlign w:val="bottom"/>
          </w:tcPr>
          <w:p>
            <w:pPr>
              <w:ind w:left="60"/>
              <w:spacing w:after="0"/>
              <w:rPr>
                <w:sz w:val="20"/>
                <w:szCs w:val="20"/>
                <w:color w:val="auto"/>
              </w:rPr>
            </w:pPr>
            <w:r>
              <w:rPr>
                <w:rFonts w:ascii="Arial" w:cs="Arial" w:eastAsia="Arial" w:hAnsi="Arial"/>
                <w:sz w:val="16"/>
                <w:szCs w:val="16"/>
                <w:color w:val="auto"/>
              </w:rPr>
              <w:t>Henri Seydoux</w:t>
            </w:r>
            <w:r>
              <w:rPr>
                <w:rFonts w:ascii="Arial" w:cs="Arial" w:eastAsia="Arial" w:hAnsi="Arial"/>
                <w:sz w:val="26"/>
                <w:szCs w:val="26"/>
                <w:color w:val="auto"/>
                <w:vertAlign w:val="superscript"/>
              </w:rPr>
              <w:t>(3)</w:t>
            </w:r>
          </w:p>
        </w:tc>
        <w:tc>
          <w:tcPr>
            <w:tcW w:w="4580" w:type="dxa"/>
            <w:vAlign w:val="bottom"/>
          </w:tcPr>
          <w:p>
            <w:pPr>
              <w:jc w:val="right"/>
              <w:ind w:right="259"/>
              <w:spacing w:after="0"/>
              <w:rPr>
                <w:sz w:val="20"/>
                <w:szCs w:val="20"/>
                <w:color w:val="auto"/>
              </w:rPr>
            </w:pPr>
            <w:r>
              <w:rPr>
                <w:rFonts w:ascii="Arial" w:cs="Arial" w:eastAsia="Arial" w:hAnsi="Arial"/>
                <w:sz w:val="16"/>
                <w:szCs w:val="16"/>
                <w:color w:val="auto"/>
              </w:rPr>
              <w:t>14,579</w:t>
            </w:r>
          </w:p>
        </w:tc>
        <w:tc>
          <w:tcPr>
            <w:tcW w:w="20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14,579</w:t>
            </w:r>
          </w:p>
        </w:tc>
      </w:tr>
      <w:tr>
        <w:trPr>
          <w:trHeight w:val="215"/>
        </w:trPr>
        <w:tc>
          <w:tcPr>
            <w:tcW w:w="3760" w:type="dxa"/>
            <w:vAlign w:val="bottom"/>
          </w:tcPr>
          <w:p>
            <w:pPr>
              <w:ind w:left="60"/>
              <w:spacing w:after="0"/>
              <w:rPr>
                <w:sz w:val="20"/>
                <w:szCs w:val="20"/>
                <w:color w:val="auto"/>
              </w:rPr>
            </w:pPr>
            <w:r>
              <w:rPr>
                <w:rFonts w:ascii="Arial" w:cs="Arial" w:eastAsia="Arial" w:hAnsi="Arial"/>
                <w:sz w:val="16"/>
                <w:szCs w:val="16"/>
                <w:color w:val="auto"/>
              </w:rPr>
              <w:t>Jeff Sheets</w:t>
            </w:r>
          </w:p>
        </w:tc>
        <w:tc>
          <w:tcPr>
            <w:tcW w:w="4580" w:type="dxa"/>
            <w:vAlign w:val="bottom"/>
          </w:tcPr>
          <w:p>
            <w:pPr>
              <w:jc w:val="right"/>
              <w:ind w:right="259"/>
              <w:spacing w:after="0"/>
              <w:rPr>
                <w:sz w:val="20"/>
                <w:szCs w:val="20"/>
                <w:color w:val="auto"/>
              </w:rPr>
            </w:pPr>
            <w:r>
              <w:rPr>
                <w:rFonts w:ascii="Arial" w:cs="Arial" w:eastAsia="Arial" w:hAnsi="Arial"/>
                <w:sz w:val="16"/>
                <w:szCs w:val="16"/>
                <w:color w:val="auto"/>
              </w:rPr>
              <w:t>145,000</w:t>
            </w:r>
          </w:p>
        </w:tc>
        <w:tc>
          <w:tcPr>
            <w:tcW w:w="2020" w:type="dxa"/>
            <w:vAlign w:val="bottom"/>
          </w:tcPr>
          <w:p>
            <w:pPr>
              <w:jc w:val="right"/>
              <w:ind w:right="439"/>
              <w:spacing w:after="0"/>
              <w:rPr>
                <w:sz w:val="20"/>
                <w:szCs w:val="20"/>
                <w:color w:val="auto"/>
              </w:rPr>
            </w:pPr>
            <w:r>
              <w:rPr>
                <w:rFonts w:ascii="Arial" w:cs="Arial" w:eastAsia="Arial" w:hAnsi="Arial"/>
                <w:sz w:val="16"/>
                <w:szCs w:val="16"/>
                <w:color w:val="auto"/>
              </w:rPr>
              <w:t>190,505</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335,505</w:t>
            </w:r>
          </w:p>
        </w:tc>
      </w:tr>
      <w:tr>
        <w:trPr>
          <w:trHeight w:val="279"/>
        </w:trPr>
        <w:tc>
          <w:tcPr>
            <w:tcW w:w="376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Ulrich Spiesshofer</w:t>
            </w:r>
          </w:p>
        </w:tc>
        <w:tc>
          <w:tcPr>
            <w:tcW w:w="4580" w:type="dxa"/>
            <w:vAlign w:val="bottom"/>
            <w:tcBorders>
              <w:bottom w:val="single" w:sz="8" w:color="0233A1"/>
            </w:tcBorders>
          </w:tcPr>
          <w:p>
            <w:pPr>
              <w:jc w:val="right"/>
              <w:ind w:right="259"/>
              <w:spacing w:after="0"/>
              <w:rPr>
                <w:sz w:val="20"/>
                <w:szCs w:val="20"/>
                <w:color w:val="auto"/>
              </w:rPr>
            </w:pPr>
            <w:r>
              <w:rPr>
                <w:rFonts w:ascii="Arial" w:cs="Arial" w:eastAsia="Arial" w:hAnsi="Arial"/>
                <w:sz w:val="16"/>
                <w:szCs w:val="16"/>
                <w:color w:val="auto"/>
              </w:rPr>
              <w:t>135,000</w:t>
            </w:r>
          </w:p>
        </w:tc>
        <w:tc>
          <w:tcPr>
            <w:tcW w:w="2020" w:type="dxa"/>
            <w:vAlign w:val="bottom"/>
            <w:tcBorders>
              <w:bottom w:val="single" w:sz="8" w:color="0233A1"/>
            </w:tcBorders>
          </w:tcPr>
          <w:p>
            <w:pPr>
              <w:jc w:val="right"/>
              <w:ind w:right="439"/>
              <w:spacing w:after="0"/>
              <w:rPr>
                <w:sz w:val="20"/>
                <w:szCs w:val="20"/>
                <w:color w:val="auto"/>
              </w:rPr>
            </w:pPr>
            <w:r>
              <w:rPr>
                <w:rFonts w:ascii="Arial" w:cs="Arial" w:eastAsia="Arial" w:hAnsi="Arial"/>
                <w:sz w:val="16"/>
                <w:szCs w:val="16"/>
                <w:color w:val="auto"/>
              </w:rPr>
              <w:t>190,505</w:t>
            </w:r>
          </w:p>
        </w:tc>
        <w:tc>
          <w:tcPr>
            <w:tcW w:w="880" w:type="dxa"/>
            <w:vAlign w:val="bottom"/>
            <w:tcBorders>
              <w:bottom w:val="single" w:sz="8" w:color="0233A1"/>
            </w:tcBorders>
            <w:shd w:val="clear" w:color="auto" w:fill="EBECEE"/>
          </w:tcPr>
          <w:p>
            <w:pPr>
              <w:jc w:val="right"/>
              <w:spacing w:after="0"/>
              <w:rPr>
                <w:sz w:val="20"/>
                <w:szCs w:val="20"/>
                <w:color w:val="auto"/>
              </w:rPr>
            </w:pPr>
            <w:r>
              <w:rPr>
                <w:rFonts w:ascii="Arial" w:cs="Arial" w:eastAsia="Arial" w:hAnsi="Arial"/>
                <w:sz w:val="16"/>
                <w:szCs w:val="16"/>
                <w:color w:val="auto"/>
              </w:rPr>
              <w:t>325,505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-1019175</wp:posOffset>
            </wp:positionV>
            <wp:extent cx="7132320"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-1182370</wp:posOffset>
            </wp:positionV>
            <wp:extent cx="713232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-1670685</wp:posOffset>
            </wp:positionV>
            <wp:extent cx="7132320"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0"/>
          <w:szCs w:val="20"/>
          <w:color w:val="auto"/>
        </w:rPr>
      </w:pPr>
    </w:p>
    <w:p>
      <w:pPr>
        <w:jc w:val="both"/>
        <w:ind w:left="380" w:hanging="318"/>
        <w:spacing w:after="0" w:line="263" w:lineRule="auto"/>
        <w:tabs>
          <w:tab w:leader="none" w:pos="3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amounts reported reflect cash fees actually paid in 2022. Ordinarily, the annual cash retainer is paid in cash, but non-employee directors can elect to have their retainer paid in stock or deferred under the SLB 2004 Stock and Deferral Plan for Non-Employee Directors. In 2022, Ms. Narayanan deferred receipt of 100% of her cash director fees until the date she ceases to be an SLB director.</w:t>
      </w:r>
    </w:p>
    <w:p>
      <w:pPr>
        <w:spacing w:after="0" w:line="10" w:lineRule="exact"/>
        <w:rPr>
          <w:rFonts w:ascii="Arial" w:cs="Arial" w:eastAsia="Arial" w:hAnsi="Arial"/>
          <w:sz w:val="14"/>
          <w:szCs w:val="14"/>
          <w:color w:val="auto"/>
        </w:rPr>
      </w:pPr>
    </w:p>
    <w:p>
      <w:pPr>
        <w:jc w:val="both"/>
        <w:ind w:left="380" w:hanging="318"/>
        <w:spacing w:after="0" w:line="256" w:lineRule="auto"/>
        <w:tabs>
          <w:tab w:leader="none" w:pos="3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amounts reported reflect the aggregate grant date fair value of the stock awards computed in accordance with applicable accounting standards, based on the closing stock price on the applicable grant date. Amounts rounded to nearest dollar. A non-employee director may elect to defer the receipt of all or part of a stock award under the SLB 2004 Stock and Deferral Plan for Non-Employee Directors. In 2022, Ms. Narayanan deferred receipt of 100% of her annual stock award until the date she ceases to be an SLB director.</w:t>
      </w:r>
    </w:p>
    <w:p>
      <w:pPr>
        <w:spacing w:after="0" w:line="15" w:lineRule="exact"/>
        <w:rPr>
          <w:rFonts w:ascii="Arial" w:cs="Arial" w:eastAsia="Arial" w:hAnsi="Arial"/>
          <w:sz w:val="14"/>
          <w:szCs w:val="14"/>
          <w:color w:val="auto"/>
        </w:rPr>
      </w:pPr>
    </w:p>
    <w:p>
      <w:pPr>
        <w:ind w:left="380" w:hanging="318"/>
        <w:spacing w:after="0"/>
        <w:tabs>
          <w:tab w:leader="none" w:pos="3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Did not stand for re-election at our 2022 AGM.</w:t>
      </w:r>
    </w:p>
    <w:p>
      <w:pPr>
        <w:spacing w:after="0" w:line="18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Non-employee directors who begin their Board, Board Chair, committee or committee chair service after the AGM receive a prorated amount of annual compensation. SLB also reimburses non-employee directors for travel and other business expenses incurred in the performance of their services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193675</wp:posOffset>
            </wp:positionV>
            <wp:extent cx="471805" cy="28257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Pr>
          <w:p>
            <w:pPr>
              <w:spacing w:after="0"/>
              <w:rPr>
                <w:sz w:val="9"/>
                <w:szCs w:val="9"/>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25</w:t>
            </w:r>
          </w:p>
        </w:tc>
        <w:tc>
          <w:tcPr>
            <w:tcW w:w="44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Annual Director Pay Review</w:t>
      </w:r>
    </w:p>
    <w:p>
      <w:pPr>
        <w:spacing w:after="0" w:line="2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Our Compensation Committee annually reviews our non-employee director compensation, and periodically recommends that the Board approve updates to director pay. In 2022, the Committee’s director pay review took into account multiple factors including our director compensation philosophy, changes in market practices, the continued expansion of director and committee chair responsibilities, consultations with the Committee’s independent compensation consultant, Pay Governance, and feedback received during our shareholder engagements. Based on that review, the Committee determined that no changes in non-employee director compensation were necessary for 2022. The Committee has not increased the directors’ annual cash retainer, committee chair or membership fees, or annual stock grant value since 2017 (except in connection with separating the Chairman and CEO roles in 2019).</w:t>
      </w:r>
    </w:p>
    <w:p>
      <w:pPr>
        <w:spacing w:after="0" w:line="15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While the Committee is aware that other jurisdictions may have differing director compensation practices, the Committee believes it is in the best interests of SLB and our shareholders as a whole to align to market practice among NYSE-listed companies and companies with a large U.S. shareholder base. The Committee also believes that the interests of our non-employee directors are most aligned with the interests of our shareholders when a significant portion of director compensation is paid through stock grants.</w:t>
      </w:r>
    </w:p>
    <w:p>
      <w:pPr>
        <w:spacing w:after="0" w:line="362" w:lineRule="exact"/>
        <w:rPr>
          <w:sz w:val="20"/>
          <w:szCs w:val="20"/>
          <w:color w:val="auto"/>
        </w:rPr>
      </w:pPr>
    </w:p>
    <w:p>
      <w:pPr>
        <w:spacing w:after="0"/>
        <w:rPr>
          <w:sz w:val="20"/>
          <w:szCs w:val="20"/>
          <w:color w:val="auto"/>
        </w:rPr>
      </w:pPr>
      <w:r>
        <w:rPr>
          <w:rFonts w:ascii="Arial" w:cs="Arial" w:eastAsia="Arial" w:hAnsi="Arial"/>
          <w:sz w:val="29"/>
          <w:szCs w:val="29"/>
          <w:color w:val="0233A1"/>
        </w:rPr>
        <w:t>Director Stock Ownership Guidelines</w:t>
      </w:r>
    </w:p>
    <w:p>
      <w:pPr>
        <w:spacing w:after="0" w:line="2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Board believes that ownership of SLB stock by our directors aligns their interests with the interests of our shareholders. Accordingly, the Board has established a guideline that each non-employee director must, within five years of joining the Board, own a minimum dollar value of shares of SLB common stock equal to five times (5x) that director’s annual cash retainer. As of January 31, 2023, each of our non-employee directors who has been a Board member for at least five years was in compliance with these stock ownership guidelines.</w:t>
      </w:r>
    </w:p>
    <w:p>
      <w:pPr>
        <w:spacing w:after="0" w:line="362" w:lineRule="exact"/>
        <w:rPr>
          <w:sz w:val="20"/>
          <w:szCs w:val="20"/>
          <w:color w:val="auto"/>
        </w:rPr>
      </w:pPr>
    </w:p>
    <w:p>
      <w:pPr>
        <w:spacing w:after="0"/>
        <w:rPr>
          <w:sz w:val="20"/>
          <w:szCs w:val="20"/>
          <w:color w:val="auto"/>
        </w:rPr>
      </w:pPr>
      <w:r>
        <w:rPr>
          <w:rFonts w:ascii="Arial" w:cs="Arial" w:eastAsia="Arial" w:hAnsi="Arial"/>
          <w:sz w:val="29"/>
          <w:szCs w:val="29"/>
          <w:color w:val="0233A1"/>
        </w:rPr>
        <w:t>Director Deferral Plan</w:t>
      </w:r>
    </w:p>
    <w:p>
      <w:pPr>
        <w:spacing w:after="0" w:line="2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 xml:space="preserve">Non-employee directors may elect to defer all or a portion of their annual stock or cash awards through the SLB 2004 Stock and Deferral Plan for Non-Employee Directors (the </w:t>
      </w:r>
      <w:r>
        <w:rPr>
          <w:rFonts w:ascii="Arial" w:cs="Arial" w:eastAsia="Arial" w:hAnsi="Arial"/>
          <w:sz w:val="16"/>
          <w:szCs w:val="16"/>
          <w:b w:val="1"/>
          <w:bCs w:val="1"/>
          <w:color w:val="auto"/>
        </w:rPr>
        <w:t>Directors Stock Plan</w:t>
      </w:r>
      <w:r>
        <w:rPr>
          <w:rFonts w:ascii="Arial" w:cs="Arial" w:eastAsia="Arial" w:hAnsi="Arial"/>
          <w:sz w:val="16"/>
          <w:szCs w:val="16"/>
          <w:color w:val="auto"/>
        </w:rPr>
        <w:t>). When directors elect to defer their stock award, their deferred compensation account is credited with a number of “stock units.” Each stock unit is equal in value to a share of our common stock, but because it is not an actual share of our common stock it does not have any voting rights. When directors elect to defer their cash award, they may choose to invest such deferred cash compensation into either (i) SLB common stock, (ii) money market equivalents, or (iii) an S&amp;P 500 equivalent. Deferrals into a stock account are credited with dividend equivalents in the form of cash to be paid at the time of vesting and deferrals into the cash account are credited with gains or losses based on the monthly performance of the various investment options described above. Following retirement from our Board and depending on the director’s election, a non-employee director may receive the deferred compensation on the date of the director’s retirement or a date that is one year following the date of the director’s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471170" cy="28257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190"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26</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-46990</wp:posOffset>
            </wp:positionV>
            <wp:extent cx="5417820" cy="1714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9" w:lineRule="exact"/>
        <w:rPr>
          <w:sz w:val="20"/>
          <w:szCs w:val="20"/>
          <w:color w:val="auto"/>
        </w:rPr>
      </w:pPr>
    </w:p>
    <w:p>
      <w:pPr>
        <w:spacing w:after="0"/>
        <w:rPr>
          <w:sz w:val="20"/>
          <w:szCs w:val="20"/>
          <w:color w:val="auto"/>
        </w:rPr>
      </w:pPr>
      <w:r>
        <w:rPr>
          <w:rFonts w:ascii="Arial" w:cs="Arial" w:eastAsia="Arial" w:hAnsi="Arial"/>
          <w:sz w:val="50"/>
          <w:szCs w:val="50"/>
          <w:color w:val="0233A1"/>
        </w:rPr>
        <w:t>Stock Ownership Information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color w:val="0233A1"/>
        </w:rPr>
        <w:t>Security Ownership by Management and Our Board</w:t>
      </w:r>
    </w:p>
    <w:p>
      <w:pPr>
        <w:spacing w:after="0" w:line="21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 xml:space="preserve">The following table sets forth information known to us with respect to beneficial ownership of our common stock as of January 31, 2023 by (i) each director and director nominee, (ii) each named executive officer, and (iii) all executive officers (as defined in Rule 3b-7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xml:space="preserve">)), and directors as a group (the </w:t>
      </w:r>
      <w:r>
        <w:rPr>
          <w:rFonts w:ascii="Arial" w:cs="Arial" w:eastAsia="Arial" w:hAnsi="Arial"/>
          <w:sz w:val="16"/>
          <w:szCs w:val="16"/>
          <w:b w:val="1"/>
          <w:bCs w:val="1"/>
          <w:color w:val="auto"/>
        </w:rPr>
        <w:t>D&amp;O Group</w:t>
      </w:r>
      <w:r>
        <w:rPr>
          <w:rFonts w:ascii="Arial" w:cs="Arial" w:eastAsia="Arial" w:hAnsi="Arial"/>
          <w:sz w:val="16"/>
          <w:szCs w:val="16"/>
          <w:color w:val="auto"/>
        </w:rPr>
        <w:t>).</w:t>
      </w:r>
    </w:p>
    <w:p>
      <w:pPr>
        <w:spacing w:after="0" w:line="1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number of shares beneficially owned as of January 31, 2023 includes shares of SLB common stock that the individual has the right to acquire within 60 days of January 31, 2023, including exercisable options to purchase our common stock, as well as RSUs and PSUs that will vest within 60 days. The table below does not include (i) shares of SLB common stock deferred under the Directors Stock Plan, or (ii) the number of shares earned but not yet issued under our 2020 ROCE PSUs, because SLB will finally determine the number of shares earned after the applicable comparator companies disclose their full-year audited 2022 results, as described under “Compensation Discussion and Analysis—Elements of 2022 Total Direct Compensation—Long-Term Equity Incentive Awards—Payouts Under Prior LTI Awards—PSUs Vesting in 2023” beginning on page 43 of this proxy statement. These same policies apply to the aggregate calculation for the D&amp;O Group.</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40" w:type="dxa"/>
            <w:vAlign w:val="bottom"/>
          </w:tcPr>
          <w:p>
            <w:pPr>
              <w:spacing w:after="0"/>
              <w:rPr>
                <w:sz w:val="16"/>
                <w:szCs w:val="16"/>
                <w:color w:val="auto"/>
              </w:rPr>
            </w:pPr>
          </w:p>
        </w:tc>
        <w:tc>
          <w:tcPr>
            <w:tcW w:w="270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0233A1"/>
              </w:rPr>
              <w:t>Beneficial Ownership of</w:t>
            </w:r>
          </w:p>
        </w:tc>
        <w:tc>
          <w:tcPr>
            <w:tcW w:w="0" w:type="dxa"/>
            <w:vAlign w:val="bottom"/>
          </w:tcPr>
          <w:p>
            <w:pPr>
              <w:spacing w:after="0"/>
              <w:rPr>
                <w:sz w:val="1"/>
                <w:szCs w:val="1"/>
                <w:color w:val="auto"/>
              </w:rPr>
            </w:pPr>
          </w:p>
        </w:tc>
      </w:tr>
      <w:tr>
        <w:trPr>
          <w:trHeight w:val="203"/>
        </w:trPr>
        <w:tc>
          <w:tcPr>
            <w:tcW w:w="8540" w:type="dxa"/>
            <w:vAlign w:val="bottom"/>
          </w:tcPr>
          <w:p>
            <w:pPr>
              <w:spacing w:after="0"/>
              <w:rPr>
                <w:sz w:val="17"/>
                <w:szCs w:val="17"/>
                <w:color w:val="auto"/>
              </w:rPr>
            </w:pPr>
          </w:p>
        </w:tc>
        <w:tc>
          <w:tcPr>
            <w:tcW w:w="2700" w:type="dxa"/>
            <w:vAlign w:val="bottom"/>
            <w:tcBorders>
              <w:bottom w:val="single" w:sz="8" w:color="0233A1"/>
            </w:tcBorders>
            <w:gridSpan w:val="2"/>
          </w:tcPr>
          <w:p>
            <w:pPr>
              <w:jc w:val="right"/>
              <w:ind w:right="499"/>
              <w:spacing w:after="0"/>
              <w:rPr>
                <w:sz w:val="20"/>
                <w:szCs w:val="20"/>
                <w:color w:val="auto"/>
              </w:rPr>
            </w:pPr>
            <w:r>
              <w:rPr>
                <w:rFonts w:ascii="Arial" w:cs="Arial" w:eastAsia="Arial" w:hAnsi="Arial"/>
                <w:sz w:val="16"/>
                <w:szCs w:val="16"/>
                <w:b w:val="1"/>
                <w:bCs w:val="1"/>
                <w:color w:val="0233A1"/>
              </w:rPr>
              <w:t>SLB Common Stock</w:t>
            </w:r>
          </w:p>
        </w:tc>
        <w:tc>
          <w:tcPr>
            <w:tcW w:w="0" w:type="dxa"/>
            <w:vAlign w:val="bottom"/>
          </w:tcPr>
          <w:p>
            <w:pPr>
              <w:spacing w:after="0"/>
              <w:rPr>
                <w:sz w:val="1"/>
                <w:szCs w:val="1"/>
                <w:color w:val="auto"/>
              </w:rPr>
            </w:pPr>
          </w:p>
        </w:tc>
      </w:tr>
      <w:tr>
        <w:trPr>
          <w:trHeight w:val="184"/>
        </w:trPr>
        <w:tc>
          <w:tcPr>
            <w:tcW w:w="8540" w:type="dxa"/>
            <w:vAlign w:val="bottom"/>
            <w:vMerge w:val="restart"/>
          </w:tcPr>
          <w:p>
            <w:pPr>
              <w:ind w:left="60"/>
              <w:spacing w:after="0"/>
              <w:rPr>
                <w:sz w:val="20"/>
                <w:szCs w:val="20"/>
                <w:color w:val="auto"/>
              </w:rPr>
            </w:pPr>
            <w:r>
              <w:rPr>
                <w:rFonts w:ascii="Arial" w:cs="Arial" w:eastAsia="Arial" w:hAnsi="Arial"/>
                <w:sz w:val="16"/>
                <w:szCs w:val="16"/>
                <w:b w:val="1"/>
                <w:bCs w:val="1"/>
                <w:color w:val="0233A1"/>
              </w:rPr>
              <w:t>Name</w:t>
            </w:r>
          </w:p>
        </w:tc>
        <w:tc>
          <w:tcPr>
            <w:tcW w:w="1520" w:type="dxa"/>
            <w:vAlign w:val="bottom"/>
          </w:tcPr>
          <w:p>
            <w:pPr>
              <w:jc w:val="right"/>
              <w:ind w:right="160"/>
              <w:spacing w:after="0" w:line="185" w:lineRule="exact"/>
              <w:rPr>
                <w:sz w:val="20"/>
                <w:szCs w:val="20"/>
                <w:color w:val="auto"/>
              </w:rPr>
            </w:pPr>
            <w:r>
              <w:rPr>
                <w:rFonts w:ascii="Arial" w:cs="Arial" w:eastAsia="Arial" w:hAnsi="Arial"/>
                <w:sz w:val="14"/>
                <w:szCs w:val="14"/>
                <w:b w:val="1"/>
                <w:bCs w:val="1"/>
                <w:color w:val="0233A1"/>
              </w:rPr>
              <w:t>Number of</w:t>
            </w:r>
            <w:r>
              <w:rPr>
                <w:rFonts w:ascii="Arial" w:cs="Arial" w:eastAsia="Arial" w:hAnsi="Arial"/>
                <w:sz w:val="21"/>
                <w:szCs w:val="21"/>
                <w:color w:val="0233A1"/>
                <w:vertAlign w:val="subscript"/>
              </w:rPr>
              <w:t>(1)</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233A1"/>
              </w:rPr>
              <w:t>Percentage</w:t>
            </w:r>
          </w:p>
        </w:tc>
        <w:tc>
          <w:tcPr>
            <w:tcW w:w="0" w:type="dxa"/>
            <w:vAlign w:val="bottom"/>
          </w:tcPr>
          <w:p>
            <w:pPr>
              <w:spacing w:after="0"/>
              <w:rPr>
                <w:sz w:val="1"/>
                <w:szCs w:val="1"/>
                <w:color w:val="auto"/>
              </w:rPr>
            </w:pPr>
          </w:p>
        </w:tc>
      </w:tr>
      <w:tr>
        <w:trPr>
          <w:trHeight w:val="187"/>
        </w:trPr>
        <w:tc>
          <w:tcPr>
            <w:tcW w:w="8540" w:type="dxa"/>
            <w:vAlign w:val="bottom"/>
            <w:tcBorders>
              <w:bottom w:val="single" w:sz="8" w:color="0233A1"/>
            </w:tcBorders>
            <w:vMerge w:val="continue"/>
          </w:tcPr>
          <w:p>
            <w:pPr>
              <w:spacing w:after="0"/>
              <w:rPr>
                <w:sz w:val="16"/>
                <w:szCs w:val="16"/>
                <w:color w:val="auto"/>
              </w:rPr>
            </w:pPr>
          </w:p>
        </w:tc>
        <w:tc>
          <w:tcPr>
            <w:tcW w:w="1520" w:type="dxa"/>
            <w:vAlign w:val="bottom"/>
            <w:tcBorders>
              <w:bottom w:val="single" w:sz="8" w:color="0233A1"/>
            </w:tcBorders>
          </w:tcPr>
          <w:p>
            <w:pPr>
              <w:jc w:val="right"/>
              <w:ind w:right="320"/>
              <w:spacing w:after="0"/>
              <w:rPr>
                <w:sz w:val="20"/>
                <w:szCs w:val="20"/>
                <w:color w:val="auto"/>
              </w:rPr>
            </w:pPr>
            <w:r>
              <w:rPr>
                <w:rFonts w:ascii="Arial" w:cs="Arial" w:eastAsia="Arial" w:hAnsi="Arial"/>
                <w:sz w:val="16"/>
                <w:szCs w:val="16"/>
                <w:b w:val="1"/>
                <w:bCs w:val="1"/>
                <w:color w:val="0233A1"/>
              </w:rPr>
              <w:t>Shares</w:t>
            </w:r>
          </w:p>
        </w:tc>
        <w:tc>
          <w:tcPr>
            <w:tcW w:w="118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of Class</w:t>
            </w:r>
          </w:p>
        </w:tc>
        <w:tc>
          <w:tcPr>
            <w:tcW w:w="0" w:type="dxa"/>
            <w:vAlign w:val="bottom"/>
          </w:tcPr>
          <w:p>
            <w:pPr>
              <w:spacing w:after="0"/>
              <w:rPr>
                <w:sz w:val="1"/>
                <w:szCs w:val="1"/>
                <w:color w:val="auto"/>
              </w:rPr>
            </w:pPr>
          </w:p>
        </w:tc>
      </w:tr>
      <w:tr>
        <w:trPr>
          <w:trHeight w:val="318"/>
        </w:trPr>
        <w:tc>
          <w:tcPr>
            <w:tcW w:w="8540" w:type="dxa"/>
            <w:vAlign w:val="bottom"/>
          </w:tcPr>
          <w:p>
            <w:pPr>
              <w:ind w:left="60"/>
              <w:spacing w:after="0"/>
              <w:rPr>
                <w:sz w:val="20"/>
                <w:szCs w:val="20"/>
                <w:color w:val="auto"/>
              </w:rPr>
            </w:pPr>
            <w:r>
              <w:rPr>
                <w:rFonts w:ascii="Arial" w:cs="Arial" w:eastAsia="Arial" w:hAnsi="Arial"/>
                <w:sz w:val="16"/>
                <w:szCs w:val="16"/>
                <w:color w:val="auto"/>
              </w:rPr>
              <w:t>Khaled Al Mogharbel (NEO)</w:t>
            </w:r>
          </w:p>
        </w:tc>
        <w:tc>
          <w:tcPr>
            <w:tcW w:w="1520" w:type="dxa"/>
            <w:vAlign w:val="bottom"/>
          </w:tcPr>
          <w:p>
            <w:pPr>
              <w:jc w:val="right"/>
              <w:ind w:right="160"/>
              <w:spacing w:after="0"/>
              <w:rPr>
                <w:sz w:val="20"/>
                <w:szCs w:val="20"/>
                <w:color w:val="auto"/>
              </w:rPr>
            </w:pPr>
            <w:r>
              <w:rPr>
                <w:rFonts w:ascii="Arial" w:cs="Arial" w:eastAsia="Arial" w:hAnsi="Arial"/>
                <w:sz w:val="16"/>
                <w:szCs w:val="16"/>
                <w:color w:val="auto"/>
              </w:rPr>
              <w:t>645,725</w:t>
            </w:r>
            <w:r>
              <w:rPr>
                <w:rFonts w:ascii="Arial" w:cs="Arial" w:eastAsia="Arial" w:hAnsi="Arial"/>
                <w:sz w:val="26"/>
                <w:szCs w:val="26"/>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310"/>
        </w:trPr>
        <w:tc>
          <w:tcPr>
            <w:tcW w:w="8540" w:type="dxa"/>
            <w:vAlign w:val="bottom"/>
          </w:tcPr>
          <w:p>
            <w:pPr>
              <w:ind w:left="60"/>
              <w:spacing w:after="0"/>
              <w:rPr>
                <w:sz w:val="20"/>
                <w:szCs w:val="20"/>
                <w:color w:val="auto"/>
              </w:rPr>
            </w:pPr>
            <w:r>
              <w:rPr>
                <w:rFonts w:ascii="Arial" w:cs="Arial" w:eastAsia="Arial" w:hAnsi="Arial"/>
                <w:sz w:val="16"/>
                <w:szCs w:val="16"/>
                <w:color w:val="auto"/>
              </w:rPr>
              <w:t>Ashok Belani (NEO)</w:t>
            </w:r>
          </w:p>
        </w:tc>
        <w:tc>
          <w:tcPr>
            <w:tcW w:w="1520" w:type="dxa"/>
            <w:vAlign w:val="bottom"/>
          </w:tcPr>
          <w:p>
            <w:pPr>
              <w:jc w:val="right"/>
              <w:ind w:right="160"/>
              <w:spacing w:after="0"/>
              <w:rPr>
                <w:sz w:val="20"/>
                <w:szCs w:val="20"/>
                <w:color w:val="auto"/>
              </w:rPr>
            </w:pPr>
            <w:r>
              <w:rPr>
                <w:rFonts w:ascii="Arial" w:cs="Arial" w:eastAsia="Arial" w:hAnsi="Arial"/>
                <w:sz w:val="16"/>
                <w:szCs w:val="16"/>
                <w:color w:val="auto"/>
              </w:rPr>
              <w:t>707,357</w:t>
            </w:r>
            <w:r>
              <w:rPr>
                <w:rFonts w:ascii="Arial" w:cs="Arial" w:eastAsia="Arial" w:hAnsi="Arial"/>
                <w:sz w:val="26"/>
                <w:szCs w:val="26"/>
                <w:color w:val="auto"/>
                <w:vertAlign w:val="superscript"/>
              </w:rPr>
              <w:t>(3)</w:t>
            </w:r>
          </w:p>
        </w:tc>
        <w:tc>
          <w:tcPr>
            <w:tcW w:w="1180" w:type="dxa"/>
            <w:vAlign w:val="bottom"/>
          </w:tcPr>
          <w:p>
            <w:pPr>
              <w:jc w:val="right"/>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309"/>
        </w:trPr>
        <w:tc>
          <w:tcPr>
            <w:tcW w:w="8540" w:type="dxa"/>
            <w:vAlign w:val="bottom"/>
          </w:tcPr>
          <w:p>
            <w:pPr>
              <w:ind w:left="60"/>
              <w:spacing w:after="0"/>
              <w:rPr>
                <w:sz w:val="20"/>
                <w:szCs w:val="20"/>
                <w:color w:val="auto"/>
              </w:rPr>
            </w:pPr>
            <w:r>
              <w:rPr>
                <w:rFonts w:ascii="Arial" w:cs="Arial" w:eastAsia="Arial" w:hAnsi="Arial"/>
                <w:sz w:val="16"/>
                <w:szCs w:val="16"/>
                <w:color w:val="auto"/>
              </w:rPr>
              <w:t>Stephane Biguet (NEO)</w:t>
            </w:r>
          </w:p>
        </w:tc>
        <w:tc>
          <w:tcPr>
            <w:tcW w:w="1520" w:type="dxa"/>
            <w:vAlign w:val="bottom"/>
          </w:tcPr>
          <w:p>
            <w:pPr>
              <w:jc w:val="right"/>
              <w:ind w:right="160"/>
              <w:spacing w:after="0"/>
              <w:rPr>
                <w:sz w:val="20"/>
                <w:szCs w:val="20"/>
                <w:color w:val="auto"/>
              </w:rPr>
            </w:pPr>
            <w:r>
              <w:rPr>
                <w:rFonts w:ascii="Arial" w:cs="Arial" w:eastAsia="Arial" w:hAnsi="Arial"/>
                <w:sz w:val="16"/>
                <w:szCs w:val="16"/>
                <w:color w:val="auto"/>
              </w:rPr>
              <w:t>313,495</w:t>
            </w:r>
            <w:r>
              <w:rPr>
                <w:rFonts w:ascii="Arial" w:cs="Arial" w:eastAsia="Arial" w:hAnsi="Arial"/>
                <w:sz w:val="26"/>
                <w:szCs w:val="26"/>
                <w:color w:val="auto"/>
                <w:vertAlign w:val="superscript"/>
              </w:rPr>
              <w:t>(4)</w:t>
            </w:r>
          </w:p>
        </w:tc>
        <w:tc>
          <w:tcPr>
            <w:tcW w:w="1180" w:type="dxa"/>
            <w:vAlign w:val="bottom"/>
          </w:tcPr>
          <w:p>
            <w:pPr>
              <w:jc w:val="right"/>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15"/>
        </w:trPr>
        <w:tc>
          <w:tcPr>
            <w:tcW w:w="8540" w:type="dxa"/>
            <w:vAlign w:val="bottom"/>
          </w:tcPr>
          <w:p>
            <w:pPr>
              <w:ind w:left="60"/>
              <w:spacing w:after="0"/>
              <w:rPr>
                <w:sz w:val="20"/>
                <w:szCs w:val="20"/>
                <w:color w:val="auto"/>
              </w:rPr>
            </w:pPr>
            <w:r>
              <w:rPr>
                <w:rFonts w:ascii="Arial" w:cs="Arial" w:eastAsia="Arial" w:hAnsi="Arial"/>
                <w:sz w:val="16"/>
                <w:szCs w:val="16"/>
                <w:color w:val="auto"/>
              </w:rPr>
              <w:t>Peter Coleman</w:t>
            </w:r>
          </w:p>
        </w:tc>
        <w:tc>
          <w:tcPr>
            <w:tcW w:w="1520" w:type="dxa"/>
            <w:vAlign w:val="bottom"/>
          </w:tcPr>
          <w:p>
            <w:pPr>
              <w:jc w:val="right"/>
              <w:ind w:right="320"/>
              <w:spacing w:after="0"/>
              <w:rPr>
                <w:sz w:val="20"/>
                <w:szCs w:val="20"/>
                <w:color w:val="auto"/>
              </w:rPr>
            </w:pPr>
            <w:r>
              <w:rPr>
                <w:rFonts w:ascii="Arial" w:cs="Arial" w:eastAsia="Arial" w:hAnsi="Arial"/>
                <w:sz w:val="16"/>
                <w:szCs w:val="16"/>
                <w:color w:val="auto"/>
              </w:rPr>
              <w:t>10,606</w:t>
            </w:r>
          </w:p>
        </w:tc>
        <w:tc>
          <w:tcPr>
            <w:tcW w:w="1180" w:type="dxa"/>
            <w:vAlign w:val="bottom"/>
          </w:tcPr>
          <w:p>
            <w:pPr>
              <w:jc w:val="right"/>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70"/>
        </w:trPr>
        <w:tc>
          <w:tcPr>
            <w:tcW w:w="8540" w:type="dxa"/>
            <w:vAlign w:val="bottom"/>
          </w:tcPr>
          <w:p>
            <w:pPr>
              <w:ind w:left="60"/>
              <w:spacing w:after="0"/>
              <w:rPr>
                <w:sz w:val="20"/>
                <w:szCs w:val="20"/>
                <w:color w:val="auto"/>
              </w:rPr>
            </w:pPr>
            <w:r>
              <w:rPr>
                <w:rFonts w:ascii="Arial" w:cs="Arial" w:eastAsia="Arial" w:hAnsi="Arial"/>
                <w:sz w:val="16"/>
                <w:szCs w:val="16"/>
                <w:color w:val="auto"/>
              </w:rPr>
              <w:t>Patrick de La Chevardière</w:t>
            </w:r>
          </w:p>
        </w:tc>
        <w:tc>
          <w:tcPr>
            <w:tcW w:w="1520" w:type="dxa"/>
            <w:vAlign w:val="bottom"/>
          </w:tcPr>
          <w:p>
            <w:pPr>
              <w:jc w:val="right"/>
              <w:ind w:right="320"/>
              <w:spacing w:after="0"/>
              <w:rPr>
                <w:sz w:val="20"/>
                <w:szCs w:val="20"/>
                <w:color w:val="auto"/>
              </w:rPr>
            </w:pPr>
            <w:r>
              <w:rPr>
                <w:rFonts w:ascii="Arial" w:cs="Arial" w:eastAsia="Arial" w:hAnsi="Arial"/>
                <w:sz w:val="16"/>
                <w:szCs w:val="16"/>
                <w:color w:val="auto"/>
              </w:rPr>
              <w:t>25,460</w:t>
            </w:r>
          </w:p>
        </w:tc>
        <w:tc>
          <w:tcPr>
            <w:tcW w:w="1180" w:type="dxa"/>
            <w:vAlign w:val="bottom"/>
          </w:tcPr>
          <w:p>
            <w:pPr>
              <w:jc w:val="right"/>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70"/>
        </w:trPr>
        <w:tc>
          <w:tcPr>
            <w:tcW w:w="8540" w:type="dxa"/>
            <w:vAlign w:val="bottom"/>
          </w:tcPr>
          <w:p>
            <w:pPr>
              <w:ind w:left="60"/>
              <w:spacing w:after="0"/>
              <w:rPr>
                <w:sz w:val="20"/>
                <w:szCs w:val="20"/>
                <w:color w:val="auto"/>
              </w:rPr>
            </w:pPr>
            <w:r>
              <w:rPr>
                <w:rFonts w:ascii="Arial" w:cs="Arial" w:eastAsia="Arial" w:hAnsi="Arial"/>
                <w:sz w:val="16"/>
                <w:szCs w:val="16"/>
                <w:color w:val="auto"/>
              </w:rPr>
              <w:t>Miguel Galuccio</w:t>
            </w:r>
          </w:p>
        </w:tc>
        <w:tc>
          <w:tcPr>
            <w:tcW w:w="1520" w:type="dxa"/>
            <w:vAlign w:val="bottom"/>
          </w:tcPr>
          <w:p>
            <w:pPr>
              <w:jc w:val="right"/>
              <w:ind w:right="320"/>
              <w:spacing w:after="0"/>
              <w:rPr>
                <w:sz w:val="20"/>
                <w:szCs w:val="20"/>
                <w:color w:val="auto"/>
              </w:rPr>
            </w:pPr>
            <w:r>
              <w:rPr>
                <w:rFonts w:ascii="Arial" w:cs="Arial" w:eastAsia="Arial" w:hAnsi="Arial"/>
                <w:sz w:val="16"/>
                <w:szCs w:val="16"/>
                <w:color w:val="auto"/>
              </w:rPr>
              <w:t>34,660</w:t>
            </w:r>
          </w:p>
        </w:tc>
        <w:tc>
          <w:tcPr>
            <w:tcW w:w="1180" w:type="dxa"/>
            <w:vAlign w:val="bottom"/>
          </w:tcPr>
          <w:p>
            <w:pPr>
              <w:jc w:val="right"/>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366"/>
        </w:trPr>
        <w:tc>
          <w:tcPr>
            <w:tcW w:w="8540" w:type="dxa"/>
            <w:vAlign w:val="bottom"/>
          </w:tcPr>
          <w:p>
            <w:pPr>
              <w:ind w:left="60"/>
              <w:spacing w:after="0"/>
              <w:rPr>
                <w:sz w:val="20"/>
                <w:szCs w:val="20"/>
                <w:color w:val="auto"/>
              </w:rPr>
            </w:pPr>
            <w:r>
              <w:rPr>
                <w:rFonts w:ascii="Arial" w:cs="Arial" w:eastAsia="Arial" w:hAnsi="Arial"/>
                <w:sz w:val="16"/>
                <w:szCs w:val="16"/>
                <w:color w:val="auto"/>
              </w:rPr>
              <w:t>Olivier Le Peuch (NEO)</w:t>
            </w:r>
          </w:p>
        </w:tc>
        <w:tc>
          <w:tcPr>
            <w:tcW w:w="1520" w:type="dxa"/>
            <w:vAlign w:val="bottom"/>
          </w:tcPr>
          <w:p>
            <w:pPr>
              <w:jc w:val="right"/>
              <w:ind w:right="160"/>
              <w:spacing w:after="0"/>
              <w:rPr>
                <w:sz w:val="20"/>
                <w:szCs w:val="20"/>
                <w:color w:val="auto"/>
              </w:rPr>
            </w:pPr>
            <w:r>
              <w:rPr>
                <w:rFonts w:ascii="Arial" w:cs="Arial" w:eastAsia="Arial" w:hAnsi="Arial"/>
                <w:sz w:val="16"/>
                <w:szCs w:val="16"/>
                <w:color w:val="auto"/>
              </w:rPr>
              <w:t>904,916</w:t>
            </w:r>
            <w:r>
              <w:rPr>
                <w:rFonts w:ascii="Arial" w:cs="Arial" w:eastAsia="Arial" w:hAnsi="Arial"/>
                <w:sz w:val="26"/>
                <w:szCs w:val="26"/>
                <w:color w:val="auto"/>
                <w:vertAlign w:val="superscript"/>
              </w:rPr>
              <w:t>(5)</w:t>
            </w:r>
          </w:p>
        </w:tc>
        <w:tc>
          <w:tcPr>
            <w:tcW w:w="1180" w:type="dxa"/>
            <w:vAlign w:val="bottom"/>
          </w:tcPr>
          <w:p>
            <w:pPr>
              <w:jc w:val="right"/>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15"/>
        </w:trPr>
        <w:tc>
          <w:tcPr>
            <w:tcW w:w="8540" w:type="dxa"/>
            <w:vAlign w:val="bottom"/>
          </w:tcPr>
          <w:p>
            <w:pPr>
              <w:ind w:left="60"/>
              <w:spacing w:after="0"/>
              <w:rPr>
                <w:sz w:val="20"/>
                <w:szCs w:val="20"/>
                <w:color w:val="auto"/>
              </w:rPr>
            </w:pPr>
            <w:r>
              <w:rPr>
                <w:rFonts w:ascii="Arial" w:cs="Arial" w:eastAsia="Arial" w:hAnsi="Arial"/>
                <w:sz w:val="16"/>
                <w:szCs w:val="16"/>
                <w:color w:val="auto"/>
              </w:rPr>
              <w:t>Samuel Leupold</w:t>
            </w:r>
          </w:p>
        </w:tc>
        <w:tc>
          <w:tcPr>
            <w:tcW w:w="1520" w:type="dxa"/>
            <w:vAlign w:val="bottom"/>
          </w:tcPr>
          <w:p>
            <w:pPr>
              <w:jc w:val="right"/>
              <w:ind w:right="320"/>
              <w:spacing w:after="0"/>
              <w:rPr>
                <w:sz w:val="20"/>
                <w:szCs w:val="20"/>
                <w:color w:val="auto"/>
              </w:rPr>
            </w:pPr>
            <w:r>
              <w:rPr>
                <w:rFonts w:ascii="Arial" w:cs="Arial" w:eastAsia="Arial" w:hAnsi="Arial"/>
                <w:sz w:val="16"/>
                <w:szCs w:val="16"/>
                <w:color w:val="auto"/>
              </w:rPr>
              <w:t>12,143</w:t>
            </w:r>
          </w:p>
        </w:tc>
        <w:tc>
          <w:tcPr>
            <w:tcW w:w="1180" w:type="dxa"/>
            <w:vAlign w:val="bottom"/>
          </w:tcPr>
          <w:p>
            <w:pPr>
              <w:jc w:val="right"/>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366"/>
        </w:trPr>
        <w:tc>
          <w:tcPr>
            <w:tcW w:w="8540" w:type="dxa"/>
            <w:vAlign w:val="bottom"/>
          </w:tcPr>
          <w:p>
            <w:pPr>
              <w:ind w:left="60"/>
              <w:spacing w:after="0"/>
              <w:rPr>
                <w:sz w:val="20"/>
                <w:szCs w:val="20"/>
                <w:color w:val="auto"/>
              </w:rPr>
            </w:pPr>
            <w:r>
              <w:rPr>
                <w:rFonts w:ascii="Arial" w:cs="Arial" w:eastAsia="Arial" w:hAnsi="Arial"/>
                <w:sz w:val="16"/>
                <w:szCs w:val="16"/>
                <w:color w:val="auto"/>
              </w:rPr>
              <w:t>Abdellah Merad (NEO)</w:t>
            </w:r>
          </w:p>
        </w:tc>
        <w:tc>
          <w:tcPr>
            <w:tcW w:w="1520" w:type="dxa"/>
            <w:vAlign w:val="bottom"/>
          </w:tcPr>
          <w:p>
            <w:pPr>
              <w:jc w:val="right"/>
              <w:ind w:right="160"/>
              <w:spacing w:after="0"/>
              <w:rPr>
                <w:sz w:val="20"/>
                <w:szCs w:val="20"/>
                <w:color w:val="auto"/>
              </w:rPr>
            </w:pPr>
            <w:r>
              <w:rPr>
                <w:rFonts w:ascii="Arial" w:cs="Arial" w:eastAsia="Arial" w:hAnsi="Arial"/>
                <w:sz w:val="16"/>
                <w:szCs w:val="16"/>
                <w:color w:val="auto"/>
              </w:rPr>
              <w:t>268,357</w:t>
            </w:r>
            <w:r>
              <w:rPr>
                <w:rFonts w:ascii="Arial" w:cs="Arial" w:eastAsia="Arial" w:hAnsi="Arial"/>
                <w:sz w:val="26"/>
                <w:szCs w:val="26"/>
                <w:color w:val="auto"/>
                <w:vertAlign w:val="superscript"/>
              </w:rPr>
              <w:t>(6)</w:t>
            </w:r>
          </w:p>
        </w:tc>
        <w:tc>
          <w:tcPr>
            <w:tcW w:w="1180" w:type="dxa"/>
            <w:vAlign w:val="bottom"/>
          </w:tcPr>
          <w:p>
            <w:pPr>
              <w:jc w:val="right"/>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15"/>
        </w:trPr>
        <w:tc>
          <w:tcPr>
            <w:tcW w:w="8540" w:type="dxa"/>
            <w:vAlign w:val="bottom"/>
          </w:tcPr>
          <w:p>
            <w:pPr>
              <w:ind w:left="60"/>
              <w:spacing w:after="0"/>
              <w:rPr>
                <w:sz w:val="20"/>
                <w:szCs w:val="20"/>
                <w:color w:val="auto"/>
              </w:rPr>
            </w:pPr>
            <w:r>
              <w:rPr>
                <w:rFonts w:ascii="Arial" w:cs="Arial" w:eastAsia="Arial" w:hAnsi="Arial"/>
                <w:sz w:val="16"/>
                <w:szCs w:val="16"/>
                <w:color w:val="auto"/>
              </w:rPr>
              <w:t>Tatiana Mitrova</w:t>
            </w:r>
          </w:p>
        </w:tc>
        <w:tc>
          <w:tcPr>
            <w:tcW w:w="1520" w:type="dxa"/>
            <w:vAlign w:val="bottom"/>
          </w:tcPr>
          <w:p>
            <w:pPr>
              <w:jc w:val="right"/>
              <w:ind w:right="320"/>
              <w:spacing w:after="0"/>
              <w:rPr>
                <w:sz w:val="20"/>
                <w:szCs w:val="20"/>
                <w:color w:val="auto"/>
              </w:rPr>
            </w:pPr>
            <w:r>
              <w:rPr>
                <w:rFonts w:ascii="Arial" w:cs="Arial" w:eastAsia="Arial" w:hAnsi="Arial"/>
                <w:sz w:val="16"/>
                <w:szCs w:val="16"/>
                <w:color w:val="auto"/>
              </w:rPr>
              <w:t>29,144</w:t>
            </w:r>
          </w:p>
        </w:tc>
        <w:tc>
          <w:tcPr>
            <w:tcW w:w="1180" w:type="dxa"/>
            <w:vAlign w:val="bottom"/>
          </w:tcPr>
          <w:p>
            <w:pPr>
              <w:jc w:val="right"/>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70"/>
        </w:trPr>
        <w:tc>
          <w:tcPr>
            <w:tcW w:w="8540" w:type="dxa"/>
            <w:vAlign w:val="bottom"/>
          </w:tcPr>
          <w:p>
            <w:pPr>
              <w:ind w:left="60"/>
              <w:spacing w:after="0"/>
              <w:rPr>
                <w:sz w:val="20"/>
                <w:szCs w:val="20"/>
                <w:color w:val="auto"/>
              </w:rPr>
            </w:pPr>
            <w:r>
              <w:rPr>
                <w:rFonts w:ascii="Arial" w:cs="Arial" w:eastAsia="Arial" w:hAnsi="Arial"/>
                <w:sz w:val="16"/>
                <w:szCs w:val="16"/>
                <w:color w:val="auto"/>
              </w:rPr>
              <w:t>Maria Moræus Hanssen</w:t>
            </w:r>
          </w:p>
        </w:tc>
        <w:tc>
          <w:tcPr>
            <w:tcW w:w="1520" w:type="dxa"/>
            <w:vAlign w:val="bottom"/>
          </w:tcPr>
          <w:p>
            <w:pPr>
              <w:jc w:val="right"/>
              <w:ind w:right="320"/>
              <w:spacing w:after="0"/>
              <w:rPr>
                <w:sz w:val="20"/>
                <w:szCs w:val="20"/>
                <w:color w:val="auto"/>
              </w:rPr>
            </w:pPr>
            <w:r>
              <w:rPr>
                <w:rFonts w:ascii="Arial" w:cs="Arial" w:eastAsia="Arial" w:hAnsi="Arial"/>
                <w:sz w:val="16"/>
                <w:szCs w:val="16"/>
                <w:color w:val="auto"/>
              </w:rPr>
              <w:t>13,152</w:t>
            </w:r>
          </w:p>
        </w:tc>
        <w:tc>
          <w:tcPr>
            <w:tcW w:w="1180" w:type="dxa"/>
            <w:vAlign w:val="bottom"/>
          </w:tcPr>
          <w:p>
            <w:pPr>
              <w:jc w:val="right"/>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70"/>
        </w:trPr>
        <w:tc>
          <w:tcPr>
            <w:tcW w:w="8540" w:type="dxa"/>
            <w:vAlign w:val="bottom"/>
          </w:tcPr>
          <w:p>
            <w:pPr>
              <w:ind w:left="60"/>
              <w:spacing w:after="0"/>
              <w:rPr>
                <w:sz w:val="20"/>
                <w:szCs w:val="20"/>
                <w:color w:val="auto"/>
              </w:rPr>
            </w:pPr>
            <w:r>
              <w:rPr>
                <w:rFonts w:ascii="Arial" w:cs="Arial" w:eastAsia="Arial" w:hAnsi="Arial"/>
                <w:sz w:val="16"/>
                <w:szCs w:val="16"/>
                <w:color w:val="auto"/>
              </w:rPr>
              <w:t>Vanitha Narayanan</w:t>
            </w:r>
          </w:p>
        </w:tc>
        <w:tc>
          <w:tcPr>
            <w:tcW w:w="1520" w:type="dxa"/>
            <w:vAlign w:val="bottom"/>
          </w:tcPr>
          <w:p>
            <w:pPr>
              <w:jc w:val="right"/>
              <w:ind w:right="320"/>
              <w:spacing w:after="0"/>
              <w:rPr>
                <w:sz w:val="20"/>
                <w:szCs w:val="20"/>
                <w:color w:val="auto"/>
              </w:rPr>
            </w:pPr>
            <w:r>
              <w:rPr>
                <w:rFonts w:ascii="Arial" w:cs="Arial" w:eastAsia="Arial" w:hAnsi="Arial"/>
                <w:sz w:val="16"/>
                <w:szCs w:val="16"/>
                <w:color w:val="auto"/>
              </w:rPr>
              <w:t>3,695</w:t>
            </w:r>
          </w:p>
        </w:tc>
        <w:tc>
          <w:tcPr>
            <w:tcW w:w="1180" w:type="dxa"/>
            <w:vAlign w:val="bottom"/>
          </w:tcPr>
          <w:p>
            <w:pPr>
              <w:jc w:val="right"/>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70"/>
        </w:trPr>
        <w:tc>
          <w:tcPr>
            <w:tcW w:w="8540" w:type="dxa"/>
            <w:vAlign w:val="bottom"/>
          </w:tcPr>
          <w:p>
            <w:pPr>
              <w:ind w:left="60"/>
              <w:spacing w:after="0"/>
              <w:rPr>
                <w:sz w:val="20"/>
                <w:szCs w:val="20"/>
                <w:color w:val="auto"/>
              </w:rPr>
            </w:pPr>
            <w:r>
              <w:rPr>
                <w:rFonts w:ascii="Arial" w:cs="Arial" w:eastAsia="Arial" w:hAnsi="Arial"/>
                <w:sz w:val="16"/>
                <w:szCs w:val="16"/>
                <w:color w:val="auto"/>
              </w:rPr>
              <w:t>Mark Papa</w:t>
            </w:r>
          </w:p>
        </w:tc>
        <w:tc>
          <w:tcPr>
            <w:tcW w:w="1520" w:type="dxa"/>
            <w:vAlign w:val="bottom"/>
          </w:tcPr>
          <w:p>
            <w:pPr>
              <w:jc w:val="right"/>
              <w:ind w:right="320"/>
              <w:spacing w:after="0"/>
              <w:rPr>
                <w:sz w:val="20"/>
                <w:szCs w:val="20"/>
                <w:color w:val="auto"/>
              </w:rPr>
            </w:pPr>
            <w:r>
              <w:rPr>
                <w:rFonts w:ascii="Arial" w:cs="Arial" w:eastAsia="Arial" w:hAnsi="Arial"/>
                <w:sz w:val="16"/>
                <w:szCs w:val="16"/>
                <w:color w:val="auto"/>
              </w:rPr>
              <w:t>68,286</w:t>
            </w:r>
          </w:p>
        </w:tc>
        <w:tc>
          <w:tcPr>
            <w:tcW w:w="1180" w:type="dxa"/>
            <w:vAlign w:val="bottom"/>
          </w:tcPr>
          <w:p>
            <w:pPr>
              <w:jc w:val="right"/>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70"/>
        </w:trPr>
        <w:tc>
          <w:tcPr>
            <w:tcW w:w="8540" w:type="dxa"/>
            <w:vAlign w:val="bottom"/>
          </w:tcPr>
          <w:p>
            <w:pPr>
              <w:ind w:left="60"/>
              <w:spacing w:after="0"/>
              <w:rPr>
                <w:sz w:val="20"/>
                <w:szCs w:val="20"/>
                <w:color w:val="auto"/>
              </w:rPr>
            </w:pPr>
            <w:r>
              <w:rPr>
                <w:rFonts w:ascii="Arial" w:cs="Arial" w:eastAsia="Arial" w:hAnsi="Arial"/>
                <w:sz w:val="16"/>
                <w:szCs w:val="16"/>
                <w:color w:val="auto"/>
              </w:rPr>
              <w:t>Dianne Ralston (NEO)</w:t>
            </w:r>
          </w:p>
        </w:tc>
        <w:tc>
          <w:tcPr>
            <w:tcW w:w="1520" w:type="dxa"/>
            <w:vAlign w:val="bottom"/>
          </w:tcPr>
          <w:p>
            <w:pPr>
              <w:jc w:val="right"/>
              <w:ind w:right="320"/>
              <w:spacing w:after="0"/>
              <w:rPr>
                <w:sz w:val="20"/>
                <w:szCs w:val="20"/>
                <w:color w:val="auto"/>
              </w:rPr>
            </w:pPr>
            <w:r>
              <w:rPr>
                <w:rFonts w:ascii="Arial" w:cs="Arial" w:eastAsia="Arial" w:hAnsi="Arial"/>
                <w:sz w:val="16"/>
                <w:szCs w:val="16"/>
                <w:color w:val="auto"/>
              </w:rPr>
              <w:t>86,948</w:t>
            </w:r>
          </w:p>
        </w:tc>
        <w:tc>
          <w:tcPr>
            <w:tcW w:w="1180" w:type="dxa"/>
            <w:vAlign w:val="bottom"/>
          </w:tcPr>
          <w:p>
            <w:pPr>
              <w:jc w:val="right"/>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70"/>
        </w:trPr>
        <w:tc>
          <w:tcPr>
            <w:tcW w:w="8540" w:type="dxa"/>
            <w:vAlign w:val="bottom"/>
          </w:tcPr>
          <w:p>
            <w:pPr>
              <w:ind w:left="60"/>
              <w:spacing w:after="0"/>
              <w:rPr>
                <w:sz w:val="20"/>
                <w:szCs w:val="20"/>
                <w:color w:val="auto"/>
              </w:rPr>
            </w:pPr>
            <w:r>
              <w:rPr>
                <w:rFonts w:ascii="Arial" w:cs="Arial" w:eastAsia="Arial" w:hAnsi="Arial"/>
                <w:sz w:val="16"/>
                <w:szCs w:val="16"/>
                <w:color w:val="auto"/>
              </w:rPr>
              <w:t>Jeff Sheets</w:t>
            </w:r>
          </w:p>
        </w:tc>
        <w:tc>
          <w:tcPr>
            <w:tcW w:w="1520" w:type="dxa"/>
            <w:vAlign w:val="bottom"/>
          </w:tcPr>
          <w:p>
            <w:pPr>
              <w:jc w:val="right"/>
              <w:ind w:right="320"/>
              <w:spacing w:after="0"/>
              <w:rPr>
                <w:sz w:val="20"/>
                <w:szCs w:val="20"/>
                <w:color w:val="auto"/>
              </w:rPr>
            </w:pPr>
            <w:r>
              <w:rPr>
                <w:rFonts w:ascii="Arial" w:cs="Arial" w:eastAsia="Arial" w:hAnsi="Arial"/>
                <w:sz w:val="16"/>
                <w:szCs w:val="16"/>
                <w:color w:val="auto"/>
              </w:rPr>
              <w:t>25,460</w:t>
            </w:r>
          </w:p>
        </w:tc>
        <w:tc>
          <w:tcPr>
            <w:tcW w:w="1180" w:type="dxa"/>
            <w:vAlign w:val="bottom"/>
          </w:tcPr>
          <w:p>
            <w:pPr>
              <w:jc w:val="right"/>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270"/>
        </w:trPr>
        <w:tc>
          <w:tcPr>
            <w:tcW w:w="8540" w:type="dxa"/>
            <w:vAlign w:val="bottom"/>
          </w:tcPr>
          <w:p>
            <w:pPr>
              <w:ind w:left="60"/>
              <w:spacing w:after="0"/>
              <w:rPr>
                <w:sz w:val="20"/>
                <w:szCs w:val="20"/>
                <w:color w:val="auto"/>
              </w:rPr>
            </w:pPr>
            <w:r>
              <w:rPr>
                <w:rFonts w:ascii="Arial" w:cs="Arial" w:eastAsia="Arial" w:hAnsi="Arial"/>
                <w:sz w:val="16"/>
                <w:szCs w:val="16"/>
                <w:color w:val="auto"/>
              </w:rPr>
              <w:t>Ulrich Spiesshofer</w:t>
            </w:r>
          </w:p>
        </w:tc>
        <w:tc>
          <w:tcPr>
            <w:tcW w:w="1520" w:type="dxa"/>
            <w:vAlign w:val="bottom"/>
          </w:tcPr>
          <w:p>
            <w:pPr>
              <w:jc w:val="right"/>
              <w:ind w:right="320"/>
              <w:spacing w:after="0"/>
              <w:rPr>
                <w:sz w:val="20"/>
                <w:szCs w:val="20"/>
                <w:color w:val="auto"/>
              </w:rPr>
            </w:pPr>
            <w:r>
              <w:rPr>
                <w:rFonts w:ascii="Arial" w:cs="Arial" w:eastAsia="Arial" w:hAnsi="Arial"/>
                <w:sz w:val="16"/>
                <w:szCs w:val="16"/>
                <w:color w:val="auto"/>
              </w:rPr>
              <w:t>8,566</w:t>
            </w:r>
          </w:p>
        </w:tc>
        <w:tc>
          <w:tcPr>
            <w:tcW w:w="1180" w:type="dxa"/>
            <w:vAlign w:val="bottom"/>
          </w:tcPr>
          <w:p>
            <w:pPr>
              <w:jc w:val="right"/>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r>
        <w:trPr>
          <w:trHeight w:val="333"/>
        </w:trPr>
        <w:tc>
          <w:tcPr>
            <w:tcW w:w="854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All directors and executive officers as a group (24 persons)</w:t>
            </w:r>
          </w:p>
        </w:tc>
        <w:tc>
          <w:tcPr>
            <w:tcW w:w="1520" w:type="dxa"/>
            <w:vAlign w:val="bottom"/>
            <w:tcBorders>
              <w:bottom w:val="single" w:sz="8" w:color="0233A1"/>
            </w:tcBorders>
          </w:tcPr>
          <w:p>
            <w:pPr>
              <w:jc w:val="right"/>
              <w:ind w:right="160"/>
              <w:spacing w:after="0"/>
              <w:rPr>
                <w:sz w:val="20"/>
                <w:szCs w:val="20"/>
                <w:color w:val="auto"/>
              </w:rPr>
            </w:pPr>
            <w:r>
              <w:rPr>
                <w:rFonts w:ascii="Arial" w:cs="Arial" w:eastAsia="Arial" w:hAnsi="Arial"/>
                <w:sz w:val="16"/>
                <w:szCs w:val="16"/>
                <w:color w:val="auto"/>
              </w:rPr>
              <w:t>3,292,541</w:t>
            </w:r>
            <w:r>
              <w:rPr>
                <w:rFonts w:ascii="Arial" w:cs="Arial" w:eastAsia="Arial" w:hAnsi="Arial"/>
                <w:sz w:val="26"/>
                <w:szCs w:val="26"/>
                <w:color w:val="auto"/>
                <w:vertAlign w:val="superscript"/>
              </w:rPr>
              <w:t>(7)</w:t>
            </w:r>
          </w:p>
        </w:tc>
        <w:tc>
          <w:tcPr>
            <w:tcW w:w="118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&lt;1%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714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714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1714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714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-899795</wp:posOffset>
            </wp:positionV>
            <wp:extent cx="7132320" cy="1714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132320" cy="1714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-1242695</wp:posOffset>
            </wp:positionV>
            <wp:extent cx="7132320" cy="1714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-1413510</wp:posOffset>
            </wp:positionV>
            <wp:extent cx="7132320" cy="1714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-1610995</wp:posOffset>
            </wp:positionV>
            <wp:extent cx="7132320" cy="1714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-1782445</wp:posOffset>
            </wp:positionV>
            <wp:extent cx="7132320" cy="1714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-1979295</wp:posOffset>
            </wp:positionV>
            <wp:extent cx="7132320" cy="1714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-2150745</wp:posOffset>
            </wp:positionV>
            <wp:extent cx="7132320" cy="1714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-2322195</wp:posOffset>
            </wp:positionV>
            <wp:extent cx="7132320" cy="1714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-2493645</wp:posOffset>
            </wp:positionV>
            <wp:extent cx="7132320" cy="1714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-2691130</wp:posOffset>
            </wp:positionV>
            <wp:extent cx="7132320" cy="1714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-2887980</wp:posOffset>
            </wp:positionV>
            <wp:extent cx="7132320" cy="1714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 w:lineRule="exact"/>
        <w:rPr>
          <w:sz w:val="20"/>
          <w:szCs w:val="20"/>
          <w:color w:val="auto"/>
        </w:rPr>
      </w:pPr>
    </w:p>
    <w:p>
      <w:pPr>
        <w:jc w:val="both"/>
        <w:ind w:left="380" w:hanging="318"/>
        <w:spacing w:after="0" w:line="263"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Beneficial ownership is determined under the rules of the SEC and generally includes voting or investment power with respect to securities. Except as indicated in the below footnotes and subject to applicable community property laws, to our knowledge the persons named in this table have sole voting and investment power with respect to the securities listed. None of the shares are subject to any pledge.</w:t>
      </w:r>
    </w:p>
    <w:p>
      <w:pPr>
        <w:spacing w:after="0" w:line="10" w:lineRule="exact"/>
        <w:rPr>
          <w:rFonts w:ascii="Arial" w:cs="Arial" w:eastAsia="Arial" w:hAnsi="Arial"/>
          <w:sz w:val="14"/>
          <w:szCs w:val="14"/>
          <w:color w:val="auto"/>
        </w:rPr>
      </w:pPr>
    </w:p>
    <w:p>
      <w:pPr>
        <w:ind w:left="380" w:hanging="318"/>
        <w:spacing w:after="0"/>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options to purchase 308,000 SLB shares.</w:t>
      </w:r>
    </w:p>
    <w:p>
      <w:pPr>
        <w:spacing w:after="0" w:line="55" w:lineRule="exact"/>
        <w:rPr>
          <w:rFonts w:ascii="Arial" w:cs="Arial" w:eastAsia="Arial" w:hAnsi="Arial"/>
          <w:sz w:val="14"/>
          <w:szCs w:val="14"/>
          <w:color w:val="auto"/>
        </w:rPr>
      </w:pPr>
    </w:p>
    <w:p>
      <w:pPr>
        <w:ind w:left="380" w:hanging="318"/>
        <w:spacing w:after="0"/>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options to purchase 268,000 SLB shares.</w:t>
      </w:r>
    </w:p>
    <w:p>
      <w:pPr>
        <w:spacing w:after="0" w:line="55" w:lineRule="exact"/>
        <w:rPr>
          <w:rFonts w:ascii="Arial" w:cs="Arial" w:eastAsia="Arial" w:hAnsi="Arial"/>
          <w:sz w:val="14"/>
          <w:szCs w:val="14"/>
          <w:color w:val="auto"/>
        </w:rPr>
      </w:pPr>
    </w:p>
    <w:p>
      <w:pPr>
        <w:ind w:left="380" w:hanging="318"/>
        <w:spacing w:after="0"/>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options to purchase 99,000 SLB shares and 1,773 shares beneficially owned by Mr. Biguet’s children.</w:t>
      </w:r>
    </w:p>
    <w:p>
      <w:pPr>
        <w:spacing w:after="0" w:line="55" w:lineRule="exact"/>
        <w:rPr>
          <w:rFonts w:ascii="Arial" w:cs="Arial" w:eastAsia="Arial" w:hAnsi="Arial"/>
          <w:sz w:val="14"/>
          <w:szCs w:val="14"/>
          <w:color w:val="auto"/>
        </w:rPr>
      </w:pPr>
    </w:p>
    <w:p>
      <w:pPr>
        <w:ind w:left="380" w:hanging="318"/>
        <w:spacing w:after="0"/>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options to purchase 129,000 SLB shares.</w:t>
      </w:r>
    </w:p>
    <w:p>
      <w:pPr>
        <w:spacing w:after="0" w:line="55" w:lineRule="exact"/>
        <w:rPr>
          <w:rFonts w:ascii="Arial" w:cs="Arial" w:eastAsia="Arial" w:hAnsi="Arial"/>
          <w:sz w:val="14"/>
          <w:szCs w:val="14"/>
          <w:color w:val="auto"/>
        </w:rPr>
      </w:pPr>
    </w:p>
    <w:p>
      <w:pPr>
        <w:ind w:left="380" w:hanging="318"/>
        <w:spacing w:after="0"/>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options to purchase 64,000 SLB shares.</w:t>
      </w:r>
    </w:p>
    <w:p>
      <w:pPr>
        <w:spacing w:after="0" w:line="55" w:lineRule="exact"/>
        <w:rPr>
          <w:rFonts w:ascii="Arial" w:cs="Arial" w:eastAsia="Arial" w:hAnsi="Arial"/>
          <w:sz w:val="14"/>
          <w:szCs w:val="14"/>
          <w:color w:val="auto"/>
        </w:rPr>
      </w:pPr>
    </w:p>
    <w:p>
      <w:pPr>
        <w:ind w:left="380" w:hanging="318"/>
        <w:spacing w:after="0" w:line="285"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options to purchase 1,079,990 SLB shares, all of which are held by our executive officers. Excludes shares owned by Mr. Belani, who retired from his role as EVP, New Energy effective April 1, 2022, and was appointed Senior Strategic Advisor to the CEO, a non-executive officer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191770</wp:posOffset>
            </wp:positionV>
            <wp:extent cx="471805" cy="28321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Pr>
          <w:p>
            <w:pPr>
              <w:spacing w:after="0"/>
              <w:rPr>
                <w:sz w:val="9"/>
                <w:szCs w:val="9"/>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27</w:t>
            </w:r>
          </w:p>
        </w:tc>
        <w:tc>
          <w:tcPr>
            <w:tcW w:w="44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Security Ownership by Certain Beneficial Owners</w:t>
      </w:r>
    </w:p>
    <w:p>
      <w:pPr>
        <w:spacing w:after="0" w:line="2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The following table sets forth information as of December 31, 2022 (except as otherwise noted) with respect to persons known by us to be the beneficial owners of more than 5% of our common stock, based solely on the information reported by such persons in their Schedule 13D and 13G filings with the SEC.</w:t>
      </w:r>
    </w:p>
    <w:p>
      <w:pPr>
        <w:spacing w:after="0" w:line="3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For each entity included in the table below, percentage ownership is calculated by dividing the number of shares reported as beneficially owned by such entity by the 1,428,189,537 shares of our common stock outstanding on January 31,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60" w:type="dxa"/>
            <w:vAlign w:val="bottom"/>
          </w:tcPr>
          <w:p>
            <w:pPr>
              <w:spacing w:after="0"/>
              <w:rPr>
                <w:sz w:val="16"/>
                <w:szCs w:val="16"/>
                <w:color w:val="auto"/>
              </w:rPr>
            </w:pPr>
          </w:p>
        </w:tc>
        <w:tc>
          <w:tcPr>
            <w:tcW w:w="258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0233A1"/>
              </w:rPr>
              <w:t>Beneficial Ownership of</w:t>
            </w:r>
          </w:p>
        </w:tc>
      </w:tr>
      <w:tr>
        <w:trPr>
          <w:trHeight w:val="203"/>
        </w:trPr>
        <w:tc>
          <w:tcPr>
            <w:tcW w:w="8660" w:type="dxa"/>
            <w:vAlign w:val="bottom"/>
          </w:tcPr>
          <w:p>
            <w:pPr>
              <w:spacing w:after="0"/>
              <w:rPr>
                <w:sz w:val="17"/>
                <w:szCs w:val="17"/>
                <w:color w:val="auto"/>
              </w:rPr>
            </w:pPr>
          </w:p>
        </w:tc>
        <w:tc>
          <w:tcPr>
            <w:tcW w:w="2580" w:type="dxa"/>
            <w:vAlign w:val="bottom"/>
            <w:tcBorders>
              <w:bottom w:val="single" w:sz="8" w:color="0233A1"/>
            </w:tcBorders>
            <w:gridSpan w:val="2"/>
          </w:tcPr>
          <w:p>
            <w:pPr>
              <w:jc w:val="right"/>
              <w:ind w:right="439"/>
              <w:spacing w:after="0"/>
              <w:rPr>
                <w:sz w:val="20"/>
                <w:szCs w:val="20"/>
                <w:color w:val="auto"/>
              </w:rPr>
            </w:pPr>
            <w:r>
              <w:rPr>
                <w:rFonts w:ascii="Arial" w:cs="Arial" w:eastAsia="Arial" w:hAnsi="Arial"/>
                <w:sz w:val="16"/>
                <w:szCs w:val="16"/>
                <w:b w:val="1"/>
                <w:bCs w:val="1"/>
                <w:color w:val="0233A1"/>
              </w:rPr>
              <w:t>SLB Common Stock</w:t>
            </w:r>
          </w:p>
        </w:tc>
      </w:tr>
      <w:tr>
        <w:trPr>
          <w:trHeight w:val="168"/>
        </w:trPr>
        <w:tc>
          <w:tcPr>
            <w:tcW w:w="8660" w:type="dxa"/>
            <w:vAlign w:val="bottom"/>
          </w:tcPr>
          <w:p>
            <w:pPr>
              <w:spacing w:after="0"/>
              <w:rPr>
                <w:sz w:val="14"/>
                <w:szCs w:val="14"/>
                <w:color w:val="auto"/>
              </w:rPr>
            </w:pPr>
          </w:p>
        </w:tc>
        <w:tc>
          <w:tcPr>
            <w:tcW w:w="1400" w:type="dxa"/>
            <w:vAlign w:val="bottom"/>
          </w:tcPr>
          <w:p>
            <w:pPr>
              <w:jc w:val="right"/>
              <w:ind w:right="179"/>
              <w:spacing w:after="0" w:line="168" w:lineRule="exact"/>
              <w:rPr>
                <w:sz w:val="20"/>
                <w:szCs w:val="20"/>
                <w:color w:val="auto"/>
              </w:rPr>
            </w:pPr>
            <w:r>
              <w:rPr>
                <w:rFonts w:ascii="Arial" w:cs="Arial" w:eastAsia="Arial" w:hAnsi="Arial"/>
                <w:sz w:val="16"/>
                <w:szCs w:val="16"/>
                <w:b w:val="1"/>
                <w:bCs w:val="1"/>
                <w:color w:val="0233A1"/>
              </w:rPr>
              <w:t>Number of</w:t>
            </w:r>
          </w:p>
        </w:tc>
        <w:tc>
          <w:tcPr>
            <w:tcW w:w="1180" w:type="dxa"/>
            <w:vAlign w:val="bottom"/>
          </w:tcPr>
          <w:p>
            <w:pPr>
              <w:jc w:val="right"/>
              <w:spacing w:after="0" w:line="168" w:lineRule="exact"/>
              <w:rPr>
                <w:sz w:val="20"/>
                <w:szCs w:val="20"/>
                <w:color w:val="auto"/>
              </w:rPr>
            </w:pPr>
            <w:r>
              <w:rPr>
                <w:rFonts w:ascii="Arial" w:cs="Arial" w:eastAsia="Arial" w:hAnsi="Arial"/>
                <w:sz w:val="16"/>
                <w:szCs w:val="16"/>
                <w:b w:val="1"/>
                <w:bCs w:val="1"/>
                <w:color w:val="0233A1"/>
              </w:rPr>
              <w:t>Percentage</w:t>
            </w:r>
          </w:p>
        </w:tc>
      </w:tr>
      <w:tr>
        <w:trPr>
          <w:trHeight w:val="203"/>
        </w:trPr>
        <w:tc>
          <w:tcPr>
            <w:tcW w:w="866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Name and Address</w:t>
            </w:r>
          </w:p>
        </w:tc>
        <w:tc>
          <w:tcPr>
            <w:tcW w:w="1400" w:type="dxa"/>
            <w:vAlign w:val="bottom"/>
            <w:tcBorders>
              <w:bottom w:val="single" w:sz="8" w:color="0233A1"/>
            </w:tcBorders>
          </w:tcPr>
          <w:p>
            <w:pPr>
              <w:jc w:val="right"/>
              <w:ind w:right="179"/>
              <w:spacing w:after="0"/>
              <w:rPr>
                <w:sz w:val="20"/>
                <w:szCs w:val="20"/>
                <w:color w:val="auto"/>
              </w:rPr>
            </w:pPr>
            <w:r>
              <w:rPr>
                <w:rFonts w:ascii="Arial" w:cs="Arial" w:eastAsia="Arial" w:hAnsi="Arial"/>
                <w:sz w:val="16"/>
                <w:szCs w:val="16"/>
                <w:b w:val="1"/>
                <w:bCs w:val="1"/>
                <w:color w:val="0233A1"/>
              </w:rPr>
              <w:t>Shares</w:t>
            </w:r>
          </w:p>
        </w:tc>
        <w:tc>
          <w:tcPr>
            <w:tcW w:w="118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of Class</w:t>
            </w:r>
          </w:p>
        </w:tc>
      </w:tr>
      <w:tr>
        <w:trPr>
          <w:trHeight w:val="236"/>
        </w:trPr>
        <w:tc>
          <w:tcPr>
            <w:tcW w:w="8660" w:type="dxa"/>
            <w:vAlign w:val="bottom"/>
          </w:tcPr>
          <w:p>
            <w:pPr>
              <w:ind w:left="60"/>
              <w:spacing w:after="0" w:line="236" w:lineRule="exact"/>
              <w:rPr>
                <w:sz w:val="20"/>
                <w:szCs w:val="20"/>
                <w:color w:val="auto"/>
              </w:rPr>
            </w:pPr>
            <w:r>
              <w:rPr>
                <w:rFonts w:ascii="Arial" w:cs="Arial" w:eastAsia="Arial" w:hAnsi="Arial"/>
                <w:sz w:val="16"/>
                <w:szCs w:val="16"/>
                <w:color w:val="auto"/>
              </w:rPr>
              <w:t>The Vanguard Group</w:t>
            </w:r>
            <w:r>
              <w:rPr>
                <w:rFonts w:ascii="Arial" w:cs="Arial" w:eastAsia="Arial" w:hAnsi="Arial"/>
                <w:sz w:val="26"/>
                <w:szCs w:val="26"/>
                <w:color w:val="auto"/>
                <w:vertAlign w:val="superscript"/>
              </w:rPr>
              <w:t>(1)</w:t>
            </w: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125,139,611</w:t>
            </w:r>
          </w:p>
        </w:tc>
        <w:tc>
          <w:tcPr>
            <w:tcW w:w="118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189"/>
        </w:trPr>
        <w:tc>
          <w:tcPr>
            <w:tcW w:w="8660" w:type="dxa"/>
            <w:vAlign w:val="bottom"/>
          </w:tcPr>
          <w:p>
            <w:pPr>
              <w:ind w:left="60"/>
              <w:spacing w:after="0"/>
              <w:rPr>
                <w:sz w:val="20"/>
                <w:szCs w:val="20"/>
                <w:color w:val="auto"/>
              </w:rPr>
            </w:pPr>
            <w:r>
              <w:rPr>
                <w:rFonts w:ascii="Arial" w:cs="Arial" w:eastAsia="Arial" w:hAnsi="Arial"/>
                <w:sz w:val="16"/>
                <w:szCs w:val="16"/>
                <w:color w:val="auto"/>
              </w:rPr>
              <w:t>100 Vanguard Blvd.</w:t>
            </w: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5"/>
        </w:trPr>
        <w:tc>
          <w:tcPr>
            <w:tcW w:w="8660" w:type="dxa"/>
            <w:vAlign w:val="bottom"/>
          </w:tcPr>
          <w:p>
            <w:pPr>
              <w:ind w:left="60"/>
              <w:spacing w:after="0"/>
              <w:rPr>
                <w:sz w:val="20"/>
                <w:szCs w:val="20"/>
                <w:color w:val="auto"/>
              </w:rPr>
            </w:pPr>
            <w:r>
              <w:rPr>
                <w:rFonts w:ascii="Arial" w:cs="Arial" w:eastAsia="Arial" w:hAnsi="Arial"/>
                <w:sz w:val="16"/>
                <w:szCs w:val="16"/>
                <w:color w:val="auto"/>
              </w:rPr>
              <w:t>Malvern, PA 19355</w:t>
            </w: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85"/>
        </w:trPr>
        <w:tc>
          <w:tcPr>
            <w:tcW w:w="8660" w:type="dxa"/>
            <w:vAlign w:val="bottom"/>
          </w:tcPr>
          <w:p>
            <w:pPr>
              <w:ind w:left="60"/>
              <w:spacing w:after="0" w:line="285" w:lineRule="exact"/>
              <w:rPr>
                <w:sz w:val="20"/>
                <w:szCs w:val="20"/>
                <w:color w:val="auto"/>
              </w:rPr>
            </w:pPr>
            <w:r>
              <w:rPr>
                <w:rFonts w:ascii="Arial" w:cs="Arial" w:eastAsia="Arial" w:hAnsi="Arial"/>
                <w:sz w:val="16"/>
                <w:szCs w:val="16"/>
                <w:color w:val="auto"/>
              </w:rPr>
              <w:t>BlackRock, Inc.</w:t>
            </w:r>
            <w:r>
              <w:rPr>
                <w:rFonts w:ascii="Arial" w:cs="Arial" w:eastAsia="Arial" w:hAnsi="Arial"/>
                <w:sz w:val="26"/>
                <w:szCs w:val="26"/>
                <w:color w:val="auto"/>
                <w:vertAlign w:val="superscript"/>
              </w:rPr>
              <w:t>(2)</w:t>
            </w: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107,803,887</w:t>
            </w:r>
          </w:p>
        </w:tc>
        <w:tc>
          <w:tcPr>
            <w:tcW w:w="118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189"/>
        </w:trPr>
        <w:tc>
          <w:tcPr>
            <w:tcW w:w="8660" w:type="dxa"/>
            <w:vAlign w:val="bottom"/>
          </w:tcPr>
          <w:p>
            <w:pPr>
              <w:ind w:left="60"/>
              <w:spacing w:after="0"/>
              <w:rPr>
                <w:sz w:val="20"/>
                <w:szCs w:val="20"/>
                <w:color w:val="auto"/>
              </w:rPr>
            </w:pPr>
            <w:r>
              <w:rPr>
                <w:rFonts w:ascii="Arial" w:cs="Arial" w:eastAsia="Arial" w:hAnsi="Arial"/>
                <w:sz w:val="16"/>
                <w:szCs w:val="16"/>
                <w:color w:val="auto"/>
              </w:rPr>
              <w:t>55 East 52nd Street</w:t>
            </w: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5"/>
        </w:trPr>
        <w:tc>
          <w:tcPr>
            <w:tcW w:w="8660" w:type="dxa"/>
            <w:vAlign w:val="bottom"/>
          </w:tcPr>
          <w:p>
            <w:pPr>
              <w:ind w:left="60"/>
              <w:spacing w:after="0"/>
              <w:rPr>
                <w:sz w:val="20"/>
                <w:szCs w:val="20"/>
                <w:color w:val="auto"/>
              </w:rPr>
            </w:pPr>
            <w:r>
              <w:rPr>
                <w:rFonts w:ascii="Arial" w:cs="Arial" w:eastAsia="Arial" w:hAnsi="Arial"/>
                <w:sz w:val="16"/>
                <w:szCs w:val="16"/>
                <w:color w:val="auto"/>
              </w:rPr>
              <w:t>New York, NY 10055</w:t>
            </w: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85"/>
        </w:trPr>
        <w:tc>
          <w:tcPr>
            <w:tcW w:w="8660" w:type="dxa"/>
            <w:vAlign w:val="bottom"/>
          </w:tcPr>
          <w:p>
            <w:pPr>
              <w:ind w:left="60"/>
              <w:spacing w:after="0" w:line="285" w:lineRule="exact"/>
              <w:rPr>
                <w:sz w:val="20"/>
                <w:szCs w:val="20"/>
                <w:color w:val="auto"/>
              </w:rPr>
            </w:pPr>
            <w:r>
              <w:rPr>
                <w:rFonts w:ascii="Arial" w:cs="Arial" w:eastAsia="Arial" w:hAnsi="Arial"/>
                <w:sz w:val="16"/>
                <w:szCs w:val="16"/>
                <w:color w:val="auto"/>
              </w:rPr>
              <w:t>State Street Corporation</w:t>
            </w:r>
            <w:r>
              <w:rPr>
                <w:rFonts w:ascii="Arial" w:cs="Arial" w:eastAsia="Arial" w:hAnsi="Arial"/>
                <w:sz w:val="26"/>
                <w:szCs w:val="26"/>
                <w:color w:val="auto"/>
                <w:vertAlign w:val="superscript"/>
              </w:rPr>
              <w:t>(3)</w:t>
            </w: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86,680,330</w:t>
            </w:r>
          </w:p>
        </w:tc>
        <w:tc>
          <w:tcPr>
            <w:tcW w:w="118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189"/>
        </w:trPr>
        <w:tc>
          <w:tcPr>
            <w:tcW w:w="8660" w:type="dxa"/>
            <w:vAlign w:val="bottom"/>
          </w:tcPr>
          <w:p>
            <w:pPr>
              <w:ind w:left="60"/>
              <w:spacing w:after="0"/>
              <w:rPr>
                <w:sz w:val="20"/>
                <w:szCs w:val="20"/>
                <w:color w:val="auto"/>
              </w:rPr>
            </w:pPr>
            <w:r>
              <w:rPr>
                <w:rFonts w:ascii="Arial" w:cs="Arial" w:eastAsia="Arial" w:hAnsi="Arial"/>
                <w:sz w:val="16"/>
                <w:szCs w:val="16"/>
                <w:color w:val="auto"/>
              </w:rPr>
              <w:t>State Street Financial Center</w:t>
            </w: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8660" w:type="dxa"/>
            <w:vAlign w:val="bottom"/>
          </w:tcPr>
          <w:p>
            <w:pPr>
              <w:ind w:left="60"/>
              <w:spacing w:after="0"/>
              <w:rPr>
                <w:sz w:val="20"/>
                <w:szCs w:val="20"/>
                <w:color w:val="auto"/>
              </w:rPr>
            </w:pPr>
            <w:r>
              <w:rPr>
                <w:rFonts w:ascii="Arial" w:cs="Arial" w:eastAsia="Arial" w:hAnsi="Arial"/>
                <w:sz w:val="16"/>
                <w:szCs w:val="16"/>
                <w:color w:val="auto"/>
              </w:rPr>
              <w:t>One Lincoln Street</w:t>
            </w: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7"/>
        </w:trPr>
        <w:tc>
          <w:tcPr>
            <w:tcW w:w="866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Boston, MA 02111</w:t>
            </w:r>
          </w:p>
        </w:tc>
        <w:tc>
          <w:tcPr>
            <w:tcW w:w="1400" w:type="dxa"/>
            <w:vAlign w:val="bottom"/>
            <w:tcBorders>
              <w:bottom w:val="single" w:sz="8" w:color="0233A1"/>
            </w:tcBorders>
          </w:tcPr>
          <w:p>
            <w:pPr>
              <w:spacing w:after="0"/>
              <w:rPr>
                <w:sz w:val="20"/>
                <w:szCs w:val="20"/>
                <w:color w:val="auto"/>
              </w:rPr>
            </w:pPr>
          </w:p>
        </w:tc>
        <w:tc>
          <w:tcPr>
            <w:tcW w:w="1180" w:type="dxa"/>
            <w:vAlign w:val="bottom"/>
            <w:tcBorders>
              <w:bottom w:val="single" w:sz="8" w:color="0233A1"/>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-573405</wp:posOffset>
            </wp:positionV>
            <wp:extent cx="17145" cy="1714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-573405</wp:posOffset>
            </wp:positionV>
            <wp:extent cx="17145" cy="1714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-573405</wp:posOffset>
            </wp:positionV>
            <wp:extent cx="17145" cy="1714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-573405</wp:posOffset>
            </wp:positionV>
            <wp:extent cx="17145" cy="1714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-573405</wp:posOffset>
            </wp:positionV>
            <wp:extent cx="17145" cy="1714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-573405</wp:posOffset>
            </wp:positionV>
            <wp:extent cx="17145" cy="1714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-573405</wp:posOffset>
            </wp:positionV>
            <wp:extent cx="17145" cy="1714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-573405</wp:posOffset>
            </wp:positionV>
            <wp:extent cx="17145" cy="1714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-573405</wp:posOffset>
            </wp:positionV>
            <wp:extent cx="17145" cy="1714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-573405</wp:posOffset>
            </wp:positionV>
            <wp:extent cx="17145" cy="1714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-573405</wp:posOffset>
            </wp:positionV>
            <wp:extent cx="17145" cy="1714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-573405</wp:posOffset>
            </wp:positionV>
            <wp:extent cx="17145" cy="1714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-573405</wp:posOffset>
            </wp:positionV>
            <wp:extent cx="17145" cy="1714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-573405</wp:posOffset>
            </wp:positionV>
            <wp:extent cx="17145" cy="1714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-573405</wp:posOffset>
            </wp:positionV>
            <wp:extent cx="17145" cy="1714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-573405</wp:posOffset>
            </wp:positionV>
            <wp:extent cx="17145" cy="1714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-573405</wp:posOffset>
            </wp:positionV>
            <wp:extent cx="17145" cy="1714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-573405</wp:posOffset>
            </wp:positionV>
            <wp:extent cx="17145" cy="1714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-573405</wp:posOffset>
            </wp:positionV>
            <wp:extent cx="17145" cy="1714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-573405</wp:posOffset>
            </wp:positionV>
            <wp:extent cx="17145" cy="1714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-573405</wp:posOffset>
            </wp:positionV>
            <wp:extent cx="6437630" cy="1714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6437630" cy="1714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-1010920</wp:posOffset>
            </wp:positionV>
            <wp:extent cx="17145" cy="1714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-1010920</wp:posOffset>
            </wp:positionV>
            <wp:extent cx="17145" cy="1714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-1010920</wp:posOffset>
            </wp:positionV>
            <wp:extent cx="17145" cy="1714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-1010920</wp:posOffset>
            </wp:positionV>
            <wp:extent cx="17145" cy="1714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-1010920</wp:posOffset>
            </wp:positionV>
            <wp:extent cx="17145" cy="1714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-1010920</wp:posOffset>
            </wp:positionV>
            <wp:extent cx="17145" cy="1714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-1010920</wp:posOffset>
            </wp:positionV>
            <wp:extent cx="17145" cy="1714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-1010920</wp:posOffset>
            </wp:positionV>
            <wp:extent cx="17145" cy="1714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-1010920</wp:posOffset>
            </wp:positionV>
            <wp:extent cx="17145" cy="1714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-1010920</wp:posOffset>
            </wp:positionV>
            <wp:extent cx="17145" cy="1714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-1010920</wp:posOffset>
            </wp:positionV>
            <wp:extent cx="17145" cy="1714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-1010920</wp:posOffset>
            </wp:positionV>
            <wp:extent cx="17145" cy="1714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-1010920</wp:posOffset>
            </wp:positionV>
            <wp:extent cx="17145" cy="1714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-1010920</wp:posOffset>
            </wp:positionV>
            <wp:extent cx="17145" cy="1714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-1010920</wp:posOffset>
            </wp:positionV>
            <wp:extent cx="17145" cy="1714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-1010920</wp:posOffset>
            </wp:positionV>
            <wp:extent cx="17145" cy="1714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-1010920</wp:posOffset>
            </wp:positionV>
            <wp:extent cx="17145" cy="1714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-1010920</wp:posOffset>
            </wp:positionV>
            <wp:extent cx="17145" cy="1714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-1010920</wp:posOffset>
            </wp:positionV>
            <wp:extent cx="17145" cy="1714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-1010920</wp:posOffset>
            </wp:positionV>
            <wp:extent cx="17145" cy="1714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-1010920</wp:posOffset>
            </wp:positionV>
            <wp:extent cx="6437630" cy="1714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6437630" cy="17145"/>
                    </a:xfrm>
                    <a:prstGeom prst="rect">
                      <a:avLst/>
                    </a:prstGeom>
                    <a:noFill/>
                  </pic:spPr>
                </pic:pic>
              </a:graphicData>
            </a:graphic>
          </wp:anchor>
        </w:drawing>
      </w:r>
    </w:p>
    <w:p>
      <w:pPr>
        <w:spacing w:after="0" w:line="25" w:lineRule="exact"/>
        <w:rPr>
          <w:sz w:val="20"/>
          <w:szCs w:val="20"/>
          <w:color w:val="auto"/>
        </w:rPr>
      </w:pPr>
    </w:p>
    <w:p>
      <w:pPr>
        <w:ind w:left="380" w:hanging="318"/>
        <w:spacing w:after="0" w:line="281"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solely on a Statement on Schedule 13G/A filed on February 9, 2023. Such filing indicates that The Vanguard Group has shared voting power with respect to 1,885,561 shares, sole investment power with respect to 119,570,936 shares and shared investment power with respect to 5,568,675 shares.</w:t>
      </w:r>
    </w:p>
    <w:p>
      <w:pPr>
        <w:spacing w:after="0" w:line="1" w:lineRule="exact"/>
        <w:rPr>
          <w:rFonts w:ascii="Arial" w:cs="Arial" w:eastAsia="Arial" w:hAnsi="Arial"/>
          <w:sz w:val="14"/>
          <w:szCs w:val="14"/>
          <w:color w:val="auto"/>
        </w:rPr>
      </w:pPr>
    </w:p>
    <w:p>
      <w:pPr>
        <w:ind w:left="380" w:right="20" w:hanging="318"/>
        <w:spacing w:after="0" w:line="281"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solely on a Statement on Schedule 13G/A filed on January 31, 2023. Such filing indicates that BlackRock, Inc. has sole voting power with respect to 95,233,711 shares and sole investment power with respect to 106,886,387 shares.</w:t>
      </w:r>
    </w:p>
    <w:p>
      <w:pPr>
        <w:spacing w:after="0" w:line="1" w:lineRule="exact"/>
        <w:rPr>
          <w:rFonts w:ascii="Arial" w:cs="Arial" w:eastAsia="Arial" w:hAnsi="Arial"/>
          <w:sz w:val="14"/>
          <w:szCs w:val="14"/>
          <w:color w:val="auto"/>
        </w:rPr>
      </w:pPr>
    </w:p>
    <w:p>
      <w:pPr>
        <w:ind w:left="380" w:hanging="318"/>
        <w:spacing w:after="0" w:line="285"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solely on a Statement on Schedule 13G/A filed on February 7, 2023. Such filing indicates that State Street Corporation has shared voting power with respect to 79,798,276 shares and shared investment power with respect to 86,299,734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71170" cy="28257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160"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28</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-46990</wp:posOffset>
            </wp:positionV>
            <wp:extent cx="5417820" cy="1714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7" w:lineRule="exact"/>
        <w:rPr>
          <w:sz w:val="20"/>
          <w:szCs w:val="20"/>
          <w:color w:val="auto"/>
        </w:rPr>
      </w:pPr>
    </w:p>
    <w:p>
      <w:pPr>
        <w:jc w:val="both"/>
        <w:ind w:left="1980" w:right="1300" w:hanging="1979"/>
        <w:spacing w:after="0" w:line="262" w:lineRule="auto"/>
        <w:rPr>
          <w:sz w:val="20"/>
          <w:szCs w:val="20"/>
          <w:color w:val="auto"/>
        </w:rPr>
      </w:pPr>
      <w:r>
        <w:rPr>
          <w:rFonts w:ascii="Arial" w:cs="Arial" w:eastAsia="Arial" w:hAnsi="Arial"/>
          <w:sz w:val="50"/>
          <w:szCs w:val="50"/>
          <w:b w:val="1"/>
          <w:bCs w:val="1"/>
          <w:color w:val="0233A1"/>
        </w:rPr>
        <w:t xml:space="preserve">ITEM 2. </w:t>
      </w:r>
      <w:r>
        <w:rPr>
          <w:rFonts w:ascii="Arial" w:cs="Arial" w:eastAsia="Arial" w:hAnsi="Arial"/>
          <w:sz w:val="50"/>
          <w:szCs w:val="50"/>
          <w:color w:val="000000"/>
        </w:rPr>
        <w:t>Advisory Vote on the Frequency of</w:t>
      </w:r>
      <w:r>
        <w:rPr>
          <w:rFonts w:ascii="Arial" w:cs="Arial" w:eastAsia="Arial" w:hAnsi="Arial"/>
          <w:sz w:val="50"/>
          <w:szCs w:val="50"/>
          <w:b w:val="1"/>
          <w:bCs w:val="1"/>
          <w:color w:val="0233A1"/>
        </w:rPr>
        <w:t xml:space="preserve"> </w:t>
      </w:r>
      <w:r>
        <w:rPr>
          <w:rFonts w:ascii="Arial" w:cs="Arial" w:eastAsia="Arial" w:hAnsi="Arial"/>
          <w:sz w:val="50"/>
          <w:szCs w:val="50"/>
          <w:color w:val="000000"/>
        </w:rPr>
        <w:t>Future Advisory Votes on Executive Compensation</w:t>
      </w:r>
    </w:p>
    <w:p>
      <w:pPr>
        <w:spacing w:after="0" w:line="31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Our Board is asking you to vote, on an advisory basis, on whether future advisory votes on executive compensation (as reflected in Item 3 below) should occur every year, every two years or every three years. This item, which is provided pursuant to Section 14A of the Exchange Act, is commonly referred to as a “say-on-frequency” resolution.</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After careful consideration, our Board recommends that future advisory votes on executive compensation occur every year. We believe that an annual advisory vote on executive compensation will allow our shareholders to provide frequent, direct input on our compensation policies and practices and the resulting compensation for our named executive officers. Shareholders will have the opportunity to consider our most recent compensation decisions and focus on increasing long-term shareholder value, and to provide feedback to us in a timely way.</w:t>
      </w:r>
    </w:p>
    <w:p>
      <w:pPr>
        <w:spacing w:after="0" w:line="15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In making this recommendation, the Board considered that a majority of the votes cast at our 2017 AGM voted in favor of holding annual advisory votes on executive compensation. In addition, we are aware of the significant interest in executive compensation matters by investors and the general public, and value and encourage constructive dialogue with our shareholders on these matters.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This advisory resolution is non-binding on the Board. Although we currently believe that holding an advisory vote on executive compensation every year will reflect the right balance of considerations in the normal course, we will continue to periodically reassess that view and may provide for an advisory vote on executive compensation on a less frequent basis if long-term stability in our compensation program or other circumstances suggest that such a vote frequency would be more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41148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342" w:lineRule="exact"/>
        <w:rPr>
          <w:sz w:val="20"/>
          <w:szCs w:val="20"/>
          <w:color w:val="auto"/>
        </w:rPr>
      </w:pPr>
    </w:p>
    <w:p>
      <w:pPr>
        <w:ind w:left="680"/>
        <w:spacing w:after="0"/>
        <w:rPr>
          <w:sz w:val="20"/>
          <w:szCs w:val="20"/>
          <w:color w:val="auto"/>
        </w:rPr>
      </w:pPr>
      <w:r>
        <w:rPr>
          <w:rFonts w:ascii="Arial" w:cs="Arial" w:eastAsia="Arial" w:hAnsi="Arial"/>
          <w:sz w:val="18"/>
          <w:szCs w:val="18"/>
          <w:color w:val="FFFFFF"/>
        </w:rPr>
        <w:t xml:space="preserve">The Board of Directors recommends a vote to conduct future advisory votes on executive compensation every </w:t>
      </w:r>
      <w:r>
        <w:rPr>
          <w:rFonts w:ascii="Arial" w:cs="Arial" w:eastAsia="Arial" w:hAnsi="Arial"/>
          <w:sz w:val="18"/>
          <w:szCs w:val="18"/>
          <w:b w:val="1"/>
          <w:bCs w:val="1"/>
          <w:color w:val="FFFFFF"/>
        </w:rPr>
        <w:t>ONE YEAR</w:t>
      </w:r>
      <w:r>
        <w:rPr>
          <w:rFonts w:ascii="Arial" w:cs="Arial" w:eastAsia="Arial" w:hAnsi="Arial"/>
          <w:sz w:val="18"/>
          <w:szCs w:val="18"/>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377825</wp:posOffset>
            </wp:positionV>
            <wp:extent cx="471805" cy="28257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Pr>
          <w:p>
            <w:pPr>
              <w:spacing w:after="0"/>
              <w:rPr>
                <w:sz w:val="9"/>
                <w:szCs w:val="9"/>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29</w:t>
            </w:r>
          </w:p>
        </w:tc>
        <w:tc>
          <w:tcPr>
            <w:tcW w:w="44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7" w:lineRule="exact"/>
        <w:rPr>
          <w:sz w:val="20"/>
          <w:szCs w:val="20"/>
          <w:color w:val="auto"/>
        </w:rPr>
      </w:pPr>
    </w:p>
    <w:p>
      <w:pPr>
        <w:ind w:left="1980" w:right="1280" w:hanging="1979"/>
        <w:spacing w:after="0" w:line="282" w:lineRule="auto"/>
        <w:rPr>
          <w:sz w:val="20"/>
          <w:szCs w:val="20"/>
          <w:color w:val="auto"/>
        </w:rPr>
      </w:pPr>
      <w:r>
        <w:rPr>
          <w:rFonts w:ascii="Arial" w:cs="Arial" w:eastAsia="Arial" w:hAnsi="Arial"/>
          <w:sz w:val="50"/>
          <w:szCs w:val="50"/>
          <w:b w:val="1"/>
          <w:bCs w:val="1"/>
          <w:color w:val="0233A1"/>
        </w:rPr>
        <w:t xml:space="preserve">ITEM 3. </w:t>
      </w:r>
      <w:r>
        <w:rPr>
          <w:rFonts w:ascii="Arial" w:cs="Arial" w:eastAsia="Arial" w:hAnsi="Arial"/>
          <w:sz w:val="50"/>
          <w:szCs w:val="50"/>
          <w:color w:val="000000"/>
        </w:rPr>
        <w:t>Advisory Approval of Our Executive</w:t>
      </w:r>
      <w:r>
        <w:rPr>
          <w:rFonts w:ascii="Arial" w:cs="Arial" w:eastAsia="Arial" w:hAnsi="Arial"/>
          <w:sz w:val="50"/>
          <w:szCs w:val="50"/>
          <w:b w:val="1"/>
          <w:bCs w:val="1"/>
          <w:color w:val="0233A1"/>
        </w:rPr>
        <w:t xml:space="preserve"> </w:t>
      </w:r>
      <w:r>
        <w:rPr>
          <w:rFonts w:ascii="Arial" w:cs="Arial" w:eastAsia="Arial" w:hAnsi="Arial"/>
          <w:sz w:val="50"/>
          <w:szCs w:val="50"/>
          <w:color w:val="000000"/>
        </w:rPr>
        <w:t>Compensation</w:t>
      </w:r>
    </w:p>
    <w:p>
      <w:pPr>
        <w:spacing w:after="0" w:line="263"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Board is asking you to approve, on an advisory basis, the compensation of our NEOs as disclosed in this proxy statement. This item, which is provided pursuant to Section 14A of the Exchange Act, is commonly referred to as a “say-on-pay” resolution.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Compensation Committee has structured our executive compensation program to achieve the following key objectives:</w:t>
      </w:r>
    </w:p>
    <w:p>
      <w:pPr>
        <w:spacing w:after="0" w:line="194" w:lineRule="exact"/>
        <w:rPr>
          <w:sz w:val="20"/>
          <w:szCs w:val="20"/>
          <w:color w:val="auto"/>
        </w:rPr>
      </w:pPr>
    </w:p>
    <w:p>
      <w:pPr>
        <w:ind w:left="500" w:hanging="168"/>
        <w:spacing w:after="0"/>
        <w:tabs>
          <w:tab w:leader="none" w:pos="500" w:val="left"/>
        </w:tabs>
        <w:numPr>
          <w:ilvl w:val="0"/>
          <w:numId w:val="33"/>
        </w:numPr>
        <w:rPr>
          <w:rFonts w:ascii="Arial" w:cs="Arial" w:eastAsia="Arial" w:hAnsi="Arial"/>
          <w:sz w:val="16"/>
          <w:szCs w:val="16"/>
          <w:b w:val="1"/>
          <w:bCs w:val="1"/>
          <w:color w:val="0233A1"/>
        </w:rPr>
      </w:pPr>
      <w:r>
        <w:rPr>
          <w:rFonts w:ascii="Arial" w:cs="Arial" w:eastAsia="Arial" w:hAnsi="Arial"/>
          <w:sz w:val="16"/>
          <w:szCs w:val="16"/>
          <w:color w:val="auto"/>
        </w:rPr>
        <w:t>to attract, motivate and retain talented executive officers,</w:t>
      </w:r>
    </w:p>
    <w:p>
      <w:pPr>
        <w:spacing w:after="0" w:line="86" w:lineRule="exact"/>
        <w:rPr>
          <w:rFonts w:ascii="Arial" w:cs="Arial" w:eastAsia="Arial" w:hAnsi="Arial"/>
          <w:sz w:val="16"/>
          <w:szCs w:val="16"/>
          <w:b w:val="1"/>
          <w:bCs w:val="1"/>
          <w:color w:val="0233A1"/>
        </w:rPr>
      </w:pPr>
    </w:p>
    <w:p>
      <w:pPr>
        <w:ind w:left="500" w:right="20" w:hanging="168"/>
        <w:spacing w:after="0" w:line="286" w:lineRule="auto"/>
        <w:tabs>
          <w:tab w:leader="none" w:pos="500" w:val="left"/>
        </w:tabs>
        <w:numPr>
          <w:ilvl w:val="0"/>
          <w:numId w:val="33"/>
        </w:numPr>
        <w:rPr>
          <w:rFonts w:ascii="Arial" w:cs="Arial" w:eastAsia="Arial" w:hAnsi="Arial"/>
          <w:sz w:val="16"/>
          <w:szCs w:val="16"/>
          <w:b w:val="1"/>
          <w:bCs w:val="1"/>
          <w:color w:val="0233A1"/>
        </w:rPr>
      </w:pPr>
      <w:r>
        <w:rPr>
          <w:rFonts w:ascii="Arial" w:cs="Arial" w:eastAsia="Arial" w:hAnsi="Arial"/>
          <w:sz w:val="16"/>
          <w:szCs w:val="16"/>
          <w:color w:val="auto"/>
        </w:rPr>
        <w:t>to motivate the achievement of companywide financial objectives, as well as other strategic personal objectives, while balancing rewards for short-term and long-term performance, and</w:t>
      </w:r>
    </w:p>
    <w:p>
      <w:pPr>
        <w:spacing w:after="0" w:line="20" w:lineRule="exact"/>
        <w:rPr>
          <w:rFonts w:ascii="Arial" w:cs="Arial" w:eastAsia="Arial" w:hAnsi="Arial"/>
          <w:sz w:val="16"/>
          <w:szCs w:val="16"/>
          <w:b w:val="1"/>
          <w:bCs w:val="1"/>
          <w:color w:val="0233A1"/>
        </w:rPr>
      </w:pPr>
    </w:p>
    <w:p>
      <w:pPr>
        <w:ind w:left="500" w:hanging="168"/>
        <w:spacing w:after="0"/>
        <w:tabs>
          <w:tab w:leader="none" w:pos="500" w:val="left"/>
        </w:tabs>
        <w:numPr>
          <w:ilvl w:val="0"/>
          <w:numId w:val="33"/>
        </w:numPr>
        <w:rPr>
          <w:rFonts w:ascii="Arial" w:cs="Arial" w:eastAsia="Arial" w:hAnsi="Arial"/>
          <w:sz w:val="16"/>
          <w:szCs w:val="16"/>
          <w:b w:val="1"/>
          <w:bCs w:val="1"/>
          <w:color w:val="0233A1"/>
        </w:rPr>
      </w:pPr>
      <w:r>
        <w:rPr>
          <w:rFonts w:ascii="Arial" w:cs="Arial" w:eastAsia="Arial" w:hAnsi="Arial"/>
          <w:sz w:val="16"/>
          <w:szCs w:val="16"/>
          <w:color w:val="auto"/>
        </w:rPr>
        <w:t>to align the interests of our executive officers with those of our shareholders,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each as described in the “Compensation Discussion and Analysis” section of this proxy statement.</w:t>
      </w:r>
    </w:p>
    <w:p>
      <w:pPr>
        <w:spacing w:after="0" w:line="19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Our Compensation Committee and the Board believe that the policies and procedures articulated in the “Compensation Discussion and Analysis” are effective in achieving our goals, and that the compensation of our NEOs as reported in this proxy statement has contributed to SLB’s short-term and long-term success. Therefore, we are asking our shareholders to approve the compensation of our NEOs by voting “FOR” the following resolution on an advisory basis:</w:t>
      </w:r>
    </w:p>
    <w:p>
      <w:pPr>
        <w:spacing w:after="0" w:line="342" w:lineRule="exact"/>
        <w:rPr>
          <w:sz w:val="20"/>
          <w:szCs w:val="20"/>
          <w:color w:val="auto"/>
        </w:rPr>
      </w:pPr>
    </w:p>
    <w:p>
      <w:pPr>
        <w:ind w:left="660" w:right="920" w:firstLine="324"/>
        <w:spacing w:after="0" w:line="266" w:lineRule="auto"/>
        <w:rPr>
          <w:sz w:val="20"/>
          <w:szCs w:val="20"/>
          <w:color w:val="auto"/>
        </w:rPr>
      </w:pPr>
      <w:r>
        <w:rPr>
          <w:rFonts w:ascii="Arial" w:cs="Arial" w:eastAsia="Arial" w:hAnsi="Arial"/>
          <w:sz w:val="16"/>
          <w:szCs w:val="16"/>
          <w:color w:val="auto"/>
        </w:rPr>
        <w:t>RESOLVED, that the compensation paid to Schlumberger Limited’s named executive officers, as disclosed in this proxy statement, including the Compensation Discussion and Analysis, compensation tables and narrative discussion, is hereby APPROVED on an advisory basis.</w:t>
      </w:r>
    </w:p>
    <w:p>
      <w:pPr>
        <w:spacing w:after="0" w:line="144"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This vote is non-binding, but our Board and the Compensation Committee will review and consider the voting results when making future decisions regarding our executive compensation program.</w:t>
      </w:r>
    </w:p>
    <w:p>
      <w:pPr>
        <w:spacing w:after="0" w:line="129"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6"/>
          <w:szCs w:val="16"/>
          <w:color w:val="auto"/>
        </w:rPr>
        <w:t>Although annual “say-on-pay” advisory votes are not required by our bylaws, the Board currently believes that having our shareholders provide annual feedback on our compensation practices supports effective governance. As a result, the next “say-on-pay” advisory vote will occur in 2024, unless the Board modifies its policy on the frequency of holding “say-on-pay” advisory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41148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335" w:lineRule="exact"/>
        <w:rPr>
          <w:sz w:val="20"/>
          <w:szCs w:val="20"/>
          <w:color w:val="auto"/>
        </w:rPr>
      </w:pPr>
    </w:p>
    <w:p>
      <w:pPr>
        <w:ind w:left="680"/>
        <w:spacing w:after="0"/>
        <w:rPr>
          <w:sz w:val="20"/>
          <w:szCs w:val="20"/>
          <w:color w:val="auto"/>
        </w:rPr>
      </w:pPr>
      <w:r>
        <w:rPr>
          <w:rFonts w:ascii="Arial" w:cs="Arial" w:eastAsia="Arial" w:hAnsi="Arial"/>
          <w:sz w:val="18"/>
          <w:szCs w:val="18"/>
          <w:color w:val="FFFFFF"/>
        </w:rPr>
        <w:t xml:space="preserve">The Board of Directors recommends a vote </w:t>
      </w:r>
      <w:r>
        <w:rPr>
          <w:rFonts w:ascii="Arial" w:cs="Arial" w:eastAsia="Arial" w:hAnsi="Arial"/>
          <w:sz w:val="18"/>
          <w:szCs w:val="18"/>
          <w:b w:val="1"/>
          <w:bCs w:val="1"/>
          <w:color w:val="FFFFFF"/>
        </w:rPr>
        <w:t>FOR this Item 3</w:t>
      </w:r>
      <w:r>
        <w:rPr>
          <w:rFonts w:ascii="Arial" w:cs="Arial" w:eastAsia="Arial" w:hAnsi="Arial"/>
          <w:sz w:val="18"/>
          <w:szCs w:val="18"/>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9"/>
          <w:szCs w:val="29"/>
          <w:color w:val="0233A1"/>
        </w:rPr>
        <w:t>Compensation Committee Report</w:t>
      </w:r>
    </w:p>
    <w:p>
      <w:pPr>
        <w:spacing w:after="0" w:line="26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The Compensation Committee has reviewed and discussed the Compensation Discussion and Analysis with SLB’s management. Based on that review and discussion, the Compensation Committee recommended to the Board of Directors that the Compensation Discussion and Analysis be included in this proxy statement.</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0233A1"/>
        </w:rPr>
        <w:t>Submitted by the Compensation Committee of the SLB Board of Directors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80" w:type="dxa"/>
            <w:vAlign w:val="bottom"/>
            <w:gridSpan w:val="2"/>
          </w:tcPr>
          <w:p>
            <w:pPr>
              <w:ind w:left="660"/>
              <w:spacing w:after="0"/>
              <w:rPr>
                <w:sz w:val="20"/>
                <w:szCs w:val="20"/>
                <w:color w:val="auto"/>
              </w:rPr>
            </w:pPr>
            <w:r>
              <w:rPr>
                <w:rFonts w:ascii="Arial" w:cs="Arial" w:eastAsia="Arial" w:hAnsi="Arial"/>
                <w:sz w:val="16"/>
                <w:szCs w:val="16"/>
                <w:color w:val="auto"/>
              </w:rPr>
              <w:t>Jeff Sheets, Chair</w:t>
            </w:r>
          </w:p>
        </w:tc>
        <w:tc>
          <w:tcPr>
            <w:tcW w:w="2920" w:type="dxa"/>
            <w:vAlign w:val="bottom"/>
          </w:tcPr>
          <w:p>
            <w:pPr>
              <w:ind w:left="520"/>
              <w:spacing w:after="0"/>
              <w:rPr>
                <w:sz w:val="20"/>
                <w:szCs w:val="20"/>
                <w:color w:val="auto"/>
              </w:rPr>
            </w:pPr>
            <w:r>
              <w:rPr>
                <w:rFonts w:ascii="Arial" w:cs="Arial" w:eastAsia="Arial" w:hAnsi="Arial"/>
                <w:sz w:val="16"/>
                <w:szCs w:val="16"/>
                <w:color w:val="auto"/>
              </w:rPr>
              <w:t>Maria Moræus Hanssen</w:t>
            </w:r>
          </w:p>
        </w:tc>
        <w:tc>
          <w:tcPr>
            <w:tcW w:w="2300" w:type="dxa"/>
            <w:vAlign w:val="bottom"/>
            <w:gridSpan w:val="2"/>
          </w:tcPr>
          <w:p>
            <w:pPr>
              <w:ind w:left="280"/>
              <w:spacing w:after="0"/>
              <w:rPr>
                <w:sz w:val="20"/>
                <w:szCs w:val="20"/>
                <w:color w:val="auto"/>
              </w:rPr>
            </w:pPr>
            <w:r>
              <w:rPr>
                <w:rFonts w:ascii="Arial" w:cs="Arial" w:eastAsia="Arial" w:hAnsi="Arial"/>
                <w:sz w:val="16"/>
                <w:szCs w:val="16"/>
                <w:color w:val="auto"/>
              </w:rPr>
              <w:t>Vanitha Narayanan</w:t>
            </w:r>
          </w:p>
        </w:tc>
        <w:tc>
          <w:tcPr>
            <w:tcW w:w="3540" w:type="dxa"/>
            <w:vAlign w:val="bottom"/>
            <w:gridSpan w:val="2"/>
          </w:tcPr>
          <w:p>
            <w:pPr>
              <w:ind w:left="640"/>
              <w:spacing w:after="0"/>
              <w:rPr>
                <w:sz w:val="20"/>
                <w:szCs w:val="20"/>
                <w:color w:val="auto"/>
              </w:rPr>
            </w:pPr>
            <w:r>
              <w:rPr>
                <w:rFonts w:ascii="Arial" w:cs="Arial" w:eastAsia="Arial" w:hAnsi="Arial"/>
                <w:sz w:val="16"/>
                <w:szCs w:val="16"/>
                <w:color w:val="auto"/>
              </w:rPr>
              <w:t>Ulrich Spiesshofer</w:t>
            </w:r>
          </w:p>
        </w:tc>
        <w:tc>
          <w:tcPr>
            <w:tcW w:w="0" w:type="dxa"/>
            <w:vAlign w:val="bottom"/>
          </w:tcPr>
          <w:p>
            <w:pPr>
              <w:spacing w:after="0"/>
              <w:rPr>
                <w:sz w:val="1"/>
                <w:szCs w:val="1"/>
                <w:color w:val="auto"/>
              </w:rPr>
            </w:pPr>
          </w:p>
        </w:tc>
      </w:tr>
      <w:tr>
        <w:trPr>
          <w:trHeight w:val="346"/>
        </w:trPr>
        <w:tc>
          <w:tcPr>
            <w:tcW w:w="92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30</w:t>
            </w:r>
          </w:p>
        </w:tc>
        <w:tc>
          <w:tcPr>
            <w:tcW w:w="18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800" w:type="dxa"/>
            <w:vAlign w:val="bottom"/>
            <w:vMerge w:val="restart"/>
          </w:tcPr>
          <w:p>
            <w:pPr>
              <w:ind w:left="120"/>
              <w:spacing w:after="0"/>
              <w:rPr>
                <w:sz w:val="20"/>
                <w:szCs w:val="20"/>
                <w:color w:val="auto"/>
              </w:rPr>
            </w:pPr>
            <w:r>
              <w:rPr>
                <w:rFonts w:ascii="Arial" w:cs="Arial" w:eastAsia="Arial" w:hAnsi="Arial"/>
                <w:sz w:val="16"/>
                <w:szCs w:val="16"/>
                <w:b w:val="1"/>
                <w:bCs w:val="1"/>
                <w:color w:val="636466"/>
                <w:w w:val="99"/>
              </w:rPr>
              <w:t>2023 Proxy Statement</w:t>
            </w:r>
          </w:p>
        </w:tc>
        <w:tc>
          <w:tcPr>
            <w:tcW w:w="0" w:type="dxa"/>
            <w:vAlign w:val="bottom"/>
          </w:tcPr>
          <w:p>
            <w:pPr>
              <w:spacing w:after="0"/>
              <w:rPr>
                <w:sz w:val="1"/>
                <w:szCs w:val="1"/>
                <w:color w:val="auto"/>
              </w:rPr>
            </w:pPr>
          </w:p>
        </w:tc>
      </w:tr>
      <w:tr>
        <w:trPr>
          <w:trHeight w:val="74"/>
        </w:trPr>
        <w:tc>
          <w:tcPr>
            <w:tcW w:w="9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9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8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920" w:type="dxa"/>
            <w:vAlign w:val="bottom"/>
            <w:tcBorders>
              <w:bottom w:val="single" w:sz="8" w:color="C0C0C0"/>
            </w:tcBorders>
          </w:tcPr>
          <w:p>
            <w:pPr>
              <w:spacing w:after="0"/>
              <w:rPr>
                <w:sz w:val="20"/>
                <w:szCs w:val="20"/>
                <w:color w:val="auto"/>
              </w:rPr>
            </w:pPr>
          </w:p>
        </w:tc>
        <w:tc>
          <w:tcPr>
            <w:tcW w:w="1560" w:type="dxa"/>
            <w:vAlign w:val="bottom"/>
            <w:tcBorders>
              <w:bottom w:val="single" w:sz="8" w:color="C0C0C0"/>
            </w:tcBorders>
          </w:tcPr>
          <w:p>
            <w:pPr>
              <w:spacing w:after="0"/>
              <w:rPr>
                <w:sz w:val="20"/>
                <w:szCs w:val="20"/>
                <w:color w:val="auto"/>
              </w:rPr>
            </w:pPr>
          </w:p>
        </w:tc>
        <w:tc>
          <w:tcPr>
            <w:tcW w:w="292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1840" w:type="dxa"/>
            <w:vAlign w:val="bottom"/>
            <w:tcBorders>
              <w:bottom w:val="single" w:sz="8" w:color="C0C0C0"/>
            </w:tcBorders>
          </w:tcPr>
          <w:p>
            <w:pPr>
              <w:spacing w:after="0"/>
              <w:rPr>
                <w:sz w:val="20"/>
                <w:szCs w:val="20"/>
                <w:color w:val="auto"/>
              </w:rPr>
            </w:pPr>
          </w:p>
        </w:tc>
        <w:tc>
          <w:tcPr>
            <w:tcW w:w="1740" w:type="dxa"/>
            <w:vAlign w:val="bottom"/>
            <w:tcBorders>
              <w:bottom w:val="single" w:sz="8" w:color="C0C0C0"/>
            </w:tcBorders>
          </w:tcPr>
          <w:p>
            <w:pPr>
              <w:spacing w:after="0"/>
              <w:rPr>
                <w:sz w:val="20"/>
                <w:szCs w:val="20"/>
                <w:color w:val="auto"/>
              </w:rPr>
            </w:pPr>
          </w:p>
        </w:tc>
        <w:tc>
          <w:tcPr>
            <w:tcW w:w="18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471170" cy="28257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9" w:lineRule="exact"/>
        <w:rPr>
          <w:sz w:val="20"/>
          <w:szCs w:val="20"/>
          <w:color w:val="auto"/>
        </w:rPr>
      </w:pPr>
    </w:p>
    <w:p>
      <w:pPr>
        <w:spacing w:after="0"/>
        <w:rPr>
          <w:sz w:val="20"/>
          <w:szCs w:val="20"/>
          <w:color w:val="auto"/>
        </w:rPr>
      </w:pPr>
      <w:r>
        <w:rPr>
          <w:rFonts w:ascii="Arial" w:cs="Arial" w:eastAsia="Arial" w:hAnsi="Arial"/>
          <w:sz w:val="50"/>
          <w:szCs w:val="50"/>
          <w:color w:val="0233A1"/>
        </w:rPr>
        <w:t>Compensation Discussion and Analysis</w:t>
      </w:r>
    </w:p>
    <w:p>
      <w:pPr>
        <w:spacing w:after="0" w:line="200" w:lineRule="exact"/>
        <w:rPr>
          <w:sz w:val="20"/>
          <w:szCs w:val="20"/>
          <w:color w:val="auto"/>
        </w:rPr>
      </w:pPr>
    </w:p>
    <w:p>
      <w:pPr>
        <w:spacing w:after="0" w:line="257"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This Compensation Discussion and Analysis (</w:t>
      </w:r>
      <w:r>
        <w:rPr>
          <w:rFonts w:ascii="Arial" w:cs="Arial" w:eastAsia="Arial" w:hAnsi="Arial"/>
          <w:sz w:val="16"/>
          <w:szCs w:val="16"/>
          <w:b w:val="1"/>
          <w:bCs w:val="1"/>
          <w:color w:val="auto"/>
        </w:rPr>
        <w:t>CD&amp;A</w:t>
      </w:r>
      <w:r>
        <w:rPr>
          <w:rFonts w:ascii="Arial" w:cs="Arial" w:eastAsia="Arial" w:hAnsi="Arial"/>
          <w:sz w:val="16"/>
          <w:szCs w:val="16"/>
          <w:color w:val="auto"/>
        </w:rPr>
        <w:t>) describes our compensation policies and practices as they relate to our six named executive officers (</w:t>
      </w:r>
      <w:r>
        <w:rPr>
          <w:rFonts w:ascii="Arial" w:cs="Arial" w:eastAsia="Arial" w:hAnsi="Arial"/>
          <w:sz w:val="16"/>
          <w:szCs w:val="16"/>
          <w:b w:val="1"/>
          <w:bCs w:val="1"/>
          <w:color w:val="auto"/>
        </w:rPr>
        <w:t>NEOs</w:t>
      </w:r>
      <w:r>
        <w:rPr>
          <w:rFonts w:ascii="Arial" w:cs="Arial" w:eastAsia="Arial" w:hAnsi="Arial"/>
          <w:sz w:val="16"/>
          <w:szCs w:val="16"/>
          <w:color w:val="auto"/>
        </w:rPr>
        <w:t>) identified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0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Named Executive Officers</w:t>
            </w:r>
          </w:p>
        </w:tc>
        <w:tc>
          <w:tcPr>
            <w:tcW w:w="8740" w:type="dxa"/>
            <w:vAlign w:val="bottom"/>
            <w:tcBorders>
              <w:bottom w:val="single" w:sz="8" w:color="0233A1"/>
            </w:tcBorders>
          </w:tcPr>
          <w:p>
            <w:pPr>
              <w:ind w:left="440"/>
              <w:spacing w:after="0"/>
              <w:rPr>
                <w:sz w:val="20"/>
                <w:szCs w:val="20"/>
                <w:color w:val="auto"/>
              </w:rPr>
            </w:pPr>
            <w:r>
              <w:rPr>
                <w:rFonts w:ascii="Arial" w:cs="Arial" w:eastAsia="Arial" w:hAnsi="Arial"/>
                <w:sz w:val="16"/>
                <w:szCs w:val="16"/>
                <w:b w:val="1"/>
                <w:bCs w:val="1"/>
                <w:color w:val="0233A1"/>
              </w:rPr>
              <w:t>Title</w:t>
            </w:r>
          </w:p>
        </w:tc>
      </w:tr>
      <w:tr>
        <w:trPr>
          <w:trHeight w:val="221"/>
        </w:trPr>
        <w:tc>
          <w:tcPr>
            <w:tcW w:w="2500" w:type="dxa"/>
            <w:vAlign w:val="bottom"/>
          </w:tcPr>
          <w:p>
            <w:pPr>
              <w:ind w:left="60"/>
              <w:spacing w:after="0"/>
              <w:rPr>
                <w:sz w:val="20"/>
                <w:szCs w:val="20"/>
                <w:color w:val="auto"/>
              </w:rPr>
            </w:pPr>
            <w:r>
              <w:rPr>
                <w:rFonts w:ascii="Arial" w:cs="Arial" w:eastAsia="Arial" w:hAnsi="Arial"/>
                <w:sz w:val="16"/>
                <w:szCs w:val="16"/>
                <w:color w:val="auto"/>
              </w:rPr>
              <w:t>Olivier Le Peuch</w:t>
            </w:r>
          </w:p>
        </w:tc>
        <w:tc>
          <w:tcPr>
            <w:tcW w:w="8740" w:type="dxa"/>
            <w:vAlign w:val="bottom"/>
          </w:tcPr>
          <w:p>
            <w:pPr>
              <w:ind w:left="440"/>
              <w:spacing w:after="0"/>
              <w:rPr>
                <w:sz w:val="20"/>
                <w:szCs w:val="20"/>
                <w:color w:val="auto"/>
              </w:rPr>
            </w:pPr>
            <w:r>
              <w:rPr>
                <w:rFonts w:ascii="Arial" w:cs="Arial" w:eastAsia="Arial" w:hAnsi="Arial"/>
                <w:sz w:val="16"/>
                <w:szCs w:val="16"/>
                <w:color w:val="auto"/>
              </w:rPr>
              <w:t>Chief Executive Officer</w:t>
            </w:r>
          </w:p>
        </w:tc>
      </w:tr>
      <w:tr>
        <w:trPr>
          <w:trHeight w:val="243"/>
        </w:trPr>
        <w:tc>
          <w:tcPr>
            <w:tcW w:w="2500" w:type="dxa"/>
            <w:vAlign w:val="bottom"/>
          </w:tcPr>
          <w:p>
            <w:pPr>
              <w:ind w:left="60"/>
              <w:spacing w:after="0"/>
              <w:rPr>
                <w:sz w:val="20"/>
                <w:szCs w:val="20"/>
                <w:color w:val="auto"/>
              </w:rPr>
            </w:pPr>
            <w:r>
              <w:rPr>
                <w:rFonts w:ascii="Arial" w:cs="Arial" w:eastAsia="Arial" w:hAnsi="Arial"/>
                <w:sz w:val="16"/>
                <w:szCs w:val="16"/>
                <w:color w:val="auto"/>
              </w:rPr>
              <w:t>Stephane Biguet</w:t>
            </w:r>
          </w:p>
        </w:tc>
        <w:tc>
          <w:tcPr>
            <w:tcW w:w="8740" w:type="dxa"/>
            <w:vAlign w:val="bottom"/>
          </w:tcPr>
          <w:p>
            <w:pPr>
              <w:ind w:left="440"/>
              <w:spacing w:after="0"/>
              <w:rPr>
                <w:sz w:val="20"/>
                <w:szCs w:val="20"/>
                <w:color w:val="auto"/>
              </w:rPr>
            </w:pPr>
            <w:r>
              <w:rPr>
                <w:rFonts w:ascii="Arial" w:cs="Arial" w:eastAsia="Arial" w:hAnsi="Arial"/>
                <w:sz w:val="16"/>
                <w:szCs w:val="16"/>
                <w:color w:val="auto"/>
              </w:rPr>
              <w:t>Executive Vice President and Chief Financial Officer</w:t>
            </w:r>
          </w:p>
        </w:tc>
      </w:tr>
      <w:tr>
        <w:trPr>
          <w:trHeight w:val="243"/>
        </w:trPr>
        <w:tc>
          <w:tcPr>
            <w:tcW w:w="2500" w:type="dxa"/>
            <w:vAlign w:val="bottom"/>
          </w:tcPr>
          <w:p>
            <w:pPr>
              <w:ind w:left="60"/>
              <w:spacing w:after="0"/>
              <w:rPr>
                <w:sz w:val="20"/>
                <w:szCs w:val="20"/>
                <w:color w:val="auto"/>
              </w:rPr>
            </w:pPr>
            <w:r>
              <w:rPr>
                <w:rFonts w:ascii="Arial" w:cs="Arial" w:eastAsia="Arial" w:hAnsi="Arial"/>
                <w:sz w:val="16"/>
                <w:szCs w:val="16"/>
                <w:color w:val="auto"/>
              </w:rPr>
              <w:t>Khaled Al Mogharbel</w:t>
            </w:r>
          </w:p>
        </w:tc>
        <w:tc>
          <w:tcPr>
            <w:tcW w:w="8740" w:type="dxa"/>
            <w:vAlign w:val="bottom"/>
          </w:tcPr>
          <w:p>
            <w:pPr>
              <w:ind w:left="440"/>
              <w:spacing w:after="0"/>
              <w:rPr>
                <w:sz w:val="20"/>
                <w:szCs w:val="20"/>
                <w:color w:val="auto"/>
              </w:rPr>
            </w:pPr>
            <w:r>
              <w:rPr>
                <w:rFonts w:ascii="Arial" w:cs="Arial" w:eastAsia="Arial" w:hAnsi="Arial"/>
                <w:sz w:val="16"/>
                <w:szCs w:val="16"/>
                <w:color w:val="auto"/>
              </w:rPr>
              <w:t>Executive Vice President, Geographies</w:t>
            </w:r>
          </w:p>
        </w:tc>
      </w:tr>
      <w:tr>
        <w:trPr>
          <w:trHeight w:val="243"/>
        </w:trPr>
        <w:tc>
          <w:tcPr>
            <w:tcW w:w="2500" w:type="dxa"/>
            <w:vAlign w:val="bottom"/>
          </w:tcPr>
          <w:p>
            <w:pPr>
              <w:ind w:left="60"/>
              <w:spacing w:after="0"/>
              <w:rPr>
                <w:sz w:val="20"/>
                <w:szCs w:val="20"/>
                <w:color w:val="auto"/>
              </w:rPr>
            </w:pPr>
            <w:r>
              <w:rPr>
                <w:rFonts w:ascii="Arial" w:cs="Arial" w:eastAsia="Arial" w:hAnsi="Arial"/>
                <w:sz w:val="16"/>
                <w:szCs w:val="16"/>
                <w:color w:val="auto"/>
              </w:rPr>
              <w:t>Abdellah Merad</w:t>
            </w:r>
          </w:p>
        </w:tc>
        <w:tc>
          <w:tcPr>
            <w:tcW w:w="8740" w:type="dxa"/>
            <w:vAlign w:val="bottom"/>
          </w:tcPr>
          <w:p>
            <w:pPr>
              <w:ind w:left="440"/>
              <w:spacing w:after="0"/>
              <w:rPr>
                <w:sz w:val="20"/>
                <w:szCs w:val="20"/>
                <w:color w:val="auto"/>
              </w:rPr>
            </w:pPr>
            <w:r>
              <w:rPr>
                <w:rFonts w:ascii="Arial" w:cs="Arial" w:eastAsia="Arial" w:hAnsi="Arial"/>
                <w:sz w:val="16"/>
                <w:szCs w:val="16"/>
                <w:color w:val="auto"/>
              </w:rPr>
              <w:t>Executive Vice President, Core Services and Equipment</w:t>
            </w:r>
          </w:p>
        </w:tc>
      </w:tr>
      <w:tr>
        <w:trPr>
          <w:trHeight w:val="243"/>
        </w:trPr>
        <w:tc>
          <w:tcPr>
            <w:tcW w:w="2500" w:type="dxa"/>
            <w:vAlign w:val="bottom"/>
          </w:tcPr>
          <w:p>
            <w:pPr>
              <w:ind w:left="60"/>
              <w:spacing w:after="0"/>
              <w:rPr>
                <w:sz w:val="20"/>
                <w:szCs w:val="20"/>
                <w:color w:val="auto"/>
              </w:rPr>
            </w:pPr>
            <w:r>
              <w:rPr>
                <w:rFonts w:ascii="Arial" w:cs="Arial" w:eastAsia="Arial" w:hAnsi="Arial"/>
                <w:sz w:val="16"/>
                <w:szCs w:val="16"/>
                <w:color w:val="auto"/>
              </w:rPr>
              <w:t>Dianne Ralston</w:t>
            </w:r>
          </w:p>
        </w:tc>
        <w:tc>
          <w:tcPr>
            <w:tcW w:w="8740" w:type="dxa"/>
            <w:vAlign w:val="bottom"/>
          </w:tcPr>
          <w:p>
            <w:pPr>
              <w:ind w:left="440"/>
              <w:spacing w:after="0"/>
              <w:rPr>
                <w:sz w:val="20"/>
                <w:szCs w:val="20"/>
                <w:color w:val="auto"/>
              </w:rPr>
            </w:pPr>
            <w:r>
              <w:rPr>
                <w:rFonts w:ascii="Arial" w:cs="Arial" w:eastAsia="Arial" w:hAnsi="Arial"/>
                <w:sz w:val="16"/>
                <w:szCs w:val="16"/>
                <w:color w:val="auto"/>
              </w:rPr>
              <w:t>Chief Legal Officer and Secretary</w:t>
            </w:r>
          </w:p>
        </w:tc>
      </w:tr>
      <w:tr>
        <w:trPr>
          <w:trHeight w:val="252"/>
        </w:trPr>
        <w:tc>
          <w:tcPr>
            <w:tcW w:w="250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Ashok Belani</w:t>
            </w:r>
          </w:p>
        </w:tc>
        <w:tc>
          <w:tcPr>
            <w:tcW w:w="8740" w:type="dxa"/>
            <w:vAlign w:val="bottom"/>
            <w:tcBorders>
              <w:bottom w:val="single" w:sz="8" w:color="0233A1"/>
            </w:tcBorders>
          </w:tcPr>
          <w:p>
            <w:pPr>
              <w:ind w:left="440"/>
              <w:spacing w:after="0"/>
              <w:rPr>
                <w:sz w:val="20"/>
                <w:szCs w:val="20"/>
                <w:color w:val="auto"/>
              </w:rPr>
            </w:pPr>
            <w:r>
              <w:rPr>
                <w:rFonts w:ascii="Arial" w:cs="Arial" w:eastAsia="Arial" w:hAnsi="Arial"/>
                <w:sz w:val="16"/>
                <w:szCs w:val="16"/>
                <w:color w:val="auto"/>
              </w:rPr>
              <w:t>Senior Strategic Advisor to the CEO; Former Executive Vice President, New Energy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7132320"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The purpose of the CD&amp;A is to explain the elements of our NEOs’ 2022 compensation, the criteria for selecting these elements, the decisions our Compensation Committee made with respect to the 2022 compensation of our NEOs, and the reasons for those decisions.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556"/>
        </w:trPr>
        <w:tc>
          <w:tcPr>
            <w:tcW w:w="480" w:type="dxa"/>
            <w:vAlign w:val="bottom"/>
            <w:tcBorders>
              <w:right w:val="single" w:sz="8" w:color="0233A1"/>
            </w:tcBorders>
          </w:tcPr>
          <w:p>
            <w:pPr>
              <w:spacing w:after="0"/>
              <w:rPr>
                <w:sz w:val="24"/>
                <w:szCs w:val="24"/>
                <w:color w:val="auto"/>
              </w:rPr>
            </w:pPr>
          </w:p>
        </w:tc>
        <w:tc>
          <w:tcPr>
            <w:tcW w:w="80" w:type="dxa"/>
            <w:vAlign w:val="bottom"/>
            <w:tcBorders>
              <w:top w:val="single" w:sz="8" w:color="0233A1"/>
            </w:tcBorders>
            <w:shd w:val="clear" w:color="auto" w:fill="EBECEE"/>
          </w:tcPr>
          <w:p>
            <w:pPr>
              <w:spacing w:after="0"/>
              <w:rPr>
                <w:sz w:val="24"/>
                <w:szCs w:val="24"/>
                <w:color w:val="auto"/>
              </w:rPr>
            </w:pPr>
          </w:p>
        </w:tc>
        <w:tc>
          <w:tcPr>
            <w:tcW w:w="4840" w:type="dxa"/>
            <w:vAlign w:val="bottom"/>
            <w:tcBorders>
              <w:top w:val="single" w:sz="8" w:color="0233A1"/>
            </w:tcBorders>
            <w:gridSpan w:val="2"/>
            <w:shd w:val="clear" w:color="auto" w:fill="EBECEE"/>
          </w:tcPr>
          <w:p>
            <w:pPr>
              <w:spacing w:after="0"/>
              <w:rPr>
                <w:sz w:val="20"/>
                <w:szCs w:val="20"/>
                <w:color w:val="auto"/>
              </w:rPr>
            </w:pPr>
            <w:r>
              <w:rPr>
                <w:rFonts w:ascii="Arial" w:cs="Arial" w:eastAsia="Arial" w:hAnsi="Arial"/>
                <w:sz w:val="22"/>
                <w:szCs w:val="22"/>
                <w:b w:val="1"/>
                <w:bCs w:val="1"/>
                <w:color w:val="0233A1"/>
              </w:rPr>
              <w:t>CD&amp;A Table of Contents</w:t>
            </w:r>
          </w:p>
        </w:tc>
        <w:tc>
          <w:tcPr>
            <w:tcW w:w="460" w:type="dxa"/>
            <w:vAlign w:val="bottom"/>
            <w:tcBorders>
              <w:top w:val="single" w:sz="8" w:color="0233A1"/>
            </w:tcBorders>
            <w:shd w:val="clear" w:color="auto" w:fill="EBECEE"/>
          </w:tcPr>
          <w:p>
            <w:pPr>
              <w:spacing w:after="0"/>
              <w:rPr>
                <w:sz w:val="24"/>
                <w:szCs w:val="24"/>
                <w:color w:val="auto"/>
              </w:rPr>
            </w:pPr>
          </w:p>
        </w:tc>
        <w:tc>
          <w:tcPr>
            <w:tcW w:w="4480" w:type="dxa"/>
            <w:vAlign w:val="bottom"/>
            <w:tcBorders>
              <w:top w:val="single" w:sz="8" w:color="0233A1"/>
            </w:tcBorders>
            <w:shd w:val="clear" w:color="auto" w:fill="EBECEE"/>
          </w:tcPr>
          <w:p>
            <w:pPr>
              <w:spacing w:after="0"/>
              <w:rPr>
                <w:sz w:val="24"/>
                <w:szCs w:val="24"/>
                <w:color w:val="auto"/>
              </w:rPr>
            </w:pPr>
          </w:p>
        </w:tc>
        <w:tc>
          <w:tcPr>
            <w:tcW w:w="340" w:type="dxa"/>
            <w:vAlign w:val="bottom"/>
            <w:tcBorders>
              <w:top w:val="single" w:sz="8" w:color="0233A1"/>
            </w:tcBorders>
            <w:shd w:val="clear" w:color="auto" w:fill="EBECEE"/>
          </w:tcPr>
          <w:p>
            <w:pPr>
              <w:spacing w:after="0"/>
              <w:rPr>
                <w:sz w:val="24"/>
                <w:szCs w:val="24"/>
                <w:color w:val="auto"/>
              </w:rPr>
            </w:pPr>
          </w:p>
        </w:tc>
        <w:tc>
          <w:tcPr>
            <w:tcW w:w="100" w:type="dxa"/>
            <w:vAlign w:val="bottom"/>
            <w:tcBorders>
              <w:top w:val="single" w:sz="8" w:color="0233A1"/>
              <w:right w:val="single" w:sz="8" w:color="0233A1"/>
            </w:tcBorders>
            <w:shd w:val="clear" w:color="auto" w:fill="EBECEE"/>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80" w:type="dxa"/>
            <w:vAlign w:val="bottom"/>
            <w:tcBorders>
              <w:right w:val="single" w:sz="8" w:color="0233A1"/>
            </w:tcBorders>
          </w:tcPr>
          <w:p>
            <w:pPr>
              <w:spacing w:after="0"/>
              <w:rPr>
                <w:sz w:val="24"/>
                <w:szCs w:val="24"/>
                <w:color w:val="auto"/>
              </w:rPr>
            </w:pPr>
          </w:p>
        </w:tc>
        <w:tc>
          <w:tcPr>
            <w:tcW w:w="80" w:type="dxa"/>
            <w:vAlign w:val="bottom"/>
            <w:tcBorders>
              <w:bottom w:val="single" w:sz="8" w:color="EBECEE"/>
            </w:tcBorders>
            <w:shd w:val="clear" w:color="auto" w:fill="EBECEE"/>
          </w:tcPr>
          <w:p>
            <w:pPr>
              <w:spacing w:after="0"/>
              <w:rPr>
                <w:sz w:val="24"/>
                <w:szCs w:val="24"/>
                <w:color w:val="auto"/>
              </w:rPr>
            </w:pPr>
          </w:p>
        </w:tc>
        <w:tc>
          <w:tcPr>
            <w:tcW w:w="4840" w:type="dxa"/>
            <w:vAlign w:val="bottom"/>
            <w:tcBorders>
              <w:bottom w:val="single" w:sz="8" w:color="5A5C5F"/>
            </w:tcBorders>
            <w:gridSpan w:val="2"/>
            <w:shd w:val="clear" w:color="auto" w:fill="EBECEE"/>
          </w:tcPr>
          <w:p>
            <w:pPr>
              <w:spacing w:after="0"/>
              <w:rPr>
                <w:sz w:val="20"/>
                <w:szCs w:val="20"/>
                <w:color w:val="auto"/>
              </w:rPr>
            </w:pPr>
            <w:r>
              <w:rPr>
                <w:rFonts w:ascii="Arial" w:cs="Arial" w:eastAsia="Arial" w:hAnsi="Arial"/>
                <w:sz w:val="18"/>
                <w:szCs w:val="18"/>
                <w:b w:val="1"/>
                <w:bCs w:val="1"/>
                <w:color w:val="0233A1"/>
              </w:rPr>
              <w:t>Executive Overview</w:t>
            </w:r>
          </w:p>
        </w:tc>
        <w:tc>
          <w:tcPr>
            <w:tcW w:w="5280" w:type="dxa"/>
            <w:vAlign w:val="bottom"/>
            <w:tcBorders>
              <w:bottom w:val="single" w:sz="8" w:color="5A5C5F"/>
            </w:tcBorders>
            <w:gridSpan w:val="3"/>
            <w:shd w:val="clear" w:color="auto" w:fill="EBECEE"/>
          </w:tcPr>
          <w:p>
            <w:pPr>
              <w:jc w:val="right"/>
              <w:ind w:right="20"/>
              <w:spacing w:after="0"/>
              <w:rPr>
                <w:sz w:val="20"/>
                <w:szCs w:val="20"/>
                <w:color w:val="auto"/>
              </w:rPr>
            </w:pPr>
            <w:r>
              <w:rPr>
                <w:rFonts w:ascii="Arial" w:cs="Arial" w:eastAsia="Arial" w:hAnsi="Arial"/>
                <w:sz w:val="18"/>
                <w:szCs w:val="18"/>
                <w:b w:val="1"/>
                <w:bCs w:val="1"/>
                <w:color w:val="0233A1"/>
              </w:rPr>
              <w:t>32</w:t>
            </w:r>
          </w:p>
        </w:tc>
        <w:tc>
          <w:tcPr>
            <w:tcW w:w="100" w:type="dxa"/>
            <w:vAlign w:val="bottom"/>
            <w:tcBorders>
              <w:bottom w:val="single" w:sz="8" w:color="EBECEE"/>
              <w:right w:val="single" w:sz="8" w:color="0233A1"/>
            </w:tcBorders>
            <w:shd w:val="clear" w:color="auto" w:fill="EBECEE"/>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80" w:type="dxa"/>
            <w:vAlign w:val="bottom"/>
            <w:tcBorders>
              <w:right w:val="single" w:sz="8" w:color="0233A1"/>
            </w:tcBorders>
          </w:tcPr>
          <w:p>
            <w:pPr>
              <w:spacing w:after="0"/>
              <w:rPr>
                <w:sz w:val="24"/>
                <w:szCs w:val="24"/>
                <w:color w:val="auto"/>
              </w:rPr>
            </w:pPr>
          </w:p>
        </w:tc>
        <w:tc>
          <w:tcPr>
            <w:tcW w:w="80" w:type="dxa"/>
            <w:vAlign w:val="bottom"/>
            <w:tcBorders>
              <w:bottom w:val="single" w:sz="8" w:color="EBECEE"/>
            </w:tcBorders>
            <w:shd w:val="clear" w:color="auto" w:fill="EBECEE"/>
          </w:tcPr>
          <w:p>
            <w:pPr>
              <w:spacing w:after="0"/>
              <w:rPr>
                <w:sz w:val="24"/>
                <w:szCs w:val="24"/>
                <w:color w:val="auto"/>
              </w:rPr>
            </w:pPr>
          </w:p>
        </w:tc>
        <w:tc>
          <w:tcPr>
            <w:tcW w:w="4840" w:type="dxa"/>
            <w:vAlign w:val="bottom"/>
            <w:tcBorders>
              <w:bottom w:val="single" w:sz="8" w:color="5A5C5F"/>
            </w:tcBorders>
            <w:gridSpan w:val="2"/>
            <w:shd w:val="clear" w:color="auto" w:fill="EBECEE"/>
          </w:tcPr>
          <w:p>
            <w:pPr>
              <w:spacing w:after="0"/>
              <w:rPr>
                <w:sz w:val="20"/>
                <w:szCs w:val="20"/>
                <w:color w:val="auto"/>
              </w:rPr>
            </w:pPr>
            <w:r>
              <w:rPr>
                <w:rFonts w:ascii="Arial" w:cs="Arial" w:eastAsia="Arial" w:hAnsi="Arial"/>
                <w:sz w:val="18"/>
                <w:szCs w:val="18"/>
                <w:b w:val="1"/>
                <w:bCs w:val="1"/>
                <w:color w:val="0233A1"/>
              </w:rPr>
              <w:t>Overview of Compensation Decisions for 2022</w:t>
            </w:r>
          </w:p>
        </w:tc>
        <w:tc>
          <w:tcPr>
            <w:tcW w:w="5280" w:type="dxa"/>
            <w:vAlign w:val="bottom"/>
            <w:tcBorders>
              <w:bottom w:val="single" w:sz="8" w:color="5A5C5F"/>
            </w:tcBorders>
            <w:gridSpan w:val="3"/>
            <w:shd w:val="clear" w:color="auto" w:fill="EBECEE"/>
          </w:tcPr>
          <w:p>
            <w:pPr>
              <w:jc w:val="right"/>
              <w:ind w:right="20"/>
              <w:spacing w:after="0"/>
              <w:rPr>
                <w:sz w:val="20"/>
                <w:szCs w:val="20"/>
                <w:color w:val="auto"/>
              </w:rPr>
            </w:pPr>
            <w:r>
              <w:rPr>
                <w:rFonts w:ascii="Arial" w:cs="Arial" w:eastAsia="Arial" w:hAnsi="Arial"/>
                <w:sz w:val="18"/>
                <w:szCs w:val="18"/>
                <w:b w:val="1"/>
                <w:bCs w:val="1"/>
                <w:color w:val="0233A1"/>
              </w:rPr>
              <w:t>33</w:t>
            </w:r>
          </w:p>
        </w:tc>
        <w:tc>
          <w:tcPr>
            <w:tcW w:w="100" w:type="dxa"/>
            <w:vAlign w:val="bottom"/>
            <w:tcBorders>
              <w:bottom w:val="single" w:sz="8" w:color="EBECEE"/>
              <w:right w:val="single" w:sz="8" w:color="0233A1"/>
            </w:tcBorders>
            <w:shd w:val="clear" w:color="auto" w:fill="EBECEE"/>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80" w:type="dxa"/>
            <w:vAlign w:val="bottom"/>
            <w:tcBorders>
              <w:right w:val="single" w:sz="8" w:color="0233A1"/>
            </w:tcBorders>
          </w:tcPr>
          <w:p>
            <w:pPr>
              <w:spacing w:after="0"/>
              <w:rPr>
                <w:sz w:val="24"/>
                <w:szCs w:val="24"/>
                <w:color w:val="auto"/>
              </w:rPr>
            </w:pPr>
          </w:p>
        </w:tc>
        <w:tc>
          <w:tcPr>
            <w:tcW w:w="80" w:type="dxa"/>
            <w:vAlign w:val="bottom"/>
            <w:tcBorders>
              <w:bottom w:val="single" w:sz="8" w:color="EBECEE"/>
            </w:tcBorders>
            <w:shd w:val="clear" w:color="auto" w:fill="EBECEE"/>
          </w:tcPr>
          <w:p>
            <w:pPr>
              <w:spacing w:after="0"/>
              <w:rPr>
                <w:sz w:val="24"/>
                <w:szCs w:val="24"/>
                <w:color w:val="auto"/>
              </w:rPr>
            </w:pPr>
          </w:p>
        </w:tc>
        <w:tc>
          <w:tcPr>
            <w:tcW w:w="4840" w:type="dxa"/>
            <w:vAlign w:val="bottom"/>
            <w:tcBorders>
              <w:bottom w:val="single" w:sz="8" w:color="5A5C5F"/>
            </w:tcBorders>
            <w:gridSpan w:val="2"/>
            <w:shd w:val="clear" w:color="auto" w:fill="EBECEE"/>
          </w:tcPr>
          <w:p>
            <w:pPr>
              <w:spacing w:after="0"/>
              <w:rPr>
                <w:sz w:val="20"/>
                <w:szCs w:val="20"/>
                <w:color w:val="auto"/>
              </w:rPr>
            </w:pPr>
            <w:r>
              <w:rPr>
                <w:rFonts w:ascii="Arial" w:cs="Arial" w:eastAsia="Arial" w:hAnsi="Arial"/>
                <w:sz w:val="18"/>
                <w:szCs w:val="18"/>
                <w:b w:val="1"/>
                <w:bCs w:val="1"/>
                <w:color w:val="0233A1"/>
              </w:rPr>
              <w:t>Framework for Setting 2022 Executive Compensation</w:t>
            </w:r>
          </w:p>
        </w:tc>
        <w:tc>
          <w:tcPr>
            <w:tcW w:w="5280" w:type="dxa"/>
            <w:vAlign w:val="bottom"/>
            <w:tcBorders>
              <w:bottom w:val="single" w:sz="8" w:color="5A5C5F"/>
            </w:tcBorders>
            <w:gridSpan w:val="3"/>
            <w:shd w:val="clear" w:color="auto" w:fill="EBECEE"/>
          </w:tcPr>
          <w:p>
            <w:pPr>
              <w:jc w:val="right"/>
              <w:ind w:right="20"/>
              <w:spacing w:after="0"/>
              <w:rPr>
                <w:sz w:val="20"/>
                <w:szCs w:val="20"/>
                <w:color w:val="auto"/>
              </w:rPr>
            </w:pPr>
            <w:r>
              <w:rPr>
                <w:rFonts w:ascii="Arial" w:cs="Arial" w:eastAsia="Arial" w:hAnsi="Arial"/>
                <w:sz w:val="18"/>
                <w:szCs w:val="18"/>
                <w:b w:val="1"/>
                <w:bCs w:val="1"/>
                <w:color w:val="0233A1"/>
              </w:rPr>
              <w:t>34</w:t>
            </w:r>
          </w:p>
        </w:tc>
        <w:tc>
          <w:tcPr>
            <w:tcW w:w="100" w:type="dxa"/>
            <w:vAlign w:val="bottom"/>
            <w:tcBorders>
              <w:bottom w:val="single" w:sz="8" w:color="EBECEE"/>
              <w:right w:val="single" w:sz="8" w:color="0233A1"/>
            </w:tcBorders>
            <w:shd w:val="clear" w:color="auto" w:fill="EBECEE"/>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80" w:type="dxa"/>
            <w:vAlign w:val="bottom"/>
            <w:tcBorders>
              <w:right w:val="single" w:sz="8" w:color="0233A1"/>
            </w:tcBorders>
          </w:tcPr>
          <w:p>
            <w:pPr>
              <w:spacing w:after="0"/>
              <w:rPr>
                <w:sz w:val="22"/>
                <w:szCs w:val="22"/>
                <w:color w:val="auto"/>
              </w:rPr>
            </w:pPr>
          </w:p>
        </w:tc>
        <w:tc>
          <w:tcPr>
            <w:tcW w:w="80" w:type="dxa"/>
            <w:vAlign w:val="bottom"/>
            <w:shd w:val="clear" w:color="auto" w:fill="EBECEE"/>
          </w:tcPr>
          <w:p>
            <w:pPr>
              <w:spacing w:after="0"/>
              <w:rPr>
                <w:sz w:val="22"/>
                <w:szCs w:val="22"/>
                <w:color w:val="auto"/>
              </w:rPr>
            </w:pPr>
          </w:p>
        </w:tc>
        <w:tc>
          <w:tcPr>
            <w:tcW w:w="4840" w:type="dxa"/>
            <w:vAlign w:val="bottom"/>
            <w:gridSpan w:val="2"/>
            <w:shd w:val="clear" w:color="auto" w:fill="EBECEE"/>
          </w:tcPr>
          <w:p>
            <w:pPr>
              <w:spacing w:after="0"/>
              <w:rPr>
                <w:sz w:val="20"/>
                <w:szCs w:val="20"/>
                <w:color w:val="auto"/>
              </w:rPr>
            </w:pPr>
            <w:r>
              <w:rPr>
                <w:rFonts w:ascii="Arial" w:cs="Arial" w:eastAsia="Arial" w:hAnsi="Arial"/>
                <w:sz w:val="16"/>
                <w:szCs w:val="16"/>
                <w:color w:val="auto"/>
              </w:rPr>
              <w:t>Program Design and Pay-for-Performance Philosophy</w:t>
            </w:r>
          </w:p>
        </w:tc>
        <w:tc>
          <w:tcPr>
            <w:tcW w:w="5280" w:type="dxa"/>
            <w:vAlign w:val="bottom"/>
            <w:gridSpan w:val="3"/>
            <w:shd w:val="clear" w:color="auto" w:fill="EBECEE"/>
          </w:tcPr>
          <w:p>
            <w:pPr>
              <w:jc w:val="right"/>
              <w:ind w:right="20"/>
              <w:spacing w:after="0"/>
              <w:rPr>
                <w:sz w:val="20"/>
                <w:szCs w:val="20"/>
                <w:color w:val="auto"/>
              </w:rPr>
            </w:pPr>
            <w:r>
              <w:rPr>
                <w:rFonts w:ascii="Arial" w:cs="Arial" w:eastAsia="Arial" w:hAnsi="Arial"/>
                <w:sz w:val="16"/>
                <w:szCs w:val="16"/>
                <w:color w:val="auto"/>
              </w:rPr>
              <w:t>34</w:t>
            </w:r>
          </w:p>
        </w:tc>
        <w:tc>
          <w:tcPr>
            <w:tcW w:w="100" w:type="dxa"/>
            <w:vAlign w:val="bottom"/>
            <w:tcBorders>
              <w:right w:val="single" w:sz="8" w:color="0233A1"/>
            </w:tcBorders>
            <w:shd w:val="clear" w:color="auto" w:fill="EBECEE"/>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80" w:type="dxa"/>
            <w:vAlign w:val="bottom"/>
            <w:tcBorders>
              <w:right w:val="single" w:sz="8" w:color="0233A1"/>
            </w:tcBorders>
          </w:tcPr>
          <w:p>
            <w:pPr>
              <w:spacing w:after="0"/>
              <w:rPr>
                <w:sz w:val="16"/>
                <w:szCs w:val="16"/>
                <w:color w:val="auto"/>
              </w:rPr>
            </w:pPr>
          </w:p>
        </w:tc>
        <w:tc>
          <w:tcPr>
            <w:tcW w:w="80" w:type="dxa"/>
            <w:vAlign w:val="bottom"/>
            <w:shd w:val="clear" w:color="auto" w:fill="EBECEE"/>
          </w:tcPr>
          <w:p>
            <w:pPr>
              <w:spacing w:after="0"/>
              <w:rPr>
                <w:sz w:val="16"/>
                <w:szCs w:val="16"/>
                <w:color w:val="auto"/>
              </w:rPr>
            </w:pPr>
          </w:p>
        </w:tc>
        <w:tc>
          <w:tcPr>
            <w:tcW w:w="4840" w:type="dxa"/>
            <w:vAlign w:val="bottom"/>
            <w:gridSpan w:val="2"/>
            <w:shd w:val="clear" w:color="auto" w:fill="EBECEE"/>
          </w:tcPr>
          <w:p>
            <w:pPr>
              <w:spacing w:after="0"/>
              <w:rPr>
                <w:sz w:val="20"/>
                <w:szCs w:val="20"/>
                <w:color w:val="auto"/>
              </w:rPr>
            </w:pPr>
            <w:r>
              <w:rPr>
                <w:rFonts w:ascii="Arial" w:cs="Arial" w:eastAsia="Arial" w:hAnsi="Arial"/>
                <w:sz w:val="16"/>
                <w:szCs w:val="16"/>
                <w:color w:val="auto"/>
              </w:rPr>
              <w:t>At-Risk Pay Mix</w:t>
            </w:r>
          </w:p>
        </w:tc>
        <w:tc>
          <w:tcPr>
            <w:tcW w:w="5280" w:type="dxa"/>
            <w:vAlign w:val="bottom"/>
            <w:gridSpan w:val="3"/>
            <w:shd w:val="clear" w:color="auto" w:fill="EBECEE"/>
          </w:tcPr>
          <w:p>
            <w:pPr>
              <w:jc w:val="right"/>
              <w:ind w:right="20"/>
              <w:spacing w:after="0"/>
              <w:rPr>
                <w:sz w:val="20"/>
                <w:szCs w:val="20"/>
                <w:color w:val="auto"/>
              </w:rPr>
            </w:pPr>
            <w:r>
              <w:rPr>
                <w:rFonts w:ascii="Arial" w:cs="Arial" w:eastAsia="Arial" w:hAnsi="Arial"/>
                <w:sz w:val="16"/>
                <w:szCs w:val="16"/>
                <w:color w:val="auto"/>
              </w:rPr>
              <w:t>35</w:t>
            </w:r>
          </w:p>
        </w:tc>
        <w:tc>
          <w:tcPr>
            <w:tcW w:w="100" w:type="dxa"/>
            <w:vAlign w:val="bottom"/>
            <w:tcBorders>
              <w:right w:val="single" w:sz="8" w:color="0233A1"/>
            </w:tcBorders>
            <w:shd w:val="clear" w:color="auto" w:fill="EBECEE"/>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0" w:type="dxa"/>
            <w:vAlign w:val="bottom"/>
            <w:tcBorders>
              <w:right w:val="single" w:sz="8" w:color="0233A1"/>
            </w:tcBorders>
          </w:tcPr>
          <w:p>
            <w:pPr>
              <w:spacing w:after="0"/>
              <w:rPr>
                <w:sz w:val="18"/>
                <w:szCs w:val="18"/>
                <w:color w:val="auto"/>
              </w:rPr>
            </w:pPr>
          </w:p>
        </w:tc>
        <w:tc>
          <w:tcPr>
            <w:tcW w:w="80" w:type="dxa"/>
            <w:vAlign w:val="bottom"/>
            <w:shd w:val="clear" w:color="auto" w:fill="EBECEE"/>
          </w:tcPr>
          <w:p>
            <w:pPr>
              <w:spacing w:after="0"/>
              <w:rPr>
                <w:sz w:val="18"/>
                <w:szCs w:val="18"/>
                <w:color w:val="auto"/>
              </w:rPr>
            </w:pPr>
          </w:p>
        </w:tc>
        <w:tc>
          <w:tcPr>
            <w:tcW w:w="4840" w:type="dxa"/>
            <w:vAlign w:val="bottom"/>
            <w:gridSpan w:val="2"/>
            <w:shd w:val="clear" w:color="auto" w:fill="EBECEE"/>
          </w:tcPr>
          <w:p>
            <w:pPr>
              <w:spacing w:after="0"/>
              <w:rPr>
                <w:sz w:val="20"/>
                <w:szCs w:val="20"/>
                <w:color w:val="auto"/>
              </w:rPr>
            </w:pPr>
            <w:r>
              <w:rPr>
                <w:rFonts w:ascii="Arial" w:cs="Arial" w:eastAsia="Arial" w:hAnsi="Arial"/>
                <w:sz w:val="16"/>
                <w:szCs w:val="16"/>
                <w:color w:val="auto"/>
              </w:rPr>
              <w:t>Responsiveness to Shareholder Feedback</w:t>
            </w:r>
          </w:p>
        </w:tc>
        <w:tc>
          <w:tcPr>
            <w:tcW w:w="5280" w:type="dxa"/>
            <w:vAlign w:val="bottom"/>
            <w:gridSpan w:val="3"/>
            <w:shd w:val="clear" w:color="auto" w:fill="EBECEE"/>
          </w:tcPr>
          <w:p>
            <w:pPr>
              <w:jc w:val="right"/>
              <w:ind w:right="20"/>
              <w:spacing w:after="0"/>
              <w:rPr>
                <w:sz w:val="20"/>
                <w:szCs w:val="20"/>
                <w:color w:val="auto"/>
              </w:rPr>
            </w:pPr>
            <w:r>
              <w:rPr>
                <w:rFonts w:ascii="Arial" w:cs="Arial" w:eastAsia="Arial" w:hAnsi="Arial"/>
                <w:sz w:val="16"/>
                <w:szCs w:val="16"/>
                <w:color w:val="auto"/>
              </w:rPr>
              <w:t>35</w:t>
            </w:r>
          </w:p>
        </w:tc>
        <w:tc>
          <w:tcPr>
            <w:tcW w:w="100" w:type="dxa"/>
            <w:vAlign w:val="bottom"/>
            <w:tcBorders>
              <w:right w:val="single" w:sz="8" w:color="0233A1"/>
            </w:tcBorders>
            <w:shd w:val="clear" w:color="auto" w:fill="EBECEE"/>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480" w:type="dxa"/>
            <w:vAlign w:val="bottom"/>
            <w:tcBorders>
              <w:right w:val="single" w:sz="8" w:color="0233A1"/>
            </w:tcBorders>
          </w:tcPr>
          <w:p>
            <w:pPr>
              <w:spacing w:after="0"/>
              <w:rPr>
                <w:sz w:val="24"/>
                <w:szCs w:val="24"/>
                <w:color w:val="auto"/>
              </w:rPr>
            </w:pPr>
          </w:p>
        </w:tc>
        <w:tc>
          <w:tcPr>
            <w:tcW w:w="80" w:type="dxa"/>
            <w:vAlign w:val="bottom"/>
            <w:tcBorders>
              <w:bottom w:val="single" w:sz="8" w:color="EBECEE"/>
            </w:tcBorders>
            <w:shd w:val="clear" w:color="auto" w:fill="EBECEE"/>
          </w:tcPr>
          <w:p>
            <w:pPr>
              <w:spacing w:after="0"/>
              <w:rPr>
                <w:sz w:val="24"/>
                <w:szCs w:val="24"/>
                <w:color w:val="auto"/>
              </w:rPr>
            </w:pPr>
          </w:p>
        </w:tc>
        <w:tc>
          <w:tcPr>
            <w:tcW w:w="4840" w:type="dxa"/>
            <w:vAlign w:val="bottom"/>
            <w:tcBorders>
              <w:bottom w:val="single" w:sz="8" w:color="5A5C5F"/>
            </w:tcBorders>
            <w:gridSpan w:val="2"/>
            <w:shd w:val="clear" w:color="auto" w:fill="EBECEE"/>
          </w:tcPr>
          <w:p>
            <w:pPr>
              <w:spacing w:after="0"/>
              <w:rPr>
                <w:sz w:val="20"/>
                <w:szCs w:val="20"/>
                <w:color w:val="auto"/>
              </w:rPr>
            </w:pPr>
            <w:r>
              <w:rPr>
                <w:rFonts w:ascii="Arial" w:cs="Arial" w:eastAsia="Arial" w:hAnsi="Arial"/>
                <w:sz w:val="18"/>
                <w:szCs w:val="18"/>
                <w:b w:val="1"/>
                <w:bCs w:val="1"/>
                <w:color w:val="0233A1"/>
              </w:rPr>
              <w:t>Elements of 2022 Total Direct Compensation</w:t>
            </w:r>
          </w:p>
        </w:tc>
        <w:tc>
          <w:tcPr>
            <w:tcW w:w="5280" w:type="dxa"/>
            <w:vAlign w:val="bottom"/>
            <w:tcBorders>
              <w:bottom w:val="single" w:sz="8" w:color="5A5C5F"/>
            </w:tcBorders>
            <w:gridSpan w:val="3"/>
            <w:shd w:val="clear" w:color="auto" w:fill="EBECEE"/>
          </w:tcPr>
          <w:p>
            <w:pPr>
              <w:jc w:val="right"/>
              <w:ind w:right="20"/>
              <w:spacing w:after="0"/>
              <w:rPr>
                <w:sz w:val="20"/>
                <w:szCs w:val="20"/>
                <w:color w:val="auto"/>
              </w:rPr>
            </w:pPr>
            <w:r>
              <w:rPr>
                <w:rFonts w:ascii="Arial" w:cs="Arial" w:eastAsia="Arial" w:hAnsi="Arial"/>
                <w:sz w:val="18"/>
                <w:szCs w:val="18"/>
                <w:b w:val="1"/>
                <w:bCs w:val="1"/>
                <w:color w:val="0233A1"/>
              </w:rPr>
              <w:t>36</w:t>
            </w:r>
          </w:p>
        </w:tc>
        <w:tc>
          <w:tcPr>
            <w:tcW w:w="100" w:type="dxa"/>
            <w:vAlign w:val="bottom"/>
            <w:tcBorders>
              <w:bottom w:val="single" w:sz="8" w:color="EBECEE"/>
              <w:right w:val="single" w:sz="8" w:color="0233A1"/>
            </w:tcBorders>
            <w:shd w:val="clear" w:color="auto" w:fill="EBECEE"/>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80" w:type="dxa"/>
            <w:vAlign w:val="bottom"/>
            <w:tcBorders>
              <w:right w:val="single" w:sz="8" w:color="0233A1"/>
            </w:tcBorders>
          </w:tcPr>
          <w:p>
            <w:pPr>
              <w:spacing w:after="0"/>
              <w:rPr>
                <w:sz w:val="22"/>
                <w:szCs w:val="22"/>
                <w:color w:val="auto"/>
              </w:rPr>
            </w:pPr>
          </w:p>
        </w:tc>
        <w:tc>
          <w:tcPr>
            <w:tcW w:w="80" w:type="dxa"/>
            <w:vAlign w:val="bottom"/>
            <w:shd w:val="clear" w:color="auto" w:fill="EBECEE"/>
          </w:tcPr>
          <w:p>
            <w:pPr>
              <w:spacing w:after="0"/>
              <w:rPr>
                <w:sz w:val="22"/>
                <w:szCs w:val="22"/>
                <w:color w:val="auto"/>
              </w:rPr>
            </w:pPr>
          </w:p>
        </w:tc>
        <w:tc>
          <w:tcPr>
            <w:tcW w:w="4840" w:type="dxa"/>
            <w:vAlign w:val="bottom"/>
            <w:gridSpan w:val="2"/>
            <w:shd w:val="clear" w:color="auto" w:fill="EBECEE"/>
          </w:tcPr>
          <w:p>
            <w:pPr>
              <w:spacing w:after="0"/>
              <w:rPr>
                <w:sz w:val="20"/>
                <w:szCs w:val="20"/>
                <w:color w:val="auto"/>
              </w:rPr>
            </w:pPr>
            <w:r>
              <w:rPr>
                <w:rFonts w:ascii="Arial" w:cs="Arial" w:eastAsia="Arial" w:hAnsi="Arial"/>
                <w:sz w:val="16"/>
                <w:szCs w:val="16"/>
                <w:color w:val="auto"/>
              </w:rPr>
              <w:t>Base Salary</w:t>
            </w:r>
          </w:p>
        </w:tc>
        <w:tc>
          <w:tcPr>
            <w:tcW w:w="5280" w:type="dxa"/>
            <w:vAlign w:val="bottom"/>
            <w:gridSpan w:val="3"/>
            <w:shd w:val="clear" w:color="auto" w:fill="EBECEE"/>
          </w:tcPr>
          <w:p>
            <w:pPr>
              <w:jc w:val="right"/>
              <w:ind w:right="20"/>
              <w:spacing w:after="0"/>
              <w:rPr>
                <w:sz w:val="20"/>
                <w:szCs w:val="20"/>
                <w:color w:val="auto"/>
              </w:rPr>
            </w:pPr>
            <w:r>
              <w:rPr>
                <w:rFonts w:ascii="Arial" w:cs="Arial" w:eastAsia="Arial" w:hAnsi="Arial"/>
                <w:sz w:val="16"/>
                <w:szCs w:val="16"/>
                <w:color w:val="auto"/>
              </w:rPr>
              <w:t>36</w:t>
            </w:r>
          </w:p>
        </w:tc>
        <w:tc>
          <w:tcPr>
            <w:tcW w:w="100" w:type="dxa"/>
            <w:vAlign w:val="bottom"/>
            <w:tcBorders>
              <w:right w:val="single" w:sz="8" w:color="0233A1"/>
            </w:tcBorders>
            <w:shd w:val="clear" w:color="auto" w:fill="EBECEE"/>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80" w:type="dxa"/>
            <w:vAlign w:val="bottom"/>
            <w:tcBorders>
              <w:right w:val="single" w:sz="8" w:color="0233A1"/>
            </w:tcBorders>
          </w:tcPr>
          <w:p>
            <w:pPr>
              <w:spacing w:after="0"/>
              <w:rPr>
                <w:sz w:val="16"/>
                <w:szCs w:val="16"/>
                <w:color w:val="auto"/>
              </w:rPr>
            </w:pPr>
          </w:p>
        </w:tc>
        <w:tc>
          <w:tcPr>
            <w:tcW w:w="80" w:type="dxa"/>
            <w:vAlign w:val="bottom"/>
            <w:shd w:val="clear" w:color="auto" w:fill="EBECEE"/>
          </w:tcPr>
          <w:p>
            <w:pPr>
              <w:spacing w:after="0"/>
              <w:rPr>
                <w:sz w:val="16"/>
                <w:szCs w:val="16"/>
                <w:color w:val="auto"/>
              </w:rPr>
            </w:pPr>
          </w:p>
        </w:tc>
        <w:tc>
          <w:tcPr>
            <w:tcW w:w="4840" w:type="dxa"/>
            <w:vAlign w:val="bottom"/>
            <w:gridSpan w:val="2"/>
            <w:shd w:val="clear" w:color="auto" w:fill="EBECEE"/>
          </w:tcPr>
          <w:p>
            <w:pPr>
              <w:spacing w:after="0"/>
              <w:rPr>
                <w:sz w:val="20"/>
                <w:szCs w:val="20"/>
                <w:color w:val="auto"/>
              </w:rPr>
            </w:pPr>
            <w:r>
              <w:rPr>
                <w:rFonts w:ascii="Arial" w:cs="Arial" w:eastAsia="Arial" w:hAnsi="Arial"/>
                <w:sz w:val="16"/>
                <w:szCs w:val="16"/>
                <w:color w:val="auto"/>
              </w:rPr>
              <w:t>Annual Cash Incentive Awards</w:t>
            </w:r>
          </w:p>
        </w:tc>
        <w:tc>
          <w:tcPr>
            <w:tcW w:w="5280" w:type="dxa"/>
            <w:vAlign w:val="bottom"/>
            <w:gridSpan w:val="3"/>
            <w:shd w:val="clear" w:color="auto" w:fill="EBECEE"/>
          </w:tcPr>
          <w:p>
            <w:pPr>
              <w:jc w:val="right"/>
              <w:ind w:right="20"/>
              <w:spacing w:after="0"/>
              <w:rPr>
                <w:sz w:val="20"/>
                <w:szCs w:val="20"/>
                <w:color w:val="auto"/>
              </w:rPr>
            </w:pPr>
            <w:r>
              <w:rPr>
                <w:rFonts w:ascii="Arial" w:cs="Arial" w:eastAsia="Arial" w:hAnsi="Arial"/>
                <w:sz w:val="16"/>
                <w:szCs w:val="16"/>
                <w:color w:val="auto"/>
              </w:rPr>
              <w:t>36</w:t>
            </w:r>
          </w:p>
        </w:tc>
        <w:tc>
          <w:tcPr>
            <w:tcW w:w="100" w:type="dxa"/>
            <w:vAlign w:val="bottom"/>
            <w:tcBorders>
              <w:right w:val="single" w:sz="8" w:color="0233A1"/>
            </w:tcBorders>
            <w:shd w:val="clear" w:color="auto" w:fill="EBECEE"/>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Borders>
              <w:right w:val="single" w:sz="8" w:color="0233A1"/>
            </w:tcBorders>
          </w:tcPr>
          <w:p>
            <w:pPr>
              <w:spacing w:after="0"/>
              <w:rPr>
                <w:sz w:val="16"/>
                <w:szCs w:val="16"/>
                <w:color w:val="auto"/>
              </w:rPr>
            </w:pPr>
          </w:p>
        </w:tc>
        <w:tc>
          <w:tcPr>
            <w:tcW w:w="80" w:type="dxa"/>
            <w:vAlign w:val="bottom"/>
            <w:shd w:val="clear" w:color="auto" w:fill="EBECEE"/>
          </w:tcPr>
          <w:p>
            <w:pPr>
              <w:spacing w:after="0"/>
              <w:rPr>
                <w:sz w:val="16"/>
                <w:szCs w:val="16"/>
                <w:color w:val="auto"/>
              </w:rPr>
            </w:pPr>
          </w:p>
        </w:tc>
        <w:tc>
          <w:tcPr>
            <w:tcW w:w="4840" w:type="dxa"/>
            <w:vAlign w:val="bottom"/>
            <w:gridSpan w:val="2"/>
            <w:shd w:val="clear" w:color="auto" w:fill="EBECEE"/>
          </w:tcPr>
          <w:p>
            <w:pPr>
              <w:spacing w:after="0"/>
              <w:rPr>
                <w:sz w:val="20"/>
                <w:szCs w:val="20"/>
                <w:color w:val="auto"/>
              </w:rPr>
            </w:pPr>
            <w:r>
              <w:rPr>
                <w:rFonts w:ascii="Arial" w:cs="Arial" w:eastAsia="Arial" w:hAnsi="Arial"/>
                <w:sz w:val="16"/>
                <w:szCs w:val="16"/>
                <w:color w:val="auto"/>
              </w:rPr>
              <w:t>Long-Term Equity Incentive Awards</w:t>
            </w:r>
          </w:p>
        </w:tc>
        <w:tc>
          <w:tcPr>
            <w:tcW w:w="5280" w:type="dxa"/>
            <w:vAlign w:val="bottom"/>
            <w:gridSpan w:val="3"/>
            <w:shd w:val="clear" w:color="auto" w:fill="EBECEE"/>
          </w:tcPr>
          <w:p>
            <w:pPr>
              <w:jc w:val="right"/>
              <w:ind w:right="20"/>
              <w:spacing w:after="0"/>
              <w:rPr>
                <w:sz w:val="20"/>
                <w:szCs w:val="20"/>
                <w:color w:val="auto"/>
              </w:rPr>
            </w:pPr>
            <w:r>
              <w:rPr>
                <w:rFonts w:ascii="Arial" w:cs="Arial" w:eastAsia="Arial" w:hAnsi="Arial"/>
                <w:sz w:val="16"/>
                <w:szCs w:val="16"/>
                <w:color w:val="auto"/>
              </w:rPr>
              <w:t>39</w:t>
            </w:r>
          </w:p>
        </w:tc>
        <w:tc>
          <w:tcPr>
            <w:tcW w:w="100" w:type="dxa"/>
            <w:vAlign w:val="bottom"/>
            <w:tcBorders>
              <w:right w:val="single" w:sz="8" w:color="0233A1"/>
            </w:tcBorders>
            <w:shd w:val="clear" w:color="auto" w:fill="EBECEE"/>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0" w:type="dxa"/>
            <w:vAlign w:val="bottom"/>
            <w:tcBorders>
              <w:right w:val="single" w:sz="8" w:color="0233A1"/>
            </w:tcBorders>
          </w:tcPr>
          <w:p>
            <w:pPr>
              <w:spacing w:after="0"/>
              <w:rPr>
                <w:sz w:val="18"/>
                <w:szCs w:val="18"/>
                <w:color w:val="auto"/>
              </w:rPr>
            </w:pPr>
          </w:p>
        </w:tc>
        <w:tc>
          <w:tcPr>
            <w:tcW w:w="80" w:type="dxa"/>
            <w:vAlign w:val="bottom"/>
            <w:shd w:val="clear" w:color="auto" w:fill="EBECEE"/>
          </w:tcPr>
          <w:p>
            <w:pPr>
              <w:spacing w:after="0"/>
              <w:rPr>
                <w:sz w:val="18"/>
                <w:szCs w:val="18"/>
                <w:color w:val="auto"/>
              </w:rPr>
            </w:pPr>
          </w:p>
        </w:tc>
        <w:tc>
          <w:tcPr>
            <w:tcW w:w="4840" w:type="dxa"/>
            <w:vAlign w:val="bottom"/>
            <w:gridSpan w:val="2"/>
            <w:shd w:val="clear" w:color="auto" w:fill="EBECEE"/>
          </w:tcPr>
          <w:p>
            <w:pPr>
              <w:spacing w:after="0"/>
              <w:rPr>
                <w:sz w:val="20"/>
                <w:szCs w:val="20"/>
                <w:color w:val="auto"/>
              </w:rPr>
            </w:pPr>
            <w:r>
              <w:rPr>
                <w:rFonts w:ascii="Arial" w:cs="Arial" w:eastAsia="Arial" w:hAnsi="Arial"/>
                <w:sz w:val="16"/>
                <w:szCs w:val="16"/>
                <w:color w:val="auto"/>
              </w:rPr>
              <w:t>Other Benefits</w:t>
            </w:r>
          </w:p>
        </w:tc>
        <w:tc>
          <w:tcPr>
            <w:tcW w:w="5280" w:type="dxa"/>
            <w:vAlign w:val="bottom"/>
            <w:gridSpan w:val="3"/>
            <w:shd w:val="clear" w:color="auto" w:fill="EBECEE"/>
          </w:tcPr>
          <w:p>
            <w:pPr>
              <w:jc w:val="right"/>
              <w:ind w:right="20"/>
              <w:spacing w:after="0"/>
              <w:rPr>
                <w:sz w:val="20"/>
                <w:szCs w:val="20"/>
                <w:color w:val="auto"/>
              </w:rPr>
            </w:pPr>
            <w:r>
              <w:rPr>
                <w:rFonts w:ascii="Arial" w:cs="Arial" w:eastAsia="Arial" w:hAnsi="Arial"/>
                <w:sz w:val="16"/>
                <w:szCs w:val="16"/>
                <w:color w:val="auto"/>
              </w:rPr>
              <w:t>44</w:t>
            </w:r>
          </w:p>
        </w:tc>
        <w:tc>
          <w:tcPr>
            <w:tcW w:w="100" w:type="dxa"/>
            <w:vAlign w:val="bottom"/>
            <w:tcBorders>
              <w:right w:val="single" w:sz="8" w:color="0233A1"/>
            </w:tcBorders>
            <w:shd w:val="clear" w:color="auto" w:fill="EBECEE"/>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480" w:type="dxa"/>
            <w:vAlign w:val="bottom"/>
            <w:tcBorders>
              <w:right w:val="single" w:sz="8" w:color="0233A1"/>
            </w:tcBorders>
          </w:tcPr>
          <w:p>
            <w:pPr>
              <w:spacing w:after="0"/>
              <w:rPr>
                <w:sz w:val="24"/>
                <w:szCs w:val="24"/>
                <w:color w:val="auto"/>
              </w:rPr>
            </w:pPr>
          </w:p>
        </w:tc>
        <w:tc>
          <w:tcPr>
            <w:tcW w:w="80" w:type="dxa"/>
            <w:vAlign w:val="bottom"/>
            <w:tcBorders>
              <w:bottom w:val="single" w:sz="8" w:color="EBECEE"/>
            </w:tcBorders>
            <w:shd w:val="clear" w:color="auto" w:fill="EBECEE"/>
          </w:tcPr>
          <w:p>
            <w:pPr>
              <w:spacing w:after="0"/>
              <w:rPr>
                <w:sz w:val="24"/>
                <w:szCs w:val="24"/>
                <w:color w:val="auto"/>
              </w:rPr>
            </w:pPr>
          </w:p>
        </w:tc>
        <w:tc>
          <w:tcPr>
            <w:tcW w:w="4840" w:type="dxa"/>
            <w:vAlign w:val="bottom"/>
            <w:tcBorders>
              <w:bottom w:val="single" w:sz="8" w:color="5A5C5F"/>
            </w:tcBorders>
            <w:gridSpan w:val="2"/>
            <w:shd w:val="clear" w:color="auto" w:fill="EBECEE"/>
          </w:tcPr>
          <w:p>
            <w:pPr>
              <w:spacing w:after="0"/>
              <w:rPr>
                <w:sz w:val="20"/>
                <w:szCs w:val="20"/>
                <w:color w:val="auto"/>
              </w:rPr>
            </w:pPr>
            <w:r>
              <w:rPr>
                <w:rFonts w:ascii="Arial" w:cs="Arial" w:eastAsia="Arial" w:hAnsi="Arial"/>
                <w:sz w:val="18"/>
                <w:szCs w:val="18"/>
                <w:b w:val="1"/>
                <w:bCs w:val="1"/>
                <w:color w:val="0233A1"/>
              </w:rPr>
              <w:t>Other Aspects of Our Executive Compensation Program</w:t>
            </w:r>
          </w:p>
        </w:tc>
        <w:tc>
          <w:tcPr>
            <w:tcW w:w="5280" w:type="dxa"/>
            <w:vAlign w:val="bottom"/>
            <w:tcBorders>
              <w:bottom w:val="single" w:sz="8" w:color="5A5C5F"/>
            </w:tcBorders>
            <w:gridSpan w:val="3"/>
            <w:shd w:val="clear" w:color="auto" w:fill="EBECEE"/>
          </w:tcPr>
          <w:p>
            <w:pPr>
              <w:jc w:val="right"/>
              <w:ind w:right="20"/>
              <w:spacing w:after="0"/>
              <w:rPr>
                <w:sz w:val="20"/>
                <w:szCs w:val="20"/>
                <w:color w:val="auto"/>
              </w:rPr>
            </w:pPr>
            <w:r>
              <w:rPr>
                <w:rFonts w:ascii="Arial" w:cs="Arial" w:eastAsia="Arial" w:hAnsi="Arial"/>
                <w:sz w:val="18"/>
                <w:szCs w:val="18"/>
                <w:b w:val="1"/>
                <w:bCs w:val="1"/>
                <w:color w:val="0233A1"/>
              </w:rPr>
              <w:t>45</w:t>
            </w:r>
          </w:p>
        </w:tc>
        <w:tc>
          <w:tcPr>
            <w:tcW w:w="100" w:type="dxa"/>
            <w:vAlign w:val="bottom"/>
            <w:tcBorders>
              <w:bottom w:val="single" w:sz="8" w:color="EBECEE"/>
              <w:right w:val="single" w:sz="8" w:color="0233A1"/>
            </w:tcBorders>
            <w:shd w:val="clear" w:color="auto" w:fill="EBECEE"/>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80" w:type="dxa"/>
            <w:vAlign w:val="bottom"/>
            <w:tcBorders>
              <w:right w:val="single" w:sz="8" w:color="0233A1"/>
            </w:tcBorders>
          </w:tcPr>
          <w:p>
            <w:pPr>
              <w:spacing w:after="0"/>
              <w:rPr>
                <w:sz w:val="22"/>
                <w:szCs w:val="22"/>
                <w:color w:val="auto"/>
              </w:rPr>
            </w:pPr>
          </w:p>
        </w:tc>
        <w:tc>
          <w:tcPr>
            <w:tcW w:w="80" w:type="dxa"/>
            <w:vAlign w:val="bottom"/>
            <w:shd w:val="clear" w:color="auto" w:fill="EBECEE"/>
          </w:tcPr>
          <w:p>
            <w:pPr>
              <w:spacing w:after="0"/>
              <w:rPr>
                <w:sz w:val="22"/>
                <w:szCs w:val="22"/>
                <w:color w:val="auto"/>
              </w:rPr>
            </w:pPr>
          </w:p>
        </w:tc>
        <w:tc>
          <w:tcPr>
            <w:tcW w:w="4840" w:type="dxa"/>
            <w:vAlign w:val="bottom"/>
            <w:gridSpan w:val="2"/>
            <w:shd w:val="clear" w:color="auto" w:fill="EBECEE"/>
          </w:tcPr>
          <w:p>
            <w:pPr>
              <w:spacing w:after="0"/>
              <w:rPr>
                <w:sz w:val="20"/>
                <w:szCs w:val="20"/>
                <w:color w:val="auto"/>
              </w:rPr>
            </w:pPr>
            <w:r>
              <w:rPr>
                <w:rFonts w:ascii="Arial" w:cs="Arial" w:eastAsia="Arial" w:hAnsi="Arial"/>
                <w:sz w:val="16"/>
                <w:szCs w:val="16"/>
                <w:color w:val="auto"/>
              </w:rPr>
              <w:t>Competition for Our Executive Talent</w:t>
            </w:r>
          </w:p>
        </w:tc>
        <w:tc>
          <w:tcPr>
            <w:tcW w:w="5280" w:type="dxa"/>
            <w:vAlign w:val="bottom"/>
            <w:gridSpan w:val="3"/>
            <w:shd w:val="clear" w:color="auto" w:fill="EBECEE"/>
          </w:tcPr>
          <w:p>
            <w:pPr>
              <w:jc w:val="right"/>
              <w:ind w:right="20"/>
              <w:spacing w:after="0"/>
              <w:rPr>
                <w:sz w:val="20"/>
                <w:szCs w:val="20"/>
                <w:color w:val="auto"/>
              </w:rPr>
            </w:pPr>
            <w:r>
              <w:rPr>
                <w:rFonts w:ascii="Arial" w:cs="Arial" w:eastAsia="Arial" w:hAnsi="Arial"/>
                <w:sz w:val="16"/>
                <w:szCs w:val="16"/>
                <w:color w:val="auto"/>
              </w:rPr>
              <w:t>45</w:t>
            </w:r>
          </w:p>
        </w:tc>
        <w:tc>
          <w:tcPr>
            <w:tcW w:w="100" w:type="dxa"/>
            <w:vAlign w:val="bottom"/>
            <w:tcBorders>
              <w:right w:val="single" w:sz="8" w:color="0233A1"/>
            </w:tcBorders>
            <w:shd w:val="clear" w:color="auto" w:fill="EBECEE"/>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80" w:type="dxa"/>
            <w:vAlign w:val="bottom"/>
            <w:tcBorders>
              <w:right w:val="single" w:sz="8" w:color="0233A1"/>
            </w:tcBorders>
          </w:tcPr>
          <w:p>
            <w:pPr>
              <w:spacing w:after="0"/>
              <w:rPr>
                <w:sz w:val="18"/>
                <w:szCs w:val="18"/>
                <w:color w:val="auto"/>
              </w:rPr>
            </w:pPr>
          </w:p>
        </w:tc>
        <w:tc>
          <w:tcPr>
            <w:tcW w:w="80" w:type="dxa"/>
            <w:vAlign w:val="bottom"/>
            <w:shd w:val="clear" w:color="auto" w:fill="EBECEE"/>
          </w:tcPr>
          <w:p>
            <w:pPr>
              <w:spacing w:after="0"/>
              <w:rPr>
                <w:sz w:val="18"/>
                <w:szCs w:val="18"/>
                <w:color w:val="auto"/>
              </w:rPr>
            </w:pPr>
          </w:p>
        </w:tc>
        <w:tc>
          <w:tcPr>
            <w:tcW w:w="4840" w:type="dxa"/>
            <w:vAlign w:val="bottom"/>
            <w:gridSpan w:val="2"/>
            <w:shd w:val="clear" w:color="auto" w:fill="EBECEE"/>
          </w:tcPr>
          <w:p>
            <w:pPr>
              <w:spacing w:after="0"/>
              <w:rPr>
                <w:sz w:val="20"/>
                <w:szCs w:val="20"/>
                <w:color w:val="auto"/>
              </w:rPr>
            </w:pPr>
            <w:r>
              <w:rPr>
                <w:rFonts w:ascii="Arial" w:cs="Arial" w:eastAsia="Arial" w:hAnsi="Arial"/>
                <w:sz w:val="16"/>
                <w:szCs w:val="16"/>
                <w:color w:val="auto"/>
              </w:rPr>
              <w:t>Our Peer Group Companies</w:t>
            </w:r>
          </w:p>
        </w:tc>
        <w:tc>
          <w:tcPr>
            <w:tcW w:w="5280" w:type="dxa"/>
            <w:vAlign w:val="bottom"/>
            <w:gridSpan w:val="3"/>
            <w:shd w:val="clear" w:color="auto" w:fill="EBECEE"/>
          </w:tcPr>
          <w:p>
            <w:pPr>
              <w:jc w:val="right"/>
              <w:ind w:right="20"/>
              <w:spacing w:after="0"/>
              <w:rPr>
                <w:sz w:val="20"/>
                <w:szCs w:val="20"/>
                <w:color w:val="auto"/>
              </w:rPr>
            </w:pPr>
            <w:r>
              <w:rPr>
                <w:rFonts w:ascii="Arial" w:cs="Arial" w:eastAsia="Arial" w:hAnsi="Arial"/>
                <w:sz w:val="16"/>
                <w:szCs w:val="16"/>
                <w:color w:val="auto"/>
              </w:rPr>
              <w:t>46</w:t>
            </w:r>
          </w:p>
        </w:tc>
        <w:tc>
          <w:tcPr>
            <w:tcW w:w="100" w:type="dxa"/>
            <w:vAlign w:val="bottom"/>
            <w:tcBorders>
              <w:right w:val="single" w:sz="8" w:color="0233A1"/>
            </w:tcBorders>
            <w:shd w:val="clear" w:color="auto" w:fill="EBECEE"/>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480" w:type="dxa"/>
            <w:vAlign w:val="bottom"/>
            <w:tcBorders>
              <w:right w:val="single" w:sz="8" w:color="0233A1"/>
            </w:tcBorders>
          </w:tcPr>
          <w:p>
            <w:pPr>
              <w:spacing w:after="0"/>
              <w:rPr>
                <w:sz w:val="24"/>
                <w:szCs w:val="24"/>
                <w:color w:val="auto"/>
              </w:rPr>
            </w:pPr>
          </w:p>
        </w:tc>
        <w:tc>
          <w:tcPr>
            <w:tcW w:w="80" w:type="dxa"/>
            <w:vAlign w:val="bottom"/>
            <w:tcBorders>
              <w:bottom w:val="single" w:sz="8" w:color="EBECEE"/>
            </w:tcBorders>
            <w:shd w:val="clear" w:color="auto" w:fill="EBECEE"/>
          </w:tcPr>
          <w:p>
            <w:pPr>
              <w:spacing w:after="0"/>
              <w:rPr>
                <w:sz w:val="24"/>
                <w:szCs w:val="24"/>
                <w:color w:val="auto"/>
              </w:rPr>
            </w:pPr>
          </w:p>
        </w:tc>
        <w:tc>
          <w:tcPr>
            <w:tcW w:w="4840" w:type="dxa"/>
            <w:vAlign w:val="bottom"/>
            <w:tcBorders>
              <w:bottom w:val="single" w:sz="8" w:color="5A5C5F"/>
            </w:tcBorders>
            <w:gridSpan w:val="2"/>
            <w:shd w:val="clear" w:color="auto" w:fill="EBECEE"/>
          </w:tcPr>
          <w:p>
            <w:pPr>
              <w:spacing w:after="0"/>
              <w:rPr>
                <w:sz w:val="20"/>
                <w:szCs w:val="20"/>
                <w:color w:val="auto"/>
              </w:rPr>
            </w:pPr>
            <w:r>
              <w:rPr>
                <w:rFonts w:ascii="Arial" w:cs="Arial" w:eastAsia="Arial" w:hAnsi="Arial"/>
                <w:sz w:val="18"/>
                <w:szCs w:val="18"/>
                <w:b w:val="1"/>
                <w:bCs w:val="1"/>
                <w:color w:val="0233A1"/>
              </w:rPr>
              <w:t>Executive Compensation Governance</w:t>
            </w:r>
          </w:p>
        </w:tc>
        <w:tc>
          <w:tcPr>
            <w:tcW w:w="5280" w:type="dxa"/>
            <w:vAlign w:val="bottom"/>
            <w:tcBorders>
              <w:bottom w:val="single" w:sz="8" w:color="5A5C5F"/>
            </w:tcBorders>
            <w:gridSpan w:val="3"/>
            <w:shd w:val="clear" w:color="auto" w:fill="EBECEE"/>
          </w:tcPr>
          <w:p>
            <w:pPr>
              <w:jc w:val="right"/>
              <w:ind w:right="20"/>
              <w:spacing w:after="0"/>
              <w:rPr>
                <w:sz w:val="20"/>
                <w:szCs w:val="20"/>
                <w:color w:val="auto"/>
              </w:rPr>
            </w:pPr>
            <w:r>
              <w:rPr>
                <w:rFonts w:ascii="Arial" w:cs="Arial" w:eastAsia="Arial" w:hAnsi="Arial"/>
                <w:sz w:val="18"/>
                <w:szCs w:val="18"/>
                <w:b w:val="1"/>
                <w:bCs w:val="1"/>
                <w:color w:val="0233A1"/>
              </w:rPr>
              <w:t>47</w:t>
            </w:r>
          </w:p>
        </w:tc>
        <w:tc>
          <w:tcPr>
            <w:tcW w:w="100" w:type="dxa"/>
            <w:vAlign w:val="bottom"/>
            <w:tcBorders>
              <w:bottom w:val="single" w:sz="8" w:color="EBECEE"/>
              <w:right w:val="single" w:sz="8" w:color="0233A1"/>
            </w:tcBorders>
            <w:shd w:val="clear" w:color="auto" w:fill="EBECEE"/>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80" w:type="dxa"/>
            <w:vAlign w:val="bottom"/>
            <w:tcBorders>
              <w:right w:val="single" w:sz="8" w:color="0233A1"/>
            </w:tcBorders>
          </w:tcPr>
          <w:p>
            <w:pPr>
              <w:spacing w:after="0"/>
              <w:rPr>
                <w:sz w:val="22"/>
                <w:szCs w:val="22"/>
                <w:color w:val="auto"/>
              </w:rPr>
            </w:pPr>
          </w:p>
        </w:tc>
        <w:tc>
          <w:tcPr>
            <w:tcW w:w="80" w:type="dxa"/>
            <w:vAlign w:val="bottom"/>
            <w:shd w:val="clear" w:color="auto" w:fill="EBECEE"/>
          </w:tcPr>
          <w:p>
            <w:pPr>
              <w:spacing w:after="0"/>
              <w:rPr>
                <w:sz w:val="22"/>
                <w:szCs w:val="22"/>
                <w:color w:val="auto"/>
              </w:rPr>
            </w:pPr>
          </w:p>
        </w:tc>
        <w:tc>
          <w:tcPr>
            <w:tcW w:w="4840" w:type="dxa"/>
            <w:vAlign w:val="bottom"/>
            <w:gridSpan w:val="2"/>
            <w:shd w:val="clear" w:color="auto" w:fill="EBECEE"/>
          </w:tcPr>
          <w:p>
            <w:pPr>
              <w:spacing w:after="0"/>
              <w:rPr>
                <w:sz w:val="20"/>
                <w:szCs w:val="20"/>
                <w:color w:val="auto"/>
              </w:rPr>
            </w:pPr>
            <w:r>
              <w:rPr>
                <w:rFonts w:ascii="Arial" w:cs="Arial" w:eastAsia="Arial" w:hAnsi="Arial"/>
                <w:sz w:val="16"/>
                <w:szCs w:val="16"/>
                <w:color w:val="auto"/>
              </w:rPr>
              <w:t>No Employment Agreements with Current NEOs</w:t>
            </w:r>
          </w:p>
        </w:tc>
        <w:tc>
          <w:tcPr>
            <w:tcW w:w="5280" w:type="dxa"/>
            <w:vAlign w:val="bottom"/>
            <w:gridSpan w:val="3"/>
            <w:shd w:val="clear" w:color="auto" w:fill="EBECEE"/>
          </w:tcPr>
          <w:p>
            <w:pPr>
              <w:jc w:val="right"/>
              <w:ind w:right="20"/>
              <w:spacing w:after="0"/>
              <w:rPr>
                <w:sz w:val="20"/>
                <w:szCs w:val="20"/>
                <w:color w:val="auto"/>
              </w:rPr>
            </w:pPr>
            <w:r>
              <w:rPr>
                <w:rFonts w:ascii="Arial" w:cs="Arial" w:eastAsia="Arial" w:hAnsi="Arial"/>
                <w:sz w:val="16"/>
                <w:szCs w:val="16"/>
                <w:color w:val="auto"/>
              </w:rPr>
              <w:t>47</w:t>
            </w:r>
          </w:p>
        </w:tc>
        <w:tc>
          <w:tcPr>
            <w:tcW w:w="100" w:type="dxa"/>
            <w:vAlign w:val="bottom"/>
            <w:tcBorders>
              <w:right w:val="single" w:sz="8" w:color="0233A1"/>
            </w:tcBorders>
            <w:shd w:val="clear" w:color="auto" w:fill="EBECEE"/>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80" w:type="dxa"/>
            <w:vAlign w:val="bottom"/>
            <w:tcBorders>
              <w:right w:val="single" w:sz="8" w:color="0233A1"/>
            </w:tcBorders>
          </w:tcPr>
          <w:p>
            <w:pPr>
              <w:spacing w:after="0"/>
              <w:rPr>
                <w:sz w:val="16"/>
                <w:szCs w:val="16"/>
                <w:color w:val="auto"/>
              </w:rPr>
            </w:pPr>
          </w:p>
        </w:tc>
        <w:tc>
          <w:tcPr>
            <w:tcW w:w="80" w:type="dxa"/>
            <w:vAlign w:val="bottom"/>
            <w:shd w:val="clear" w:color="auto" w:fill="EBECEE"/>
          </w:tcPr>
          <w:p>
            <w:pPr>
              <w:spacing w:after="0"/>
              <w:rPr>
                <w:sz w:val="16"/>
                <w:szCs w:val="16"/>
                <w:color w:val="auto"/>
              </w:rPr>
            </w:pPr>
          </w:p>
        </w:tc>
        <w:tc>
          <w:tcPr>
            <w:tcW w:w="4840" w:type="dxa"/>
            <w:vAlign w:val="bottom"/>
            <w:gridSpan w:val="2"/>
            <w:shd w:val="clear" w:color="auto" w:fill="EBECEE"/>
          </w:tcPr>
          <w:p>
            <w:pPr>
              <w:spacing w:after="0"/>
              <w:rPr>
                <w:sz w:val="20"/>
                <w:szCs w:val="20"/>
                <w:color w:val="auto"/>
              </w:rPr>
            </w:pPr>
            <w:r>
              <w:rPr>
                <w:rFonts w:ascii="Arial" w:cs="Arial" w:eastAsia="Arial" w:hAnsi="Arial"/>
                <w:sz w:val="16"/>
                <w:szCs w:val="16"/>
                <w:color w:val="auto"/>
              </w:rPr>
              <w:t>Stock Ownership and Holding Requirements</w:t>
            </w:r>
          </w:p>
        </w:tc>
        <w:tc>
          <w:tcPr>
            <w:tcW w:w="5280" w:type="dxa"/>
            <w:vAlign w:val="bottom"/>
            <w:gridSpan w:val="3"/>
            <w:shd w:val="clear" w:color="auto" w:fill="EBECEE"/>
          </w:tcPr>
          <w:p>
            <w:pPr>
              <w:jc w:val="right"/>
              <w:ind w:right="20"/>
              <w:spacing w:after="0"/>
              <w:rPr>
                <w:sz w:val="20"/>
                <w:szCs w:val="20"/>
                <w:color w:val="auto"/>
              </w:rPr>
            </w:pPr>
            <w:r>
              <w:rPr>
                <w:rFonts w:ascii="Arial" w:cs="Arial" w:eastAsia="Arial" w:hAnsi="Arial"/>
                <w:sz w:val="16"/>
                <w:szCs w:val="16"/>
                <w:color w:val="auto"/>
              </w:rPr>
              <w:t>47</w:t>
            </w:r>
          </w:p>
        </w:tc>
        <w:tc>
          <w:tcPr>
            <w:tcW w:w="100" w:type="dxa"/>
            <w:vAlign w:val="bottom"/>
            <w:tcBorders>
              <w:right w:val="single" w:sz="8" w:color="0233A1"/>
            </w:tcBorders>
            <w:shd w:val="clear" w:color="auto" w:fill="EBECEE"/>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Borders>
              <w:right w:val="single" w:sz="8" w:color="0233A1"/>
            </w:tcBorders>
          </w:tcPr>
          <w:p>
            <w:pPr>
              <w:spacing w:after="0"/>
              <w:rPr>
                <w:sz w:val="16"/>
                <w:szCs w:val="16"/>
                <w:color w:val="auto"/>
              </w:rPr>
            </w:pPr>
          </w:p>
        </w:tc>
        <w:tc>
          <w:tcPr>
            <w:tcW w:w="80" w:type="dxa"/>
            <w:vAlign w:val="bottom"/>
            <w:shd w:val="clear" w:color="auto" w:fill="EBECEE"/>
          </w:tcPr>
          <w:p>
            <w:pPr>
              <w:spacing w:after="0"/>
              <w:rPr>
                <w:sz w:val="16"/>
                <w:szCs w:val="16"/>
                <w:color w:val="auto"/>
              </w:rPr>
            </w:pPr>
          </w:p>
        </w:tc>
        <w:tc>
          <w:tcPr>
            <w:tcW w:w="4840" w:type="dxa"/>
            <w:vAlign w:val="bottom"/>
            <w:gridSpan w:val="2"/>
            <w:shd w:val="clear" w:color="auto" w:fill="EBECEE"/>
          </w:tcPr>
          <w:p>
            <w:pPr>
              <w:spacing w:after="0"/>
              <w:rPr>
                <w:sz w:val="20"/>
                <w:szCs w:val="20"/>
                <w:color w:val="auto"/>
              </w:rPr>
            </w:pPr>
            <w:r>
              <w:rPr>
                <w:rFonts w:ascii="Arial" w:cs="Arial" w:eastAsia="Arial" w:hAnsi="Arial"/>
                <w:sz w:val="16"/>
                <w:szCs w:val="16"/>
                <w:color w:val="auto"/>
              </w:rPr>
              <w:t>Anti-Hedging and Anti-Pledging</w:t>
            </w:r>
          </w:p>
        </w:tc>
        <w:tc>
          <w:tcPr>
            <w:tcW w:w="5280" w:type="dxa"/>
            <w:vAlign w:val="bottom"/>
            <w:gridSpan w:val="3"/>
            <w:shd w:val="clear" w:color="auto" w:fill="EBECEE"/>
          </w:tcPr>
          <w:p>
            <w:pPr>
              <w:jc w:val="right"/>
              <w:ind w:right="20"/>
              <w:spacing w:after="0"/>
              <w:rPr>
                <w:sz w:val="20"/>
                <w:szCs w:val="20"/>
                <w:color w:val="auto"/>
              </w:rPr>
            </w:pPr>
            <w:r>
              <w:rPr>
                <w:rFonts w:ascii="Arial" w:cs="Arial" w:eastAsia="Arial" w:hAnsi="Arial"/>
                <w:sz w:val="16"/>
                <w:szCs w:val="16"/>
                <w:color w:val="auto"/>
              </w:rPr>
              <w:t>47</w:t>
            </w:r>
          </w:p>
        </w:tc>
        <w:tc>
          <w:tcPr>
            <w:tcW w:w="100" w:type="dxa"/>
            <w:vAlign w:val="bottom"/>
            <w:tcBorders>
              <w:right w:val="single" w:sz="8" w:color="0233A1"/>
            </w:tcBorders>
            <w:shd w:val="clear" w:color="auto" w:fill="EBECEE"/>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Borders>
              <w:right w:val="single" w:sz="8" w:color="0233A1"/>
            </w:tcBorders>
          </w:tcPr>
          <w:p>
            <w:pPr>
              <w:spacing w:after="0"/>
              <w:rPr>
                <w:sz w:val="16"/>
                <w:szCs w:val="16"/>
                <w:color w:val="auto"/>
              </w:rPr>
            </w:pPr>
          </w:p>
        </w:tc>
        <w:tc>
          <w:tcPr>
            <w:tcW w:w="80" w:type="dxa"/>
            <w:vAlign w:val="bottom"/>
            <w:shd w:val="clear" w:color="auto" w:fill="EBECEE"/>
          </w:tcPr>
          <w:p>
            <w:pPr>
              <w:spacing w:after="0"/>
              <w:rPr>
                <w:sz w:val="16"/>
                <w:szCs w:val="16"/>
                <w:color w:val="auto"/>
              </w:rPr>
            </w:pPr>
          </w:p>
        </w:tc>
        <w:tc>
          <w:tcPr>
            <w:tcW w:w="4840" w:type="dxa"/>
            <w:vAlign w:val="bottom"/>
            <w:gridSpan w:val="2"/>
            <w:shd w:val="clear" w:color="auto" w:fill="EBECEE"/>
          </w:tcPr>
          <w:p>
            <w:pPr>
              <w:spacing w:after="0"/>
              <w:rPr>
                <w:sz w:val="20"/>
                <w:szCs w:val="20"/>
                <w:color w:val="auto"/>
              </w:rPr>
            </w:pPr>
            <w:r>
              <w:rPr>
                <w:rFonts w:ascii="Arial" w:cs="Arial" w:eastAsia="Arial" w:hAnsi="Arial"/>
                <w:sz w:val="16"/>
                <w:szCs w:val="16"/>
                <w:color w:val="auto"/>
              </w:rPr>
              <w:t>10b5-1 Trading Plans</w:t>
            </w:r>
          </w:p>
        </w:tc>
        <w:tc>
          <w:tcPr>
            <w:tcW w:w="5280" w:type="dxa"/>
            <w:vAlign w:val="bottom"/>
            <w:gridSpan w:val="3"/>
            <w:shd w:val="clear" w:color="auto" w:fill="EBECEE"/>
          </w:tcPr>
          <w:p>
            <w:pPr>
              <w:jc w:val="right"/>
              <w:ind w:right="20"/>
              <w:spacing w:after="0"/>
              <w:rPr>
                <w:sz w:val="20"/>
                <w:szCs w:val="20"/>
                <w:color w:val="auto"/>
              </w:rPr>
            </w:pPr>
            <w:r>
              <w:rPr>
                <w:rFonts w:ascii="Arial" w:cs="Arial" w:eastAsia="Arial" w:hAnsi="Arial"/>
                <w:sz w:val="16"/>
                <w:szCs w:val="16"/>
                <w:color w:val="auto"/>
              </w:rPr>
              <w:t>47</w:t>
            </w:r>
          </w:p>
        </w:tc>
        <w:tc>
          <w:tcPr>
            <w:tcW w:w="100" w:type="dxa"/>
            <w:vAlign w:val="bottom"/>
            <w:tcBorders>
              <w:right w:val="single" w:sz="8" w:color="0233A1"/>
            </w:tcBorders>
            <w:shd w:val="clear" w:color="auto" w:fill="EBECEE"/>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Borders>
              <w:right w:val="single" w:sz="8" w:color="0233A1"/>
            </w:tcBorders>
          </w:tcPr>
          <w:p>
            <w:pPr>
              <w:spacing w:after="0"/>
              <w:rPr>
                <w:sz w:val="16"/>
                <w:szCs w:val="16"/>
                <w:color w:val="auto"/>
              </w:rPr>
            </w:pPr>
          </w:p>
        </w:tc>
        <w:tc>
          <w:tcPr>
            <w:tcW w:w="80" w:type="dxa"/>
            <w:vAlign w:val="bottom"/>
            <w:shd w:val="clear" w:color="auto" w:fill="EBECEE"/>
          </w:tcPr>
          <w:p>
            <w:pPr>
              <w:spacing w:after="0"/>
              <w:rPr>
                <w:sz w:val="16"/>
                <w:szCs w:val="16"/>
                <w:color w:val="auto"/>
              </w:rPr>
            </w:pPr>
          </w:p>
        </w:tc>
        <w:tc>
          <w:tcPr>
            <w:tcW w:w="4840" w:type="dxa"/>
            <w:vAlign w:val="bottom"/>
            <w:gridSpan w:val="2"/>
            <w:shd w:val="clear" w:color="auto" w:fill="EBECEE"/>
          </w:tcPr>
          <w:p>
            <w:pPr>
              <w:spacing w:after="0"/>
              <w:rPr>
                <w:sz w:val="20"/>
                <w:szCs w:val="20"/>
                <w:color w:val="auto"/>
              </w:rPr>
            </w:pPr>
            <w:r>
              <w:rPr>
                <w:rFonts w:ascii="Arial" w:cs="Arial" w:eastAsia="Arial" w:hAnsi="Arial"/>
                <w:sz w:val="16"/>
                <w:szCs w:val="16"/>
                <w:color w:val="auto"/>
              </w:rPr>
              <w:t>Clawback Policy</w:t>
            </w:r>
          </w:p>
        </w:tc>
        <w:tc>
          <w:tcPr>
            <w:tcW w:w="5280" w:type="dxa"/>
            <w:vAlign w:val="bottom"/>
            <w:gridSpan w:val="3"/>
            <w:shd w:val="clear" w:color="auto" w:fill="EBECEE"/>
          </w:tcPr>
          <w:p>
            <w:pPr>
              <w:jc w:val="right"/>
              <w:ind w:right="20"/>
              <w:spacing w:after="0"/>
              <w:rPr>
                <w:sz w:val="20"/>
                <w:szCs w:val="20"/>
                <w:color w:val="auto"/>
              </w:rPr>
            </w:pPr>
            <w:r>
              <w:rPr>
                <w:rFonts w:ascii="Arial" w:cs="Arial" w:eastAsia="Arial" w:hAnsi="Arial"/>
                <w:sz w:val="16"/>
                <w:szCs w:val="16"/>
                <w:color w:val="auto"/>
              </w:rPr>
              <w:t>47</w:t>
            </w:r>
          </w:p>
        </w:tc>
        <w:tc>
          <w:tcPr>
            <w:tcW w:w="100" w:type="dxa"/>
            <w:vAlign w:val="bottom"/>
            <w:tcBorders>
              <w:right w:val="single" w:sz="8" w:color="0233A1"/>
            </w:tcBorders>
            <w:shd w:val="clear" w:color="auto" w:fill="EBECEE"/>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0" w:type="dxa"/>
            <w:vAlign w:val="bottom"/>
            <w:tcBorders>
              <w:right w:val="single" w:sz="8" w:color="0233A1"/>
            </w:tcBorders>
          </w:tcPr>
          <w:p>
            <w:pPr>
              <w:spacing w:after="0"/>
              <w:rPr>
                <w:sz w:val="18"/>
                <w:szCs w:val="18"/>
                <w:color w:val="auto"/>
              </w:rPr>
            </w:pPr>
          </w:p>
        </w:tc>
        <w:tc>
          <w:tcPr>
            <w:tcW w:w="80" w:type="dxa"/>
            <w:vAlign w:val="bottom"/>
            <w:shd w:val="clear" w:color="auto" w:fill="EBECEE"/>
          </w:tcPr>
          <w:p>
            <w:pPr>
              <w:spacing w:after="0"/>
              <w:rPr>
                <w:sz w:val="18"/>
                <w:szCs w:val="18"/>
                <w:color w:val="auto"/>
              </w:rPr>
            </w:pPr>
          </w:p>
        </w:tc>
        <w:tc>
          <w:tcPr>
            <w:tcW w:w="4840" w:type="dxa"/>
            <w:vAlign w:val="bottom"/>
            <w:gridSpan w:val="2"/>
            <w:shd w:val="clear" w:color="auto" w:fill="EBECEE"/>
          </w:tcPr>
          <w:p>
            <w:pPr>
              <w:spacing w:after="0"/>
              <w:rPr>
                <w:sz w:val="20"/>
                <w:szCs w:val="20"/>
                <w:color w:val="auto"/>
              </w:rPr>
            </w:pPr>
            <w:r>
              <w:rPr>
                <w:rFonts w:ascii="Arial" w:cs="Arial" w:eastAsia="Arial" w:hAnsi="Arial"/>
                <w:sz w:val="16"/>
                <w:szCs w:val="16"/>
                <w:color w:val="auto"/>
              </w:rPr>
              <w:t>Process for Setting Executive Compensation</w:t>
            </w:r>
          </w:p>
        </w:tc>
        <w:tc>
          <w:tcPr>
            <w:tcW w:w="5280" w:type="dxa"/>
            <w:vAlign w:val="bottom"/>
            <w:gridSpan w:val="3"/>
            <w:shd w:val="clear" w:color="auto" w:fill="EBECEE"/>
          </w:tcPr>
          <w:p>
            <w:pPr>
              <w:jc w:val="right"/>
              <w:ind w:right="20"/>
              <w:spacing w:after="0"/>
              <w:rPr>
                <w:sz w:val="20"/>
                <w:szCs w:val="20"/>
                <w:color w:val="auto"/>
              </w:rPr>
            </w:pPr>
            <w:r>
              <w:rPr>
                <w:rFonts w:ascii="Arial" w:cs="Arial" w:eastAsia="Arial" w:hAnsi="Arial"/>
                <w:sz w:val="16"/>
                <w:szCs w:val="16"/>
                <w:color w:val="auto"/>
              </w:rPr>
              <w:t>48</w:t>
            </w:r>
          </w:p>
        </w:tc>
        <w:tc>
          <w:tcPr>
            <w:tcW w:w="100" w:type="dxa"/>
            <w:vAlign w:val="bottom"/>
            <w:tcBorders>
              <w:right w:val="single" w:sz="8" w:color="0233A1"/>
            </w:tcBorders>
            <w:shd w:val="clear" w:color="auto" w:fill="EBECEE"/>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80" w:type="dxa"/>
            <w:vAlign w:val="bottom"/>
            <w:tcBorders>
              <w:right w:val="single" w:sz="8" w:color="0233A1"/>
            </w:tcBorders>
          </w:tcPr>
          <w:p>
            <w:pPr>
              <w:spacing w:after="0"/>
              <w:rPr>
                <w:sz w:val="22"/>
                <w:szCs w:val="22"/>
                <w:color w:val="auto"/>
              </w:rPr>
            </w:pPr>
          </w:p>
        </w:tc>
        <w:tc>
          <w:tcPr>
            <w:tcW w:w="80" w:type="dxa"/>
            <w:vAlign w:val="bottom"/>
            <w:tcBorders>
              <w:bottom w:val="single" w:sz="8" w:color="0233A1"/>
            </w:tcBorders>
            <w:shd w:val="clear" w:color="auto" w:fill="EBECEE"/>
          </w:tcPr>
          <w:p>
            <w:pPr>
              <w:spacing w:after="0"/>
              <w:rPr>
                <w:sz w:val="22"/>
                <w:szCs w:val="22"/>
                <w:color w:val="auto"/>
              </w:rPr>
            </w:pPr>
          </w:p>
        </w:tc>
        <w:tc>
          <w:tcPr>
            <w:tcW w:w="1240" w:type="dxa"/>
            <w:vAlign w:val="bottom"/>
            <w:tcBorders>
              <w:bottom w:val="single" w:sz="8" w:color="0233A1"/>
            </w:tcBorders>
            <w:shd w:val="clear" w:color="auto" w:fill="EBECEE"/>
          </w:tcPr>
          <w:p>
            <w:pPr>
              <w:spacing w:after="0"/>
              <w:rPr>
                <w:sz w:val="22"/>
                <w:szCs w:val="22"/>
                <w:color w:val="auto"/>
              </w:rPr>
            </w:pPr>
          </w:p>
        </w:tc>
        <w:tc>
          <w:tcPr>
            <w:tcW w:w="3600" w:type="dxa"/>
            <w:vAlign w:val="bottom"/>
            <w:tcBorders>
              <w:bottom w:val="single" w:sz="8" w:color="0233A1"/>
            </w:tcBorders>
            <w:shd w:val="clear" w:color="auto" w:fill="EBECEE"/>
          </w:tcPr>
          <w:p>
            <w:pPr>
              <w:spacing w:after="0"/>
              <w:rPr>
                <w:sz w:val="22"/>
                <w:szCs w:val="22"/>
                <w:color w:val="auto"/>
              </w:rPr>
            </w:pPr>
          </w:p>
        </w:tc>
        <w:tc>
          <w:tcPr>
            <w:tcW w:w="460" w:type="dxa"/>
            <w:vAlign w:val="bottom"/>
            <w:tcBorders>
              <w:bottom w:val="single" w:sz="8" w:color="0233A1"/>
            </w:tcBorders>
            <w:shd w:val="clear" w:color="auto" w:fill="EBECEE"/>
          </w:tcPr>
          <w:p>
            <w:pPr>
              <w:spacing w:after="0"/>
              <w:rPr>
                <w:sz w:val="22"/>
                <w:szCs w:val="22"/>
                <w:color w:val="auto"/>
              </w:rPr>
            </w:pPr>
          </w:p>
        </w:tc>
        <w:tc>
          <w:tcPr>
            <w:tcW w:w="4480" w:type="dxa"/>
            <w:vAlign w:val="bottom"/>
            <w:tcBorders>
              <w:bottom w:val="single" w:sz="8" w:color="0233A1"/>
            </w:tcBorders>
            <w:shd w:val="clear" w:color="auto" w:fill="EBECEE"/>
          </w:tcPr>
          <w:p>
            <w:pPr>
              <w:spacing w:after="0"/>
              <w:rPr>
                <w:sz w:val="22"/>
                <w:szCs w:val="22"/>
                <w:color w:val="auto"/>
              </w:rPr>
            </w:pPr>
          </w:p>
        </w:tc>
        <w:tc>
          <w:tcPr>
            <w:tcW w:w="340" w:type="dxa"/>
            <w:vAlign w:val="bottom"/>
            <w:tcBorders>
              <w:bottom w:val="single" w:sz="8" w:color="0233A1"/>
            </w:tcBorders>
            <w:shd w:val="clear" w:color="auto" w:fill="EBECEE"/>
          </w:tcPr>
          <w:p>
            <w:pPr>
              <w:spacing w:after="0"/>
              <w:rPr>
                <w:sz w:val="22"/>
                <w:szCs w:val="22"/>
                <w:color w:val="auto"/>
              </w:rPr>
            </w:pPr>
          </w:p>
        </w:tc>
        <w:tc>
          <w:tcPr>
            <w:tcW w:w="100" w:type="dxa"/>
            <w:vAlign w:val="bottom"/>
            <w:tcBorders>
              <w:bottom w:val="single" w:sz="8" w:color="0233A1"/>
              <w:right w:val="single" w:sz="8" w:color="0233A1"/>
            </w:tcBorders>
            <w:shd w:val="clear" w:color="auto" w:fill="EBECEE"/>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0"/>
        </w:trPr>
        <w:tc>
          <w:tcPr>
            <w:tcW w:w="1800" w:type="dxa"/>
            <w:vAlign w:val="bottom"/>
            <w:gridSpan w:val="3"/>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Pr>
          <w:p>
            <w:pPr>
              <w:spacing w:after="0"/>
              <w:rPr>
                <w:sz w:val="24"/>
                <w:szCs w:val="24"/>
                <w:color w:val="auto"/>
              </w:rPr>
            </w:pPr>
          </w:p>
        </w:tc>
        <w:tc>
          <w:tcPr>
            <w:tcW w:w="460" w:type="dxa"/>
            <w:vAlign w:val="bottom"/>
            <w:vMerge w:val="restart"/>
          </w:tcPr>
          <w:p>
            <w:pPr>
              <w:jc w:val="right"/>
              <w:ind w:right="57"/>
              <w:spacing w:after="0"/>
              <w:rPr>
                <w:sz w:val="20"/>
                <w:szCs w:val="20"/>
                <w:color w:val="auto"/>
              </w:rPr>
            </w:pPr>
            <w:r>
              <w:rPr>
                <w:rFonts w:ascii="Arial" w:cs="Arial" w:eastAsia="Arial" w:hAnsi="Arial"/>
                <w:sz w:val="16"/>
                <w:szCs w:val="16"/>
                <w:b w:val="1"/>
                <w:bCs w:val="1"/>
                <w:color w:val="auto"/>
              </w:rPr>
              <w:t>31</w:t>
            </w:r>
          </w:p>
        </w:tc>
        <w:tc>
          <w:tcPr>
            <w:tcW w:w="44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0" w:type="dxa"/>
            <w:vAlign w:val="bottom"/>
            <w:gridSpan w:val="3"/>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gridSpan w:val="3"/>
            <w:vMerge w:val="continue"/>
          </w:tcPr>
          <w:p>
            <w:pPr>
              <w:spacing w:after="0"/>
              <w:rPr>
                <w:sz w:val="5"/>
                <w:szCs w:val="5"/>
                <w:color w:val="auto"/>
              </w:rPr>
            </w:pPr>
          </w:p>
        </w:tc>
        <w:tc>
          <w:tcPr>
            <w:tcW w:w="3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480" w:type="dxa"/>
            <w:vAlign w:val="bottom"/>
            <w:tcBorders>
              <w:bottom w:val="single" w:sz="8" w:color="C0C0C0"/>
            </w:tcBorders>
          </w:tcPr>
          <w:p>
            <w:pPr>
              <w:spacing w:after="0"/>
              <w:rPr>
                <w:sz w:val="24"/>
                <w:szCs w:val="24"/>
                <w:color w:val="auto"/>
              </w:rPr>
            </w:pPr>
          </w:p>
        </w:tc>
        <w:tc>
          <w:tcPr>
            <w:tcW w:w="80" w:type="dxa"/>
            <w:vAlign w:val="bottom"/>
            <w:tcBorders>
              <w:bottom w:val="single" w:sz="8" w:color="C0C0C0"/>
            </w:tcBorders>
          </w:tcPr>
          <w:p>
            <w:pPr>
              <w:spacing w:after="0"/>
              <w:rPr>
                <w:sz w:val="24"/>
                <w:szCs w:val="24"/>
                <w:color w:val="auto"/>
              </w:rPr>
            </w:pPr>
          </w:p>
        </w:tc>
        <w:tc>
          <w:tcPr>
            <w:tcW w:w="124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1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-453390</wp:posOffset>
            </wp:positionV>
            <wp:extent cx="471805" cy="28321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Executive Overview</w:t>
      </w:r>
    </w:p>
    <w:p>
      <w:pPr>
        <w:spacing w:after="0" w:line="333"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0233A1"/>
        </w:rPr>
        <w:t>We are SLB—a global technology company that drives energy innovation for a balanced planet</w:t>
      </w:r>
    </w:p>
    <w:p>
      <w:pPr>
        <w:spacing w:after="0" w:line="19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2022 was transformative for SLB. We launched our bold new SLB brand identity—reinforcing our leadership position in technology, digital, and sustainability in the energy industry—and we demonstrated our ability to deliver superior earnings in this early phase of a structural upcycle in energy. We set new safety, operational, and performance benchmarks for our customers and strengthened our market position both internationally and in North America.</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Highlights of our 2022 financial performance</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include:</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111"/>
        </w:trPr>
        <w:tc>
          <w:tcPr>
            <w:tcW w:w="120" w:type="dxa"/>
            <w:vAlign w:val="bottom"/>
            <w:tcBorders>
              <w:top w:val="single" w:sz="8" w:color="0233A1"/>
              <w:left w:val="single" w:sz="8" w:color="0233A1"/>
            </w:tcBorders>
          </w:tcPr>
          <w:p>
            <w:pPr>
              <w:spacing w:after="0"/>
              <w:rPr>
                <w:sz w:val="9"/>
                <w:szCs w:val="9"/>
                <w:color w:val="auto"/>
              </w:rPr>
            </w:pPr>
          </w:p>
        </w:tc>
        <w:tc>
          <w:tcPr>
            <w:tcW w:w="2420" w:type="dxa"/>
            <w:vAlign w:val="bottom"/>
            <w:tcBorders>
              <w:top w:val="single" w:sz="8" w:color="0233A1"/>
            </w:tcBorders>
          </w:tcPr>
          <w:p>
            <w:pPr>
              <w:spacing w:after="0"/>
              <w:rPr>
                <w:sz w:val="9"/>
                <w:szCs w:val="9"/>
                <w:color w:val="auto"/>
              </w:rPr>
            </w:pPr>
          </w:p>
        </w:tc>
        <w:tc>
          <w:tcPr>
            <w:tcW w:w="460" w:type="dxa"/>
            <w:vAlign w:val="bottom"/>
            <w:tcBorders>
              <w:top w:val="single" w:sz="8" w:color="0233A1"/>
            </w:tcBorders>
          </w:tcPr>
          <w:p>
            <w:pPr>
              <w:spacing w:after="0"/>
              <w:rPr>
                <w:sz w:val="9"/>
                <w:szCs w:val="9"/>
                <w:color w:val="auto"/>
              </w:rPr>
            </w:pPr>
          </w:p>
        </w:tc>
        <w:tc>
          <w:tcPr>
            <w:tcW w:w="2420" w:type="dxa"/>
            <w:vAlign w:val="bottom"/>
            <w:tcBorders>
              <w:top w:val="single" w:sz="8" w:color="0233A1"/>
            </w:tcBorders>
          </w:tcPr>
          <w:p>
            <w:pPr>
              <w:spacing w:after="0"/>
              <w:rPr>
                <w:sz w:val="9"/>
                <w:szCs w:val="9"/>
                <w:color w:val="auto"/>
              </w:rPr>
            </w:pPr>
          </w:p>
        </w:tc>
        <w:tc>
          <w:tcPr>
            <w:tcW w:w="440" w:type="dxa"/>
            <w:vAlign w:val="bottom"/>
            <w:tcBorders>
              <w:top w:val="single" w:sz="8" w:color="0233A1"/>
            </w:tcBorders>
          </w:tcPr>
          <w:p>
            <w:pPr>
              <w:spacing w:after="0"/>
              <w:rPr>
                <w:sz w:val="9"/>
                <w:szCs w:val="9"/>
                <w:color w:val="auto"/>
              </w:rPr>
            </w:pPr>
          </w:p>
        </w:tc>
        <w:tc>
          <w:tcPr>
            <w:tcW w:w="2420" w:type="dxa"/>
            <w:vAlign w:val="bottom"/>
            <w:tcBorders>
              <w:top w:val="single" w:sz="8" w:color="0233A1"/>
            </w:tcBorders>
          </w:tcPr>
          <w:p>
            <w:pPr>
              <w:spacing w:after="0"/>
              <w:rPr>
                <w:sz w:val="9"/>
                <w:szCs w:val="9"/>
                <w:color w:val="auto"/>
              </w:rPr>
            </w:pPr>
          </w:p>
        </w:tc>
        <w:tc>
          <w:tcPr>
            <w:tcW w:w="440" w:type="dxa"/>
            <w:vAlign w:val="bottom"/>
            <w:tcBorders>
              <w:top w:val="single" w:sz="8" w:color="0233A1"/>
            </w:tcBorders>
          </w:tcPr>
          <w:p>
            <w:pPr>
              <w:spacing w:after="0"/>
              <w:rPr>
                <w:sz w:val="9"/>
                <w:szCs w:val="9"/>
                <w:color w:val="auto"/>
              </w:rPr>
            </w:pPr>
          </w:p>
        </w:tc>
        <w:tc>
          <w:tcPr>
            <w:tcW w:w="2420" w:type="dxa"/>
            <w:vAlign w:val="bottom"/>
            <w:tcBorders>
              <w:top w:val="single" w:sz="8" w:color="0233A1"/>
            </w:tcBorders>
            <w:vMerge w:val="restart"/>
          </w:tcPr>
          <w:p>
            <w:pPr>
              <w:jc w:val="center"/>
              <w:spacing w:after="0"/>
              <w:rPr>
                <w:sz w:val="20"/>
                <w:szCs w:val="20"/>
                <w:color w:val="auto"/>
              </w:rPr>
            </w:pPr>
            <w:r>
              <w:rPr>
                <w:rFonts w:ascii="Arial" w:cs="Arial" w:eastAsia="Arial" w:hAnsi="Arial"/>
                <w:sz w:val="16"/>
                <w:szCs w:val="16"/>
                <w:color w:val="auto"/>
              </w:rPr>
              <w:t>Strengthened balance</w:t>
            </w:r>
          </w:p>
        </w:tc>
        <w:tc>
          <w:tcPr>
            <w:tcW w:w="100" w:type="dxa"/>
            <w:vAlign w:val="bottom"/>
            <w:tcBorders>
              <w:top w:val="single" w:sz="8" w:color="0233A1"/>
              <w:right w:val="single" w:sz="8" w:color="0233A1"/>
            </w:tcBorders>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120" w:type="dxa"/>
            <w:vAlign w:val="bottom"/>
            <w:tcBorders>
              <w:left w:val="single" w:sz="8" w:color="0233A1"/>
            </w:tcBorders>
          </w:tcPr>
          <w:p>
            <w:pPr>
              <w:spacing w:after="0"/>
              <w:rPr>
                <w:sz w:val="22"/>
                <w:szCs w:val="22"/>
                <w:color w:val="auto"/>
              </w:rPr>
            </w:pPr>
          </w:p>
        </w:tc>
        <w:tc>
          <w:tcPr>
            <w:tcW w:w="2420" w:type="dxa"/>
            <w:vAlign w:val="bottom"/>
            <w:vMerge w:val="restart"/>
            <w:shd w:val="clear" w:color="auto" w:fill="EBECEE"/>
          </w:tcPr>
          <w:p>
            <w:pPr>
              <w:jc w:val="center"/>
              <w:spacing w:after="0"/>
              <w:rPr>
                <w:sz w:val="20"/>
                <w:szCs w:val="20"/>
                <w:color w:val="auto"/>
              </w:rPr>
            </w:pPr>
            <w:r>
              <w:rPr>
                <w:rFonts w:ascii="Arial" w:cs="Arial" w:eastAsia="Arial" w:hAnsi="Arial"/>
                <w:sz w:val="16"/>
                <w:szCs w:val="16"/>
                <w:color w:val="auto"/>
              </w:rPr>
              <w:t xml:space="preserve">Grew </w:t>
            </w:r>
            <w:r>
              <w:rPr>
                <w:rFonts w:ascii="Arial" w:cs="Arial" w:eastAsia="Arial" w:hAnsi="Arial"/>
                <w:sz w:val="16"/>
                <w:szCs w:val="16"/>
                <w:b w:val="1"/>
                <w:bCs w:val="1"/>
                <w:color w:val="auto"/>
              </w:rPr>
              <w:t>revenue</w:t>
            </w:r>
          </w:p>
        </w:tc>
        <w:tc>
          <w:tcPr>
            <w:tcW w:w="460" w:type="dxa"/>
            <w:vAlign w:val="bottom"/>
          </w:tcPr>
          <w:p>
            <w:pPr>
              <w:spacing w:after="0"/>
              <w:rPr>
                <w:sz w:val="22"/>
                <w:szCs w:val="22"/>
                <w:color w:val="auto"/>
              </w:rPr>
            </w:pPr>
          </w:p>
        </w:tc>
        <w:tc>
          <w:tcPr>
            <w:tcW w:w="2860" w:type="dxa"/>
            <w:vAlign w:val="bottom"/>
            <w:gridSpan w:val="2"/>
            <w:vMerge w:val="restart"/>
          </w:tcPr>
          <w:p>
            <w:pPr>
              <w:jc w:val="center"/>
              <w:ind w:right="460"/>
              <w:spacing w:after="0"/>
              <w:rPr>
                <w:sz w:val="20"/>
                <w:szCs w:val="20"/>
                <w:color w:val="auto"/>
              </w:rPr>
            </w:pPr>
            <w:r>
              <w:rPr>
                <w:rFonts w:ascii="Arial" w:cs="Arial" w:eastAsia="Arial" w:hAnsi="Arial"/>
                <w:sz w:val="16"/>
                <w:szCs w:val="16"/>
                <w:color w:val="auto"/>
              </w:rPr>
              <w:t xml:space="preserve">Grew </w:t>
            </w:r>
            <w:r>
              <w:rPr>
                <w:rFonts w:ascii="Arial" w:cs="Arial" w:eastAsia="Arial" w:hAnsi="Arial"/>
                <w:sz w:val="16"/>
                <w:szCs w:val="16"/>
                <w:b w:val="1"/>
                <w:bCs w:val="1"/>
                <w:color w:val="auto"/>
              </w:rPr>
              <w:t>GAAP EPS</w:t>
            </w:r>
            <w:r>
              <w:rPr>
                <w:rFonts w:ascii="Arial" w:cs="Arial" w:eastAsia="Arial" w:hAnsi="Arial"/>
                <w:sz w:val="16"/>
                <w:szCs w:val="16"/>
                <w:color w:val="auto"/>
              </w:rPr>
              <w:t xml:space="preserve"> by</w:t>
            </w:r>
          </w:p>
        </w:tc>
        <w:tc>
          <w:tcPr>
            <w:tcW w:w="2420" w:type="dxa"/>
            <w:vAlign w:val="bottom"/>
            <w:vMerge w:val="restart"/>
            <w:shd w:val="clear" w:color="auto" w:fill="EBECEE"/>
          </w:tcPr>
          <w:p>
            <w:pPr>
              <w:jc w:val="center"/>
              <w:spacing w:after="0"/>
              <w:rPr>
                <w:sz w:val="20"/>
                <w:szCs w:val="20"/>
                <w:color w:val="auto"/>
              </w:rPr>
            </w:pPr>
            <w:r>
              <w:rPr>
                <w:rFonts w:ascii="Arial" w:cs="Arial" w:eastAsia="Arial" w:hAnsi="Arial"/>
                <w:sz w:val="16"/>
                <w:szCs w:val="16"/>
                <w:color w:val="auto"/>
              </w:rPr>
              <w:t xml:space="preserve">Expanded </w:t>
            </w:r>
            <w:r>
              <w:rPr>
                <w:rFonts w:ascii="Arial" w:cs="Arial" w:eastAsia="Arial" w:hAnsi="Arial"/>
                <w:sz w:val="16"/>
                <w:szCs w:val="16"/>
                <w:b w:val="1"/>
                <w:bCs w:val="1"/>
                <w:color w:val="auto"/>
              </w:rPr>
              <w:t>income</w:t>
            </w:r>
          </w:p>
        </w:tc>
        <w:tc>
          <w:tcPr>
            <w:tcW w:w="440" w:type="dxa"/>
            <w:vAlign w:val="bottom"/>
          </w:tcPr>
          <w:p>
            <w:pPr>
              <w:spacing w:after="0"/>
              <w:rPr>
                <w:sz w:val="22"/>
                <w:szCs w:val="22"/>
                <w:color w:val="auto"/>
              </w:rPr>
            </w:pPr>
          </w:p>
        </w:tc>
        <w:tc>
          <w:tcPr>
            <w:tcW w:w="2420" w:type="dxa"/>
            <w:vAlign w:val="bottom"/>
            <w:vMerge w:val="continue"/>
          </w:tcPr>
          <w:p>
            <w:pPr>
              <w:spacing w:after="0"/>
              <w:rPr>
                <w:sz w:val="22"/>
                <w:szCs w:val="22"/>
                <w:color w:val="auto"/>
              </w:rPr>
            </w:pPr>
          </w:p>
        </w:tc>
        <w:tc>
          <w:tcPr>
            <w:tcW w:w="100" w:type="dxa"/>
            <w:vAlign w:val="bottom"/>
            <w:tcBorders>
              <w:right w:val="single" w:sz="8" w:color="0233A1"/>
            </w:tcBorders>
          </w:tcPr>
          <w:p>
            <w:pPr>
              <w:spacing w:after="0"/>
              <w:rPr>
                <w:sz w:val="22"/>
                <w:szCs w:val="22"/>
                <w:color w:val="auto"/>
              </w:rPr>
            </w:pPr>
          </w:p>
        </w:tc>
        <w:tc>
          <w:tcPr>
            <w:tcW w:w="0" w:type="dxa"/>
            <w:vAlign w:val="bottom"/>
          </w:tcPr>
          <w:p>
            <w:pPr>
              <w:spacing w:after="0"/>
              <w:rPr>
                <w:sz w:val="1"/>
                <w:szCs w:val="1"/>
                <w:color w:val="auto"/>
              </w:rPr>
            </w:pPr>
          </w:p>
        </w:tc>
      </w:tr>
      <w:tr>
        <w:trPr>
          <w:trHeight w:val="75"/>
        </w:trPr>
        <w:tc>
          <w:tcPr>
            <w:tcW w:w="120" w:type="dxa"/>
            <w:vAlign w:val="bottom"/>
            <w:tcBorders>
              <w:left w:val="single" w:sz="8" w:color="0233A1"/>
            </w:tcBorders>
          </w:tcPr>
          <w:p>
            <w:pPr>
              <w:spacing w:after="0"/>
              <w:rPr>
                <w:sz w:val="6"/>
                <w:szCs w:val="6"/>
                <w:color w:val="auto"/>
              </w:rPr>
            </w:pPr>
          </w:p>
        </w:tc>
        <w:tc>
          <w:tcPr>
            <w:tcW w:w="2420" w:type="dxa"/>
            <w:vAlign w:val="bottom"/>
            <w:vMerge w:val="continue"/>
            <w:shd w:val="clear" w:color="auto" w:fill="EBECEE"/>
          </w:tcPr>
          <w:p>
            <w:pPr>
              <w:spacing w:after="0"/>
              <w:rPr>
                <w:sz w:val="6"/>
                <w:szCs w:val="6"/>
                <w:color w:val="auto"/>
              </w:rPr>
            </w:pPr>
          </w:p>
        </w:tc>
        <w:tc>
          <w:tcPr>
            <w:tcW w:w="460" w:type="dxa"/>
            <w:vAlign w:val="bottom"/>
          </w:tcPr>
          <w:p>
            <w:pPr>
              <w:spacing w:after="0"/>
              <w:rPr>
                <w:sz w:val="6"/>
                <w:szCs w:val="6"/>
                <w:color w:val="auto"/>
              </w:rPr>
            </w:pPr>
          </w:p>
        </w:tc>
        <w:tc>
          <w:tcPr>
            <w:tcW w:w="2860" w:type="dxa"/>
            <w:vAlign w:val="bottom"/>
            <w:gridSpan w:val="2"/>
            <w:vMerge w:val="continue"/>
          </w:tcPr>
          <w:p>
            <w:pPr>
              <w:spacing w:after="0"/>
              <w:rPr>
                <w:sz w:val="6"/>
                <w:szCs w:val="6"/>
                <w:color w:val="auto"/>
              </w:rPr>
            </w:pPr>
          </w:p>
        </w:tc>
        <w:tc>
          <w:tcPr>
            <w:tcW w:w="2420" w:type="dxa"/>
            <w:vAlign w:val="bottom"/>
            <w:vMerge w:val="continue"/>
            <w:shd w:val="clear" w:color="auto" w:fill="EBECEE"/>
          </w:tcPr>
          <w:p>
            <w:pPr>
              <w:spacing w:after="0"/>
              <w:rPr>
                <w:sz w:val="6"/>
                <w:szCs w:val="6"/>
                <w:color w:val="auto"/>
              </w:rPr>
            </w:pPr>
          </w:p>
        </w:tc>
        <w:tc>
          <w:tcPr>
            <w:tcW w:w="440" w:type="dxa"/>
            <w:vAlign w:val="bottom"/>
          </w:tcPr>
          <w:p>
            <w:pPr>
              <w:spacing w:after="0"/>
              <w:rPr>
                <w:sz w:val="6"/>
                <w:szCs w:val="6"/>
                <w:color w:val="auto"/>
              </w:rPr>
            </w:pPr>
          </w:p>
        </w:tc>
        <w:tc>
          <w:tcPr>
            <w:tcW w:w="2420" w:type="dxa"/>
            <w:vAlign w:val="bottom"/>
            <w:vMerge w:val="restart"/>
          </w:tcPr>
          <w:p>
            <w:pPr>
              <w:jc w:val="center"/>
              <w:spacing w:after="0"/>
              <w:rPr>
                <w:sz w:val="20"/>
                <w:szCs w:val="20"/>
                <w:color w:val="auto"/>
              </w:rPr>
            </w:pPr>
            <w:r>
              <w:rPr>
                <w:rFonts w:ascii="Arial" w:cs="Arial" w:eastAsia="Arial" w:hAnsi="Arial"/>
                <w:sz w:val="16"/>
                <w:szCs w:val="16"/>
                <w:color w:val="auto"/>
              </w:rPr>
              <w:t>sheet by reducing both</w:t>
            </w:r>
          </w:p>
        </w:tc>
        <w:tc>
          <w:tcPr>
            <w:tcW w:w="100" w:type="dxa"/>
            <w:vAlign w:val="bottom"/>
            <w:tcBorders>
              <w:right w:val="single" w:sz="8" w:color="0233A1"/>
            </w:tcBorders>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20" w:type="dxa"/>
            <w:vAlign w:val="bottom"/>
            <w:tcBorders>
              <w:left w:val="single" w:sz="8" w:color="0233A1"/>
            </w:tcBorders>
          </w:tcPr>
          <w:p>
            <w:pPr>
              <w:spacing w:after="0"/>
              <w:rPr>
                <w:sz w:val="9"/>
                <w:szCs w:val="9"/>
                <w:color w:val="auto"/>
              </w:rPr>
            </w:pPr>
          </w:p>
        </w:tc>
        <w:tc>
          <w:tcPr>
            <w:tcW w:w="2420" w:type="dxa"/>
            <w:vAlign w:val="bottom"/>
            <w:vMerge w:val="restart"/>
            <w:shd w:val="clear" w:color="auto" w:fill="EBECEE"/>
          </w:tcPr>
          <w:p>
            <w:pPr>
              <w:jc w:val="center"/>
              <w:spacing w:after="0" w:line="284" w:lineRule="exact"/>
              <w:rPr>
                <w:sz w:val="20"/>
                <w:szCs w:val="20"/>
                <w:color w:val="auto"/>
              </w:rPr>
            </w:pPr>
            <w:r>
              <w:rPr>
                <w:rFonts w:ascii="Arial" w:cs="Arial" w:eastAsia="Arial" w:hAnsi="Arial"/>
                <w:sz w:val="29"/>
                <w:szCs w:val="29"/>
                <w:b w:val="1"/>
                <w:bCs w:val="1"/>
                <w:color w:val="0233A1"/>
                <w:w w:val="99"/>
              </w:rPr>
              <w:t>23%</w:t>
            </w:r>
          </w:p>
        </w:tc>
        <w:tc>
          <w:tcPr>
            <w:tcW w:w="2880" w:type="dxa"/>
            <w:vAlign w:val="bottom"/>
            <w:gridSpan w:val="2"/>
            <w:vMerge w:val="restart"/>
          </w:tcPr>
          <w:p>
            <w:pPr>
              <w:jc w:val="center"/>
              <w:ind w:left="316"/>
              <w:spacing w:after="0" w:line="284" w:lineRule="exact"/>
              <w:rPr>
                <w:sz w:val="20"/>
                <w:szCs w:val="20"/>
                <w:color w:val="auto"/>
              </w:rPr>
            </w:pPr>
            <w:r>
              <w:rPr>
                <w:rFonts w:ascii="Arial" w:cs="Arial" w:eastAsia="Arial" w:hAnsi="Arial"/>
                <w:sz w:val="29"/>
                <w:szCs w:val="29"/>
                <w:b w:val="1"/>
                <w:bCs w:val="1"/>
                <w:color w:val="0233A1"/>
                <w:w w:val="99"/>
              </w:rPr>
              <w:t>81%</w:t>
            </w:r>
          </w:p>
        </w:tc>
        <w:tc>
          <w:tcPr>
            <w:tcW w:w="440" w:type="dxa"/>
            <w:vAlign w:val="bottom"/>
          </w:tcPr>
          <w:p>
            <w:pPr>
              <w:spacing w:after="0"/>
              <w:rPr>
                <w:sz w:val="9"/>
                <w:szCs w:val="9"/>
                <w:color w:val="auto"/>
              </w:rPr>
            </w:pPr>
          </w:p>
        </w:tc>
        <w:tc>
          <w:tcPr>
            <w:tcW w:w="2420" w:type="dxa"/>
            <w:vAlign w:val="bottom"/>
            <w:vMerge w:val="restart"/>
            <w:shd w:val="clear" w:color="auto" w:fill="EBECEE"/>
          </w:tcPr>
          <w:p>
            <w:pPr>
              <w:jc w:val="center"/>
              <w:spacing w:after="0"/>
              <w:rPr>
                <w:sz w:val="20"/>
                <w:szCs w:val="20"/>
                <w:color w:val="auto"/>
              </w:rPr>
            </w:pPr>
            <w:r>
              <w:rPr>
                <w:rFonts w:ascii="Arial" w:cs="Arial" w:eastAsia="Arial" w:hAnsi="Arial"/>
                <w:sz w:val="16"/>
                <w:szCs w:val="16"/>
                <w:b w:val="1"/>
                <w:bCs w:val="1"/>
                <w:color w:val="auto"/>
              </w:rPr>
              <w:t xml:space="preserve">before taxes margin </w:t>
            </w:r>
            <w:r>
              <w:rPr>
                <w:rFonts w:ascii="Arial" w:cs="Arial" w:eastAsia="Arial" w:hAnsi="Arial"/>
                <w:sz w:val="16"/>
                <w:szCs w:val="16"/>
                <w:color w:val="auto"/>
              </w:rPr>
              <w:t>to</w:t>
            </w:r>
          </w:p>
        </w:tc>
        <w:tc>
          <w:tcPr>
            <w:tcW w:w="440" w:type="dxa"/>
            <w:vAlign w:val="bottom"/>
          </w:tcPr>
          <w:p>
            <w:pPr>
              <w:spacing w:after="0"/>
              <w:rPr>
                <w:sz w:val="9"/>
                <w:szCs w:val="9"/>
                <w:color w:val="auto"/>
              </w:rPr>
            </w:pPr>
          </w:p>
        </w:tc>
        <w:tc>
          <w:tcPr>
            <w:tcW w:w="2420" w:type="dxa"/>
            <w:vAlign w:val="bottom"/>
            <w:vMerge w:val="continue"/>
          </w:tcPr>
          <w:p>
            <w:pPr>
              <w:spacing w:after="0"/>
              <w:rPr>
                <w:sz w:val="9"/>
                <w:szCs w:val="9"/>
                <w:color w:val="auto"/>
              </w:rPr>
            </w:pPr>
          </w:p>
        </w:tc>
        <w:tc>
          <w:tcPr>
            <w:tcW w:w="100" w:type="dxa"/>
            <w:vAlign w:val="bottom"/>
            <w:tcBorders>
              <w:right w:val="single" w:sz="8" w:color="0233A1"/>
            </w:tcBorders>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20" w:type="dxa"/>
            <w:vAlign w:val="bottom"/>
            <w:tcBorders>
              <w:left w:val="single" w:sz="8" w:color="0233A1"/>
            </w:tcBorders>
          </w:tcPr>
          <w:p>
            <w:pPr>
              <w:spacing w:after="0"/>
              <w:rPr>
                <w:sz w:val="6"/>
                <w:szCs w:val="6"/>
                <w:color w:val="auto"/>
              </w:rPr>
            </w:pPr>
          </w:p>
        </w:tc>
        <w:tc>
          <w:tcPr>
            <w:tcW w:w="2420" w:type="dxa"/>
            <w:vAlign w:val="bottom"/>
            <w:vMerge w:val="continue"/>
            <w:shd w:val="clear" w:color="auto" w:fill="EBECEE"/>
          </w:tcPr>
          <w:p>
            <w:pPr>
              <w:spacing w:after="0"/>
              <w:rPr>
                <w:sz w:val="6"/>
                <w:szCs w:val="6"/>
                <w:color w:val="auto"/>
              </w:rPr>
            </w:pPr>
          </w:p>
        </w:tc>
        <w:tc>
          <w:tcPr>
            <w:tcW w:w="288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420" w:type="dxa"/>
            <w:vAlign w:val="bottom"/>
            <w:vMerge w:val="continue"/>
            <w:shd w:val="clear" w:color="auto" w:fill="EBECEE"/>
          </w:tcPr>
          <w:p>
            <w:pPr>
              <w:spacing w:after="0"/>
              <w:rPr>
                <w:sz w:val="6"/>
                <w:szCs w:val="6"/>
                <w:color w:val="auto"/>
              </w:rPr>
            </w:pPr>
          </w:p>
        </w:tc>
        <w:tc>
          <w:tcPr>
            <w:tcW w:w="440" w:type="dxa"/>
            <w:vAlign w:val="bottom"/>
          </w:tcPr>
          <w:p>
            <w:pPr>
              <w:spacing w:after="0"/>
              <w:rPr>
                <w:sz w:val="6"/>
                <w:szCs w:val="6"/>
                <w:color w:val="auto"/>
              </w:rPr>
            </w:pPr>
          </w:p>
        </w:tc>
        <w:tc>
          <w:tcPr>
            <w:tcW w:w="2420" w:type="dxa"/>
            <w:vAlign w:val="bottom"/>
            <w:vMerge w:val="restart"/>
          </w:tcPr>
          <w:p>
            <w:pPr>
              <w:jc w:val="center"/>
              <w:spacing w:after="0" w:line="169" w:lineRule="exact"/>
              <w:rPr>
                <w:sz w:val="20"/>
                <w:szCs w:val="20"/>
                <w:color w:val="auto"/>
              </w:rPr>
            </w:pPr>
            <w:r>
              <w:rPr>
                <w:rFonts w:ascii="Arial" w:cs="Arial" w:eastAsia="Arial" w:hAnsi="Arial"/>
                <w:sz w:val="16"/>
                <w:szCs w:val="16"/>
                <w:b w:val="1"/>
                <w:bCs w:val="1"/>
                <w:color w:val="auto"/>
              </w:rPr>
              <w:t xml:space="preserve">gross and net debt </w:t>
            </w:r>
            <w:r>
              <w:rPr>
                <w:rFonts w:ascii="Arial" w:cs="Arial" w:eastAsia="Arial" w:hAnsi="Arial"/>
                <w:sz w:val="16"/>
                <w:szCs w:val="16"/>
                <w:color w:val="auto"/>
              </w:rPr>
              <w:t>by</w:t>
            </w:r>
          </w:p>
        </w:tc>
        <w:tc>
          <w:tcPr>
            <w:tcW w:w="100" w:type="dxa"/>
            <w:vAlign w:val="bottom"/>
            <w:tcBorders>
              <w:right w:val="single" w:sz="8" w:color="0233A1"/>
            </w:tcBorders>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20" w:type="dxa"/>
            <w:vAlign w:val="bottom"/>
            <w:tcBorders>
              <w:left w:val="single" w:sz="8" w:color="0233A1"/>
            </w:tcBorders>
          </w:tcPr>
          <w:p>
            <w:pPr>
              <w:spacing w:after="0"/>
              <w:rPr>
                <w:sz w:val="8"/>
                <w:szCs w:val="8"/>
                <w:color w:val="auto"/>
              </w:rPr>
            </w:pPr>
          </w:p>
        </w:tc>
        <w:tc>
          <w:tcPr>
            <w:tcW w:w="2420" w:type="dxa"/>
            <w:vAlign w:val="bottom"/>
            <w:vMerge w:val="continue"/>
            <w:shd w:val="clear" w:color="auto" w:fill="EBECEE"/>
          </w:tcPr>
          <w:p>
            <w:pPr>
              <w:spacing w:after="0"/>
              <w:rPr>
                <w:sz w:val="8"/>
                <w:szCs w:val="8"/>
                <w:color w:val="auto"/>
              </w:rPr>
            </w:pPr>
          </w:p>
        </w:tc>
        <w:tc>
          <w:tcPr>
            <w:tcW w:w="288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2420" w:type="dxa"/>
            <w:vAlign w:val="bottom"/>
            <w:vMerge w:val="restart"/>
            <w:shd w:val="clear" w:color="auto" w:fill="EBECEE"/>
          </w:tcPr>
          <w:p>
            <w:pPr>
              <w:jc w:val="center"/>
              <w:spacing w:after="0"/>
              <w:rPr>
                <w:sz w:val="20"/>
                <w:szCs w:val="20"/>
                <w:color w:val="auto"/>
              </w:rPr>
            </w:pPr>
            <w:r>
              <w:rPr>
                <w:rFonts w:ascii="Arial" w:cs="Arial" w:eastAsia="Arial" w:hAnsi="Arial"/>
                <w:sz w:val="29"/>
                <w:szCs w:val="29"/>
                <w:b w:val="1"/>
                <w:bCs w:val="1"/>
                <w:color w:val="0233A1"/>
                <w:w w:val="99"/>
              </w:rPr>
              <w:t>15.2%</w:t>
            </w:r>
          </w:p>
        </w:tc>
        <w:tc>
          <w:tcPr>
            <w:tcW w:w="440" w:type="dxa"/>
            <w:vAlign w:val="bottom"/>
          </w:tcPr>
          <w:p>
            <w:pPr>
              <w:spacing w:after="0"/>
              <w:rPr>
                <w:sz w:val="8"/>
                <w:szCs w:val="8"/>
                <w:color w:val="auto"/>
              </w:rPr>
            </w:pPr>
          </w:p>
        </w:tc>
        <w:tc>
          <w:tcPr>
            <w:tcW w:w="2420" w:type="dxa"/>
            <w:vAlign w:val="bottom"/>
            <w:vMerge w:val="continue"/>
          </w:tcPr>
          <w:p>
            <w:pPr>
              <w:spacing w:after="0"/>
              <w:rPr>
                <w:sz w:val="8"/>
                <w:szCs w:val="8"/>
                <w:color w:val="auto"/>
              </w:rPr>
            </w:pPr>
          </w:p>
        </w:tc>
        <w:tc>
          <w:tcPr>
            <w:tcW w:w="100" w:type="dxa"/>
            <w:vAlign w:val="bottom"/>
            <w:tcBorders>
              <w:right w:val="single" w:sz="8" w:color="0233A1"/>
            </w:tcBorders>
          </w:tcPr>
          <w:p>
            <w:pPr>
              <w:spacing w:after="0"/>
              <w:rPr>
                <w:sz w:val="8"/>
                <w:szCs w:val="8"/>
                <w:color w:val="auto"/>
              </w:rPr>
            </w:pPr>
          </w:p>
        </w:tc>
        <w:tc>
          <w:tcPr>
            <w:tcW w:w="0" w:type="dxa"/>
            <w:vAlign w:val="bottom"/>
          </w:tcPr>
          <w:p>
            <w:pPr>
              <w:spacing w:after="0"/>
              <w:rPr>
                <w:sz w:val="1"/>
                <w:szCs w:val="1"/>
                <w:color w:val="auto"/>
              </w:rPr>
            </w:pPr>
          </w:p>
        </w:tc>
      </w:tr>
      <w:tr>
        <w:trPr>
          <w:trHeight w:val="433"/>
        </w:trPr>
        <w:tc>
          <w:tcPr>
            <w:tcW w:w="120" w:type="dxa"/>
            <w:vAlign w:val="bottom"/>
            <w:tcBorders>
              <w:left w:val="single" w:sz="8" w:color="0233A1"/>
            </w:tcBorders>
          </w:tcPr>
          <w:p>
            <w:pPr>
              <w:spacing w:after="0"/>
              <w:rPr>
                <w:sz w:val="24"/>
                <w:szCs w:val="24"/>
                <w:color w:val="auto"/>
              </w:rPr>
            </w:pPr>
          </w:p>
        </w:tc>
        <w:tc>
          <w:tcPr>
            <w:tcW w:w="2420" w:type="dxa"/>
            <w:vAlign w:val="bottom"/>
            <w:tcBorders>
              <w:bottom w:val="single" w:sz="8" w:color="EBECEE"/>
            </w:tcBorders>
            <w:shd w:val="clear" w:color="auto" w:fill="EBECEE"/>
          </w:tcPr>
          <w:p>
            <w:pPr>
              <w:jc w:val="center"/>
              <w:spacing w:after="0"/>
              <w:rPr>
                <w:sz w:val="20"/>
                <w:szCs w:val="20"/>
                <w:color w:val="auto"/>
              </w:rPr>
            </w:pPr>
            <w:r>
              <w:rPr>
                <w:rFonts w:ascii="Arial" w:cs="Arial" w:eastAsia="Arial" w:hAnsi="Arial"/>
                <w:sz w:val="16"/>
                <w:szCs w:val="16"/>
                <w:color w:val="auto"/>
              </w:rPr>
              <w:t>year on year</w:t>
            </w:r>
          </w:p>
        </w:tc>
        <w:tc>
          <w:tcPr>
            <w:tcW w:w="460" w:type="dxa"/>
            <w:vAlign w:val="bottom"/>
          </w:tcPr>
          <w:p>
            <w:pPr>
              <w:spacing w:after="0"/>
              <w:rPr>
                <w:sz w:val="24"/>
                <w:szCs w:val="24"/>
                <w:color w:val="auto"/>
              </w:rPr>
            </w:pPr>
          </w:p>
        </w:tc>
        <w:tc>
          <w:tcPr>
            <w:tcW w:w="2860" w:type="dxa"/>
            <w:vAlign w:val="bottom"/>
            <w:gridSpan w:val="2"/>
          </w:tcPr>
          <w:p>
            <w:pPr>
              <w:jc w:val="center"/>
              <w:ind w:right="440"/>
              <w:spacing w:after="0"/>
              <w:rPr>
                <w:sz w:val="20"/>
                <w:szCs w:val="20"/>
                <w:color w:val="auto"/>
              </w:rPr>
            </w:pPr>
            <w:r>
              <w:rPr>
                <w:rFonts w:ascii="Arial" w:cs="Arial" w:eastAsia="Arial" w:hAnsi="Arial"/>
                <w:sz w:val="16"/>
                <w:szCs w:val="16"/>
                <w:color w:val="auto"/>
              </w:rPr>
              <w:t>year on year</w:t>
            </w:r>
          </w:p>
        </w:tc>
        <w:tc>
          <w:tcPr>
            <w:tcW w:w="2420" w:type="dxa"/>
            <w:vAlign w:val="bottom"/>
            <w:tcBorders>
              <w:bottom w:val="single" w:sz="8" w:color="EBECEE"/>
            </w:tcBorders>
            <w:vMerge w:val="continue"/>
            <w:shd w:val="clear" w:color="auto" w:fill="EBECEE"/>
          </w:tcPr>
          <w:p>
            <w:pPr>
              <w:spacing w:after="0"/>
              <w:rPr>
                <w:sz w:val="24"/>
                <w:szCs w:val="24"/>
                <w:color w:val="auto"/>
              </w:rPr>
            </w:pPr>
          </w:p>
        </w:tc>
        <w:tc>
          <w:tcPr>
            <w:tcW w:w="44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29"/>
                <w:szCs w:val="29"/>
                <w:b w:val="1"/>
                <w:bCs w:val="1"/>
                <w:color w:val="0233A1"/>
                <w:w w:val="98"/>
              </w:rPr>
              <w:t>$1.7 billion</w:t>
            </w:r>
          </w:p>
        </w:tc>
        <w:tc>
          <w:tcPr>
            <w:tcW w:w="100" w:type="dxa"/>
            <w:vAlign w:val="bottom"/>
            <w:tcBorders>
              <w:right w:val="single" w:sz="8" w:color="0233A1"/>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120" w:type="dxa"/>
            <w:vAlign w:val="bottom"/>
            <w:tcBorders>
              <w:left w:val="single" w:sz="8" w:color="0233A1"/>
            </w:tcBorders>
          </w:tcPr>
          <w:p>
            <w:pPr>
              <w:spacing w:after="0"/>
              <w:rPr>
                <w:sz w:val="21"/>
                <w:szCs w:val="21"/>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rPr>
              <w:t xml:space="preserve">Increased </w:t>
            </w:r>
            <w:r>
              <w:rPr>
                <w:rFonts w:ascii="Arial" w:cs="Arial" w:eastAsia="Arial" w:hAnsi="Arial"/>
                <w:sz w:val="16"/>
                <w:szCs w:val="16"/>
                <w:b w:val="1"/>
                <w:bCs w:val="1"/>
                <w:color w:val="auto"/>
              </w:rPr>
              <w:t>dividend</w:t>
            </w:r>
          </w:p>
        </w:tc>
        <w:tc>
          <w:tcPr>
            <w:tcW w:w="460" w:type="dxa"/>
            <w:vAlign w:val="bottom"/>
          </w:tcPr>
          <w:p>
            <w:pPr>
              <w:spacing w:after="0"/>
              <w:rPr>
                <w:sz w:val="21"/>
                <w:szCs w:val="21"/>
                <w:color w:val="auto"/>
              </w:rPr>
            </w:pPr>
          </w:p>
        </w:tc>
        <w:tc>
          <w:tcPr>
            <w:tcW w:w="2420" w:type="dxa"/>
            <w:vAlign w:val="bottom"/>
            <w:shd w:val="clear" w:color="auto" w:fill="EBECEE"/>
          </w:tcPr>
          <w:p>
            <w:pPr>
              <w:jc w:val="center"/>
              <w:spacing w:after="0"/>
              <w:rPr>
                <w:sz w:val="20"/>
                <w:szCs w:val="20"/>
                <w:color w:val="auto"/>
              </w:rPr>
            </w:pPr>
            <w:r>
              <w:rPr>
                <w:rFonts w:ascii="Arial" w:cs="Arial" w:eastAsia="Arial" w:hAnsi="Arial"/>
                <w:sz w:val="16"/>
                <w:szCs w:val="16"/>
                <w:color w:val="auto"/>
              </w:rPr>
              <w:t xml:space="preserve">Grew </w:t>
            </w:r>
            <w:r>
              <w:rPr>
                <w:rFonts w:ascii="Arial" w:cs="Arial" w:eastAsia="Arial" w:hAnsi="Arial"/>
                <w:sz w:val="16"/>
                <w:szCs w:val="16"/>
                <w:b w:val="1"/>
                <w:bCs w:val="1"/>
                <w:color w:val="auto"/>
              </w:rPr>
              <w:t>EPS, excluding</w:t>
            </w:r>
          </w:p>
        </w:tc>
        <w:tc>
          <w:tcPr>
            <w:tcW w:w="440" w:type="dxa"/>
            <w:vAlign w:val="bottom"/>
          </w:tcPr>
          <w:p>
            <w:pPr>
              <w:spacing w:after="0"/>
              <w:rPr>
                <w:sz w:val="21"/>
                <w:szCs w:val="21"/>
                <w:color w:val="auto"/>
              </w:rPr>
            </w:pPr>
          </w:p>
        </w:tc>
        <w:tc>
          <w:tcPr>
            <w:tcW w:w="2420" w:type="dxa"/>
            <w:vAlign w:val="bottom"/>
            <w:vMerge w:val="restart"/>
          </w:tcPr>
          <w:p>
            <w:pPr>
              <w:jc w:val="center"/>
              <w:spacing w:after="0"/>
              <w:rPr>
                <w:sz w:val="20"/>
                <w:szCs w:val="20"/>
                <w:color w:val="auto"/>
              </w:rPr>
            </w:pPr>
            <w:r>
              <w:rPr>
                <w:rFonts w:ascii="Arial" w:cs="Arial" w:eastAsia="Arial" w:hAnsi="Arial"/>
                <w:sz w:val="16"/>
                <w:szCs w:val="16"/>
                <w:color w:val="auto"/>
              </w:rPr>
              <w:t xml:space="preserve">Expanded </w:t>
            </w:r>
            <w:r>
              <w:rPr>
                <w:rFonts w:ascii="Arial" w:cs="Arial" w:eastAsia="Arial" w:hAnsi="Arial"/>
                <w:sz w:val="16"/>
                <w:szCs w:val="16"/>
                <w:b w:val="1"/>
                <w:bCs w:val="1"/>
                <w:color w:val="auto"/>
              </w:rPr>
              <w:t>adjusted</w:t>
            </w:r>
          </w:p>
        </w:tc>
        <w:tc>
          <w:tcPr>
            <w:tcW w:w="440" w:type="dxa"/>
            <w:vAlign w:val="bottom"/>
          </w:tcPr>
          <w:p>
            <w:pPr>
              <w:spacing w:after="0"/>
              <w:rPr>
                <w:sz w:val="21"/>
                <w:szCs w:val="21"/>
                <w:color w:val="auto"/>
              </w:rPr>
            </w:pPr>
          </w:p>
        </w:tc>
        <w:tc>
          <w:tcPr>
            <w:tcW w:w="2420" w:type="dxa"/>
            <w:vAlign w:val="bottom"/>
            <w:vMerge w:val="restart"/>
            <w:shd w:val="clear" w:color="auto" w:fill="EBECEE"/>
          </w:tcPr>
          <w:p>
            <w:pPr>
              <w:jc w:val="center"/>
              <w:spacing w:after="0"/>
              <w:rPr>
                <w:sz w:val="20"/>
                <w:szCs w:val="20"/>
                <w:color w:val="auto"/>
              </w:rPr>
            </w:pPr>
            <w:r>
              <w:rPr>
                <w:rFonts w:ascii="Arial" w:cs="Arial" w:eastAsia="Arial" w:hAnsi="Arial"/>
                <w:sz w:val="16"/>
                <w:szCs w:val="16"/>
                <w:color w:val="auto"/>
              </w:rPr>
              <w:t xml:space="preserve">Ended 2022 with </w:t>
            </w:r>
            <w:r>
              <w:rPr>
                <w:rFonts w:ascii="Arial" w:cs="Arial" w:eastAsia="Arial" w:hAnsi="Arial"/>
                <w:sz w:val="28"/>
                <w:szCs w:val="28"/>
                <w:b w:val="1"/>
                <w:bCs w:val="1"/>
                <w:color w:val="0233A1"/>
              </w:rPr>
              <w:t>1.4x</w:t>
            </w:r>
          </w:p>
        </w:tc>
        <w:tc>
          <w:tcPr>
            <w:tcW w:w="100" w:type="dxa"/>
            <w:vAlign w:val="bottom"/>
            <w:tcBorders>
              <w:right w:val="single" w:sz="8" w:color="0233A1"/>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20" w:type="dxa"/>
            <w:vAlign w:val="bottom"/>
            <w:tcBorders>
              <w:left w:val="single" w:sz="8" w:color="0233A1"/>
            </w:tcBorders>
          </w:tcPr>
          <w:p>
            <w:pPr>
              <w:spacing w:after="0"/>
              <w:rPr>
                <w:sz w:val="14"/>
                <w:szCs w:val="14"/>
                <w:color w:val="auto"/>
              </w:rPr>
            </w:pPr>
          </w:p>
        </w:tc>
        <w:tc>
          <w:tcPr>
            <w:tcW w:w="2420" w:type="dxa"/>
            <w:vAlign w:val="bottom"/>
            <w:vMerge w:val="restart"/>
          </w:tcPr>
          <w:p>
            <w:pPr>
              <w:jc w:val="center"/>
              <w:spacing w:after="0" w:line="317" w:lineRule="exact"/>
              <w:rPr>
                <w:sz w:val="20"/>
                <w:szCs w:val="20"/>
                <w:color w:val="auto"/>
              </w:rPr>
            </w:pPr>
            <w:r>
              <w:rPr>
                <w:rFonts w:ascii="Arial" w:cs="Arial" w:eastAsia="Arial" w:hAnsi="Arial"/>
                <w:sz w:val="29"/>
                <w:szCs w:val="29"/>
                <w:b w:val="1"/>
                <w:bCs w:val="1"/>
                <w:color w:val="0233A1"/>
                <w:w w:val="98"/>
              </w:rPr>
              <w:t xml:space="preserve">40% </w:t>
            </w:r>
            <w:r>
              <w:rPr>
                <w:rFonts w:ascii="Arial" w:cs="Arial" w:eastAsia="Arial" w:hAnsi="Arial"/>
                <w:sz w:val="16"/>
                <w:szCs w:val="16"/>
                <w:color w:val="000000"/>
                <w:w w:val="98"/>
              </w:rPr>
              <w:t>in April 2022</w:t>
            </w:r>
          </w:p>
        </w:tc>
        <w:tc>
          <w:tcPr>
            <w:tcW w:w="460" w:type="dxa"/>
            <w:vAlign w:val="bottom"/>
          </w:tcPr>
          <w:p>
            <w:pPr>
              <w:spacing w:after="0"/>
              <w:rPr>
                <w:sz w:val="14"/>
                <w:szCs w:val="14"/>
                <w:color w:val="auto"/>
              </w:rPr>
            </w:pPr>
          </w:p>
        </w:tc>
        <w:tc>
          <w:tcPr>
            <w:tcW w:w="2420" w:type="dxa"/>
            <w:vAlign w:val="bottom"/>
            <w:shd w:val="clear" w:color="auto" w:fill="EBECEE"/>
          </w:tcPr>
          <w:p>
            <w:pPr>
              <w:jc w:val="center"/>
              <w:spacing w:after="0" w:line="169" w:lineRule="exact"/>
              <w:rPr>
                <w:sz w:val="20"/>
                <w:szCs w:val="20"/>
                <w:color w:val="auto"/>
              </w:rPr>
            </w:pPr>
            <w:r>
              <w:rPr>
                <w:rFonts w:ascii="Arial" w:cs="Arial" w:eastAsia="Arial" w:hAnsi="Arial"/>
                <w:sz w:val="16"/>
                <w:szCs w:val="16"/>
                <w:b w:val="1"/>
                <w:bCs w:val="1"/>
                <w:color w:val="auto"/>
              </w:rPr>
              <w:t xml:space="preserve">charges &amp; credits, </w:t>
            </w:r>
            <w:r>
              <w:rPr>
                <w:rFonts w:ascii="Arial" w:cs="Arial" w:eastAsia="Arial" w:hAnsi="Arial"/>
                <w:sz w:val="16"/>
                <w:szCs w:val="16"/>
                <w:color w:val="auto"/>
              </w:rPr>
              <w:t>by</w:t>
            </w:r>
          </w:p>
        </w:tc>
        <w:tc>
          <w:tcPr>
            <w:tcW w:w="440" w:type="dxa"/>
            <w:vAlign w:val="bottom"/>
          </w:tcPr>
          <w:p>
            <w:pPr>
              <w:spacing w:after="0"/>
              <w:rPr>
                <w:sz w:val="14"/>
                <w:szCs w:val="14"/>
                <w:color w:val="auto"/>
              </w:rPr>
            </w:pPr>
          </w:p>
        </w:tc>
        <w:tc>
          <w:tcPr>
            <w:tcW w:w="24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420" w:type="dxa"/>
            <w:vAlign w:val="bottom"/>
            <w:vMerge w:val="continue"/>
            <w:shd w:val="clear" w:color="auto" w:fill="EBECEE"/>
          </w:tcPr>
          <w:p>
            <w:pPr>
              <w:spacing w:after="0"/>
              <w:rPr>
                <w:sz w:val="14"/>
                <w:szCs w:val="14"/>
                <w:color w:val="auto"/>
              </w:rPr>
            </w:pPr>
          </w:p>
        </w:tc>
        <w:tc>
          <w:tcPr>
            <w:tcW w:w="100" w:type="dxa"/>
            <w:vAlign w:val="bottom"/>
            <w:tcBorders>
              <w:right w:val="single" w:sz="8" w:color="0233A1"/>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 w:type="dxa"/>
            <w:vAlign w:val="bottom"/>
            <w:tcBorders>
              <w:left w:val="single" w:sz="8" w:color="0233A1"/>
            </w:tcBorders>
          </w:tcPr>
          <w:p>
            <w:pPr>
              <w:spacing w:after="0"/>
              <w:rPr>
                <w:sz w:val="12"/>
                <w:szCs w:val="12"/>
                <w:color w:val="auto"/>
              </w:rPr>
            </w:pPr>
          </w:p>
        </w:tc>
        <w:tc>
          <w:tcPr>
            <w:tcW w:w="24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420" w:type="dxa"/>
            <w:vAlign w:val="bottom"/>
            <w:vMerge w:val="restart"/>
            <w:shd w:val="clear" w:color="auto" w:fill="EBECEE"/>
          </w:tcPr>
          <w:p>
            <w:pPr>
              <w:jc w:val="center"/>
              <w:spacing w:after="0"/>
              <w:rPr>
                <w:sz w:val="20"/>
                <w:szCs w:val="20"/>
                <w:color w:val="auto"/>
              </w:rPr>
            </w:pPr>
            <w:r>
              <w:rPr>
                <w:rFonts w:ascii="Arial" w:cs="Arial" w:eastAsia="Arial" w:hAnsi="Arial"/>
                <w:sz w:val="29"/>
                <w:szCs w:val="29"/>
                <w:b w:val="1"/>
                <w:bCs w:val="1"/>
                <w:color w:val="0233A1"/>
                <w:w w:val="96"/>
              </w:rPr>
              <w:t>70%</w:t>
            </w:r>
          </w:p>
        </w:tc>
        <w:tc>
          <w:tcPr>
            <w:tcW w:w="440" w:type="dxa"/>
            <w:vAlign w:val="bottom"/>
          </w:tcPr>
          <w:p>
            <w:pPr>
              <w:spacing w:after="0"/>
              <w:rPr>
                <w:sz w:val="12"/>
                <w:szCs w:val="12"/>
                <w:color w:val="auto"/>
              </w:rPr>
            </w:pPr>
          </w:p>
        </w:tc>
        <w:tc>
          <w:tcPr>
            <w:tcW w:w="2420" w:type="dxa"/>
            <w:vAlign w:val="bottom"/>
          </w:tcPr>
          <w:p>
            <w:pPr>
              <w:jc w:val="center"/>
              <w:spacing w:after="0" w:line="148" w:lineRule="exact"/>
              <w:rPr>
                <w:sz w:val="20"/>
                <w:szCs w:val="20"/>
                <w:color w:val="auto"/>
              </w:rPr>
            </w:pPr>
            <w:r>
              <w:rPr>
                <w:rFonts w:ascii="Arial" w:cs="Arial" w:eastAsia="Arial" w:hAnsi="Arial"/>
                <w:sz w:val="16"/>
                <w:szCs w:val="16"/>
                <w:b w:val="1"/>
                <w:bCs w:val="1"/>
                <w:color w:val="auto"/>
              </w:rPr>
              <w:t xml:space="preserve">EBITDA margin </w:t>
            </w:r>
            <w:r>
              <w:rPr>
                <w:rFonts w:ascii="Arial" w:cs="Arial" w:eastAsia="Arial" w:hAnsi="Arial"/>
                <w:sz w:val="16"/>
                <w:szCs w:val="16"/>
                <w:color w:val="auto"/>
              </w:rPr>
              <w:t>to</w:t>
            </w:r>
          </w:p>
        </w:tc>
        <w:tc>
          <w:tcPr>
            <w:tcW w:w="440" w:type="dxa"/>
            <w:vAlign w:val="bottom"/>
          </w:tcPr>
          <w:p>
            <w:pPr>
              <w:spacing w:after="0"/>
              <w:rPr>
                <w:sz w:val="12"/>
                <w:szCs w:val="12"/>
                <w:color w:val="auto"/>
              </w:rPr>
            </w:pPr>
          </w:p>
        </w:tc>
        <w:tc>
          <w:tcPr>
            <w:tcW w:w="2420" w:type="dxa"/>
            <w:vAlign w:val="bottom"/>
            <w:shd w:val="clear" w:color="auto" w:fill="EBECEE"/>
          </w:tcPr>
          <w:p>
            <w:pPr>
              <w:jc w:val="center"/>
              <w:spacing w:after="0" w:line="148" w:lineRule="exact"/>
              <w:rPr>
                <w:sz w:val="20"/>
                <w:szCs w:val="20"/>
                <w:color w:val="auto"/>
              </w:rPr>
            </w:pPr>
            <w:r>
              <w:rPr>
                <w:rFonts w:ascii="Arial" w:cs="Arial" w:eastAsia="Arial" w:hAnsi="Arial"/>
                <w:sz w:val="16"/>
                <w:szCs w:val="16"/>
                <w:b w:val="1"/>
                <w:bCs w:val="1"/>
                <w:color w:val="auto"/>
              </w:rPr>
              <w:t>net debt to adjusted</w:t>
            </w:r>
          </w:p>
        </w:tc>
        <w:tc>
          <w:tcPr>
            <w:tcW w:w="100" w:type="dxa"/>
            <w:vAlign w:val="bottom"/>
            <w:tcBorders>
              <w:right w:val="single" w:sz="8" w:color="0233A1"/>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20" w:type="dxa"/>
            <w:vAlign w:val="bottom"/>
            <w:tcBorders>
              <w:left w:val="single" w:sz="8" w:color="0233A1"/>
            </w:tcBorders>
          </w:tcPr>
          <w:p>
            <w:pPr>
              <w:spacing w:after="0"/>
              <w:rPr>
                <w:sz w:val="18"/>
                <w:szCs w:val="18"/>
                <w:color w:val="auto"/>
              </w:rPr>
            </w:pPr>
          </w:p>
        </w:tc>
        <w:tc>
          <w:tcPr>
            <w:tcW w:w="2420" w:type="dxa"/>
            <w:vAlign w:val="bottom"/>
            <w:vMerge w:val="restart"/>
          </w:tcPr>
          <w:p>
            <w:pPr>
              <w:jc w:val="center"/>
              <w:spacing w:after="0"/>
              <w:rPr>
                <w:sz w:val="20"/>
                <w:szCs w:val="20"/>
                <w:color w:val="auto"/>
              </w:rPr>
            </w:pPr>
            <w:r>
              <w:rPr>
                <w:rFonts w:ascii="Arial" w:cs="Arial" w:eastAsia="Arial" w:hAnsi="Arial"/>
                <w:sz w:val="29"/>
                <w:szCs w:val="29"/>
                <w:b w:val="1"/>
                <w:bCs w:val="1"/>
                <w:color w:val="0233A1"/>
                <w:w w:val="98"/>
              </w:rPr>
              <w:t xml:space="preserve">43% </w:t>
            </w:r>
            <w:r>
              <w:rPr>
                <w:rFonts w:ascii="Arial" w:cs="Arial" w:eastAsia="Arial" w:hAnsi="Arial"/>
                <w:sz w:val="16"/>
                <w:szCs w:val="16"/>
                <w:color w:val="000000"/>
                <w:w w:val="98"/>
              </w:rPr>
              <w:t>in January 2023</w:t>
            </w:r>
          </w:p>
        </w:tc>
        <w:tc>
          <w:tcPr>
            <w:tcW w:w="460" w:type="dxa"/>
            <w:vAlign w:val="bottom"/>
          </w:tcPr>
          <w:p>
            <w:pPr>
              <w:spacing w:after="0"/>
              <w:rPr>
                <w:sz w:val="18"/>
                <w:szCs w:val="18"/>
                <w:color w:val="auto"/>
              </w:rPr>
            </w:pPr>
          </w:p>
        </w:tc>
        <w:tc>
          <w:tcPr>
            <w:tcW w:w="2420" w:type="dxa"/>
            <w:vAlign w:val="bottom"/>
            <w:vMerge w:val="continue"/>
            <w:shd w:val="clear" w:color="auto" w:fill="EBECEE"/>
          </w:tcPr>
          <w:p>
            <w:pPr>
              <w:spacing w:after="0"/>
              <w:rPr>
                <w:sz w:val="18"/>
                <w:szCs w:val="18"/>
                <w:color w:val="auto"/>
              </w:rPr>
            </w:pPr>
          </w:p>
        </w:tc>
        <w:tc>
          <w:tcPr>
            <w:tcW w:w="440" w:type="dxa"/>
            <w:vAlign w:val="bottom"/>
          </w:tcPr>
          <w:p>
            <w:pPr>
              <w:spacing w:after="0"/>
              <w:rPr>
                <w:sz w:val="18"/>
                <w:szCs w:val="18"/>
                <w:color w:val="auto"/>
              </w:rPr>
            </w:pPr>
          </w:p>
        </w:tc>
        <w:tc>
          <w:tcPr>
            <w:tcW w:w="2420" w:type="dxa"/>
            <w:vAlign w:val="bottom"/>
            <w:vMerge w:val="restart"/>
          </w:tcPr>
          <w:p>
            <w:pPr>
              <w:jc w:val="center"/>
              <w:spacing w:after="0"/>
              <w:rPr>
                <w:sz w:val="20"/>
                <w:szCs w:val="20"/>
                <w:color w:val="auto"/>
              </w:rPr>
            </w:pPr>
            <w:r>
              <w:rPr>
                <w:rFonts w:ascii="Arial" w:cs="Arial" w:eastAsia="Arial" w:hAnsi="Arial"/>
                <w:sz w:val="29"/>
                <w:szCs w:val="29"/>
                <w:b w:val="1"/>
                <w:bCs w:val="1"/>
                <w:color w:val="0233A1"/>
                <w:w w:val="99"/>
              </w:rPr>
              <w:t>23.0%</w:t>
            </w:r>
          </w:p>
        </w:tc>
        <w:tc>
          <w:tcPr>
            <w:tcW w:w="440" w:type="dxa"/>
            <w:vAlign w:val="bottom"/>
          </w:tcPr>
          <w:p>
            <w:pPr>
              <w:spacing w:after="0"/>
              <w:rPr>
                <w:sz w:val="18"/>
                <w:szCs w:val="18"/>
                <w:color w:val="auto"/>
              </w:rPr>
            </w:pPr>
          </w:p>
        </w:tc>
        <w:tc>
          <w:tcPr>
            <w:tcW w:w="2420" w:type="dxa"/>
            <w:vAlign w:val="bottom"/>
            <w:shd w:val="clear" w:color="auto" w:fill="EBECEE"/>
          </w:tcPr>
          <w:p>
            <w:pPr>
              <w:jc w:val="center"/>
              <w:spacing w:after="0"/>
              <w:rPr>
                <w:sz w:val="20"/>
                <w:szCs w:val="20"/>
                <w:color w:val="auto"/>
              </w:rPr>
            </w:pPr>
            <w:r>
              <w:rPr>
                <w:rFonts w:ascii="Arial" w:cs="Arial" w:eastAsia="Arial" w:hAnsi="Arial"/>
                <w:sz w:val="16"/>
                <w:szCs w:val="16"/>
                <w:b w:val="1"/>
                <w:bCs w:val="1"/>
                <w:color w:val="auto"/>
              </w:rPr>
              <w:t>EBITDA ratio</w:t>
            </w:r>
            <w:r>
              <w:rPr>
                <w:rFonts w:ascii="Arial" w:cs="Arial" w:eastAsia="Arial" w:hAnsi="Arial"/>
                <w:sz w:val="16"/>
                <w:szCs w:val="16"/>
                <w:color w:val="auto"/>
              </w:rPr>
              <w:t>—lowest level</w:t>
            </w:r>
          </w:p>
        </w:tc>
        <w:tc>
          <w:tcPr>
            <w:tcW w:w="100" w:type="dxa"/>
            <w:vAlign w:val="bottom"/>
            <w:tcBorders>
              <w:right w:val="single" w:sz="8" w:color="0233A1"/>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Borders>
              <w:left w:val="single" w:sz="8" w:color="0233A1"/>
            </w:tcBorders>
          </w:tcPr>
          <w:p>
            <w:pPr>
              <w:spacing w:after="0"/>
              <w:rPr>
                <w:sz w:val="18"/>
                <w:szCs w:val="18"/>
                <w:color w:val="auto"/>
              </w:rPr>
            </w:pPr>
          </w:p>
        </w:tc>
        <w:tc>
          <w:tcPr>
            <w:tcW w:w="242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2420" w:type="dxa"/>
            <w:vAlign w:val="bottom"/>
            <w:shd w:val="clear" w:color="auto" w:fill="EBECEE"/>
          </w:tcPr>
          <w:p>
            <w:pPr>
              <w:jc w:val="center"/>
              <w:spacing w:after="0"/>
              <w:rPr>
                <w:sz w:val="20"/>
                <w:szCs w:val="20"/>
                <w:color w:val="auto"/>
              </w:rPr>
            </w:pPr>
            <w:r>
              <w:rPr>
                <w:rFonts w:ascii="Arial" w:cs="Arial" w:eastAsia="Arial" w:hAnsi="Arial"/>
                <w:sz w:val="16"/>
                <w:szCs w:val="16"/>
                <w:color w:val="auto"/>
              </w:rPr>
              <w:t>year on year</w:t>
            </w:r>
          </w:p>
        </w:tc>
        <w:tc>
          <w:tcPr>
            <w:tcW w:w="440" w:type="dxa"/>
            <w:vAlign w:val="bottom"/>
          </w:tcPr>
          <w:p>
            <w:pPr>
              <w:spacing w:after="0"/>
              <w:rPr>
                <w:sz w:val="18"/>
                <w:szCs w:val="18"/>
                <w:color w:val="auto"/>
              </w:rPr>
            </w:pPr>
          </w:p>
        </w:tc>
        <w:tc>
          <w:tcPr>
            <w:tcW w:w="24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420" w:type="dxa"/>
            <w:vAlign w:val="bottom"/>
            <w:shd w:val="clear" w:color="auto" w:fill="EBECEE"/>
          </w:tcPr>
          <w:p>
            <w:pPr>
              <w:jc w:val="center"/>
              <w:spacing w:after="0"/>
              <w:rPr>
                <w:sz w:val="20"/>
                <w:szCs w:val="20"/>
                <w:color w:val="auto"/>
              </w:rPr>
            </w:pPr>
            <w:r>
              <w:rPr>
                <w:rFonts w:ascii="Arial" w:cs="Arial" w:eastAsia="Arial" w:hAnsi="Arial"/>
                <w:sz w:val="16"/>
                <w:szCs w:val="16"/>
                <w:color w:val="auto"/>
              </w:rPr>
              <w:t>since 2016</w:t>
            </w:r>
          </w:p>
        </w:tc>
        <w:tc>
          <w:tcPr>
            <w:tcW w:w="100" w:type="dxa"/>
            <w:vAlign w:val="bottom"/>
            <w:tcBorders>
              <w:right w:val="single" w:sz="8" w:color="0233A1"/>
            </w:tcBorders>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120" w:type="dxa"/>
            <w:vAlign w:val="bottom"/>
            <w:tcBorders>
              <w:left w:val="single" w:sz="8" w:color="0233A1"/>
            </w:tcBorders>
          </w:tcPr>
          <w:p>
            <w:pPr>
              <w:spacing w:after="0"/>
              <w:rPr>
                <w:sz w:val="6"/>
                <w:szCs w:val="6"/>
                <w:color w:val="auto"/>
              </w:rPr>
            </w:pPr>
          </w:p>
        </w:tc>
        <w:tc>
          <w:tcPr>
            <w:tcW w:w="2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20" w:type="dxa"/>
            <w:vAlign w:val="bottom"/>
            <w:shd w:val="clear" w:color="auto" w:fill="EBECEE"/>
          </w:tcPr>
          <w:p>
            <w:pPr>
              <w:spacing w:after="0"/>
              <w:rPr>
                <w:sz w:val="6"/>
                <w:szCs w:val="6"/>
                <w:color w:val="auto"/>
              </w:rPr>
            </w:pPr>
          </w:p>
        </w:tc>
        <w:tc>
          <w:tcPr>
            <w:tcW w:w="440" w:type="dxa"/>
            <w:vAlign w:val="bottom"/>
          </w:tcPr>
          <w:p>
            <w:pPr>
              <w:spacing w:after="0"/>
              <w:rPr>
                <w:sz w:val="6"/>
                <w:szCs w:val="6"/>
                <w:color w:val="auto"/>
              </w:rPr>
            </w:pPr>
          </w:p>
        </w:tc>
        <w:tc>
          <w:tcPr>
            <w:tcW w:w="2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20" w:type="dxa"/>
            <w:vAlign w:val="bottom"/>
            <w:shd w:val="clear" w:color="auto" w:fill="EBECEE"/>
          </w:tcPr>
          <w:p>
            <w:pPr>
              <w:spacing w:after="0"/>
              <w:rPr>
                <w:sz w:val="6"/>
                <w:szCs w:val="6"/>
                <w:color w:val="auto"/>
              </w:rPr>
            </w:pPr>
          </w:p>
        </w:tc>
        <w:tc>
          <w:tcPr>
            <w:tcW w:w="100" w:type="dxa"/>
            <w:vAlign w:val="bottom"/>
            <w:tcBorders>
              <w:right w:val="single" w:sz="8" w:color="0233A1"/>
            </w:tcBorders>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20" w:type="dxa"/>
            <w:vAlign w:val="bottom"/>
            <w:tcBorders>
              <w:left w:val="single" w:sz="8" w:color="0233A1"/>
              <w:bottom w:val="single" w:sz="8" w:color="0233A1"/>
            </w:tcBorders>
          </w:tcPr>
          <w:p>
            <w:pPr>
              <w:spacing w:after="0"/>
              <w:rPr>
                <w:sz w:val="7"/>
                <w:szCs w:val="7"/>
                <w:color w:val="auto"/>
              </w:rPr>
            </w:pPr>
          </w:p>
        </w:tc>
        <w:tc>
          <w:tcPr>
            <w:tcW w:w="2420" w:type="dxa"/>
            <w:vAlign w:val="bottom"/>
            <w:tcBorders>
              <w:bottom w:val="single" w:sz="8" w:color="0233A1"/>
            </w:tcBorders>
          </w:tcPr>
          <w:p>
            <w:pPr>
              <w:spacing w:after="0"/>
              <w:rPr>
                <w:sz w:val="7"/>
                <w:szCs w:val="7"/>
                <w:color w:val="auto"/>
              </w:rPr>
            </w:pPr>
          </w:p>
        </w:tc>
        <w:tc>
          <w:tcPr>
            <w:tcW w:w="460" w:type="dxa"/>
            <w:vAlign w:val="bottom"/>
            <w:tcBorders>
              <w:bottom w:val="single" w:sz="8" w:color="0233A1"/>
            </w:tcBorders>
          </w:tcPr>
          <w:p>
            <w:pPr>
              <w:spacing w:after="0"/>
              <w:rPr>
                <w:sz w:val="7"/>
                <w:szCs w:val="7"/>
                <w:color w:val="auto"/>
              </w:rPr>
            </w:pPr>
          </w:p>
        </w:tc>
        <w:tc>
          <w:tcPr>
            <w:tcW w:w="2420" w:type="dxa"/>
            <w:vAlign w:val="bottom"/>
            <w:tcBorders>
              <w:bottom w:val="single" w:sz="8" w:color="0233A1"/>
            </w:tcBorders>
          </w:tcPr>
          <w:p>
            <w:pPr>
              <w:spacing w:after="0"/>
              <w:rPr>
                <w:sz w:val="7"/>
                <w:szCs w:val="7"/>
                <w:color w:val="auto"/>
              </w:rPr>
            </w:pPr>
          </w:p>
        </w:tc>
        <w:tc>
          <w:tcPr>
            <w:tcW w:w="440" w:type="dxa"/>
            <w:vAlign w:val="bottom"/>
            <w:tcBorders>
              <w:bottom w:val="single" w:sz="8" w:color="0233A1"/>
            </w:tcBorders>
          </w:tcPr>
          <w:p>
            <w:pPr>
              <w:spacing w:after="0"/>
              <w:rPr>
                <w:sz w:val="7"/>
                <w:szCs w:val="7"/>
                <w:color w:val="auto"/>
              </w:rPr>
            </w:pPr>
          </w:p>
        </w:tc>
        <w:tc>
          <w:tcPr>
            <w:tcW w:w="2420" w:type="dxa"/>
            <w:vAlign w:val="bottom"/>
            <w:tcBorders>
              <w:bottom w:val="single" w:sz="8" w:color="0233A1"/>
            </w:tcBorders>
          </w:tcPr>
          <w:p>
            <w:pPr>
              <w:spacing w:after="0"/>
              <w:rPr>
                <w:sz w:val="7"/>
                <w:szCs w:val="7"/>
                <w:color w:val="auto"/>
              </w:rPr>
            </w:pPr>
          </w:p>
        </w:tc>
        <w:tc>
          <w:tcPr>
            <w:tcW w:w="440" w:type="dxa"/>
            <w:vAlign w:val="bottom"/>
            <w:tcBorders>
              <w:bottom w:val="single" w:sz="8" w:color="0233A1"/>
            </w:tcBorders>
          </w:tcPr>
          <w:p>
            <w:pPr>
              <w:spacing w:after="0"/>
              <w:rPr>
                <w:sz w:val="7"/>
                <w:szCs w:val="7"/>
                <w:color w:val="auto"/>
              </w:rPr>
            </w:pPr>
          </w:p>
        </w:tc>
        <w:tc>
          <w:tcPr>
            <w:tcW w:w="2420" w:type="dxa"/>
            <w:vAlign w:val="bottom"/>
            <w:tcBorders>
              <w:bottom w:val="single" w:sz="8" w:color="0233A1"/>
            </w:tcBorders>
          </w:tcPr>
          <w:p>
            <w:pPr>
              <w:spacing w:after="0"/>
              <w:rPr>
                <w:sz w:val="7"/>
                <w:szCs w:val="7"/>
                <w:color w:val="auto"/>
              </w:rPr>
            </w:pPr>
          </w:p>
        </w:tc>
        <w:tc>
          <w:tcPr>
            <w:tcW w:w="100" w:type="dxa"/>
            <w:vAlign w:val="bottom"/>
            <w:tcBorders>
              <w:bottom w:val="single" w:sz="8" w:color="0233A1"/>
              <w:right w:val="single" w:sz="8" w:color="0233A1"/>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-1424305</wp:posOffset>
            </wp:positionV>
            <wp:extent cx="282575" cy="13544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282575" cy="13544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-1424305</wp:posOffset>
            </wp:positionV>
            <wp:extent cx="282575" cy="13544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282575" cy="13544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-1424305</wp:posOffset>
            </wp:positionV>
            <wp:extent cx="274320" cy="13544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274320" cy="1354455"/>
                    </a:xfrm>
                    <a:prstGeom prst="rect">
                      <a:avLst/>
                    </a:prstGeom>
                    <a:noFill/>
                  </pic:spPr>
                </pic:pic>
              </a:graphicData>
            </a:graphic>
          </wp:anchor>
        </w:drawing>
      </w:r>
    </w:p>
    <w:p>
      <w:pPr>
        <w:spacing w:after="0" w:line="1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In 2022, we executed our strategy across our </w:t>
      </w:r>
      <w:r>
        <w:rPr>
          <w:rFonts w:ascii="Arial" w:cs="Arial" w:eastAsia="Arial" w:hAnsi="Arial"/>
          <w:sz w:val="16"/>
          <w:szCs w:val="16"/>
          <w:b w:val="1"/>
          <w:bCs w:val="1"/>
          <w:color w:val="0233A1"/>
        </w:rPr>
        <w:t>Three Engines of Growth</w:t>
      </w:r>
      <w:r>
        <w:rPr>
          <w:rFonts w:ascii="Arial" w:cs="Arial" w:eastAsia="Arial" w:hAnsi="Arial"/>
          <w:sz w:val="16"/>
          <w:szCs w:val="16"/>
          <w:color w:val="auto"/>
        </w:rPr>
        <w:t>—our Core, Digital, and New Energy—and successfully leveraged the breadth of our portfolio and our competitive strengths to deliver peer-leading outcomes for our customers and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9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In our </w:t>
      </w:r>
      <w:r>
        <w:rPr>
          <w:rFonts w:ascii="Arial" w:cs="Arial" w:eastAsia="Arial" w:hAnsi="Arial"/>
          <w:sz w:val="16"/>
          <w:szCs w:val="16"/>
          <w:b w:val="1"/>
          <w:bCs w:val="1"/>
          <w:color w:val="0233A1"/>
        </w:rPr>
        <w:t>Core Divisions</w:t>
      </w:r>
      <w:r>
        <w:rPr>
          <w:rFonts w:ascii="Arial" w:cs="Arial" w:eastAsia="Arial" w:hAnsi="Arial"/>
          <w:sz w:val="16"/>
          <w:szCs w:val="16"/>
          <w:color w:val="auto"/>
        </w:rPr>
        <w:t>, we expanded pretax segment operating margins and launched new products, services, and solutions that increase efficiency and lower operational emissions. Our fit-for-basin, technology access and Transition Technologies portfolios fueled growth and margin expansion in every Division in 2022. And we continue to strengthen our Core portfolio for growth and position for future resilience and shareholder returns through strategic initiatives such as the announced subsea joint venture with Aker Solutions and Subsea 7.</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b w:val="1"/>
          <w:bCs w:val="1"/>
          <w:color w:val="0233A1"/>
        </w:rPr>
        <w:t>Digital</w:t>
      </w:r>
      <w:r>
        <w:rPr>
          <w:rFonts w:ascii="Arial" w:cs="Arial" w:eastAsia="Arial" w:hAnsi="Arial"/>
          <w:sz w:val="16"/>
          <w:szCs w:val="16"/>
          <w:color w:val="auto"/>
        </w:rPr>
        <w:t>, we had strong growth in exploration data, Innovation Factori and artificial intelligence solution sales, and the adoption of our new digital technologies is accelerating. We ended the year with more than 70% growth in Delfi users, and our SaaS revenue more than doubled. We continue to build adjacent expansion opportunities for our digital business, both in the operations data space and beyond oil and gas, such as carbon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326390</wp:posOffset>
            </wp:positionV>
            <wp:extent cx="7132320" cy="2540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b w:val="1"/>
          <w:bCs w:val="1"/>
          <w:color w:val="0233A1"/>
        </w:rPr>
        <w:t>New Energy,</w:t>
      </w:r>
      <w:r>
        <w:rPr>
          <w:rFonts w:ascii="Arial" w:cs="Arial" w:eastAsia="Arial" w:hAnsi="Arial"/>
          <w:sz w:val="16"/>
          <w:szCs w:val="16"/>
          <w:color w:val="auto"/>
        </w:rPr>
        <w:t xml:space="preserve"> we progressed technology development milestones, established new partnerships, and made new investments to develop a focused, yet comprehensive portfolio that offers promising growth opportunities for the future. Today, this portfolio comprises five business areas: carbon solutions, hydrogen, geothermal and geoenergy, critical minerals, and stationary energy storage. We are also accelerating our R&amp;D efforts to develop technology solutions that address hard-to-abate industrial and power generation emissions.</w:t>
      </w:r>
    </w:p>
    <w:p>
      <w:pPr>
        <w:spacing w:after="0" w:line="253" w:lineRule="exact"/>
        <w:rPr>
          <w:sz w:val="20"/>
          <w:szCs w:val="20"/>
          <w:color w:val="auto"/>
        </w:rPr>
      </w:pPr>
    </w:p>
    <w:p>
      <w:pPr>
        <w:sectPr>
          <w:pgSz w:w="11900" w:h="16838" w:orient="portrait"/>
          <w:cols w:equalWidth="0" w:num="3">
            <w:col w:w="3620" w:space="220"/>
            <w:col w:w="3600" w:space="200"/>
            <w:col w:w="3600"/>
          </w:cols>
          <w:pgMar w:left="320" w:top="238" w:right="339" w:bottom="1440" w:gutter="0" w:footer="0" w:header="0"/>
          <w:type w:val="continuous"/>
        </w:sectPr>
      </w:pPr>
    </w:p>
    <w:p>
      <w:pPr>
        <w:spacing w:after="0" w:line="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b w:val="1"/>
          <w:bCs w:val="1"/>
          <w:color w:val="0233A1"/>
        </w:rPr>
        <w:t>Sustainability</w:t>
      </w:r>
      <w:r>
        <w:rPr>
          <w:rFonts w:ascii="Arial" w:cs="Arial" w:eastAsia="Arial" w:hAnsi="Arial"/>
          <w:sz w:val="16"/>
          <w:szCs w:val="16"/>
          <w:color w:val="auto"/>
        </w:rPr>
        <w:t>, we reduced our Scope 1 and 2 carbon emissions intensity as compared to 2021. We also launched several new Transition Technologies to support the decarbonization of oil and gas, as well as our SLB End-to-end Emissions Solutions (SEES) methane elimination business.</w:t>
      </w:r>
    </w:p>
    <w:p>
      <w:pPr>
        <w:spacing w:after="0" w:line="1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also advanced our technology leadership, safety and operations integrity performance, and service quality differentiation, leading to more contract awards, higher technology adoption, and increased pricing premiums.</w:t>
      </w:r>
    </w:p>
    <w:p>
      <w:pPr>
        <w:spacing w:after="0" w:line="12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Finally, we demonstrated our commitment to </w:t>
      </w:r>
      <w:r>
        <w:rPr>
          <w:rFonts w:ascii="Arial" w:cs="Arial" w:eastAsia="Arial" w:hAnsi="Arial"/>
          <w:sz w:val="16"/>
          <w:szCs w:val="16"/>
          <w:b w:val="1"/>
          <w:bCs w:val="1"/>
          <w:color w:val="0233A1"/>
        </w:rPr>
        <w:t>Superior Shareholder Returns</w:t>
      </w:r>
      <w:r>
        <w:rPr>
          <w:rFonts w:ascii="Arial" w:cs="Arial" w:eastAsia="Arial" w:hAnsi="Arial"/>
          <w:sz w:val="16"/>
          <w:szCs w:val="16"/>
          <w:color w:val="auto"/>
        </w:rPr>
        <w:t>. We increased our dividend by 40% in April 2022, followed by a further 43% increase in January 2023, and we resumed our share buyback program in January 2023.</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Looking to 2023, we believe the market fundamentals are aligned with what we do best—innovating and outperforming for our customers. With our bold new brand and identity founded on technology and innovation, our strategy with sustainability at its heart, and our strong financial and operational results leading into the current upcycle, we believe we have set a very solid foundation for strong performance and shareholder value creation in 2023 and into the next decade.</w:t>
      </w:r>
    </w:p>
    <w:p>
      <w:pPr>
        <w:spacing w:after="0" w:line="200" w:lineRule="exact"/>
        <w:rPr>
          <w:sz w:val="20"/>
          <w:szCs w:val="20"/>
          <w:color w:val="auto"/>
        </w:rPr>
      </w:pPr>
    </w:p>
    <w:p>
      <w:pPr>
        <w:spacing w:after="0" w:line="374" w:lineRule="exact"/>
        <w:rPr>
          <w:sz w:val="20"/>
          <w:szCs w:val="20"/>
          <w:color w:val="auto"/>
        </w:rPr>
      </w:pPr>
    </w:p>
    <w:p>
      <w:pPr>
        <w:ind w:left="340" w:hanging="332"/>
        <w:spacing w:after="0" w:line="285"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For definitions of adjusted EBITDA, adjusted EBITDA margin, free cash flow, free cash flow margin, EPS excluding charges and credits, and net debt, as well as reconciliations of these non-GAAP measures to their most comparable GAAP measures, see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471170" cy="28257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146"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-46990</wp:posOffset>
            </wp:positionV>
            <wp:extent cx="5417820" cy="1714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342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Overview of Compensation Decisions for 2022</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making decisions regarding 2022 executive compensation, our Compensation Committee continued to focus on:</w:t>
      </w:r>
    </w:p>
    <w:p>
      <w:pPr>
        <w:spacing w:after="0" w:line="194" w:lineRule="exact"/>
        <w:rPr>
          <w:sz w:val="20"/>
          <w:szCs w:val="20"/>
          <w:color w:val="auto"/>
        </w:rPr>
      </w:pPr>
    </w:p>
    <w:p>
      <w:pPr>
        <w:ind w:left="500" w:hanging="168"/>
        <w:spacing w:after="0"/>
        <w:tabs>
          <w:tab w:leader="none" w:pos="500" w:val="left"/>
        </w:tabs>
        <w:numPr>
          <w:ilvl w:val="0"/>
          <w:numId w:val="35"/>
        </w:numPr>
        <w:rPr>
          <w:rFonts w:ascii="Arial" w:cs="Arial" w:eastAsia="Arial" w:hAnsi="Arial"/>
          <w:sz w:val="16"/>
          <w:szCs w:val="16"/>
          <w:b w:val="1"/>
          <w:bCs w:val="1"/>
          <w:color w:val="0233A1"/>
        </w:rPr>
      </w:pPr>
      <w:r>
        <w:rPr>
          <w:rFonts w:ascii="Arial" w:cs="Arial" w:eastAsia="Arial" w:hAnsi="Arial"/>
          <w:sz w:val="16"/>
          <w:szCs w:val="16"/>
          <w:color w:val="auto"/>
        </w:rPr>
        <w:t>strengthening pay-for-performance alignment,</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35"/>
        </w:numPr>
        <w:rPr>
          <w:rFonts w:ascii="Arial" w:cs="Arial" w:eastAsia="Arial" w:hAnsi="Arial"/>
          <w:sz w:val="16"/>
          <w:szCs w:val="16"/>
          <w:b w:val="1"/>
          <w:bCs w:val="1"/>
          <w:color w:val="0233A1"/>
        </w:rPr>
      </w:pPr>
      <w:r>
        <w:rPr>
          <w:rFonts w:ascii="Arial" w:cs="Arial" w:eastAsia="Arial" w:hAnsi="Arial"/>
          <w:sz w:val="16"/>
          <w:szCs w:val="16"/>
          <w:color w:val="auto"/>
        </w:rPr>
        <w:t>motivating and incentivizing outperformance,</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35"/>
        </w:numPr>
        <w:rPr>
          <w:rFonts w:ascii="Arial" w:cs="Arial" w:eastAsia="Arial" w:hAnsi="Arial"/>
          <w:sz w:val="16"/>
          <w:szCs w:val="16"/>
          <w:b w:val="1"/>
          <w:bCs w:val="1"/>
          <w:color w:val="0233A1"/>
        </w:rPr>
      </w:pPr>
      <w:r>
        <w:rPr>
          <w:rFonts w:ascii="Arial" w:cs="Arial" w:eastAsia="Arial" w:hAnsi="Arial"/>
          <w:sz w:val="16"/>
          <w:szCs w:val="16"/>
          <w:color w:val="auto"/>
        </w:rPr>
        <w:t>maintaining stability and retaining our top talent through business cycles, and</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35"/>
        </w:numPr>
        <w:rPr>
          <w:rFonts w:ascii="Arial" w:cs="Arial" w:eastAsia="Arial" w:hAnsi="Arial"/>
          <w:sz w:val="16"/>
          <w:szCs w:val="16"/>
          <w:b w:val="1"/>
          <w:bCs w:val="1"/>
          <w:color w:val="0233A1"/>
        </w:rPr>
      </w:pPr>
      <w:r>
        <w:rPr>
          <w:rFonts w:ascii="Arial" w:cs="Arial" w:eastAsia="Arial" w:hAnsi="Arial"/>
          <w:sz w:val="16"/>
          <w:szCs w:val="16"/>
          <w:color w:val="auto"/>
        </w:rPr>
        <w:t>appropriately compensating our executives for effectively deploying capital, generating strong cash flow, and creating long-term shareholder value.</w:t>
      </w:r>
    </w:p>
    <w:p>
      <w:pPr>
        <w:spacing w:after="0" w:line="19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this context, and as more fully discussed elsewhere in this CD&amp;A, below are some key actions that our Compensation Committee took with respect to our NEOs’ 2022 compensation.</w:t>
      </w:r>
    </w:p>
    <w:p>
      <w:pPr>
        <w:spacing w:after="0" w:line="129" w:lineRule="exact"/>
        <w:rPr>
          <w:sz w:val="20"/>
          <w:szCs w:val="20"/>
          <w:color w:val="auto"/>
        </w:rPr>
      </w:pPr>
    </w:p>
    <w:p>
      <w:pPr>
        <w:jc w:val="both"/>
        <w:ind w:left="500" w:hanging="168"/>
        <w:spacing w:after="0" w:line="266" w:lineRule="auto"/>
        <w:tabs>
          <w:tab w:leader="none" w:pos="500" w:val="left"/>
        </w:tabs>
        <w:numPr>
          <w:ilvl w:val="0"/>
          <w:numId w:val="36"/>
        </w:numPr>
        <w:rPr>
          <w:rFonts w:ascii="Arial" w:cs="Arial" w:eastAsia="Arial" w:hAnsi="Arial"/>
          <w:sz w:val="16"/>
          <w:szCs w:val="16"/>
          <w:b w:val="1"/>
          <w:bCs w:val="1"/>
          <w:color w:val="0233A1"/>
        </w:rPr>
      </w:pPr>
      <w:r>
        <w:rPr>
          <w:rFonts w:ascii="Arial" w:cs="Arial" w:eastAsia="Arial" w:hAnsi="Arial"/>
          <w:sz w:val="16"/>
          <w:szCs w:val="16"/>
          <w:b w:val="1"/>
          <w:bCs w:val="1"/>
          <w:color w:val="0233A1"/>
        </w:rPr>
        <w:t xml:space="preserve">Diversified LTI Program Structure </w:t>
      </w:r>
      <w:r>
        <w:rPr>
          <w:rFonts w:ascii="Arial" w:cs="Arial" w:eastAsia="Arial" w:hAnsi="Arial"/>
          <w:sz w:val="16"/>
          <w:szCs w:val="16"/>
          <w:color w:val="000000"/>
        </w:rPr>
        <w:t>— Our NEOs continued to receive a mix of LTI grants in 2022, with 75% of their target LTI opportunity awarded in</w:t>
      </w:r>
      <w:r>
        <w:rPr>
          <w:rFonts w:ascii="Arial" w:cs="Arial" w:eastAsia="Arial" w:hAnsi="Arial"/>
          <w:sz w:val="16"/>
          <w:szCs w:val="16"/>
          <w:b w:val="1"/>
          <w:bCs w:val="1"/>
          <w:color w:val="0233A1"/>
        </w:rPr>
        <w:t xml:space="preserve"> </w:t>
      </w:r>
      <w:r>
        <w:rPr>
          <w:rFonts w:ascii="Arial" w:cs="Arial" w:eastAsia="Arial" w:hAnsi="Arial"/>
          <w:sz w:val="16"/>
          <w:szCs w:val="16"/>
          <w:color w:val="000000"/>
        </w:rPr>
        <w:t>the form of PSUs, and 25% awarded in the form of three-year, time-based RSUs. As in 2021, payout under the 2022 PSUs will be contingent on achieving absolute FCF margin, relative ROCE, and relative TSR performance goals over respective three-year periods.</w:t>
      </w:r>
    </w:p>
    <w:p>
      <w:pPr>
        <w:spacing w:after="0" w:line="36" w:lineRule="exact"/>
        <w:rPr>
          <w:rFonts w:ascii="Arial" w:cs="Arial" w:eastAsia="Arial" w:hAnsi="Arial"/>
          <w:sz w:val="16"/>
          <w:szCs w:val="16"/>
          <w:b w:val="1"/>
          <w:bCs w:val="1"/>
          <w:color w:val="0233A1"/>
        </w:rPr>
      </w:pPr>
    </w:p>
    <w:p>
      <w:pPr>
        <w:jc w:val="both"/>
        <w:ind w:left="500" w:hanging="168"/>
        <w:spacing w:after="0" w:line="256" w:lineRule="auto"/>
        <w:tabs>
          <w:tab w:leader="none" w:pos="500" w:val="left"/>
        </w:tabs>
        <w:numPr>
          <w:ilvl w:val="0"/>
          <w:numId w:val="36"/>
        </w:numPr>
        <w:rPr>
          <w:rFonts w:ascii="Arial" w:cs="Arial" w:eastAsia="Arial" w:hAnsi="Arial"/>
          <w:sz w:val="16"/>
          <w:szCs w:val="16"/>
          <w:b w:val="1"/>
          <w:bCs w:val="1"/>
          <w:color w:val="0233A1"/>
        </w:rPr>
      </w:pPr>
      <w:r>
        <w:rPr>
          <w:rFonts w:ascii="Arial" w:cs="Arial" w:eastAsia="Arial" w:hAnsi="Arial"/>
          <w:sz w:val="16"/>
          <w:szCs w:val="16"/>
          <w:b w:val="1"/>
          <w:bCs w:val="1"/>
          <w:color w:val="0233A1"/>
        </w:rPr>
        <w:t xml:space="preserve">Rigorous PSU Performance Targets </w:t>
      </w:r>
      <w:r>
        <w:rPr>
          <w:rFonts w:ascii="Arial" w:cs="Arial" w:eastAsia="Arial" w:hAnsi="Arial"/>
          <w:sz w:val="16"/>
          <w:szCs w:val="16"/>
          <w:color w:val="000000"/>
        </w:rPr>
        <w:t>— In setting LTI performance targets for 2022, the Committee emphasized and encouraged ambitious</w:t>
      </w:r>
      <w:r>
        <w:rPr>
          <w:rFonts w:ascii="Arial" w:cs="Arial" w:eastAsia="Arial" w:hAnsi="Arial"/>
          <w:sz w:val="16"/>
          <w:szCs w:val="16"/>
          <w:b w:val="1"/>
          <w:bCs w:val="1"/>
          <w:color w:val="0233A1"/>
        </w:rPr>
        <w:t xml:space="preserve"> </w:t>
      </w:r>
      <w:r>
        <w:rPr>
          <w:rFonts w:ascii="Arial" w:cs="Arial" w:eastAsia="Arial" w:hAnsi="Arial"/>
          <w:sz w:val="16"/>
          <w:szCs w:val="16"/>
          <w:color w:val="000000"/>
        </w:rPr>
        <w:t>outperformance by increasing the maximum performance goal for the FCF Margin PSUs as compared to 2021, and continuing to set an above-median target performance goal for the TSR PSUs. In addition, based on shareholder feedback, the Committee adjusted the comparator group for our TSR PSUs to include our direct competitors and the S&amp;P Global 1200 Energy Index, to focus on TSR outperformance relative to our direct competitors while expanding the group to include the broader energy market.</w:t>
      </w:r>
    </w:p>
    <w:p>
      <w:pPr>
        <w:spacing w:after="0" w:line="44" w:lineRule="exact"/>
        <w:rPr>
          <w:rFonts w:ascii="Arial" w:cs="Arial" w:eastAsia="Arial" w:hAnsi="Arial"/>
          <w:sz w:val="16"/>
          <w:szCs w:val="16"/>
          <w:b w:val="1"/>
          <w:bCs w:val="1"/>
          <w:color w:val="0233A1"/>
        </w:rPr>
      </w:pPr>
    </w:p>
    <w:p>
      <w:pPr>
        <w:ind w:left="500" w:hanging="168"/>
        <w:spacing w:after="0" w:line="286" w:lineRule="auto"/>
        <w:tabs>
          <w:tab w:leader="none" w:pos="500" w:val="left"/>
        </w:tabs>
        <w:numPr>
          <w:ilvl w:val="0"/>
          <w:numId w:val="36"/>
        </w:numPr>
        <w:rPr>
          <w:rFonts w:ascii="Arial" w:cs="Arial" w:eastAsia="Arial" w:hAnsi="Arial"/>
          <w:sz w:val="16"/>
          <w:szCs w:val="16"/>
          <w:b w:val="1"/>
          <w:bCs w:val="1"/>
          <w:color w:val="0233A1"/>
        </w:rPr>
      </w:pPr>
      <w:r>
        <w:rPr>
          <w:rFonts w:ascii="Arial" w:cs="Arial" w:eastAsia="Arial" w:hAnsi="Arial"/>
          <w:sz w:val="16"/>
          <w:szCs w:val="16"/>
          <w:b w:val="1"/>
          <w:bCs w:val="1"/>
          <w:color w:val="0233A1"/>
        </w:rPr>
        <w:t xml:space="preserve">Performance-Aligned Incentive Payouts </w:t>
      </w:r>
      <w:r>
        <w:rPr>
          <w:rFonts w:ascii="Arial" w:cs="Arial" w:eastAsia="Arial" w:hAnsi="Arial"/>
          <w:sz w:val="16"/>
          <w:szCs w:val="16"/>
          <w:color w:val="000000"/>
        </w:rPr>
        <w:t>— Our NEOs’ STI payouts were based on strong 2022 adjusted EBITDA results, partially offset by below-target 2022 free cash flow results, and their LTI payouts were based on exceptional multi-year ROCE and free cash flow conversion results.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180" w:type="dxa"/>
            <w:vAlign w:val="bottom"/>
            <w:tcBorders>
              <w:bottom w:val="single" w:sz="8" w:color="0233A1"/>
            </w:tcBorders>
            <w:shd w:val="clear" w:color="auto" w:fill="0233A1"/>
          </w:tcPr>
          <w:p>
            <w:pPr>
              <w:spacing w:after="0"/>
              <w:rPr>
                <w:sz w:val="24"/>
                <w:szCs w:val="24"/>
                <w:color w:val="auto"/>
              </w:rPr>
            </w:pPr>
          </w:p>
        </w:tc>
        <w:tc>
          <w:tcPr>
            <w:tcW w:w="5420" w:type="dxa"/>
            <w:vAlign w:val="bottom"/>
            <w:tcBorders>
              <w:bottom w:val="single" w:sz="8" w:color="0233A1"/>
            </w:tcBorders>
            <w:shd w:val="clear" w:color="auto" w:fill="0233A1"/>
          </w:tcPr>
          <w:p>
            <w:pPr>
              <w:ind w:left="1340"/>
              <w:spacing w:after="0"/>
              <w:rPr>
                <w:sz w:val="20"/>
                <w:szCs w:val="20"/>
                <w:color w:val="auto"/>
              </w:rPr>
            </w:pPr>
            <w:r>
              <w:rPr>
                <w:rFonts w:ascii="Arial" w:cs="Arial" w:eastAsia="Arial" w:hAnsi="Arial"/>
                <w:sz w:val="18"/>
                <w:szCs w:val="18"/>
                <w:b w:val="1"/>
                <w:bCs w:val="1"/>
                <w:color w:val="FFFFFF"/>
              </w:rPr>
              <w:t>Short-Term Incentive Results</w:t>
            </w:r>
          </w:p>
        </w:tc>
        <w:tc>
          <w:tcPr>
            <w:tcW w:w="300" w:type="dxa"/>
            <w:vAlign w:val="bottom"/>
            <w:tcBorders>
              <w:bottom w:val="single" w:sz="8" w:color="0233A1"/>
            </w:tcBorders>
            <w:shd w:val="clear" w:color="auto" w:fill="0233A1"/>
          </w:tcPr>
          <w:p>
            <w:pPr>
              <w:spacing w:after="0"/>
              <w:rPr>
                <w:sz w:val="24"/>
                <w:szCs w:val="24"/>
                <w:color w:val="auto"/>
              </w:rPr>
            </w:pPr>
          </w:p>
        </w:tc>
        <w:tc>
          <w:tcPr>
            <w:tcW w:w="5340" w:type="dxa"/>
            <w:vAlign w:val="bottom"/>
            <w:tcBorders>
              <w:bottom w:val="single" w:sz="8" w:color="0233A1"/>
            </w:tcBorders>
            <w:shd w:val="clear" w:color="auto" w:fill="0233A1"/>
          </w:tcPr>
          <w:p>
            <w:pPr>
              <w:ind w:left="1360"/>
              <w:spacing w:after="0"/>
              <w:rPr>
                <w:sz w:val="20"/>
                <w:szCs w:val="20"/>
                <w:color w:val="auto"/>
              </w:rPr>
            </w:pPr>
            <w:r>
              <w:rPr>
                <w:rFonts w:ascii="Arial" w:cs="Arial" w:eastAsia="Arial" w:hAnsi="Arial"/>
                <w:sz w:val="18"/>
                <w:szCs w:val="18"/>
                <w:b w:val="1"/>
                <w:bCs w:val="1"/>
                <w:color w:val="FFFFFF"/>
              </w:rPr>
              <w:t>Long-Term Incentive Results</w:t>
            </w:r>
          </w:p>
        </w:tc>
        <w:tc>
          <w:tcPr>
            <w:tcW w:w="0" w:type="dxa"/>
            <w:vAlign w:val="bottom"/>
          </w:tcPr>
          <w:p>
            <w:pPr>
              <w:spacing w:after="0"/>
              <w:rPr>
                <w:sz w:val="1"/>
                <w:szCs w:val="1"/>
                <w:color w:val="auto"/>
              </w:rPr>
            </w:pPr>
          </w:p>
        </w:tc>
      </w:tr>
      <w:tr>
        <w:trPr>
          <w:trHeight w:val="229"/>
        </w:trPr>
        <w:tc>
          <w:tcPr>
            <w:tcW w:w="180" w:type="dxa"/>
            <w:vAlign w:val="bottom"/>
            <w:shd w:val="clear" w:color="auto" w:fill="EBECEE"/>
          </w:tcPr>
          <w:p>
            <w:pPr>
              <w:ind w:left="60"/>
              <w:spacing w:after="0"/>
              <w:rPr>
                <w:sz w:val="20"/>
                <w:szCs w:val="20"/>
                <w:color w:val="auto"/>
              </w:rPr>
            </w:pPr>
            <w:r>
              <w:rPr>
                <w:rFonts w:ascii="Arial" w:cs="Arial" w:eastAsia="Arial" w:hAnsi="Arial"/>
                <w:sz w:val="16"/>
                <w:szCs w:val="16"/>
                <w:color w:val="0233A1"/>
              </w:rPr>
              <w:t>•</w:t>
            </w:r>
          </w:p>
        </w:tc>
        <w:tc>
          <w:tcPr>
            <w:tcW w:w="5420" w:type="dxa"/>
            <w:vAlign w:val="bottom"/>
            <w:shd w:val="clear" w:color="auto" w:fill="EBECEE"/>
          </w:tcPr>
          <w:p>
            <w:pPr>
              <w:ind w:left="60"/>
              <w:spacing w:after="0"/>
              <w:rPr>
                <w:sz w:val="20"/>
                <w:szCs w:val="20"/>
                <w:color w:val="auto"/>
              </w:rPr>
            </w:pPr>
            <w:r>
              <w:rPr>
                <w:rFonts w:ascii="Arial" w:cs="Arial" w:eastAsia="Arial" w:hAnsi="Arial"/>
                <w:sz w:val="16"/>
                <w:szCs w:val="16"/>
                <w:b w:val="1"/>
                <w:bCs w:val="1"/>
                <w:color w:val="auto"/>
              </w:rPr>
              <w:t xml:space="preserve">Average NEO Payout — 80% — </w:t>
            </w:r>
            <w:r>
              <w:rPr>
                <w:rFonts w:ascii="Arial" w:cs="Arial" w:eastAsia="Arial" w:hAnsi="Arial"/>
                <w:sz w:val="16"/>
                <w:szCs w:val="16"/>
                <w:color w:val="auto"/>
              </w:rPr>
              <w:t>Our NEOs earned an average 2022</w:t>
            </w:r>
          </w:p>
        </w:tc>
        <w:tc>
          <w:tcPr>
            <w:tcW w:w="300" w:type="dxa"/>
            <w:vAlign w:val="bottom"/>
            <w:shd w:val="clear" w:color="auto" w:fill="EBECEE"/>
          </w:tcPr>
          <w:p>
            <w:pPr>
              <w:ind w:left="180"/>
              <w:spacing w:after="0"/>
              <w:rPr>
                <w:sz w:val="20"/>
                <w:szCs w:val="20"/>
                <w:color w:val="auto"/>
              </w:rPr>
            </w:pPr>
            <w:r>
              <w:rPr>
                <w:rFonts w:ascii="Arial" w:cs="Arial" w:eastAsia="Arial" w:hAnsi="Arial"/>
                <w:sz w:val="16"/>
                <w:szCs w:val="16"/>
                <w:color w:val="0233A1"/>
              </w:rPr>
              <w:t>•</w:t>
            </w:r>
          </w:p>
        </w:tc>
        <w:tc>
          <w:tcPr>
            <w:tcW w:w="5340" w:type="dxa"/>
            <w:vAlign w:val="bottom"/>
            <w:shd w:val="clear" w:color="auto" w:fill="EBECEE"/>
          </w:tcPr>
          <w:p>
            <w:pPr>
              <w:ind w:left="60"/>
              <w:spacing w:after="0"/>
              <w:rPr>
                <w:sz w:val="20"/>
                <w:szCs w:val="20"/>
                <w:color w:val="auto"/>
              </w:rPr>
            </w:pPr>
            <w:r>
              <w:rPr>
                <w:rFonts w:ascii="Arial" w:cs="Arial" w:eastAsia="Arial" w:hAnsi="Arial"/>
                <w:sz w:val="16"/>
                <w:szCs w:val="16"/>
                <w:color w:val="auto"/>
              </w:rPr>
              <w:t>Our CEO did not receive an LTI award in 2020 and therefore did not earn</w:t>
            </w:r>
          </w:p>
        </w:tc>
        <w:tc>
          <w:tcPr>
            <w:tcW w:w="0" w:type="dxa"/>
            <w:vAlign w:val="bottom"/>
          </w:tcPr>
          <w:p>
            <w:pPr>
              <w:spacing w:after="0"/>
              <w:rPr>
                <w:sz w:val="1"/>
                <w:szCs w:val="1"/>
                <w:color w:val="auto"/>
              </w:rPr>
            </w:pPr>
          </w:p>
        </w:tc>
      </w:tr>
      <w:tr>
        <w:trPr>
          <w:trHeight w:val="215"/>
        </w:trPr>
        <w:tc>
          <w:tcPr>
            <w:tcW w:w="180" w:type="dxa"/>
            <w:vAlign w:val="bottom"/>
            <w:shd w:val="clear" w:color="auto" w:fill="EBECEE"/>
          </w:tcPr>
          <w:p>
            <w:pPr>
              <w:spacing w:after="0"/>
              <w:rPr>
                <w:sz w:val="18"/>
                <w:szCs w:val="18"/>
                <w:color w:val="auto"/>
              </w:rPr>
            </w:pPr>
          </w:p>
        </w:tc>
        <w:tc>
          <w:tcPr>
            <w:tcW w:w="5420" w:type="dxa"/>
            <w:vAlign w:val="bottom"/>
            <w:shd w:val="clear" w:color="auto" w:fill="EBECEE"/>
          </w:tcPr>
          <w:p>
            <w:pPr>
              <w:ind w:left="60"/>
              <w:spacing w:after="0"/>
              <w:rPr>
                <w:sz w:val="20"/>
                <w:szCs w:val="20"/>
                <w:color w:val="auto"/>
              </w:rPr>
            </w:pPr>
            <w:r>
              <w:rPr>
                <w:rFonts w:ascii="Arial" w:cs="Arial" w:eastAsia="Arial" w:hAnsi="Arial"/>
                <w:sz w:val="16"/>
                <w:szCs w:val="16"/>
                <w:color w:val="auto"/>
              </w:rPr>
              <w:t>cash incentive payout of 80%.</w:t>
            </w:r>
          </w:p>
        </w:tc>
        <w:tc>
          <w:tcPr>
            <w:tcW w:w="300" w:type="dxa"/>
            <w:vAlign w:val="bottom"/>
            <w:shd w:val="clear" w:color="auto" w:fill="EBECEE"/>
          </w:tcPr>
          <w:p>
            <w:pPr>
              <w:spacing w:after="0"/>
              <w:rPr>
                <w:sz w:val="18"/>
                <w:szCs w:val="18"/>
                <w:color w:val="auto"/>
              </w:rPr>
            </w:pPr>
          </w:p>
        </w:tc>
        <w:tc>
          <w:tcPr>
            <w:tcW w:w="5340" w:type="dxa"/>
            <w:vAlign w:val="bottom"/>
            <w:shd w:val="clear" w:color="auto" w:fill="EBECEE"/>
          </w:tcPr>
          <w:p>
            <w:pPr>
              <w:ind w:left="60"/>
              <w:spacing w:after="0"/>
              <w:rPr>
                <w:sz w:val="20"/>
                <w:szCs w:val="20"/>
                <w:color w:val="auto"/>
              </w:rPr>
            </w:pPr>
            <w:r>
              <w:rPr>
                <w:rFonts w:ascii="Arial" w:cs="Arial" w:eastAsia="Arial" w:hAnsi="Arial"/>
                <w:sz w:val="16"/>
                <w:szCs w:val="16"/>
                <w:color w:val="auto"/>
              </w:rPr>
              <w:t>any 2020 PSUs.</w:t>
            </w:r>
          </w:p>
        </w:tc>
        <w:tc>
          <w:tcPr>
            <w:tcW w:w="0" w:type="dxa"/>
            <w:vAlign w:val="bottom"/>
          </w:tcPr>
          <w:p>
            <w:pPr>
              <w:spacing w:after="0"/>
              <w:rPr>
                <w:sz w:val="1"/>
                <w:szCs w:val="1"/>
                <w:color w:val="auto"/>
              </w:rPr>
            </w:pPr>
          </w:p>
        </w:tc>
      </w:tr>
      <w:tr>
        <w:trPr>
          <w:trHeight w:val="259"/>
        </w:trPr>
        <w:tc>
          <w:tcPr>
            <w:tcW w:w="180" w:type="dxa"/>
            <w:vAlign w:val="bottom"/>
            <w:shd w:val="clear" w:color="auto" w:fill="EBECEE"/>
          </w:tcPr>
          <w:p>
            <w:pPr>
              <w:ind w:left="60"/>
              <w:spacing w:after="0"/>
              <w:rPr>
                <w:sz w:val="20"/>
                <w:szCs w:val="20"/>
                <w:color w:val="auto"/>
              </w:rPr>
            </w:pPr>
            <w:r>
              <w:rPr>
                <w:rFonts w:ascii="Arial" w:cs="Arial" w:eastAsia="Arial" w:hAnsi="Arial"/>
                <w:sz w:val="16"/>
                <w:szCs w:val="16"/>
                <w:color w:val="0233A1"/>
              </w:rPr>
              <w:t>•</w:t>
            </w:r>
          </w:p>
        </w:tc>
        <w:tc>
          <w:tcPr>
            <w:tcW w:w="5420" w:type="dxa"/>
            <w:vAlign w:val="bottom"/>
            <w:shd w:val="clear" w:color="auto" w:fill="EBECEE"/>
          </w:tcPr>
          <w:p>
            <w:pPr>
              <w:ind w:left="60"/>
              <w:spacing w:after="0" w:line="258" w:lineRule="exact"/>
              <w:rPr>
                <w:sz w:val="20"/>
                <w:szCs w:val="20"/>
                <w:color w:val="auto"/>
              </w:rPr>
            </w:pPr>
            <w:r>
              <w:rPr>
                <w:rFonts w:ascii="Arial" w:cs="Arial" w:eastAsia="Arial" w:hAnsi="Arial"/>
                <w:sz w:val="16"/>
                <w:szCs w:val="16"/>
                <w:b w:val="1"/>
                <w:bCs w:val="1"/>
                <w:color w:val="auto"/>
              </w:rPr>
              <w:t xml:space="preserve">Adjusted EBITDA Payout — 157% — </w:t>
            </w:r>
            <w:r>
              <w:rPr>
                <w:rFonts w:ascii="Arial" w:cs="Arial" w:eastAsia="Arial" w:hAnsi="Arial"/>
                <w:sz w:val="16"/>
                <w:szCs w:val="16"/>
                <w:color w:val="auto"/>
              </w:rPr>
              <w:t>Our 2022 adjusted EBITDA</w:t>
            </w:r>
            <w:r>
              <w:rPr>
                <w:rFonts w:ascii="Arial" w:cs="Arial" w:eastAsia="Arial" w:hAnsi="Arial"/>
                <w:sz w:val="26"/>
                <w:szCs w:val="26"/>
                <w:color w:val="auto"/>
                <w:vertAlign w:val="superscript"/>
              </w:rPr>
              <w:t>(1)</w:t>
            </w:r>
          </w:p>
        </w:tc>
        <w:tc>
          <w:tcPr>
            <w:tcW w:w="300" w:type="dxa"/>
            <w:vAlign w:val="bottom"/>
            <w:shd w:val="clear" w:color="auto" w:fill="EBECEE"/>
          </w:tcPr>
          <w:p>
            <w:pPr>
              <w:ind w:left="180"/>
              <w:spacing w:after="0"/>
              <w:rPr>
                <w:sz w:val="20"/>
                <w:szCs w:val="20"/>
                <w:color w:val="auto"/>
              </w:rPr>
            </w:pPr>
            <w:r>
              <w:rPr>
                <w:rFonts w:ascii="Arial" w:cs="Arial" w:eastAsia="Arial" w:hAnsi="Arial"/>
                <w:sz w:val="16"/>
                <w:szCs w:val="16"/>
                <w:color w:val="0233A1"/>
              </w:rPr>
              <w:t>•</w:t>
            </w:r>
          </w:p>
        </w:tc>
        <w:tc>
          <w:tcPr>
            <w:tcW w:w="5340" w:type="dxa"/>
            <w:vAlign w:val="bottom"/>
            <w:shd w:val="clear" w:color="auto" w:fill="EBECEE"/>
          </w:tcPr>
          <w:p>
            <w:pPr>
              <w:ind w:left="60"/>
              <w:spacing w:after="0"/>
              <w:rPr>
                <w:sz w:val="20"/>
                <w:szCs w:val="20"/>
                <w:color w:val="auto"/>
              </w:rPr>
            </w:pPr>
            <w:r>
              <w:rPr>
                <w:rFonts w:ascii="Arial" w:cs="Arial" w:eastAsia="Arial" w:hAnsi="Arial"/>
                <w:sz w:val="16"/>
                <w:szCs w:val="16"/>
                <w:color w:val="auto"/>
              </w:rPr>
              <w:t>For our other NEOs, the 2020 LTI payout was based on: (i) SLB’s</w:t>
            </w:r>
          </w:p>
        </w:tc>
        <w:tc>
          <w:tcPr>
            <w:tcW w:w="0" w:type="dxa"/>
            <w:vAlign w:val="bottom"/>
          </w:tcPr>
          <w:p>
            <w:pPr>
              <w:spacing w:after="0"/>
              <w:rPr>
                <w:sz w:val="1"/>
                <w:szCs w:val="1"/>
                <w:color w:val="auto"/>
              </w:rPr>
            </w:pPr>
          </w:p>
        </w:tc>
      </w:tr>
      <w:tr>
        <w:trPr>
          <w:trHeight w:val="189"/>
        </w:trPr>
        <w:tc>
          <w:tcPr>
            <w:tcW w:w="180" w:type="dxa"/>
            <w:vAlign w:val="bottom"/>
            <w:shd w:val="clear" w:color="auto" w:fill="EBECEE"/>
          </w:tcPr>
          <w:p>
            <w:pPr>
              <w:spacing w:after="0"/>
              <w:rPr>
                <w:sz w:val="16"/>
                <w:szCs w:val="16"/>
                <w:color w:val="auto"/>
              </w:rPr>
            </w:pPr>
          </w:p>
        </w:tc>
        <w:tc>
          <w:tcPr>
            <w:tcW w:w="5420" w:type="dxa"/>
            <w:vAlign w:val="bottom"/>
            <w:shd w:val="clear" w:color="auto" w:fill="EBECEE"/>
          </w:tcPr>
          <w:p>
            <w:pPr>
              <w:ind w:left="60"/>
              <w:spacing w:after="0"/>
              <w:rPr>
                <w:sz w:val="20"/>
                <w:szCs w:val="20"/>
                <w:color w:val="auto"/>
              </w:rPr>
            </w:pPr>
            <w:r>
              <w:rPr>
                <w:rFonts w:ascii="Arial" w:cs="Arial" w:eastAsia="Arial" w:hAnsi="Arial"/>
                <w:sz w:val="16"/>
                <w:szCs w:val="16"/>
                <w:color w:val="auto"/>
              </w:rPr>
              <w:t>was $6.462 billion, representing a 31% increase over 2021, and</w:t>
            </w:r>
          </w:p>
        </w:tc>
        <w:tc>
          <w:tcPr>
            <w:tcW w:w="300" w:type="dxa"/>
            <w:vAlign w:val="bottom"/>
            <w:shd w:val="clear" w:color="auto" w:fill="EBECEE"/>
          </w:tcPr>
          <w:p>
            <w:pPr>
              <w:spacing w:after="0"/>
              <w:rPr>
                <w:sz w:val="16"/>
                <w:szCs w:val="16"/>
                <w:color w:val="auto"/>
              </w:rPr>
            </w:pPr>
          </w:p>
        </w:tc>
        <w:tc>
          <w:tcPr>
            <w:tcW w:w="5340" w:type="dxa"/>
            <w:vAlign w:val="bottom"/>
            <w:shd w:val="clear" w:color="auto" w:fill="EBECEE"/>
          </w:tcPr>
          <w:p>
            <w:pPr>
              <w:ind w:left="60"/>
              <w:spacing w:after="0"/>
              <w:rPr>
                <w:sz w:val="20"/>
                <w:szCs w:val="20"/>
                <w:color w:val="auto"/>
              </w:rPr>
            </w:pPr>
            <w:r>
              <w:rPr>
                <w:rFonts w:ascii="Arial" w:cs="Arial" w:eastAsia="Arial" w:hAnsi="Arial"/>
                <w:sz w:val="16"/>
                <w:szCs w:val="16"/>
                <w:color w:val="auto"/>
              </w:rPr>
              <w:t>average annual ROCE for the three-year performance period, which was</w:t>
            </w:r>
          </w:p>
        </w:tc>
        <w:tc>
          <w:tcPr>
            <w:tcW w:w="0" w:type="dxa"/>
            <w:vAlign w:val="bottom"/>
          </w:tcPr>
          <w:p>
            <w:pPr>
              <w:spacing w:after="0"/>
              <w:rPr>
                <w:sz w:val="1"/>
                <w:szCs w:val="1"/>
                <w:color w:val="auto"/>
              </w:rPr>
            </w:pPr>
          </w:p>
        </w:tc>
      </w:tr>
      <w:tr>
        <w:trPr>
          <w:trHeight w:val="189"/>
        </w:trPr>
        <w:tc>
          <w:tcPr>
            <w:tcW w:w="180" w:type="dxa"/>
            <w:vAlign w:val="bottom"/>
            <w:shd w:val="clear" w:color="auto" w:fill="EBECEE"/>
          </w:tcPr>
          <w:p>
            <w:pPr>
              <w:spacing w:after="0"/>
              <w:rPr>
                <w:sz w:val="16"/>
                <w:szCs w:val="16"/>
                <w:color w:val="auto"/>
              </w:rPr>
            </w:pPr>
          </w:p>
        </w:tc>
        <w:tc>
          <w:tcPr>
            <w:tcW w:w="5420" w:type="dxa"/>
            <w:vAlign w:val="bottom"/>
            <w:shd w:val="clear" w:color="auto" w:fill="EBECEE"/>
          </w:tcPr>
          <w:p>
            <w:pPr>
              <w:ind w:left="60"/>
              <w:spacing w:after="0"/>
              <w:rPr>
                <w:sz w:val="20"/>
                <w:szCs w:val="20"/>
                <w:color w:val="auto"/>
              </w:rPr>
            </w:pPr>
            <w:r>
              <w:rPr>
                <w:rFonts w:ascii="Arial" w:cs="Arial" w:eastAsia="Arial" w:hAnsi="Arial"/>
                <w:sz w:val="16"/>
                <w:szCs w:val="16"/>
                <w:color w:val="auto"/>
              </w:rPr>
              <w:t xml:space="preserve">resulting in a payout of </w:t>
            </w:r>
            <w:r>
              <w:rPr>
                <w:rFonts w:ascii="Arial" w:cs="Arial" w:eastAsia="Arial" w:hAnsi="Arial"/>
                <w:sz w:val="16"/>
                <w:szCs w:val="16"/>
                <w:b w:val="1"/>
                <w:bCs w:val="1"/>
                <w:color w:val="auto"/>
              </w:rPr>
              <w:t>157%</w:t>
            </w:r>
            <w:r>
              <w:rPr>
                <w:rFonts w:ascii="Arial" w:cs="Arial" w:eastAsia="Arial" w:hAnsi="Arial"/>
                <w:sz w:val="16"/>
                <w:szCs w:val="16"/>
                <w:color w:val="auto"/>
              </w:rPr>
              <w:t xml:space="preserve"> of target for the adjusted EBITDA</w:t>
            </w:r>
          </w:p>
        </w:tc>
        <w:tc>
          <w:tcPr>
            <w:tcW w:w="300" w:type="dxa"/>
            <w:vAlign w:val="bottom"/>
            <w:shd w:val="clear" w:color="auto" w:fill="EBECEE"/>
          </w:tcPr>
          <w:p>
            <w:pPr>
              <w:spacing w:after="0"/>
              <w:rPr>
                <w:sz w:val="16"/>
                <w:szCs w:val="16"/>
                <w:color w:val="auto"/>
              </w:rPr>
            </w:pPr>
          </w:p>
        </w:tc>
        <w:tc>
          <w:tcPr>
            <w:tcW w:w="5340" w:type="dxa"/>
            <w:vAlign w:val="bottom"/>
            <w:shd w:val="clear" w:color="auto" w:fill="EBECEE"/>
          </w:tcPr>
          <w:p>
            <w:pPr>
              <w:ind w:left="60"/>
              <w:spacing w:after="0"/>
              <w:rPr>
                <w:sz w:val="20"/>
                <w:szCs w:val="20"/>
                <w:color w:val="auto"/>
              </w:rPr>
            </w:pPr>
            <w:r>
              <w:rPr>
                <w:rFonts w:ascii="Arial" w:cs="Arial" w:eastAsia="Arial" w:hAnsi="Arial"/>
                <w:sz w:val="16"/>
                <w:szCs w:val="16"/>
                <w:color w:val="auto"/>
              </w:rPr>
              <w:t>407 bps above the average ROCE of the comparator group, (ii) SLB’s</w:t>
            </w:r>
          </w:p>
        </w:tc>
        <w:tc>
          <w:tcPr>
            <w:tcW w:w="0" w:type="dxa"/>
            <w:vAlign w:val="bottom"/>
          </w:tcPr>
          <w:p>
            <w:pPr>
              <w:spacing w:after="0"/>
              <w:rPr>
                <w:sz w:val="1"/>
                <w:szCs w:val="1"/>
                <w:color w:val="auto"/>
              </w:rPr>
            </w:pPr>
          </w:p>
        </w:tc>
      </w:tr>
      <w:tr>
        <w:trPr>
          <w:trHeight w:val="189"/>
        </w:trPr>
        <w:tc>
          <w:tcPr>
            <w:tcW w:w="180" w:type="dxa"/>
            <w:vAlign w:val="bottom"/>
            <w:shd w:val="clear" w:color="auto" w:fill="EBECEE"/>
          </w:tcPr>
          <w:p>
            <w:pPr>
              <w:spacing w:after="0"/>
              <w:rPr>
                <w:sz w:val="16"/>
                <w:szCs w:val="16"/>
                <w:color w:val="auto"/>
              </w:rPr>
            </w:pPr>
          </w:p>
        </w:tc>
        <w:tc>
          <w:tcPr>
            <w:tcW w:w="5420" w:type="dxa"/>
            <w:vAlign w:val="bottom"/>
            <w:shd w:val="clear" w:color="auto" w:fill="EBECEE"/>
          </w:tcPr>
          <w:p>
            <w:pPr>
              <w:ind w:left="60"/>
              <w:spacing w:after="0"/>
              <w:rPr>
                <w:sz w:val="20"/>
                <w:szCs w:val="20"/>
                <w:color w:val="auto"/>
              </w:rPr>
            </w:pPr>
            <w:r>
              <w:rPr>
                <w:rFonts w:ascii="Arial" w:cs="Arial" w:eastAsia="Arial" w:hAnsi="Arial"/>
                <w:sz w:val="16"/>
                <w:szCs w:val="16"/>
                <w:color w:val="auto"/>
              </w:rPr>
              <w:t>component of our 2022 cash incentive plan.</w:t>
            </w:r>
          </w:p>
        </w:tc>
        <w:tc>
          <w:tcPr>
            <w:tcW w:w="300" w:type="dxa"/>
            <w:vAlign w:val="bottom"/>
            <w:shd w:val="clear" w:color="auto" w:fill="EBECEE"/>
          </w:tcPr>
          <w:p>
            <w:pPr>
              <w:spacing w:after="0"/>
              <w:rPr>
                <w:sz w:val="16"/>
                <w:szCs w:val="16"/>
                <w:color w:val="auto"/>
              </w:rPr>
            </w:pPr>
          </w:p>
        </w:tc>
        <w:tc>
          <w:tcPr>
            <w:tcW w:w="5340" w:type="dxa"/>
            <w:vAlign w:val="bottom"/>
            <w:shd w:val="clear" w:color="auto" w:fill="EBECEE"/>
          </w:tcPr>
          <w:p>
            <w:pPr>
              <w:ind w:left="60"/>
              <w:spacing w:after="0"/>
              <w:rPr>
                <w:sz w:val="20"/>
                <w:szCs w:val="20"/>
                <w:color w:val="auto"/>
              </w:rPr>
            </w:pPr>
            <w:r>
              <w:rPr>
                <w:rFonts w:ascii="Arial" w:cs="Arial" w:eastAsia="Arial" w:hAnsi="Arial"/>
                <w:sz w:val="16"/>
                <w:szCs w:val="16"/>
                <w:color w:val="auto"/>
              </w:rPr>
              <w:t>absolute 2022 ROCE of 13%, and (iii) SLB’s cumulative FCF conversion</w:t>
            </w:r>
          </w:p>
        </w:tc>
        <w:tc>
          <w:tcPr>
            <w:tcW w:w="0" w:type="dxa"/>
            <w:vAlign w:val="bottom"/>
          </w:tcPr>
          <w:p>
            <w:pPr>
              <w:spacing w:after="0"/>
              <w:rPr>
                <w:sz w:val="1"/>
                <w:szCs w:val="1"/>
                <w:color w:val="auto"/>
              </w:rPr>
            </w:pPr>
          </w:p>
        </w:tc>
      </w:tr>
      <w:tr>
        <w:trPr>
          <w:trHeight w:val="175"/>
        </w:trPr>
        <w:tc>
          <w:tcPr>
            <w:tcW w:w="180" w:type="dxa"/>
            <w:vAlign w:val="bottom"/>
            <w:vMerge w:val="restart"/>
            <w:shd w:val="clear" w:color="auto" w:fill="EBECEE"/>
          </w:tcPr>
          <w:p>
            <w:pPr>
              <w:ind w:left="60"/>
              <w:spacing w:after="0"/>
              <w:rPr>
                <w:sz w:val="20"/>
                <w:szCs w:val="20"/>
                <w:color w:val="auto"/>
              </w:rPr>
            </w:pPr>
            <w:r>
              <w:rPr>
                <w:rFonts w:ascii="Arial" w:cs="Arial" w:eastAsia="Arial" w:hAnsi="Arial"/>
                <w:sz w:val="16"/>
                <w:szCs w:val="16"/>
                <w:color w:val="0233A1"/>
              </w:rPr>
              <w:t>•</w:t>
            </w:r>
          </w:p>
        </w:tc>
        <w:tc>
          <w:tcPr>
            <w:tcW w:w="5420" w:type="dxa"/>
            <w:vAlign w:val="bottom"/>
            <w:vMerge w:val="restart"/>
            <w:shd w:val="clear" w:color="auto" w:fill="EBECEE"/>
          </w:tcPr>
          <w:p>
            <w:pPr>
              <w:ind w:left="60"/>
              <w:spacing w:after="0"/>
              <w:rPr>
                <w:sz w:val="20"/>
                <w:szCs w:val="20"/>
                <w:color w:val="auto"/>
              </w:rPr>
            </w:pPr>
            <w:r>
              <w:rPr>
                <w:rFonts w:ascii="Arial" w:cs="Arial" w:eastAsia="Arial" w:hAnsi="Arial"/>
                <w:sz w:val="16"/>
                <w:szCs w:val="16"/>
                <w:b w:val="1"/>
                <w:bCs w:val="1"/>
                <w:color w:val="auto"/>
              </w:rPr>
              <w:t xml:space="preserve">Zero FCF Payout — </w:t>
            </w:r>
            <w:r>
              <w:rPr>
                <w:rFonts w:ascii="Arial" w:cs="Arial" w:eastAsia="Arial" w:hAnsi="Arial"/>
                <w:sz w:val="16"/>
                <w:szCs w:val="16"/>
                <w:color w:val="auto"/>
              </w:rPr>
              <w:t>Our 2022 free cash flow</w:t>
            </w:r>
            <w:r>
              <w:rPr>
                <w:rFonts w:ascii="Arial" w:cs="Arial" w:eastAsia="Arial" w:hAnsi="Arial"/>
                <w:sz w:val="26"/>
                <w:szCs w:val="26"/>
                <w:color w:val="auto"/>
                <w:vertAlign w:val="superscript"/>
              </w:rPr>
              <w:t>(1)</w:t>
            </w:r>
            <w:r>
              <w:rPr>
                <w:rFonts w:ascii="Arial" w:cs="Arial" w:eastAsia="Arial" w:hAnsi="Arial"/>
                <w:sz w:val="16"/>
                <w:szCs w:val="16"/>
                <w:b w:val="1"/>
                <w:bCs w:val="1"/>
                <w:color w:val="auto"/>
              </w:rPr>
              <w:t xml:space="preserve"> </w:t>
            </w:r>
            <w:r>
              <w:rPr>
                <w:rFonts w:ascii="Arial" w:cs="Arial" w:eastAsia="Arial" w:hAnsi="Arial"/>
                <w:sz w:val="16"/>
                <w:szCs w:val="16"/>
                <w:color w:val="auto"/>
              </w:rPr>
              <w:t>of $1.418 billion was</w:t>
            </w:r>
          </w:p>
        </w:tc>
        <w:tc>
          <w:tcPr>
            <w:tcW w:w="300" w:type="dxa"/>
            <w:vAlign w:val="bottom"/>
            <w:shd w:val="clear" w:color="auto" w:fill="EBECEE"/>
          </w:tcPr>
          <w:p>
            <w:pPr>
              <w:spacing w:after="0"/>
              <w:rPr>
                <w:sz w:val="15"/>
                <w:szCs w:val="15"/>
                <w:color w:val="auto"/>
              </w:rPr>
            </w:pPr>
          </w:p>
        </w:tc>
        <w:tc>
          <w:tcPr>
            <w:tcW w:w="5340" w:type="dxa"/>
            <w:vAlign w:val="bottom"/>
            <w:shd w:val="clear" w:color="auto" w:fill="EBECEE"/>
          </w:tcPr>
          <w:p>
            <w:pPr>
              <w:ind w:left="60"/>
              <w:spacing w:after="0" w:line="175" w:lineRule="exact"/>
              <w:rPr>
                <w:sz w:val="20"/>
                <w:szCs w:val="20"/>
                <w:color w:val="auto"/>
              </w:rPr>
            </w:pPr>
            <w:r>
              <w:rPr>
                <w:rFonts w:ascii="Arial" w:cs="Arial" w:eastAsia="Arial" w:hAnsi="Arial"/>
                <w:sz w:val="16"/>
                <w:szCs w:val="16"/>
                <w:color w:val="auto"/>
              </w:rPr>
              <w:t>rate of 192% from 2020 to 2021—which far exceeded the maximum</w:t>
            </w:r>
          </w:p>
        </w:tc>
        <w:tc>
          <w:tcPr>
            <w:tcW w:w="0" w:type="dxa"/>
            <w:vAlign w:val="bottom"/>
          </w:tcPr>
          <w:p>
            <w:pPr>
              <w:spacing w:after="0"/>
              <w:rPr>
                <w:sz w:val="1"/>
                <w:szCs w:val="1"/>
                <w:color w:val="auto"/>
              </w:rPr>
            </w:pPr>
          </w:p>
        </w:tc>
      </w:tr>
      <w:tr>
        <w:trPr>
          <w:trHeight w:val="163"/>
        </w:trPr>
        <w:tc>
          <w:tcPr>
            <w:tcW w:w="180" w:type="dxa"/>
            <w:vAlign w:val="bottom"/>
            <w:vMerge w:val="continue"/>
            <w:shd w:val="clear" w:color="auto" w:fill="EBECEE"/>
          </w:tcPr>
          <w:p>
            <w:pPr>
              <w:spacing w:after="0"/>
              <w:rPr>
                <w:sz w:val="14"/>
                <w:szCs w:val="14"/>
                <w:color w:val="auto"/>
              </w:rPr>
            </w:pPr>
          </w:p>
        </w:tc>
        <w:tc>
          <w:tcPr>
            <w:tcW w:w="5420" w:type="dxa"/>
            <w:vAlign w:val="bottom"/>
            <w:vMerge w:val="continue"/>
            <w:shd w:val="clear" w:color="auto" w:fill="EBECEE"/>
          </w:tcPr>
          <w:p>
            <w:pPr>
              <w:spacing w:after="0"/>
              <w:rPr>
                <w:sz w:val="14"/>
                <w:szCs w:val="14"/>
                <w:color w:val="auto"/>
              </w:rPr>
            </w:pPr>
          </w:p>
        </w:tc>
        <w:tc>
          <w:tcPr>
            <w:tcW w:w="300" w:type="dxa"/>
            <w:vAlign w:val="bottom"/>
            <w:shd w:val="clear" w:color="auto" w:fill="EBECEE"/>
          </w:tcPr>
          <w:p>
            <w:pPr>
              <w:spacing w:after="0"/>
              <w:rPr>
                <w:sz w:val="14"/>
                <w:szCs w:val="14"/>
                <w:color w:val="auto"/>
              </w:rPr>
            </w:pPr>
          </w:p>
        </w:tc>
        <w:tc>
          <w:tcPr>
            <w:tcW w:w="5340" w:type="dxa"/>
            <w:vAlign w:val="bottom"/>
            <w:shd w:val="clear" w:color="auto" w:fill="EBECEE"/>
          </w:tcPr>
          <w:p>
            <w:pPr>
              <w:ind w:left="60"/>
              <w:spacing w:after="0" w:line="163" w:lineRule="exact"/>
              <w:rPr>
                <w:sz w:val="20"/>
                <w:szCs w:val="20"/>
                <w:color w:val="auto"/>
              </w:rPr>
            </w:pPr>
            <w:r>
              <w:rPr>
                <w:rFonts w:ascii="Arial" w:cs="Arial" w:eastAsia="Arial" w:hAnsi="Arial"/>
                <w:sz w:val="16"/>
                <w:szCs w:val="16"/>
                <w:color w:val="auto"/>
              </w:rPr>
              <w:t>performance goal for the 2020 FCF conversion PSUs.</w:t>
            </w:r>
          </w:p>
        </w:tc>
        <w:tc>
          <w:tcPr>
            <w:tcW w:w="0" w:type="dxa"/>
            <w:vAlign w:val="bottom"/>
          </w:tcPr>
          <w:p>
            <w:pPr>
              <w:spacing w:after="0"/>
              <w:rPr>
                <w:sz w:val="1"/>
                <w:szCs w:val="1"/>
                <w:color w:val="auto"/>
              </w:rPr>
            </w:pPr>
          </w:p>
        </w:tc>
      </w:tr>
      <w:tr>
        <w:trPr>
          <w:trHeight w:val="188"/>
        </w:trPr>
        <w:tc>
          <w:tcPr>
            <w:tcW w:w="180" w:type="dxa"/>
            <w:vAlign w:val="bottom"/>
            <w:shd w:val="clear" w:color="auto" w:fill="EBECEE"/>
          </w:tcPr>
          <w:p>
            <w:pPr>
              <w:spacing w:after="0"/>
              <w:rPr>
                <w:sz w:val="16"/>
                <w:szCs w:val="16"/>
                <w:color w:val="auto"/>
              </w:rPr>
            </w:pPr>
          </w:p>
        </w:tc>
        <w:tc>
          <w:tcPr>
            <w:tcW w:w="5420" w:type="dxa"/>
            <w:vAlign w:val="bottom"/>
            <w:shd w:val="clear" w:color="auto" w:fill="EBECEE"/>
          </w:tcPr>
          <w:p>
            <w:pPr>
              <w:ind w:left="60"/>
              <w:spacing w:after="0"/>
              <w:rPr>
                <w:sz w:val="20"/>
                <w:szCs w:val="20"/>
                <w:color w:val="auto"/>
              </w:rPr>
            </w:pPr>
            <w:r>
              <w:rPr>
                <w:rFonts w:ascii="Arial" w:cs="Arial" w:eastAsia="Arial" w:hAnsi="Arial"/>
                <w:sz w:val="16"/>
                <w:szCs w:val="16"/>
                <w:color w:val="auto"/>
              </w:rPr>
              <w:t>below the minimum performance target under our annual cash incentive</w:t>
            </w:r>
          </w:p>
        </w:tc>
        <w:tc>
          <w:tcPr>
            <w:tcW w:w="300" w:type="dxa"/>
            <w:vAlign w:val="bottom"/>
            <w:vMerge w:val="restart"/>
            <w:shd w:val="clear" w:color="auto" w:fill="EBECEE"/>
          </w:tcPr>
          <w:p>
            <w:pPr>
              <w:ind w:left="180"/>
              <w:spacing w:after="0"/>
              <w:rPr>
                <w:sz w:val="20"/>
                <w:szCs w:val="20"/>
                <w:color w:val="auto"/>
              </w:rPr>
            </w:pPr>
            <w:r>
              <w:rPr>
                <w:rFonts w:ascii="Arial" w:cs="Arial" w:eastAsia="Arial" w:hAnsi="Arial"/>
                <w:sz w:val="16"/>
                <w:szCs w:val="16"/>
                <w:color w:val="0233A1"/>
              </w:rPr>
              <w:t>•</w:t>
            </w:r>
          </w:p>
        </w:tc>
        <w:tc>
          <w:tcPr>
            <w:tcW w:w="5340" w:type="dxa"/>
            <w:vAlign w:val="bottom"/>
            <w:vMerge w:val="restart"/>
            <w:shd w:val="clear" w:color="auto" w:fill="EBECEE"/>
          </w:tcPr>
          <w:p>
            <w:pPr>
              <w:ind w:left="60"/>
              <w:spacing w:after="0"/>
              <w:rPr>
                <w:sz w:val="20"/>
                <w:szCs w:val="20"/>
                <w:color w:val="auto"/>
              </w:rPr>
            </w:pPr>
            <w:r>
              <w:rPr>
                <w:rFonts w:ascii="Arial" w:cs="Arial" w:eastAsia="Arial" w:hAnsi="Arial"/>
                <w:sz w:val="16"/>
                <w:szCs w:val="16"/>
                <w:color w:val="auto"/>
              </w:rPr>
              <w:t>As a result, our NEOs, other than our CEO, earned 250% of the target</w:t>
            </w:r>
          </w:p>
        </w:tc>
        <w:tc>
          <w:tcPr>
            <w:tcW w:w="0" w:type="dxa"/>
            <w:vAlign w:val="bottom"/>
          </w:tcPr>
          <w:p>
            <w:pPr>
              <w:spacing w:after="0"/>
              <w:rPr>
                <w:sz w:val="1"/>
                <w:szCs w:val="1"/>
                <w:color w:val="auto"/>
              </w:rPr>
            </w:pPr>
          </w:p>
        </w:tc>
      </w:tr>
      <w:tr>
        <w:trPr>
          <w:trHeight w:val="108"/>
        </w:trPr>
        <w:tc>
          <w:tcPr>
            <w:tcW w:w="180" w:type="dxa"/>
            <w:vAlign w:val="bottom"/>
            <w:shd w:val="clear" w:color="auto" w:fill="EBECEE"/>
          </w:tcPr>
          <w:p>
            <w:pPr>
              <w:spacing w:after="0"/>
              <w:rPr>
                <w:sz w:val="9"/>
                <w:szCs w:val="9"/>
                <w:color w:val="auto"/>
              </w:rPr>
            </w:pPr>
          </w:p>
        </w:tc>
        <w:tc>
          <w:tcPr>
            <w:tcW w:w="5420" w:type="dxa"/>
            <w:vAlign w:val="bottom"/>
            <w:vMerge w:val="restart"/>
            <w:shd w:val="clear" w:color="auto" w:fill="EBECEE"/>
          </w:tcPr>
          <w:p>
            <w:pPr>
              <w:ind w:left="60"/>
              <w:spacing w:after="0"/>
              <w:rPr>
                <w:sz w:val="20"/>
                <w:szCs w:val="20"/>
                <w:color w:val="auto"/>
              </w:rPr>
            </w:pPr>
            <w:r>
              <w:rPr>
                <w:rFonts w:ascii="Arial" w:cs="Arial" w:eastAsia="Arial" w:hAnsi="Arial"/>
                <w:sz w:val="16"/>
                <w:szCs w:val="16"/>
                <w:color w:val="auto"/>
              </w:rPr>
              <w:t xml:space="preserve">plan. As a result, our CEO and other NEOs earned </w:t>
            </w:r>
            <w:r>
              <w:rPr>
                <w:rFonts w:ascii="Arial" w:cs="Arial" w:eastAsia="Arial" w:hAnsi="Arial"/>
                <w:sz w:val="16"/>
                <w:szCs w:val="16"/>
                <w:b w:val="1"/>
                <w:bCs w:val="1"/>
                <w:color w:val="auto"/>
              </w:rPr>
              <w:t>no payout</w:t>
            </w:r>
            <w:r>
              <w:rPr>
                <w:rFonts w:ascii="Arial" w:cs="Arial" w:eastAsia="Arial" w:hAnsi="Arial"/>
                <w:sz w:val="16"/>
                <w:szCs w:val="16"/>
                <w:color w:val="auto"/>
              </w:rPr>
              <w:t xml:space="preserve"> under the</w:t>
            </w:r>
          </w:p>
        </w:tc>
        <w:tc>
          <w:tcPr>
            <w:tcW w:w="300" w:type="dxa"/>
            <w:vAlign w:val="bottom"/>
            <w:vMerge w:val="continue"/>
            <w:shd w:val="clear" w:color="auto" w:fill="EBECEE"/>
          </w:tcPr>
          <w:p>
            <w:pPr>
              <w:spacing w:after="0"/>
              <w:rPr>
                <w:sz w:val="9"/>
                <w:szCs w:val="9"/>
                <w:color w:val="auto"/>
              </w:rPr>
            </w:pPr>
          </w:p>
        </w:tc>
        <w:tc>
          <w:tcPr>
            <w:tcW w:w="5340" w:type="dxa"/>
            <w:vAlign w:val="bottom"/>
            <w:vMerge w:val="continue"/>
            <w:shd w:val="clear" w:color="auto" w:fill="EBECE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0" w:type="dxa"/>
            <w:vAlign w:val="bottom"/>
            <w:shd w:val="clear" w:color="auto" w:fill="EBECEE"/>
          </w:tcPr>
          <w:p>
            <w:pPr>
              <w:spacing w:after="0"/>
              <w:rPr>
                <w:sz w:val="7"/>
                <w:szCs w:val="7"/>
                <w:color w:val="auto"/>
              </w:rPr>
            </w:pPr>
          </w:p>
        </w:tc>
        <w:tc>
          <w:tcPr>
            <w:tcW w:w="5420" w:type="dxa"/>
            <w:vAlign w:val="bottom"/>
            <w:vMerge w:val="continue"/>
            <w:shd w:val="clear" w:color="auto" w:fill="EBECEE"/>
          </w:tcPr>
          <w:p>
            <w:pPr>
              <w:spacing w:after="0"/>
              <w:rPr>
                <w:sz w:val="7"/>
                <w:szCs w:val="7"/>
                <w:color w:val="auto"/>
              </w:rPr>
            </w:pPr>
          </w:p>
        </w:tc>
        <w:tc>
          <w:tcPr>
            <w:tcW w:w="300" w:type="dxa"/>
            <w:vAlign w:val="bottom"/>
            <w:shd w:val="clear" w:color="auto" w:fill="EBECEE"/>
          </w:tcPr>
          <w:p>
            <w:pPr>
              <w:spacing w:after="0"/>
              <w:rPr>
                <w:sz w:val="7"/>
                <w:szCs w:val="7"/>
                <w:color w:val="auto"/>
              </w:rPr>
            </w:pPr>
          </w:p>
        </w:tc>
        <w:tc>
          <w:tcPr>
            <w:tcW w:w="5340" w:type="dxa"/>
            <w:vAlign w:val="bottom"/>
            <w:vMerge w:val="restart"/>
            <w:shd w:val="clear" w:color="auto" w:fill="EBECEE"/>
          </w:tcPr>
          <w:p>
            <w:pPr>
              <w:ind w:left="60"/>
              <w:spacing w:after="0"/>
              <w:rPr>
                <w:sz w:val="20"/>
                <w:szCs w:val="20"/>
                <w:color w:val="auto"/>
              </w:rPr>
            </w:pPr>
            <w:r>
              <w:rPr>
                <w:rFonts w:ascii="Arial" w:cs="Arial" w:eastAsia="Arial" w:hAnsi="Arial"/>
                <w:sz w:val="16"/>
                <w:szCs w:val="16"/>
                <w:color w:val="auto"/>
              </w:rPr>
              <w:t>shares of SLB stock under the 2020 PSUs.</w:t>
            </w:r>
          </w:p>
        </w:tc>
        <w:tc>
          <w:tcPr>
            <w:tcW w:w="0" w:type="dxa"/>
            <w:vAlign w:val="bottom"/>
          </w:tcPr>
          <w:p>
            <w:pPr>
              <w:spacing w:after="0"/>
              <w:rPr>
                <w:sz w:val="1"/>
                <w:szCs w:val="1"/>
                <w:color w:val="auto"/>
              </w:rPr>
            </w:pPr>
          </w:p>
        </w:tc>
      </w:tr>
      <w:tr>
        <w:trPr>
          <w:trHeight w:val="134"/>
        </w:trPr>
        <w:tc>
          <w:tcPr>
            <w:tcW w:w="180" w:type="dxa"/>
            <w:vAlign w:val="bottom"/>
            <w:shd w:val="clear" w:color="auto" w:fill="EBECEE"/>
          </w:tcPr>
          <w:p>
            <w:pPr>
              <w:spacing w:after="0"/>
              <w:rPr>
                <w:sz w:val="11"/>
                <w:szCs w:val="11"/>
                <w:color w:val="auto"/>
              </w:rPr>
            </w:pPr>
          </w:p>
        </w:tc>
        <w:tc>
          <w:tcPr>
            <w:tcW w:w="5420" w:type="dxa"/>
            <w:vAlign w:val="bottom"/>
            <w:vMerge w:val="restart"/>
            <w:shd w:val="clear" w:color="auto" w:fill="EBECEE"/>
          </w:tcPr>
          <w:p>
            <w:pPr>
              <w:ind w:left="60"/>
              <w:spacing w:after="0"/>
              <w:rPr>
                <w:sz w:val="20"/>
                <w:szCs w:val="20"/>
                <w:color w:val="auto"/>
              </w:rPr>
            </w:pPr>
            <w:r>
              <w:rPr>
                <w:rFonts w:ascii="Arial" w:cs="Arial" w:eastAsia="Arial" w:hAnsi="Arial"/>
                <w:sz w:val="16"/>
                <w:szCs w:val="16"/>
                <w:color w:val="auto"/>
              </w:rPr>
              <w:t>free cash flow component of our 2022 cash incentive plan.</w:t>
            </w:r>
          </w:p>
        </w:tc>
        <w:tc>
          <w:tcPr>
            <w:tcW w:w="300" w:type="dxa"/>
            <w:vAlign w:val="bottom"/>
            <w:shd w:val="clear" w:color="auto" w:fill="EBECEE"/>
          </w:tcPr>
          <w:p>
            <w:pPr>
              <w:spacing w:after="0"/>
              <w:rPr>
                <w:sz w:val="11"/>
                <w:szCs w:val="11"/>
                <w:color w:val="auto"/>
              </w:rPr>
            </w:pPr>
          </w:p>
        </w:tc>
        <w:tc>
          <w:tcPr>
            <w:tcW w:w="5340" w:type="dxa"/>
            <w:vAlign w:val="bottom"/>
            <w:vMerge w:val="continue"/>
            <w:shd w:val="clear" w:color="auto" w:fill="EBECE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80" w:type="dxa"/>
            <w:vAlign w:val="bottom"/>
            <w:shd w:val="clear" w:color="auto" w:fill="EBECEE"/>
          </w:tcPr>
          <w:p>
            <w:pPr>
              <w:spacing w:after="0"/>
              <w:rPr>
                <w:sz w:val="7"/>
                <w:szCs w:val="7"/>
                <w:color w:val="auto"/>
              </w:rPr>
            </w:pPr>
          </w:p>
        </w:tc>
        <w:tc>
          <w:tcPr>
            <w:tcW w:w="5420" w:type="dxa"/>
            <w:vAlign w:val="bottom"/>
            <w:vMerge w:val="continue"/>
            <w:shd w:val="clear" w:color="auto" w:fill="EBECEE"/>
          </w:tcPr>
          <w:p>
            <w:pPr>
              <w:spacing w:after="0"/>
              <w:rPr>
                <w:sz w:val="7"/>
                <w:szCs w:val="7"/>
                <w:color w:val="auto"/>
              </w:rPr>
            </w:pPr>
          </w:p>
        </w:tc>
        <w:tc>
          <w:tcPr>
            <w:tcW w:w="300" w:type="dxa"/>
            <w:vAlign w:val="bottom"/>
            <w:shd w:val="clear" w:color="auto" w:fill="EBECEE"/>
          </w:tcPr>
          <w:p>
            <w:pPr>
              <w:spacing w:after="0"/>
              <w:rPr>
                <w:sz w:val="7"/>
                <w:szCs w:val="7"/>
                <w:color w:val="auto"/>
              </w:rPr>
            </w:pPr>
          </w:p>
        </w:tc>
        <w:tc>
          <w:tcPr>
            <w:tcW w:w="5340" w:type="dxa"/>
            <w:vAlign w:val="bottom"/>
            <w:shd w:val="clear" w:color="auto" w:fill="EBECE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180" w:type="dxa"/>
            <w:vAlign w:val="bottom"/>
            <w:shd w:val="clear" w:color="auto" w:fill="EBECEE"/>
          </w:tcPr>
          <w:p>
            <w:pPr>
              <w:spacing w:after="0"/>
              <w:rPr>
                <w:sz w:val="4"/>
                <w:szCs w:val="4"/>
                <w:color w:val="auto"/>
              </w:rPr>
            </w:pPr>
          </w:p>
        </w:tc>
        <w:tc>
          <w:tcPr>
            <w:tcW w:w="5420" w:type="dxa"/>
            <w:vAlign w:val="bottom"/>
            <w:shd w:val="clear" w:color="auto" w:fill="EBECEE"/>
          </w:tcPr>
          <w:p>
            <w:pPr>
              <w:spacing w:after="0"/>
              <w:rPr>
                <w:sz w:val="4"/>
                <w:szCs w:val="4"/>
                <w:color w:val="auto"/>
              </w:rPr>
            </w:pPr>
          </w:p>
        </w:tc>
        <w:tc>
          <w:tcPr>
            <w:tcW w:w="300" w:type="dxa"/>
            <w:vAlign w:val="bottom"/>
            <w:shd w:val="clear" w:color="auto" w:fill="EBECEE"/>
          </w:tcPr>
          <w:p>
            <w:pPr>
              <w:spacing w:after="0"/>
              <w:rPr>
                <w:sz w:val="4"/>
                <w:szCs w:val="4"/>
                <w:color w:val="auto"/>
              </w:rPr>
            </w:pPr>
          </w:p>
        </w:tc>
        <w:tc>
          <w:tcPr>
            <w:tcW w:w="5340" w:type="dxa"/>
            <w:vAlign w:val="bottom"/>
            <w:shd w:val="clear" w:color="auto" w:fill="EBECE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90"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-7620</wp:posOffset>
            </wp:positionV>
            <wp:extent cx="8890"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-7620</wp:posOffset>
            </wp:positionV>
            <wp:extent cx="8255"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-7620</wp:posOffset>
            </wp:positionV>
            <wp:extent cx="8255"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-7620</wp:posOffset>
            </wp:positionV>
            <wp:extent cx="8890"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-7620</wp:posOffset>
            </wp:positionV>
            <wp:extent cx="8255"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-7620</wp:posOffset>
            </wp:positionV>
            <wp:extent cx="8255"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-7620</wp:posOffset>
            </wp:positionV>
            <wp:extent cx="8255"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-7620</wp:posOffset>
            </wp:positionV>
            <wp:extent cx="8890"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-7620</wp:posOffset>
            </wp:positionV>
            <wp:extent cx="8255"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-7620</wp:posOffset>
            </wp:positionV>
            <wp:extent cx="8255"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-7620</wp:posOffset>
            </wp:positionV>
            <wp:extent cx="8890"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-7620</wp:posOffset>
            </wp:positionV>
            <wp:extent cx="8255"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-7620</wp:posOffset>
            </wp:positionV>
            <wp:extent cx="8255"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-7620</wp:posOffset>
            </wp:positionV>
            <wp:extent cx="8255"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-7620</wp:posOffset>
            </wp:positionV>
            <wp:extent cx="8255"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-7620</wp:posOffset>
            </wp:positionV>
            <wp:extent cx="8255"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-7620</wp:posOffset>
            </wp:positionV>
            <wp:extent cx="8890"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-7620</wp:posOffset>
            </wp:positionV>
            <wp:extent cx="8255"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-7620</wp:posOffset>
            </wp:positionV>
            <wp:extent cx="8255"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-7620</wp:posOffset>
            </wp:positionV>
            <wp:extent cx="8890"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-7620</wp:posOffset>
            </wp:positionV>
            <wp:extent cx="8255"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-7620</wp:posOffset>
            </wp:positionV>
            <wp:extent cx="8255"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-7620</wp:posOffset>
            </wp:positionV>
            <wp:extent cx="8255"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-7620</wp:posOffset>
            </wp:positionV>
            <wp:extent cx="8255"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-7620</wp:posOffset>
            </wp:positionV>
            <wp:extent cx="8255"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-7620</wp:posOffset>
            </wp:positionV>
            <wp:extent cx="8255"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-7620</wp:posOffset>
            </wp:positionV>
            <wp:extent cx="8255"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-7620</wp:posOffset>
            </wp:positionV>
            <wp:extent cx="8255"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-7620</wp:posOffset>
            </wp:positionV>
            <wp:extent cx="8255"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-7620</wp:posOffset>
            </wp:positionV>
            <wp:extent cx="8255"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-7620</wp:posOffset>
            </wp:positionV>
            <wp:extent cx="8890"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-7620</wp:posOffset>
            </wp:positionV>
            <wp:extent cx="8255"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-7620</wp:posOffset>
            </wp:positionV>
            <wp:extent cx="8255"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-7620</wp:posOffset>
            </wp:positionV>
            <wp:extent cx="8890"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-7620</wp:posOffset>
            </wp:positionV>
            <wp:extent cx="8890"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-7620</wp:posOffset>
            </wp:positionV>
            <wp:extent cx="8890"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-7620</wp:posOffset>
            </wp:positionV>
            <wp:extent cx="8890"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-7620</wp:posOffset>
            </wp:positionV>
            <wp:extent cx="8890"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-7620</wp:posOffset>
            </wp:positionV>
            <wp:extent cx="8255"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-7620</wp:posOffset>
            </wp:positionV>
            <wp:extent cx="8255"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-7620</wp:posOffset>
            </wp:positionV>
            <wp:extent cx="8890"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-7620</wp:posOffset>
            </wp:positionV>
            <wp:extent cx="8890"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-7620</wp:posOffset>
            </wp:positionV>
            <wp:extent cx="8890"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-7620</wp:posOffset>
            </wp:positionV>
            <wp:extent cx="8255"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-7620</wp:posOffset>
            </wp:positionV>
            <wp:extent cx="8255"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-7620</wp:posOffset>
            </wp:positionV>
            <wp:extent cx="8255"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-7620</wp:posOffset>
            </wp:positionV>
            <wp:extent cx="8890"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-7620</wp:posOffset>
            </wp:positionV>
            <wp:extent cx="8890"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-7620</wp:posOffset>
            </wp:positionV>
            <wp:extent cx="8890"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-7620</wp:posOffset>
            </wp:positionV>
            <wp:extent cx="8255"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-7620</wp:posOffset>
            </wp:positionV>
            <wp:extent cx="8255"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-7620</wp:posOffset>
            </wp:positionV>
            <wp:extent cx="8890"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-7620</wp:posOffset>
            </wp:positionV>
            <wp:extent cx="8890"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-7620</wp:posOffset>
            </wp:positionV>
            <wp:extent cx="8890"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-7620</wp:posOffset>
            </wp:positionV>
            <wp:extent cx="8255"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-7620</wp:posOffset>
            </wp:positionV>
            <wp:extent cx="8255"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-7620</wp:posOffset>
            </wp:positionV>
            <wp:extent cx="8255"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-7620</wp:posOffset>
            </wp:positionV>
            <wp:extent cx="8890"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-7620</wp:posOffset>
            </wp:positionV>
            <wp:extent cx="8890"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-7620</wp:posOffset>
            </wp:positionV>
            <wp:extent cx="8890"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-7620</wp:posOffset>
            </wp:positionV>
            <wp:extent cx="8255"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-7620</wp:posOffset>
            </wp:positionV>
            <wp:extent cx="8255"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-7620</wp:posOffset>
            </wp:positionV>
            <wp:extent cx="8890"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-7620</wp:posOffset>
            </wp:positionV>
            <wp:extent cx="8890"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-7620</wp:posOffset>
            </wp:positionV>
            <wp:extent cx="8890"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-7620</wp:posOffset>
            </wp:positionV>
            <wp:extent cx="8255"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-7620</wp:posOffset>
            </wp:positionV>
            <wp:extent cx="8255"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-7620</wp:posOffset>
            </wp:positionV>
            <wp:extent cx="8255"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-7620</wp:posOffset>
            </wp:positionV>
            <wp:extent cx="8890"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-7620</wp:posOffset>
            </wp:positionV>
            <wp:extent cx="8890"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-7620</wp:posOffset>
            </wp:positionV>
            <wp:extent cx="8890" cy="825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-7620</wp:posOffset>
            </wp:positionV>
            <wp:extent cx="8255"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-7620</wp:posOffset>
            </wp:positionV>
            <wp:extent cx="8255"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-7620</wp:posOffset>
            </wp:positionV>
            <wp:extent cx="8890" cy="825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-7620</wp:posOffset>
            </wp:positionV>
            <wp:extent cx="8890"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-7620</wp:posOffset>
            </wp:positionV>
            <wp:extent cx="8890"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-7620</wp:posOffset>
            </wp:positionV>
            <wp:extent cx="8890"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-7620</wp:posOffset>
            </wp:positionV>
            <wp:extent cx="8255" cy="825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-7620</wp:posOffset>
            </wp:positionV>
            <wp:extent cx="8255" cy="825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-7620</wp:posOffset>
            </wp:positionV>
            <wp:extent cx="8890"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-7620</wp:posOffset>
            </wp:positionV>
            <wp:extent cx="8890"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-7620</wp:posOffset>
            </wp:positionV>
            <wp:extent cx="8890"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-7620</wp:posOffset>
            </wp:positionV>
            <wp:extent cx="8890"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-7620</wp:posOffset>
            </wp:positionV>
            <wp:extent cx="8890" cy="825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-7620</wp:posOffset>
            </wp:positionV>
            <wp:extent cx="8890" cy="825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-7620</wp:posOffset>
            </wp:positionV>
            <wp:extent cx="8890"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-7620</wp:posOffset>
            </wp:positionV>
            <wp:extent cx="8255"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-7620</wp:posOffset>
            </wp:positionV>
            <wp:extent cx="8890"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-7620</wp:posOffset>
            </wp:positionV>
            <wp:extent cx="8890" cy="825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-7620</wp:posOffset>
            </wp:positionV>
            <wp:extent cx="8890"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-7620</wp:posOffset>
            </wp:positionV>
            <wp:extent cx="8890" cy="825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-7620</wp:posOffset>
            </wp:positionV>
            <wp:extent cx="8255"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-7620</wp:posOffset>
            </wp:positionV>
            <wp:extent cx="8890"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-7620</wp:posOffset>
            </wp:positionV>
            <wp:extent cx="8890"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-7620</wp:posOffset>
            </wp:positionV>
            <wp:extent cx="8890"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-7620</wp:posOffset>
            </wp:positionV>
            <wp:extent cx="8890" cy="825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-7620</wp:posOffset>
            </wp:positionV>
            <wp:extent cx="8255"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-7620</wp:posOffset>
            </wp:positionV>
            <wp:extent cx="8890" cy="825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-7620</wp:posOffset>
            </wp:positionV>
            <wp:extent cx="8890"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-7620</wp:posOffset>
            </wp:positionV>
            <wp:extent cx="8890" cy="825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-7620</wp:posOffset>
            </wp:positionV>
            <wp:extent cx="8890"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-7620</wp:posOffset>
            </wp:positionV>
            <wp:extent cx="8890"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-7620</wp:posOffset>
            </wp:positionV>
            <wp:extent cx="8890"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-7620</wp:posOffset>
            </wp:positionV>
            <wp:extent cx="8255"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-7620</wp:posOffset>
            </wp:positionV>
            <wp:extent cx="8890"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-7620</wp:posOffset>
            </wp:positionV>
            <wp:extent cx="8890"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-7620</wp:posOffset>
            </wp:positionV>
            <wp:extent cx="8890"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-7620</wp:posOffset>
            </wp:positionV>
            <wp:extent cx="8890"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-7620</wp:posOffset>
            </wp:positionV>
            <wp:extent cx="8255" cy="825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-7620</wp:posOffset>
            </wp:positionV>
            <wp:extent cx="8890"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-7620</wp:posOffset>
            </wp:positionV>
            <wp:extent cx="8890"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-7620</wp:posOffset>
            </wp:positionV>
            <wp:extent cx="8890"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-7620</wp:posOffset>
            </wp:positionV>
            <wp:extent cx="8890" cy="825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-7620</wp:posOffset>
            </wp:positionV>
            <wp:extent cx="8255" cy="82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-7620</wp:posOffset>
            </wp:positionV>
            <wp:extent cx="8890"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-7620</wp:posOffset>
            </wp:positionV>
            <wp:extent cx="8890"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-7620</wp:posOffset>
            </wp:positionV>
            <wp:extent cx="8890"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-7620</wp:posOffset>
            </wp:positionV>
            <wp:extent cx="8890"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-7620</wp:posOffset>
            </wp:positionV>
            <wp:extent cx="8255" cy="825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-7620</wp:posOffset>
            </wp:positionV>
            <wp:extent cx="8890"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-7620</wp:posOffset>
            </wp:positionV>
            <wp:extent cx="8255"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-7620</wp:posOffset>
            </wp:positionV>
            <wp:extent cx="8890"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-7620</wp:posOffset>
            </wp:positionV>
            <wp:extent cx="8890" cy="825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-7620</wp:posOffset>
            </wp:positionV>
            <wp:extent cx="8890"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-7620</wp:posOffset>
            </wp:positionV>
            <wp:extent cx="8890"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-7620</wp:posOffset>
            </wp:positionV>
            <wp:extent cx="8255" cy="825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-7620</wp:posOffset>
            </wp:positionV>
            <wp:extent cx="8890"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-7620</wp:posOffset>
            </wp:positionV>
            <wp:extent cx="8890"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-7620</wp:posOffset>
            </wp:positionV>
            <wp:extent cx="8890"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-7620</wp:posOffset>
            </wp:positionV>
            <wp:extent cx="8890"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-7620</wp:posOffset>
            </wp:positionV>
            <wp:extent cx="8255"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-7620</wp:posOffset>
            </wp:positionV>
            <wp:extent cx="8890"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-7620</wp:posOffset>
            </wp:positionV>
            <wp:extent cx="8890"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-7620</wp:posOffset>
            </wp:positionV>
            <wp:extent cx="8890" cy="825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-7620</wp:posOffset>
            </wp:positionV>
            <wp:extent cx="8890"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-7620</wp:posOffset>
            </wp:positionV>
            <wp:extent cx="8255"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-7620</wp:posOffset>
            </wp:positionV>
            <wp:extent cx="8890" cy="825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-7620</wp:posOffset>
            </wp:positionV>
            <wp:extent cx="8890" cy="825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-7620</wp:posOffset>
            </wp:positionV>
            <wp:extent cx="8890"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-7620</wp:posOffset>
            </wp:positionV>
            <wp:extent cx="8890"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-7620</wp:posOffset>
            </wp:positionV>
            <wp:extent cx="8255"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-7620</wp:posOffset>
            </wp:positionV>
            <wp:extent cx="8890" cy="825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-7620</wp:posOffset>
            </wp:positionV>
            <wp:extent cx="8255"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-7620</wp:posOffset>
            </wp:positionV>
            <wp:extent cx="8890" cy="825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-7620</wp:posOffset>
            </wp:positionV>
            <wp:extent cx="8890"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-7620</wp:posOffset>
            </wp:positionV>
            <wp:extent cx="8890" cy="825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-7620</wp:posOffset>
            </wp:positionV>
            <wp:extent cx="8890" cy="825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-7620</wp:posOffset>
            </wp:positionV>
            <wp:extent cx="8255"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-7620</wp:posOffset>
            </wp:positionV>
            <wp:extent cx="8890"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-7620</wp:posOffset>
            </wp:positionV>
            <wp:extent cx="8890"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-7620</wp:posOffset>
            </wp:positionV>
            <wp:extent cx="8890"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-7620</wp:posOffset>
            </wp:positionV>
            <wp:extent cx="8890" cy="825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-7620</wp:posOffset>
            </wp:positionV>
            <wp:extent cx="8255"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-7620</wp:posOffset>
            </wp:positionV>
            <wp:extent cx="8890" cy="825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-7620</wp:posOffset>
            </wp:positionV>
            <wp:extent cx="8890" cy="825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-7620</wp:posOffset>
            </wp:positionV>
            <wp:extent cx="8890" cy="825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-7620</wp:posOffset>
            </wp:positionV>
            <wp:extent cx="8890" cy="825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-7620</wp:posOffset>
            </wp:positionV>
            <wp:extent cx="8255" cy="825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-7620</wp:posOffset>
            </wp:positionV>
            <wp:extent cx="8890" cy="825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-7620</wp:posOffset>
            </wp:positionV>
            <wp:extent cx="8890"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-7620</wp:posOffset>
            </wp:positionV>
            <wp:extent cx="8890" cy="825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-7620</wp:posOffset>
            </wp:positionV>
            <wp:extent cx="8890" cy="825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-7620</wp:posOffset>
            </wp:positionV>
            <wp:extent cx="8890"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-7620</wp:posOffset>
            </wp:positionV>
            <wp:extent cx="8890"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-7620</wp:posOffset>
            </wp:positionV>
            <wp:extent cx="8255"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-7620</wp:posOffset>
            </wp:positionV>
            <wp:extent cx="8890"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-7620</wp:posOffset>
            </wp:positionV>
            <wp:extent cx="8890" cy="825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-7620</wp:posOffset>
            </wp:positionV>
            <wp:extent cx="8890"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-7620</wp:posOffset>
            </wp:positionV>
            <wp:extent cx="8890" cy="825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-7620</wp:posOffset>
            </wp:positionV>
            <wp:extent cx="8255"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-7620</wp:posOffset>
            </wp:positionV>
            <wp:extent cx="8890"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-7620</wp:posOffset>
            </wp:positionV>
            <wp:extent cx="8890" cy="825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-7620</wp:posOffset>
            </wp:positionV>
            <wp:extent cx="8890"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-7620</wp:posOffset>
            </wp:positionV>
            <wp:extent cx="8890"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-7620</wp:posOffset>
            </wp:positionV>
            <wp:extent cx="8255"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-7620</wp:posOffset>
            </wp:positionV>
            <wp:extent cx="8890" cy="825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-7620</wp:posOffset>
            </wp:positionV>
            <wp:extent cx="8255" cy="825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-7620</wp:posOffset>
            </wp:positionV>
            <wp:extent cx="8255"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-7620</wp:posOffset>
            </wp:positionV>
            <wp:extent cx="8890"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-7620</wp:posOffset>
            </wp:positionV>
            <wp:extent cx="8890" cy="825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-7620</wp:posOffset>
            </wp:positionV>
            <wp:extent cx="8255" cy="825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-7620</wp:posOffset>
            </wp:positionV>
            <wp:extent cx="8255" cy="825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-7620</wp:posOffset>
            </wp:positionV>
            <wp:extent cx="8255"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-7620</wp:posOffset>
            </wp:positionV>
            <wp:extent cx="8890"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-7620</wp:posOffset>
            </wp:positionV>
            <wp:extent cx="8890"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-7620</wp:posOffset>
            </wp:positionV>
            <wp:extent cx="8255" cy="825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-7620</wp:posOffset>
            </wp:positionV>
            <wp:extent cx="8255" cy="825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-7620</wp:posOffset>
            </wp:positionV>
            <wp:extent cx="8255"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-7620</wp:posOffset>
            </wp:positionV>
            <wp:extent cx="8890"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-7620</wp:posOffset>
            </wp:positionV>
            <wp:extent cx="8890" cy="825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-7620</wp:posOffset>
            </wp:positionV>
            <wp:extent cx="8255" cy="825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-7620</wp:posOffset>
            </wp:positionV>
            <wp:extent cx="8255" cy="825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8255"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-7620</wp:posOffset>
            </wp:positionV>
            <wp:extent cx="8890" cy="825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8890"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-7620</wp:posOffset>
            </wp:positionV>
            <wp:extent cx="8255" cy="825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-7620</wp:posOffset>
            </wp:positionV>
            <wp:extent cx="8255" cy="825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8255" cy="825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-7620</wp:posOffset>
            </wp:positionV>
            <wp:extent cx="8890"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8890"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-7620</wp:posOffset>
            </wp:positionV>
            <wp:extent cx="8255"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8255" cy="825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-7620</wp:posOffset>
            </wp:positionV>
            <wp:extent cx="3642995"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55" w:lineRule="exact"/>
        <w:rPr>
          <w:sz w:val="20"/>
          <w:szCs w:val="20"/>
          <w:color w:val="auto"/>
        </w:rPr>
      </w:pPr>
    </w:p>
    <w:p>
      <w:pPr>
        <w:jc w:val="both"/>
        <w:ind w:left="500" w:hanging="168"/>
        <w:spacing w:after="0" w:line="252" w:lineRule="auto"/>
        <w:tabs>
          <w:tab w:leader="none" w:pos="500" w:val="left"/>
        </w:tabs>
        <w:numPr>
          <w:ilvl w:val="1"/>
          <w:numId w:val="37"/>
        </w:numPr>
        <w:rPr>
          <w:rFonts w:ascii="Arial" w:cs="Arial" w:eastAsia="Arial" w:hAnsi="Arial"/>
          <w:sz w:val="16"/>
          <w:szCs w:val="16"/>
          <w:b w:val="1"/>
          <w:bCs w:val="1"/>
          <w:color w:val="0233A1"/>
        </w:rPr>
      </w:pPr>
      <w:r>
        <w:rPr>
          <w:rFonts w:ascii="Arial" w:cs="Arial" w:eastAsia="Arial" w:hAnsi="Arial"/>
          <w:sz w:val="16"/>
          <w:szCs w:val="16"/>
          <w:b w:val="1"/>
          <w:bCs w:val="1"/>
          <w:color w:val="0233A1"/>
        </w:rPr>
        <w:t xml:space="preserve">CEO and CFO Compensation Increases in Line with Market Trends </w:t>
      </w:r>
      <w:r>
        <w:rPr>
          <w:rFonts w:ascii="Arial" w:cs="Arial" w:eastAsia="Arial" w:hAnsi="Arial"/>
          <w:sz w:val="16"/>
          <w:szCs w:val="16"/>
          <w:color w:val="000000"/>
        </w:rPr>
        <w:t>— In light of SLB’s strong 2021 financial results—which surpassed all of the</w:t>
      </w:r>
      <w:r>
        <w:rPr>
          <w:rFonts w:ascii="Arial" w:cs="Arial" w:eastAsia="Arial" w:hAnsi="Arial"/>
          <w:sz w:val="16"/>
          <w:szCs w:val="16"/>
          <w:b w:val="1"/>
          <w:bCs w:val="1"/>
          <w:color w:val="0233A1"/>
        </w:rPr>
        <w:t xml:space="preserve"> </w:t>
      </w:r>
      <w:r>
        <w:rPr>
          <w:rFonts w:ascii="Arial" w:cs="Arial" w:eastAsia="Arial" w:hAnsi="Arial"/>
          <w:sz w:val="16"/>
          <w:szCs w:val="16"/>
          <w:color w:val="000000"/>
        </w:rPr>
        <w:t>Company’s annual financial targets—as well as peer comparator data showing that our CEO’s 2021 compensation was below the median of our general industry peer group, the Committee recommended, and the independent members of the Board approved, an 11% increase to our CEO’s 2022 base salary and a 14% increase in his target LTI grant value. The Committee also approved a 4% base salary increase for our CFO, Mr. Biguet, and a 9% increase in his target LTI grant value, after considering the Company’s excellent 2021 financial performance, as well as peer comparator data and internal pay equity considerations. We held flat the base salaries and target LTI grant values for our other NEOs, except for Mr. Merad, whose compensation was adjusted in connection with a promotion in April 2022. For details regarding these market increases, see “—Elements of 2022 Total Direct Compensation—Base Salary” and “—Long-Term Equity Incentive Awards”.</w:t>
      </w:r>
    </w:p>
    <w:p>
      <w:pPr>
        <w:spacing w:after="0" w:line="47" w:lineRule="exact"/>
        <w:rPr>
          <w:rFonts w:ascii="Arial" w:cs="Arial" w:eastAsia="Arial" w:hAnsi="Arial"/>
          <w:sz w:val="16"/>
          <w:szCs w:val="16"/>
          <w:b w:val="1"/>
          <w:bCs w:val="1"/>
          <w:color w:val="0233A1"/>
        </w:rPr>
      </w:pPr>
    </w:p>
    <w:p>
      <w:pPr>
        <w:ind w:left="500" w:hanging="168"/>
        <w:spacing w:after="0" w:line="286" w:lineRule="auto"/>
        <w:tabs>
          <w:tab w:leader="none" w:pos="500" w:val="left"/>
        </w:tabs>
        <w:numPr>
          <w:ilvl w:val="1"/>
          <w:numId w:val="37"/>
        </w:numPr>
        <w:rPr>
          <w:rFonts w:ascii="Arial" w:cs="Arial" w:eastAsia="Arial" w:hAnsi="Arial"/>
          <w:sz w:val="16"/>
          <w:szCs w:val="16"/>
          <w:b w:val="1"/>
          <w:bCs w:val="1"/>
          <w:color w:val="0233A1"/>
        </w:rPr>
      </w:pPr>
      <w:r>
        <w:rPr>
          <w:rFonts w:ascii="Arial" w:cs="Arial" w:eastAsia="Arial" w:hAnsi="Arial"/>
          <w:sz w:val="16"/>
          <w:szCs w:val="16"/>
          <w:b w:val="1"/>
          <w:bCs w:val="1"/>
          <w:color w:val="0233A1"/>
        </w:rPr>
        <w:t xml:space="preserve">ESG Objectives for All NEOs </w:t>
      </w:r>
      <w:r>
        <w:rPr>
          <w:rFonts w:ascii="Arial" w:cs="Arial" w:eastAsia="Arial" w:hAnsi="Arial"/>
          <w:sz w:val="16"/>
          <w:szCs w:val="16"/>
          <w:color w:val="000000"/>
        </w:rPr>
        <w:t>— All of our NEOs had strategic personal objectives related to sustainability, SLB New Energy, or HSE performance</w:t>
      </w:r>
      <w:r>
        <w:rPr>
          <w:rFonts w:ascii="Arial" w:cs="Arial" w:eastAsia="Arial" w:hAnsi="Arial"/>
          <w:sz w:val="16"/>
          <w:szCs w:val="16"/>
          <w:b w:val="1"/>
          <w:bCs w:val="1"/>
          <w:color w:val="0233A1"/>
        </w:rPr>
        <w:t xml:space="preserve"> </w:t>
      </w:r>
      <w:r>
        <w:rPr>
          <w:rFonts w:ascii="Arial" w:cs="Arial" w:eastAsia="Arial" w:hAnsi="Arial"/>
          <w:sz w:val="16"/>
          <w:szCs w:val="16"/>
          <w:color w:val="000000"/>
        </w:rPr>
        <w:t>goals.</w:t>
      </w:r>
    </w:p>
    <w:p>
      <w:pPr>
        <w:spacing w:after="0" w:line="200" w:lineRule="exact"/>
        <w:rPr>
          <w:rFonts w:ascii="Arial" w:cs="Arial" w:eastAsia="Arial" w:hAnsi="Arial"/>
          <w:sz w:val="16"/>
          <w:szCs w:val="16"/>
          <w:b w:val="1"/>
          <w:bCs w:val="1"/>
          <w:color w:val="0233A1"/>
        </w:rPr>
      </w:pPr>
    </w:p>
    <w:p>
      <w:pPr>
        <w:spacing w:after="0" w:line="351" w:lineRule="exact"/>
        <w:rPr>
          <w:rFonts w:ascii="Arial" w:cs="Arial" w:eastAsia="Arial" w:hAnsi="Arial"/>
          <w:sz w:val="16"/>
          <w:szCs w:val="16"/>
          <w:b w:val="1"/>
          <w:bCs w:val="1"/>
          <w:color w:val="0233A1"/>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For reconciliations of adjusted EBITDA and free cash flow to their most comparable GAAP measures, see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229235</wp:posOffset>
            </wp:positionV>
            <wp:extent cx="471805" cy="28321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Pr>
          <w:p>
            <w:pPr>
              <w:spacing w:after="0"/>
              <w:rPr>
                <w:sz w:val="9"/>
                <w:szCs w:val="9"/>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33</w:t>
            </w:r>
          </w:p>
        </w:tc>
        <w:tc>
          <w:tcPr>
            <w:tcW w:w="44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Framework for Setting 2022 Executive Compensation</w:t>
      </w: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color w:val="0233A1"/>
        </w:rPr>
        <w:t>Program Design and Pay-for-Performance Philosophy</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 xml:space="preserve">Our 2022 executive compensation program consisted of three primary elements, comprising our executives’ total direct compensation: </w:t>
      </w:r>
      <w:r>
        <w:rPr>
          <w:rFonts w:ascii="Arial" w:cs="Arial" w:eastAsia="Arial" w:hAnsi="Arial"/>
          <w:sz w:val="16"/>
          <w:szCs w:val="16"/>
          <w:b w:val="1"/>
          <w:bCs w:val="1"/>
          <w:color w:val="0233A1"/>
        </w:rPr>
        <w:t>LTI equity</w:t>
      </w:r>
      <w:r>
        <w:rPr>
          <w:rFonts w:ascii="Arial" w:cs="Arial" w:eastAsia="Arial" w:hAnsi="Arial"/>
          <w:sz w:val="16"/>
          <w:szCs w:val="16"/>
          <w:color w:val="auto"/>
        </w:rPr>
        <w:t xml:space="preserve"> </w:t>
      </w:r>
      <w:r>
        <w:rPr>
          <w:rFonts w:ascii="Arial" w:cs="Arial" w:eastAsia="Arial" w:hAnsi="Arial"/>
          <w:sz w:val="16"/>
          <w:szCs w:val="16"/>
          <w:b w:val="1"/>
          <w:bCs w:val="1"/>
          <w:color w:val="0233A1"/>
        </w:rPr>
        <w:t xml:space="preserve">incentive awards </w:t>
      </w:r>
      <w:r>
        <w:rPr>
          <w:rFonts w:ascii="Arial" w:cs="Arial" w:eastAsia="Arial" w:hAnsi="Arial"/>
          <w:sz w:val="16"/>
          <w:szCs w:val="16"/>
          <w:color w:val="000000"/>
        </w:rPr>
        <w:t>(PSUs and RSUs),</w:t>
      </w:r>
      <w:r>
        <w:rPr>
          <w:rFonts w:ascii="Arial" w:cs="Arial" w:eastAsia="Arial" w:hAnsi="Arial"/>
          <w:sz w:val="16"/>
          <w:szCs w:val="16"/>
          <w:b w:val="1"/>
          <w:bCs w:val="1"/>
          <w:color w:val="0233A1"/>
        </w:rPr>
        <w:t xml:space="preserve"> STI (annual) cash incentive awards</w:t>
      </w:r>
      <w:r>
        <w:rPr>
          <w:rFonts w:ascii="Arial" w:cs="Arial" w:eastAsia="Arial" w:hAnsi="Arial"/>
          <w:sz w:val="16"/>
          <w:szCs w:val="16"/>
          <w:color w:val="000000"/>
        </w:rPr>
        <w:t>, and</w:t>
      </w:r>
      <w:r>
        <w:rPr>
          <w:rFonts w:ascii="Arial" w:cs="Arial" w:eastAsia="Arial" w:hAnsi="Arial"/>
          <w:sz w:val="16"/>
          <w:szCs w:val="16"/>
          <w:b w:val="1"/>
          <w:bCs w:val="1"/>
          <w:color w:val="0233A1"/>
        </w:rPr>
        <w:t xml:space="preserve"> base salary</w:t>
      </w:r>
      <w:r>
        <w:rPr>
          <w:rFonts w:ascii="Arial" w:cs="Arial" w:eastAsia="Arial" w:hAnsi="Arial"/>
          <w:sz w:val="16"/>
          <w:szCs w:val="16"/>
          <w:color w:val="000000"/>
        </w:rPr>
        <w:t>. Within these elements, 75% of our executives’ 2022 target</w:t>
      </w:r>
      <w:r>
        <w:rPr>
          <w:rFonts w:ascii="Arial" w:cs="Arial" w:eastAsia="Arial" w:hAnsi="Arial"/>
          <w:sz w:val="16"/>
          <w:szCs w:val="16"/>
          <w:b w:val="1"/>
          <w:bCs w:val="1"/>
          <w:color w:val="0233A1"/>
        </w:rPr>
        <w:t xml:space="preserve"> </w:t>
      </w:r>
      <w:r>
        <w:rPr>
          <w:rFonts w:ascii="Arial" w:cs="Arial" w:eastAsia="Arial" w:hAnsi="Arial"/>
          <w:sz w:val="16"/>
          <w:szCs w:val="16"/>
          <w:color w:val="000000"/>
        </w:rPr>
        <w:t>LTI equity awards and 100% of their annual cash incentive awards were performance-based. These elements have allowed us to remain competitive and attract, retain, and motivate top executive talent whose interests are aligned with those of our shareholders.</w:t>
      </w:r>
    </w:p>
    <w:p>
      <w:pPr>
        <w:spacing w:after="0" w:line="15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chart below sets out the primary elements of our NEOs’ 2022 total direct compensation, certain key features of each element, and how each of these compensation elements supports our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32575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399" w:lineRule="exact"/>
        <w:rPr>
          <w:sz w:val="20"/>
          <w:szCs w:val="20"/>
          <w:color w:val="auto"/>
        </w:rPr>
      </w:pPr>
    </w:p>
    <w:p>
      <w:pPr>
        <w:ind w:left="160"/>
        <w:spacing w:after="0"/>
        <w:tabs>
          <w:tab w:leader="none" w:pos="1020" w:val="left"/>
        </w:tabs>
        <w:rPr>
          <w:sz w:val="20"/>
          <w:szCs w:val="20"/>
          <w:color w:val="auto"/>
        </w:rPr>
      </w:pPr>
      <w:r>
        <w:rPr>
          <w:rFonts w:ascii="Arial" w:cs="Arial" w:eastAsia="Arial" w:hAnsi="Arial"/>
          <w:sz w:val="16"/>
          <w:szCs w:val="16"/>
          <w:b w:val="1"/>
          <w:bCs w:val="1"/>
          <w:color w:val="FFFFFF"/>
        </w:rPr>
        <w:t>Type</w:t>
      </w:r>
      <w:r>
        <w:rPr>
          <w:sz w:val="20"/>
          <w:szCs w:val="20"/>
          <w:color w:val="auto"/>
        </w:rPr>
        <w:tab/>
      </w:r>
      <w:r>
        <w:rPr>
          <w:rFonts w:ascii="Arial" w:cs="Arial" w:eastAsia="Arial" w:hAnsi="Arial"/>
          <w:sz w:val="16"/>
          <w:szCs w:val="16"/>
          <w:b w:val="1"/>
          <w:bCs w:val="1"/>
          <w:color w:val="FFFFFF"/>
        </w:rPr>
        <w:t>Element</w:t>
      </w:r>
    </w:p>
    <w:p>
      <w:pPr>
        <w:spacing w:after="0" w:line="329"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Free Cash</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Flow Margin</w:t>
      </w:r>
    </w:p>
    <w:p>
      <w:pPr>
        <w:spacing w:after="0" w:line="5"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PSUs</w:t>
      </w:r>
    </w:p>
    <w:p>
      <w:pPr>
        <w:spacing w:after="0" w:line="5" w:lineRule="exact"/>
        <w:rPr>
          <w:sz w:val="20"/>
          <w:szCs w:val="20"/>
          <w:color w:val="auto"/>
        </w:rPr>
      </w:pPr>
    </w:p>
    <w:p>
      <w:pPr>
        <w:ind w:left="740"/>
        <w:spacing w:after="0"/>
        <w:rPr>
          <w:sz w:val="20"/>
          <w:szCs w:val="20"/>
          <w:color w:val="auto"/>
        </w:rPr>
      </w:pPr>
      <w:r>
        <w:rPr>
          <w:rFonts w:ascii="Arial" w:cs="Arial" w:eastAsia="Arial" w:hAnsi="Arial"/>
          <w:sz w:val="16"/>
          <w:szCs w:val="16"/>
          <w:i w:val="1"/>
          <w:iCs w:val="1"/>
          <w:color w:val="auto"/>
        </w:rPr>
        <w:t>(25%)</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7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360" w:type="dxa"/>
            <w:vAlign w:val="bottom"/>
          </w:tcPr>
          <w:p>
            <w:pPr>
              <w:jc w:val="center"/>
              <w:ind w:left="19"/>
              <w:spacing w:after="0"/>
              <w:rPr>
                <w:sz w:val="20"/>
                <w:szCs w:val="20"/>
                <w:color w:val="auto"/>
              </w:rPr>
            </w:pPr>
            <w:r>
              <w:rPr>
                <w:rFonts w:ascii="Arial" w:cs="Arial" w:eastAsia="Arial" w:hAnsi="Arial"/>
                <w:sz w:val="16"/>
                <w:szCs w:val="16"/>
                <w:b w:val="1"/>
                <w:bCs w:val="1"/>
                <w:color w:val="FFFFFF"/>
              </w:rPr>
              <w:t>Performance-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720" w:type="dxa"/>
            <w:vAlign w:val="bottom"/>
          </w:tcPr>
          <w:p>
            <w:pPr>
              <w:ind w:left="860"/>
              <w:spacing w:after="0"/>
              <w:rPr>
                <w:sz w:val="20"/>
                <w:szCs w:val="20"/>
                <w:color w:val="auto"/>
              </w:rPr>
            </w:pPr>
            <w:r>
              <w:rPr>
                <w:rFonts w:ascii="Arial" w:cs="Arial" w:eastAsia="Arial" w:hAnsi="Arial"/>
                <w:sz w:val="16"/>
                <w:szCs w:val="16"/>
                <w:b w:val="1"/>
                <w:bCs w:val="1"/>
                <w:color w:val="FFFFFF"/>
              </w:rPr>
              <w:t>Key Features</w:t>
            </w:r>
          </w:p>
        </w:tc>
        <w:tc>
          <w:tcPr>
            <w:tcW w:w="3920" w:type="dxa"/>
            <w:vAlign w:val="bottom"/>
          </w:tcPr>
          <w:p>
            <w:pPr>
              <w:ind w:left="100"/>
              <w:spacing w:after="0"/>
              <w:rPr>
                <w:sz w:val="20"/>
                <w:szCs w:val="20"/>
                <w:color w:val="auto"/>
              </w:rPr>
            </w:pPr>
            <w:r>
              <w:rPr>
                <w:rFonts w:ascii="Arial" w:cs="Arial" w:eastAsia="Arial" w:hAnsi="Arial"/>
                <w:sz w:val="16"/>
                <w:szCs w:val="16"/>
                <w:b w:val="1"/>
                <w:bCs w:val="1"/>
                <w:color w:val="FFFFFF"/>
              </w:rPr>
              <w:t>How Element Supports Our Strategy</w:t>
            </w:r>
          </w:p>
        </w:tc>
        <w:tc>
          <w:tcPr>
            <w:tcW w:w="1360" w:type="dxa"/>
            <w:vAlign w:val="bottom"/>
          </w:tcPr>
          <w:p>
            <w:pPr>
              <w:jc w:val="center"/>
              <w:ind w:left="19"/>
              <w:spacing w:after="0"/>
              <w:rPr>
                <w:sz w:val="20"/>
                <w:szCs w:val="20"/>
                <w:color w:val="auto"/>
              </w:rPr>
            </w:pPr>
            <w:r>
              <w:rPr>
                <w:rFonts w:ascii="Arial" w:cs="Arial" w:eastAsia="Arial" w:hAnsi="Arial"/>
                <w:sz w:val="16"/>
                <w:szCs w:val="16"/>
                <w:b w:val="1"/>
                <w:bCs w:val="1"/>
                <w:color w:val="FFFFFF"/>
              </w:rPr>
              <w:t>Based?</w:t>
            </w:r>
          </w:p>
        </w:tc>
        <w:tc>
          <w:tcPr>
            <w:tcW w:w="760" w:type="dxa"/>
            <w:vAlign w:val="bottom"/>
          </w:tcPr>
          <w:p>
            <w:pPr>
              <w:ind w:left="100"/>
              <w:spacing w:after="0"/>
              <w:rPr>
                <w:sz w:val="20"/>
                <w:szCs w:val="20"/>
                <w:color w:val="auto"/>
              </w:rPr>
            </w:pPr>
            <w:r>
              <w:rPr>
                <w:rFonts w:ascii="Arial" w:cs="Arial" w:eastAsia="Arial" w:hAnsi="Arial"/>
                <w:sz w:val="16"/>
                <w:szCs w:val="16"/>
                <w:b w:val="1"/>
                <w:bCs w:val="1"/>
                <w:color w:val="FFFFFF"/>
                <w:w w:val="98"/>
              </w:rPr>
              <w:t>At Risk?</w:t>
            </w:r>
          </w:p>
        </w:tc>
        <w:tc>
          <w:tcPr>
            <w:tcW w:w="0" w:type="dxa"/>
            <w:vAlign w:val="bottom"/>
          </w:tcPr>
          <w:p>
            <w:pPr>
              <w:spacing w:after="0"/>
              <w:rPr>
                <w:sz w:val="1"/>
                <w:szCs w:val="1"/>
                <w:color w:val="auto"/>
              </w:rPr>
            </w:pPr>
          </w:p>
        </w:tc>
      </w:tr>
      <w:tr>
        <w:trPr>
          <w:trHeight w:val="344"/>
        </w:trPr>
        <w:tc>
          <w:tcPr>
            <w:tcW w:w="2720" w:type="dxa"/>
            <w:vAlign w:val="bottom"/>
          </w:tcPr>
          <w:p>
            <w:pPr>
              <w:spacing w:after="0"/>
              <w:rPr>
                <w:sz w:val="24"/>
                <w:szCs w:val="24"/>
                <w:color w:val="auto"/>
              </w:rPr>
            </w:pPr>
          </w:p>
        </w:tc>
        <w:tc>
          <w:tcPr>
            <w:tcW w:w="3920" w:type="dxa"/>
            <w:vAlign w:val="bottom"/>
          </w:tcPr>
          <w:p>
            <w:pPr>
              <w:ind w:left="10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Aligns with our publicly disclosed financial</w:t>
            </w: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6"/>
                <w:szCs w:val="16"/>
                <w:color w:val="auto"/>
              </w:rPr>
              <w:t>Absolute performance metric, based</w:t>
            </w:r>
          </w:p>
        </w:tc>
        <w:tc>
          <w:tcPr>
            <w:tcW w:w="3920" w:type="dxa"/>
            <w:vAlign w:val="bottom"/>
          </w:tcPr>
          <w:p>
            <w:pPr>
              <w:ind w:left="280"/>
              <w:spacing w:after="0"/>
              <w:rPr>
                <w:sz w:val="20"/>
                <w:szCs w:val="20"/>
                <w:color w:val="auto"/>
              </w:rPr>
            </w:pPr>
            <w:r>
              <w:rPr>
                <w:rFonts w:ascii="Arial" w:cs="Arial" w:eastAsia="Arial" w:hAnsi="Arial"/>
                <w:sz w:val="16"/>
                <w:szCs w:val="16"/>
                <w:color w:val="auto"/>
              </w:rPr>
              <w:t>ambition of achieving double-digit FCF margin</w:t>
            </w:r>
          </w:p>
        </w:tc>
        <w:tc>
          <w:tcPr>
            <w:tcW w:w="1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720" w:type="dxa"/>
            <w:vAlign w:val="bottom"/>
          </w:tcPr>
          <w:p>
            <w:pPr>
              <w:spacing w:after="0"/>
              <w:rPr>
                <w:sz w:val="20"/>
                <w:szCs w:val="20"/>
                <w:color w:val="auto"/>
              </w:rPr>
            </w:pPr>
            <w:r>
              <w:rPr>
                <w:rFonts w:ascii="Arial" w:cs="Arial" w:eastAsia="Arial" w:hAnsi="Arial"/>
                <w:sz w:val="16"/>
                <w:szCs w:val="16"/>
                <w:color w:val="auto"/>
              </w:rPr>
              <w:t>on our FCF margin over a  three-</w:t>
            </w:r>
          </w:p>
        </w:tc>
        <w:tc>
          <w:tcPr>
            <w:tcW w:w="3920" w:type="dxa"/>
            <w:vAlign w:val="bottom"/>
            <w:vMerge w:val="restart"/>
          </w:tcPr>
          <w:p>
            <w:pPr>
              <w:ind w:left="10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Encourages our NEOs to generate high-quality</w:t>
            </w: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720" w:type="dxa"/>
            <w:vAlign w:val="bottom"/>
            <w:vMerge w:val="restart"/>
          </w:tcPr>
          <w:p>
            <w:pPr>
              <w:spacing w:after="0"/>
              <w:rPr>
                <w:sz w:val="20"/>
                <w:szCs w:val="20"/>
                <w:color w:val="auto"/>
              </w:rPr>
            </w:pPr>
            <w:r>
              <w:rPr>
                <w:rFonts w:ascii="Arial" w:cs="Arial" w:eastAsia="Arial" w:hAnsi="Arial"/>
                <w:sz w:val="16"/>
                <w:szCs w:val="16"/>
                <w:color w:val="auto"/>
              </w:rPr>
              <w:t>year period</w:t>
            </w:r>
          </w:p>
        </w:tc>
        <w:tc>
          <w:tcPr>
            <w:tcW w:w="392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720" w:type="dxa"/>
            <w:vAlign w:val="bottom"/>
            <w:vMerge w:val="continue"/>
          </w:tcPr>
          <w:p>
            <w:pPr>
              <w:spacing w:after="0"/>
              <w:rPr>
                <w:sz w:val="16"/>
                <w:szCs w:val="16"/>
                <w:color w:val="auto"/>
              </w:rPr>
            </w:pPr>
          </w:p>
        </w:tc>
        <w:tc>
          <w:tcPr>
            <w:tcW w:w="3920" w:type="dxa"/>
            <w:vAlign w:val="bottom"/>
          </w:tcPr>
          <w:p>
            <w:pPr>
              <w:ind w:left="280"/>
              <w:spacing w:after="0"/>
              <w:rPr>
                <w:sz w:val="20"/>
                <w:szCs w:val="20"/>
                <w:color w:val="auto"/>
              </w:rPr>
            </w:pPr>
            <w:r>
              <w:rPr>
                <w:rFonts w:ascii="Arial" w:cs="Arial" w:eastAsia="Arial" w:hAnsi="Arial"/>
                <w:sz w:val="16"/>
                <w:szCs w:val="16"/>
                <w:color w:val="auto"/>
              </w:rPr>
              <w:t>revenue, which translates into strong free cash</w:t>
            </w: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20" w:type="dxa"/>
            <w:vAlign w:val="bottom"/>
          </w:tcPr>
          <w:p>
            <w:pPr>
              <w:spacing w:after="0"/>
              <w:rPr>
                <w:sz w:val="18"/>
                <w:szCs w:val="18"/>
                <w:color w:val="auto"/>
              </w:rPr>
            </w:pPr>
          </w:p>
        </w:tc>
        <w:tc>
          <w:tcPr>
            <w:tcW w:w="3920" w:type="dxa"/>
            <w:vAlign w:val="bottom"/>
          </w:tcPr>
          <w:p>
            <w:pPr>
              <w:ind w:left="280"/>
              <w:spacing w:after="0"/>
              <w:rPr>
                <w:sz w:val="20"/>
                <w:szCs w:val="20"/>
                <w:color w:val="auto"/>
              </w:rPr>
            </w:pPr>
            <w:r>
              <w:rPr>
                <w:rFonts w:ascii="Arial" w:cs="Arial" w:eastAsia="Arial" w:hAnsi="Arial"/>
                <w:sz w:val="16"/>
                <w:szCs w:val="16"/>
                <w:color w:val="auto"/>
              </w:rPr>
              <w:t>flow in line with our capital stewardship program</w:t>
            </w: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-1315085</wp:posOffset>
            </wp:positionH>
            <wp:positionV relativeFrom="paragraph">
              <wp:posOffset>-752475</wp:posOffset>
            </wp:positionV>
            <wp:extent cx="7132320" cy="305181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7132320" cy="30518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80" w:space="400"/>
            <w:col w:w="9160"/>
          </w:cols>
          <w:pgMar w:left="320" w:top="238" w:right="339" w:bottom="1440" w:gutter="0" w:footer="0" w:header="0"/>
          <w:type w:val="continuous"/>
        </w:sectPr>
      </w:pPr>
    </w:p>
    <w:p>
      <w:pPr>
        <w:spacing w:after="0" w:line="98"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Return on</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Capital</w:t>
      </w:r>
    </w:p>
    <w:p>
      <w:pPr>
        <w:spacing w:after="0" w:line="5"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Employed</w:t>
      </w:r>
    </w:p>
    <w:p>
      <w:pPr>
        <w:spacing w:after="0" w:line="5"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PSUs</w:t>
      </w:r>
    </w:p>
    <w:p>
      <w:pPr>
        <w:spacing w:after="0" w:line="5" w:lineRule="exact"/>
        <w:rPr>
          <w:sz w:val="20"/>
          <w:szCs w:val="20"/>
          <w:color w:val="auto"/>
        </w:rPr>
      </w:pPr>
    </w:p>
    <w:p>
      <w:pPr>
        <w:ind w:left="740"/>
        <w:spacing w:after="0"/>
        <w:rPr>
          <w:sz w:val="20"/>
          <w:szCs w:val="20"/>
          <w:color w:val="auto"/>
        </w:rPr>
      </w:pPr>
      <w:r>
        <w:rPr>
          <w:rFonts w:ascii="Arial" w:cs="Arial" w:eastAsia="Arial" w:hAnsi="Arial"/>
          <w:sz w:val="16"/>
          <w:szCs w:val="16"/>
          <w:i w:val="1"/>
          <w:iCs w:val="1"/>
          <w:color w:val="auto"/>
        </w:rPr>
        <w:t>(25%)</w:t>
      </w:r>
    </w:p>
    <w:p>
      <w:pPr>
        <w:spacing w:after="0" w:line="200" w:lineRule="exact"/>
        <w:rPr>
          <w:sz w:val="20"/>
          <w:szCs w:val="20"/>
          <w:color w:val="auto"/>
        </w:rPr>
      </w:pPr>
    </w:p>
    <w:p>
      <w:pPr>
        <w:spacing w:after="0" w:line="262"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Total</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Shareholder</w:t>
      </w:r>
    </w:p>
    <w:p>
      <w:pPr>
        <w:spacing w:after="0" w:line="5"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Return PSUs</w:t>
      </w:r>
    </w:p>
    <w:p>
      <w:pPr>
        <w:spacing w:after="0" w:line="5" w:lineRule="exact"/>
        <w:rPr>
          <w:sz w:val="20"/>
          <w:szCs w:val="20"/>
          <w:color w:val="auto"/>
        </w:rPr>
      </w:pPr>
    </w:p>
    <w:p>
      <w:pPr>
        <w:ind w:left="740"/>
        <w:spacing w:after="0"/>
        <w:rPr>
          <w:sz w:val="20"/>
          <w:szCs w:val="20"/>
          <w:color w:val="auto"/>
        </w:rPr>
      </w:pPr>
      <w:r>
        <w:rPr>
          <w:rFonts w:ascii="Arial" w:cs="Arial" w:eastAsia="Arial" w:hAnsi="Arial"/>
          <w:sz w:val="16"/>
          <w:szCs w:val="16"/>
          <w:i w:val="1"/>
          <w:iCs w:val="1"/>
          <w:color w:val="auto"/>
        </w:rPr>
        <w:t>(25%)</w:t>
      </w:r>
    </w:p>
    <w:p>
      <w:pPr>
        <w:spacing w:after="0" w:line="200" w:lineRule="exact"/>
        <w:rPr>
          <w:sz w:val="20"/>
          <w:szCs w:val="20"/>
          <w:color w:val="auto"/>
        </w:rPr>
      </w:pPr>
    </w:p>
    <w:p>
      <w:pPr>
        <w:spacing w:after="0" w:line="221"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Time-Based</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RSUs</w:t>
      </w:r>
    </w:p>
    <w:p>
      <w:pPr>
        <w:spacing w:after="0" w:line="5" w:lineRule="exact"/>
        <w:rPr>
          <w:sz w:val="20"/>
          <w:szCs w:val="20"/>
          <w:color w:val="auto"/>
        </w:rPr>
      </w:pPr>
    </w:p>
    <w:p>
      <w:pPr>
        <w:ind w:left="740"/>
        <w:spacing w:after="0"/>
        <w:rPr>
          <w:sz w:val="20"/>
          <w:szCs w:val="20"/>
          <w:color w:val="auto"/>
        </w:rPr>
      </w:pPr>
      <w:r>
        <w:rPr>
          <w:rFonts w:ascii="Arial" w:cs="Arial" w:eastAsia="Arial" w:hAnsi="Arial"/>
          <w:sz w:val="16"/>
          <w:szCs w:val="16"/>
          <w:i w:val="1"/>
          <w:iCs w:val="1"/>
          <w:color w:val="auto"/>
        </w:rPr>
        <w:t>(25%)</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Relative performance metric, comparing our average annual ROCE over a three-year period to that of our direct competitors</w:t>
      </w:r>
    </w:p>
    <w:p>
      <w:pPr>
        <w:spacing w:after="0" w:line="200" w:lineRule="exact"/>
        <w:rPr>
          <w:sz w:val="20"/>
          <w:szCs w:val="20"/>
          <w:color w:val="auto"/>
        </w:rPr>
      </w:pPr>
    </w:p>
    <w:p>
      <w:pPr>
        <w:spacing w:after="0" w:line="234"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Relative performance metric, comparing our cumulative TSR over a three-year period to that of our direct competitors, as well as the S&amp;P Global 1200 Energy Index</w:t>
      </w:r>
    </w:p>
    <w:p>
      <w:pPr>
        <w:spacing w:after="0" w:line="39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Cliff vesting after three years, subject to continued employment</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jc w:val="both"/>
        <w:ind w:left="172" w:right="2700" w:hanging="172"/>
        <w:spacing w:after="0" w:line="266" w:lineRule="auto"/>
        <w:tabs>
          <w:tab w:leader="none" w:pos="183" w:val="left"/>
        </w:tabs>
        <w:numPr>
          <w:ilvl w:val="0"/>
          <w:numId w:val="38"/>
        </w:numPr>
        <w:rPr>
          <w:rFonts w:ascii="Arial" w:cs="Arial" w:eastAsia="Arial" w:hAnsi="Arial"/>
          <w:sz w:val="16"/>
          <w:szCs w:val="16"/>
          <w:color w:val="0233A1"/>
        </w:rPr>
      </w:pPr>
      <w:r>
        <w:rPr>
          <w:rFonts w:ascii="Arial" w:cs="Arial" w:eastAsia="Arial" w:hAnsi="Arial"/>
          <w:sz w:val="16"/>
          <w:szCs w:val="16"/>
          <w:color w:val="auto"/>
        </w:rPr>
        <w:t>Measures the efficiency of our capital employed relative to direct competitors, consistent with our strategic priorities</w:t>
      </w:r>
    </w:p>
    <w:p>
      <w:pPr>
        <w:spacing w:after="0" w:line="49" w:lineRule="exact"/>
        <w:rPr>
          <w:rFonts w:ascii="Arial" w:cs="Arial" w:eastAsia="Arial" w:hAnsi="Arial"/>
          <w:sz w:val="16"/>
          <w:szCs w:val="16"/>
          <w:color w:val="0233A1"/>
        </w:rPr>
      </w:pPr>
    </w:p>
    <w:p>
      <w:pPr>
        <w:ind w:left="172" w:right="2900" w:hanging="172"/>
        <w:spacing w:after="0" w:line="286" w:lineRule="auto"/>
        <w:tabs>
          <w:tab w:leader="none" w:pos="183" w:val="left"/>
        </w:tabs>
        <w:numPr>
          <w:ilvl w:val="0"/>
          <w:numId w:val="38"/>
        </w:numPr>
        <w:rPr>
          <w:rFonts w:ascii="Arial" w:cs="Arial" w:eastAsia="Arial" w:hAnsi="Arial"/>
          <w:sz w:val="16"/>
          <w:szCs w:val="16"/>
          <w:color w:val="0233A1"/>
        </w:rPr>
      </w:pPr>
      <w:r>
        <w:rPr>
          <w:rFonts w:ascii="Arial" w:cs="Arial" w:eastAsia="Arial" w:hAnsi="Arial"/>
          <w:sz w:val="16"/>
          <w:szCs w:val="16"/>
          <w:color w:val="auto"/>
        </w:rPr>
        <w:t>Motivates and rewards executives for relative outperformance on a key financial metric</w:t>
      </w:r>
    </w:p>
    <w:p>
      <w:pPr>
        <w:spacing w:after="0" w:line="223" w:lineRule="exact"/>
        <w:rPr>
          <w:rFonts w:ascii="Arial" w:cs="Arial" w:eastAsia="Arial" w:hAnsi="Arial"/>
          <w:sz w:val="16"/>
          <w:szCs w:val="16"/>
          <w:color w:val="0233A1"/>
        </w:rPr>
      </w:pPr>
    </w:p>
    <w:p>
      <w:pPr>
        <w:ind w:left="172" w:right="3180" w:hanging="172"/>
        <w:spacing w:after="0" w:line="286" w:lineRule="auto"/>
        <w:tabs>
          <w:tab w:leader="none" w:pos="183" w:val="left"/>
        </w:tabs>
        <w:numPr>
          <w:ilvl w:val="0"/>
          <w:numId w:val="38"/>
        </w:numPr>
        <w:rPr>
          <w:rFonts w:ascii="Arial" w:cs="Arial" w:eastAsia="Arial" w:hAnsi="Arial"/>
          <w:sz w:val="16"/>
          <w:szCs w:val="16"/>
          <w:color w:val="0233A1"/>
        </w:rPr>
      </w:pPr>
      <w:r>
        <w:rPr>
          <w:rFonts w:ascii="Arial" w:cs="Arial" w:eastAsia="Arial" w:hAnsi="Arial"/>
          <w:sz w:val="16"/>
          <w:szCs w:val="16"/>
          <w:color w:val="auto"/>
        </w:rPr>
        <w:t>Directly aligns executive LTI payouts with shareholder value creation</w:t>
      </w:r>
    </w:p>
    <w:p>
      <w:pPr>
        <w:spacing w:after="0" w:line="34" w:lineRule="exact"/>
        <w:rPr>
          <w:rFonts w:ascii="Arial" w:cs="Arial" w:eastAsia="Arial" w:hAnsi="Arial"/>
          <w:sz w:val="16"/>
          <w:szCs w:val="16"/>
          <w:color w:val="0233A1"/>
        </w:rPr>
      </w:pPr>
    </w:p>
    <w:p>
      <w:pPr>
        <w:ind w:left="172" w:right="2640" w:hanging="172"/>
        <w:spacing w:after="0" w:line="266" w:lineRule="auto"/>
        <w:tabs>
          <w:tab w:leader="none" w:pos="183" w:val="left"/>
        </w:tabs>
        <w:numPr>
          <w:ilvl w:val="0"/>
          <w:numId w:val="38"/>
        </w:numPr>
        <w:rPr>
          <w:rFonts w:ascii="Arial" w:cs="Arial" w:eastAsia="Arial" w:hAnsi="Arial"/>
          <w:sz w:val="16"/>
          <w:szCs w:val="16"/>
          <w:color w:val="0233A1"/>
        </w:rPr>
      </w:pPr>
      <w:r>
        <w:rPr>
          <w:rFonts w:ascii="Arial" w:cs="Arial" w:eastAsia="Arial" w:hAnsi="Arial"/>
          <w:sz w:val="16"/>
          <w:szCs w:val="16"/>
          <w:color w:val="auto"/>
        </w:rPr>
        <w:t>Uses a clear and objective metric to evaluate our performance against our direct competitors and against the broader energy sector</w:t>
      </w:r>
    </w:p>
    <w:p>
      <w:pPr>
        <w:spacing w:after="0" w:line="333" w:lineRule="exact"/>
        <w:rPr>
          <w:rFonts w:ascii="Arial" w:cs="Arial" w:eastAsia="Arial" w:hAnsi="Arial"/>
          <w:sz w:val="16"/>
          <w:szCs w:val="16"/>
          <w:color w:val="0233A1"/>
        </w:rPr>
      </w:pPr>
    </w:p>
    <w:p>
      <w:pPr>
        <w:ind w:left="172" w:right="2680" w:hanging="172"/>
        <w:spacing w:after="0" w:line="286" w:lineRule="auto"/>
        <w:tabs>
          <w:tab w:leader="none" w:pos="183" w:val="left"/>
        </w:tabs>
        <w:numPr>
          <w:ilvl w:val="0"/>
          <w:numId w:val="38"/>
        </w:numPr>
        <w:rPr>
          <w:rFonts w:ascii="Arial" w:cs="Arial" w:eastAsia="Arial" w:hAnsi="Arial"/>
          <w:sz w:val="16"/>
          <w:szCs w:val="16"/>
          <w:color w:val="0233A1"/>
        </w:rPr>
      </w:pPr>
      <w:r>
        <w:rPr>
          <w:rFonts w:ascii="Arial" w:cs="Arial" w:eastAsia="Arial" w:hAnsi="Arial"/>
          <w:sz w:val="16"/>
          <w:szCs w:val="16"/>
          <w:color w:val="auto"/>
        </w:rPr>
        <w:t>Promotes stability and retention of our executive team through business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-3110865</wp:posOffset>
            </wp:positionH>
            <wp:positionV relativeFrom="paragraph">
              <wp:posOffset>116205</wp:posOffset>
            </wp:positionV>
            <wp:extent cx="7132320" cy="13798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7132320" cy="1379855"/>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3">
            <w:col w:w="1720" w:space="360"/>
            <w:col w:w="2720" w:space="108"/>
            <w:col w:w="6332"/>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40"/>
        <w:spacing w:after="0" w:line="271" w:lineRule="auto"/>
        <w:rPr>
          <w:sz w:val="20"/>
          <w:szCs w:val="20"/>
          <w:color w:val="auto"/>
        </w:rPr>
      </w:pPr>
      <w:r>
        <w:rPr>
          <w:rFonts w:ascii="Arial" w:cs="Arial" w:eastAsia="Arial" w:hAnsi="Arial"/>
          <w:sz w:val="16"/>
          <w:szCs w:val="16"/>
          <w:b w:val="1"/>
          <w:bCs w:val="1"/>
          <w:color w:val="auto"/>
        </w:rPr>
        <w:t>Annual Cash Incentive Award</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color w:val="auto"/>
        </w:rPr>
        <w:t xml:space="preserve">70% </w:t>
      </w:r>
      <w:r>
        <w:rPr>
          <w:rFonts w:ascii="Arial" w:cs="Arial" w:eastAsia="Arial" w:hAnsi="Arial"/>
          <w:sz w:val="16"/>
          <w:szCs w:val="16"/>
          <w:color w:val="auto"/>
        </w:rPr>
        <w:t>based on achieving quantitative</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objectives, evenly split between adjusted EBITDA and free cash flow targets</w:t>
      </w:r>
    </w:p>
    <w:p>
      <w:pPr>
        <w:spacing w:after="0" w:line="110"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b w:val="1"/>
          <w:bCs w:val="1"/>
          <w:color w:val="auto"/>
        </w:rPr>
        <w:t xml:space="preserve">30% </w:t>
      </w:r>
      <w:r>
        <w:rPr>
          <w:rFonts w:ascii="Arial" w:cs="Arial" w:eastAsia="Arial" w:hAnsi="Arial"/>
          <w:sz w:val="16"/>
          <w:szCs w:val="16"/>
          <w:color w:val="auto"/>
        </w:rPr>
        <w:t>based on strategic personal</w:t>
      </w:r>
      <w:r>
        <w:rPr>
          <w:rFonts w:ascii="Arial" w:cs="Arial" w:eastAsia="Arial" w:hAnsi="Arial"/>
          <w:sz w:val="16"/>
          <w:szCs w:val="16"/>
          <w:b w:val="1"/>
          <w:bCs w:val="1"/>
          <w:color w:val="auto"/>
        </w:rPr>
        <w:t xml:space="preserve"> </w:t>
      </w:r>
      <w:r>
        <w:rPr>
          <w:rFonts w:ascii="Arial" w:cs="Arial" w:eastAsia="Arial" w:hAnsi="Arial"/>
          <w:sz w:val="16"/>
          <w:szCs w:val="16"/>
          <w:color w:val="auto"/>
        </w:rPr>
        <w:t>objectives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172" w:right="2900" w:hanging="172"/>
        <w:spacing w:after="0" w:line="286" w:lineRule="auto"/>
        <w:tabs>
          <w:tab w:leader="none" w:pos="174" w:val="left"/>
        </w:tabs>
        <w:numPr>
          <w:ilvl w:val="0"/>
          <w:numId w:val="39"/>
        </w:numPr>
        <w:rPr>
          <w:rFonts w:ascii="Arial" w:cs="Arial" w:eastAsia="Arial" w:hAnsi="Arial"/>
          <w:sz w:val="16"/>
          <w:szCs w:val="16"/>
          <w:color w:val="0233A1"/>
        </w:rPr>
      </w:pPr>
      <w:r>
        <w:rPr>
          <w:rFonts w:ascii="Arial" w:cs="Arial" w:eastAsia="Arial" w:hAnsi="Arial"/>
          <w:sz w:val="16"/>
          <w:szCs w:val="16"/>
          <w:color w:val="auto"/>
        </w:rPr>
        <w:t>Adjusted EBITDA reflects the quality of SLB’s earnings</w:t>
      </w:r>
    </w:p>
    <w:p>
      <w:pPr>
        <w:spacing w:after="0" w:line="34" w:lineRule="exact"/>
        <w:rPr>
          <w:rFonts w:ascii="Arial" w:cs="Arial" w:eastAsia="Arial" w:hAnsi="Arial"/>
          <w:sz w:val="16"/>
          <w:szCs w:val="16"/>
          <w:color w:val="0233A1"/>
        </w:rPr>
      </w:pPr>
    </w:p>
    <w:p>
      <w:pPr>
        <w:ind w:left="172" w:right="2560" w:hanging="172"/>
        <w:spacing w:after="0" w:line="256" w:lineRule="auto"/>
        <w:tabs>
          <w:tab w:leader="none" w:pos="183" w:val="left"/>
        </w:tabs>
        <w:numPr>
          <w:ilvl w:val="0"/>
          <w:numId w:val="39"/>
        </w:numPr>
        <w:rPr>
          <w:rFonts w:ascii="Arial" w:cs="Arial" w:eastAsia="Arial" w:hAnsi="Arial"/>
          <w:sz w:val="16"/>
          <w:szCs w:val="16"/>
          <w:color w:val="0233A1"/>
        </w:rPr>
      </w:pPr>
      <w:r>
        <w:rPr>
          <w:rFonts w:ascii="Arial" w:cs="Arial" w:eastAsia="Arial" w:hAnsi="Arial"/>
          <w:sz w:val="16"/>
          <w:szCs w:val="16"/>
          <w:color w:val="auto"/>
        </w:rPr>
        <w:t>Free cash flow goals encourage our NEOs to continue strengthening our balance sheet, so we can sustainably return value to shareholders while making focused investments in future growth areas</w:t>
      </w:r>
    </w:p>
    <w:p>
      <w:pPr>
        <w:spacing w:after="0" w:line="58" w:lineRule="exact"/>
        <w:rPr>
          <w:rFonts w:ascii="Arial" w:cs="Arial" w:eastAsia="Arial" w:hAnsi="Arial"/>
          <w:sz w:val="16"/>
          <w:szCs w:val="16"/>
          <w:color w:val="0233A1"/>
        </w:rPr>
      </w:pPr>
    </w:p>
    <w:p>
      <w:pPr>
        <w:ind w:left="172" w:right="2600" w:hanging="172"/>
        <w:spacing w:after="0" w:line="286" w:lineRule="auto"/>
        <w:tabs>
          <w:tab w:leader="none" w:pos="183" w:val="left"/>
        </w:tabs>
        <w:numPr>
          <w:ilvl w:val="0"/>
          <w:numId w:val="39"/>
        </w:numPr>
        <w:rPr>
          <w:rFonts w:ascii="Arial" w:cs="Arial" w:eastAsia="Arial" w:hAnsi="Arial"/>
          <w:sz w:val="16"/>
          <w:szCs w:val="16"/>
          <w:color w:val="0233A1"/>
        </w:rPr>
      </w:pPr>
      <w:r>
        <w:rPr>
          <w:rFonts w:ascii="Arial" w:cs="Arial" w:eastAsia="Arial" w:hAnsi="Arial"/>
          <w:sz w:val="16"/>
          <w:szCs w:val="16"/>
          <w:color w:val="auto"/>
        </w:rPr>
        <w:t>Personal objectives, detailed on page 38, align to our strategic focus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-3110865</wp:posOffset>
            </wp:positionH>
            <wp:positionV relativeFrom="paragraph">
              <wp:posOffset>56515</wp:posOffset>
            </wp:positionV>
            <wp:extent cx="7132320" cy="53975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7132320" cy="5397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720" w:space="360"/>
            <w:col w:w="2640" w:space="188"/>
            <w:col w:w="6332"/>
          </w:cols>
          <w:pgMar w:left="320" w:top="238" w:right="339" w:bottom="1440" w:gutter="0" w:footer="0" w:header="0"/>
          <w:type w:val="continuous"/>
        </w:sectPr>
      </w:pPr>
    </w:p>
    <w:p>
      <w:pPr>
        <w:spacing w:after="0" w:line="212"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FFFFFF"/>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471170" cy="28321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471170"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FFFFFF"/>
        </w:rPr>
        <w:t>Provides a base level of competitive cash</w:t>
      </w:r>
    </w:p>
    <w:p>
      <w:pPr>
        <w:spacing w:after="0" w:line="21" w:lineRule="exact"/>
        <w:rPr>
          <w:sz w:val="20"/>
          <w:szCs w:val="20"/>
          <w:color w:val="auto"/>
        </w:rPr>
      </w:pPr>
    </w:p>
    <w:p>
      <w:pPr>
        <w:spacing w:after="0"/>
        <w:tabs>
          <w:tab w:leader="none" w:pos="2980" w:val="left"/>
        </w:tabs>
        <w:rPr>
          <w:sz w:val="20"/>
          <w:szCs w:val="20"/>
          <w:color w:val="auto"/>
        </w:rPr>
      </w:pPr>
      <w:r>
        <w:rPr>
          <w:rFonts w:ascii="Arial" w:cs="Arial" w:eastAsia="Arial" w:hAnsi="Arial"/>
          <w:sz w:val="16"/>
          <w:szCs w:val="16"/>
          <w:color w:val="FFFFFF"/>
        </w:rPr>
        <w:t>Only fixed compensation element</w:t>
      </w:r>
      <w:r>
        <w:rPr>
          <w:sz w:val="20"/>
          <w:szCs w:val="20"/>
          <w:color w:val="auto"/>
        </w:rPr>
        <w:tab/>
      </w:r>
      <w:r>
        <w:rPr>
          <w:rFonts w:ascii="Arial" w:cs="Arial" w:eastAsia="Arial" w:hAnsi="Arial"/>
          <w:sz w:val="16"/>
          <w:szCs w:val="16"/>
          <w:color w:val="FFFFFF"/>
        </w:rPr>
        <w:t>compensation when all other pay elements are</w:t>
      </w:r>
    </w:p>
    <w:p>
      <w:pPr>
        <w:spacing w:after="0" w:line="5"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FFFFFF"/>
        </w:rPr>
        <w:t>variable or contingent on performance</w:t>
      </w:r>
    </w:p>
    <w:p>
      <w:pPr>
        <w:spacing w:after="0" w:line="200" w:lineRule="exact"/>
        <w:rPr>
          <w:sz w:val="20"/>
          <w:szCs w:val="20"/>
          <w:color w:val="auto"/>
        </w:rPr>
      </w:pPr>
    </w:p>
    <w:p>
      <w:pPr>
        <w:sectPr>
          <w:pgSz w:w="11900" w:h="16838" w:orient="portrait"/>
          <w:cols w:equalWidth="0" w:num="2">
            <w:col w:w="1660" w:space="420"/>
            <w:col w:w="9160"/>
          </w:cols>
          <w:pgMar w:left="320" w:top="238" w:right="339" w:bottom="1440" w:gutter="0" w:footer="0" w:header="0"/>
          <w:type w:val="continuous"/>
        </w:sectPr>
      </w:pPr>
    </w:p>
    <w:p>
      <w:pPr>
        <w:spacing w:after="0" w:line="167" w:lineRule="exact"/>
        <w:rPr>
          <w:sz w:val="20"/>
          <w:szCs w:val="20"/>
          <w:color w:val="auto"/>
        </w:rPr>
      </w:pPr>
    </w:p>
    <w:p>
      <w:pPr>
        <w:ind w:left="5540"/>
        <w:spacing w:after="0"/>
        <w:tabs>
          <w:tab w:leader="none" w:pos="9540" w:val="left"/>
        </w:tabs>
        <w:rPr>
          <w:sz w:val="20"/>
          <w:szCs w:val="20"/>
          <w:color w:val="auto"/>
        </w:rPr>
      </w:pPr>
      <w:r>
        <w:rPr>
          <w:rFonts w:ascii="Arial" w:cs="Arial" w:eastAsia="Arial" w:hAnsi="Arial"/>
          <w:sz w:val="16"/>
          <w:szCs w:val="16"/>
          <w:b w:val="1"/>
          <w:bCs w:val="1"/>
          <w:color w:val="auto"/>
        </w:rPr>
        <w:t>34</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-46990</wp:posOffset>
            </wp:positionV>
            <wp:extent cx="5417820" cy="1714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setting our executives’ compensation, our Compensation Committee believes that:</w:t>
      </w:r>
    </w:p>
    <w:p>
      <w:pPr>
        <w:spacing w:after="0" w:line="194" w:lineRule="exact"/>
        <w:rPr>
          <w:sz w:val="20"/>
          <w:szCs w:val="20"/>
          <w:color w:val="auto"/>
        </w:rPr>
      </w:pPr>
    </w:p>
    <w:p>
      <w:pPr>
        <w:ind w:left="500" w:hanging="168"/>
        <w:spacing w:after="0" w:line="286" w:lineRule="auto"/>
        <w:tabs>
          <w:tab w:leader="none" w:pos="500" w:val="left"/>
        </w:tabs>
        <w:numPr>
          <w:ilvl w:val="0"/>
          <w:numId w:val="40"/>
        </w:numPr>
        <w:rPr>
          <w:rFonts w:ascii="Arial" w:cs="Arial" w:eastAsia="Arial" w:hAnsi="Arial"/>
          <w:sz w:val="16"/>
          <w:szCs w:val="16"/>
          <w:b w:val="1"/>
          <w:bCs w:val="1"/>
          <w:color w:val="0233A1"/>
        </w:rPr>
      </w:pPr>
      <w:r>
        <w:rPr>
          <w:rFonts w:ascii="Arial" w:cs="Arial" w:eastAsia="Arial" w:hAnsi="Arial"/>
          <w:sz w:val="16"/>
          <w:szCs w:val="16"/>
          <w:color w:val="auto"/>
        </w:rPr>
        <w:t>the pay of our NEOs and other executives should be strongly linked to performance that is evaluated against financial and strategic personal objectives, and should balance incentivizing outperformance, ensuring retention, and maximizing shareholder value,</w:t>
      </w:r>
    </w:p>
    <w:p>
      <w:pPr>
        <w:spacing w:after="0" w:line="20" w:lineRule="exact"/>
        <w:rPr>
          <w:rFonts w:ascii="Arial" w:cs="Arial" w:eastAsia="Arial" w:hAnsi="Arial"/>
          <w:sz w:val="16"/>
          <w:szCs w:val="16"/>
          <w:b w:val="1"/>
          <w:bCs w:val="1"/>
          <w:color w:val="0233A1"/>
        </w:rPr>
      </w:pPr>
    </w:p>
    <w:p>
      <w:pPr>
        <w:ind w:left="500" w:hanging="168"/>
        <w:spacing w:after="0" w:line="286" w:lineRule="auto"/>
        <w:tabs>
          <w:tab w:leader="none" w:pos="500" w:val="left"/>
        </w:tabs>
        <w:numPr>
          <w:ilvl w:val="0"/>
          <w:numId w:val="40"/>
        </w:numPr>
        <w:rPr>
          <w:rFonts w:ascii="Arial" w:cs="Arial" w:eastAsia="Arial" w:hAnsi="Arial"/>
          <w:sz w:val="16"/>
          <w:szCs w:val="16"/>
          <w:b w:val="1"/>
          <w:bCs w:val="1"/>
          <w:color w:val="0233A1"/>
        </w:rPr>
      </w:pPr>
      <w:r>
        <w:rPr>
          <w:rFonts w:ascii="Arial" w:cs="Arial" w:eastAsia="Arial" w:hAnsi="Arial"/>
          <w:sz w:val="16"/>
          <w:szCs w:val="16"/>
          <w:color w:val="auto"/>
        </w:rPr>
        <w:t>our performance-based LTI and cash incentive awards should utilize clear, quantitative financial metrics that are closely aligned with our corporate strategy and stated external objectives and should be effective through all industry cycles,</w:t>
      </w:r>
    </w:p>
    <w:p>
      <w:pPr>
        <w:spacing w:after="0" w:line="20" w:lineRule="exact"/>
        <w:rPr>
          <w:rFonts w:ascii="Arial" w:cs="Arial" w:eastAsia="Arial" w:hAnsi="Arial"/>
          <w:sz w:val="16"/>
          <w:szCs w:val="16"/>
          <w:b w:val="1"/>
          <w:bCs w:val="1"/>
          <w:color w:val="0233A1"/>
        </w:rPr>
      </w:pPr>
    </w:p>
    <w:p>
      <w:pPr>
        <w:jc w:val="both"/>
        <w:ind w:left="500" w:hanging="168"/>
        <w:spacing w:after="0" w:line="266" w:lineRule="auto"/>
        <w:tabs>
          <w:tab w:leader="none" w:pos="500" w:val="left"/>
        </w:tabs>
        <w:numPr>
          <w:ilvl w:val="0"/>
          <w:numId w:val="40"/>
        </w:numPr>
        <w:rPr>
          <w:rFonts w:ascii="Arial" w:cs="Arial" w:eastAsia="Arial" w:hAnsi="Arial"/>
          <w:sz w:val="16"/>
          <w:szCs w:val="16"/>
          <w:b w:val="1"/>
          <w:bCs w:val="1"/>
          <w:color w:val="0233A1"/>
        </w:rPr>
      </w:pPr>
      <w:r>
        <w:rPr>
          <w:rFonts w:ascii="Arial" w:cs="Arial" w:eastAsia="Arial" w:hAnsi="Arial"/>
          <w:sz w:val="16"/>
          <w:szCs w:val="16"/>
          <w:color w:val="auto"/>
        </w:rPr>
        <w:t>LTI awards should encourage the creation of long-term shareholder value, align our executives’ compensation with our shareholder returns, and incentivize our executives to achieve difficult but attainable strategic and financial goals that support our long-term performance and our leadership position in our industry,</w:t>
      </w:r>
    </w:p>
    <w:p>
      <w:pPr>
        <w:spacing w:after="0" w:line="36" w:lineRule="exact"/>
        <w:rPr>
          <w:rFonts w:ascii="Arial" w:cs="Arial" w:eastAsia="Arial" w:hAnsi="Arial"/>
          <w:sz w:val="16"/>
          <w:szCs w:val="16"/>
          <w:b w:val="1"/>
          <w:bCs w:val="1"/>
          <w:color w:val="0233A1"/>
        </w:rPr>
      </w:pPr>
    </w:p>
    <w:p>
      <w:pPr>
        <w:ind w:left="500" w:hanging="168"/>
        <w:spacing w:after="0" w:line="286" w:lineRule="auto"/>
        <w:tabs>
          <w:tab w:leader="none" w:pos="500" w:val="left"/>
        </w:tabs>
        <w:numPr>
          <w:ilvl w:val="0"/>
          <w:numId w:val="40"/>
        </w:numPr>
        <w:rPr>
          <w:rFonts w:ascii="Arial" w:cs="Arial" w:eastAsia="Arial" w:hAnsi="Arial"/>
          <w:sz w:val="16"/>
          <w:szCs w:val="16"/>
          <w:b w:val="1"/>
          <w:bCs w:val="1"/>
          <w:color w:val="0233A1"/>
        </w:rPr>
      </w:pPr>
      <w:r>
        <w:rPr>
          <w:rFonts w:ascii="Arial" w:cs="Arial" w:eastAsia="Arial" w:hAnsi="Arial"/>
          <w:sz w:val="16"/>
          <w:szCs w:val="16"/>
          <w:color w:val="auto"/>
        </w:rPr>
        <w:t>our executive compensation structure should enable us to recruit, develop, motivate, and retain top global talent, both in the short term and long term, and</w:t>
      </w:r>
    </w:p>
    <w:p>
      <w:pPr>
        <w:spacing w:after="0" w:line="20" w:lineRule="exact"/>
        <w:rPr>
          <w:rFonts w:ascii="Arial" w:cs="Arial" w:eastAsia="Arial" w:hAnsi="Arial"/>
          <w:sz w:val="16"/>
          <w:szCs w:val="16"/>
          <w:b w:val="1"/>
          <w:bCs w:val="1"/>
          <w:color w:val="0233A1"/>
        </w:rPr>
      </w:pPr>
    </w:p>
    <w:p>
      <w:pPr>
        <w:ind w:left="500" w:hanging="168"/>
        <w:spacing w:after="0" w:line="286" w:lineRule="auto"/>
        <w:tabs>
          <w:tab w:leader="none" w:pos="500" w:val="left"/>
        </w:tabs>
        <w:numPr>
          <w:ilvl w:val="0"/>
          <w:numId w:val="40"/>
        </w:numPr>
        <w:rPr>
          <w:rFonts w:ascii="Arial" w:cs="Arial" w:eastAsia="Arial" w:hAnsi="Arial"/>
          <w:sz w:val="16"/>
          <w:szCs w:val="16"/>
          <w:b w:val="1"/>
          <w:bCs w:val="1"/>
          <w:color w:val="0233A1"/>
        </w:rPr>
      </w:pPr>
      <w:r>
        <w:rPr>
          <w:rFonts w:ascii="Arial" w:cs="Arial" w:eastAsia="Arial" w:hAnsi="Arial"/>
          <w:sz w:val="16"/>
          <w:szCs w:val="16"/>
          <w:color w:val="auto"/>
        </w:rPr>
        <w:t>stock ownership guidelines, which require our executives to hold stock acquired through LTI awards, should further align the interests of our executives with those of our other shareholders.</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0233A1"/>
        </w:rPr>
        <w:t>At-Risk Pay Mix</w:t>
      </w:r>
    </w:p>
    <w:p>
      <w:pPr>
        <w:spacing w:after="0" w:line="20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Our executive compensation program is designed so that the higher an executive’s position in the Company, the greater the percentage of compensation that is “at risk”. At-risk compensation refers to an executive’s LTI awards and annual cash incentive opportunity. We believe that having a significant portion of our executives’ compensation at risk more closely aligns their interests with Company interests and with the interests of our shareholders.</w:t>
      </w:r>
    </w:p>
    <w:p>
      <w:pPr>
        <w:spacing w:after="0" w:line="3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6"/>
          <w:szCs w:val="16"/>
          <w:color w:val="auto"/>
        </w:rPr>
        <w:t>As illustrated below, approximately 90% of our CEO’s 2022 target total direct compensation was at risk, and approximately 84% of our other NEOs’ 2022 target total direct compensation was at risk.</w:t>
      </w:r>
    </w:p>
    <w:p>
      <w:pPr>
        <w:ind w:left="1740"/>
        <w:spacing w:after="0"/>
        <w:tabs>
          <w:tab w:leader="none" w:pos="6980" w:val="left"/>
        </w:tabs>
        <w:rPr>
          <w:sz w:val="20"/>
          <w:szCs w:val="20"/>
          <w:color w:val="auto"/>
        </w:rPr>
      </w:pPr>
      <w:r>
        <w:rPr>
          <w:rFonts w:ascii="Arial" w:cs="Arial" w:eastAsia="Arial" w:hAnsi="Arial"/>
          <w:sz w:val="18"/>
          <w:szCs w:val="18"/>
          <w:b w:val="1"/>
          <w:bCs w:val="1"/>
          <w:color w:val="auto"/>
        </w:rPr>
        <w:t>CEO 2022 Target Pay Mix</w:t>
      </w:r>
      <w:r>
        <w:rPr>
          <w:sz w:val="20"/>
          <w:szCs w:val="20"/>
          <w:color w:val="auto"/>
        </w:rPr>
        <w:tab/>
      </w:r>
      <w:r>
        <w:rPr>
          <w:rFonts w:ascii="Arial" w:cs="Arial" w:eastAsia="Arial" w:hAnsi="Arial"/>
          <w:sz w:val="27"/>
          <w:szCs w:val="27"/>
          <w:b w:val="1"/>
          <w:bCs w:val="1"/>
          <w:color w:val="auto"/>
          <w:vertAlign w:val="subscript"/>
        </w:rPr>
        <w:t>Other NEO 2022 Target Pay Mix</w:t>
      </w:r>
      <w:r>
        <w:rPr>
          <w:rFonts w:ascii="Arial" w:cs="Arial" w:eastAsia="Arial" w:hAnsi="Arial"/>
          <w:sz w:val="12"/>
          <w:szCs w:val="12"/>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189865</wp:posOffset>
            </wp:positionV>
            <wp:extent cx="6694805" cy="147447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6694805"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hanging="332"/>
        <w:spacing w:after="0" w:line="285"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Does not include pay mix for Mr. Belani, who retired from his role as EVP, New Energy effective April 1, 2022, and was appointed Senior Strategic Advisor to the CEO, a non-executive officer position.</w:t>
      </w:r>
    </w:p>
    <w:p>
      <w:pPr>
        <w:spacing w:after="0" w:line="12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Based on market data provided by Pay Governance, our Compensation Committee’s independent compensation consultant, the pay mix of our NEOs is well-aligned with that of the companies in our two main executive compensation peer groups, as described in “Other Aspects of Our Executive Compensation Program—Our Peer Group Companies” on page 46.</w:t>
      </w:r>
    </w:p>
    <w:p>
      <w:pPr>
        <w:spacing w:after="0" w:line="14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In January 2022, the Committee concluded that the mix of base salary, target annual cash incentive, and target LTI was appropriate for each of our NEOs, based on the relative size of direct compensation elements of companies in our main executive compensation peer groups, as well as internal factors.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color w:val="0233A1"/>
        </w:rPr>
        <w:t>Responsiveness to Shareholder Feedback</w:t>
      </w:r>
    </w:p>
    <w:p>
      <w:pPr>
        <w:spacing w:after="0" w:line="2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6"/>
          <w:szCs w:val="16"/>
          <w:color w:val="auto"/>
        </w:rPr>
        <w:t>Our executive compensation program was largely designed and implemented in response to, and as a product of, past discussions with our shareholders. For example, in 2021, based on shareholder feedback, we introduced our three-year relative TSR PSUs to more directly align LTI payouts with</w:t>
      </w:r>
    </w:p>
    <w:p>
      <w:pPr>
        <w:jc w:val="both"/>
        <w:ind w:right="20"/>
        <w:spacing w:after="0" w:line="222" w:lineRule="auto"/>
        <w:rPr>
          <w:sz w:val="20"/>
          <w:szCs w:val="20"/>
          <w:color w:val="auto"/>
        </w:rPr>
      </w:pPr>
      <w:r>
        <w:rPr>
          <w:rFonts w:ascii="Arial" w:cs="Arial" w:eastAsia="Arial" w:hAnsi="Arial"/>
          <w:sz w:val="16"/>
          <w:szCs w:val="16"/>
          <w:color w:val="auto"/>
        </w:rPr>
        <w:t>shareholder value creation, and we set the target performance goal above median at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In 2022, our Compensation Committee adjusted the comparator group for our TSR PSUs to include the S&amp;P Global 1200 Energy Index, based on feedback that our shareholders also evaluate our TSR performance against the broader energy sector.</w:t>
      </w:r>
    </w:p>
    <w:p>
      <w:pPr>
        <w:spacing w:after="0" w:line="161"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6"/>
          <w:szCs w:val="16"/>
          <w:color w:val="auto"/>
        </w:rPr>
        <w:t xml:space="preserve">In 2022, our executive compensation program received the support of more than </w:t>
      </w:r>
      <w:r>
        <w:rPr>
          <w:rFonts w:ascii="Arial" w:cs="Arial" w:eastAsia="Arial" w:hAnsi="Arial"/>
          <w:sz w:val="17"/>
          <w:szCs w:val="17"/>
          <w:b w:val="1"/>
          <w:bCs w:val="1"/>
          <w:color w:val="0233A1"/>
        </w:rPr>
        <w:t>95%</w:t>
      </w:r>
      <w:r>
        <w:rPr>
          <w:rFonts w:ascii="Arial" w:cs="Arial" w:eastAsia="Arial" w:hAnsi="Arial"/>
          <w:sz w:val="16"/>
          <w:szCs w:val="16"/>
          <w:color w:val="auto"/>
        </w:rPr>
        <w:t xml:space="preserve"> of the votes cast at our annual meeting. As a result, and based on past shareholder feedback, our Compensation Committee believes that our overall compensation program design is well-supported by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187325</wp:posOffset>
            </wp:positionV>
            <wp:extent cx="471805" cy="28257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Pr>
          <w:p>
            <w:pPr>
              <w:spacing w:after="0"/>
              <w:rPr>
                <w:sz w:val="9"/>
                <w:szCs w:val="9"/>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35</w:t>
            </w:r>
          </w:p>
        </w:tc>
        <w:tc>
          <w:tcPr>
            <w:tcW w:w="44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Elements of 2022 Total Direct Compensation</w:t>
      </w: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color w:val="0233A1"/>
        </w:rPr>
        <w:t>Base Salary</w:t>
      </w:r>
    </w:p>
    <w:p>
      <w:pPr>
        <w:spacing w:after="0" w:line="2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Base salary is the fixed portion of an executive’s annual compensation, providing some stability of income since the other compensation elements are at risk. Our Compensation Committee annually reviews and approves the base salary levels for our executive officers (other than the CEO) after considering comparable salaries for executives with similar responsibilities in our main executive compensation peer groups, comparisons to internal peer positions, recent Company performance, individual performance, business experience and potential, and the CEO’s recommendations. The Committee annually reviews the base salary of our CEO in executive session and recommends his base salary amount to the independent members of the Board for approval, based on the criteria described above.</w:t>
      </w:r>
    </w:p>
    <w:p>
      <w:pPr>
        <w:spacing w:after="0" w:line="15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January 2022, our Compensation Committee reviewed the base salaries of each of our NEOs in line with the factors described above. Based on comparative market data and other factors, the Committee determined to maintain the base salaries of Mr. Al Mogharbel, Mr. Belani, Mr. Merad, and Ms. Ralston at their then-current levels for 2022, and approved an increase to Mr. Biguet’s 2022 base salary from $770,000 to $800,000. In evaluating Mr. Le Peuch’s 2022 compensation, the Committee considered SLB’s strong 2021 financial results, and that Mr. Le Peuch’s 2021 total direct compensation was below the median of our general industry peer group and below his peers’ compensation at our two largest energy services competitors. In light of these factors, as well as SLB’s leading position in the energy services industry, the Committee recommended, and the independent members of the Board approved, an increase to Mr. Le Peuch’s base salary for 2022 from $1,400,000 to $1,550,000.</w:t>
      </w:r>
    </w:p>
    <w:p>
      <w:pPr>
        <w:spacing w:after="0" w:line="15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April 2022, in connection with Mr. Merad’s promotion to the role of EVP, Core Services and Equipment, and in light of internal pay equity considerations, the Committee approved an increase to Mr. Merad’s base salary from $750,000 to $800,000, effective April 1, 2022.</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0233A1"/>
        </w:rPr>
        <w:t>Annual Cash Incentive Awards</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We pay performance-based annual cash incentives to our executives to foster a results-driven, pay-for-performance culture, and to align executives’ interests with those of our shareholders. Annual cash incentive awards are earned according to the achievement of financial and strategic personal objectives. Our Compensation Committee selects performance measures that it believes support our strategy and strike a balance between motivating our executives to increase near-term financial and operating results and driving profitable long-term Company growth and value for shareholders.</w:t>
      </w:r>
    </w:p>
    <w:p>
      <w:pPr>
        <w:spacing w:after="0" w:line="151"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6"/>
          <w:szCs w:val="16"/>
          <w:color w:val="auto"/>
        </w:rPr>
        <w:t>For 2022, 70% of our NEOs’ target cash incentive opportunity was based on achieving quantitative financial objectives, and 30% was based on pre-established strategic personal objectives. The financial portion of the target plan was evenly split between adjusted EBITDA and free cash flow performance goals. The total maximum cash incentive payout for 2022 was 200% of target—consistent with our 2021 cash incentive plan—and the weighted payout range for each metric as a percentage of target is reflected by the outer bars in the 2022 Cash Incentive Opportunity Mix chart.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Cash Incentive Opportunity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128905</wp:posOffset>
            </wp:positionV>
            <wp:extent cx="2005965" cy="200596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200596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Compensation Committee considered the factors in the table below, in selecting adjusted EBITDA and free cash flow as the quantitative financial performance measures for our 2022 cash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8859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183" w:lineRule="exact"/>
        <w:rPr>
          <w:sz w:val="20"/>
          <w:szCs w:val="20"/>
          <w:color w:val="auto"/>
        </w:rPr>
      </w:pPr>
    </w:p>
    <w:p>
      <w:pPr>
        <w:ind w:left="3220"/>
        <w:spacing w:after="0"/>
        <w:rPr>
          <w:sz w:val="20"/>
          <w:szCs w:val="20"/>
          <w:color w:val="auto"/>
        </w:rPr>
      </w:pPr>
      <w:r>
        <w:rPr>
          <w:rFonts w:ascii="Arial" w:cs="Arial" w:eastAsia="Arial" w:hAnsi="Arial"/>
          <w:sz w:val="16"/>
          <w:szCs w:val="16"/>
          <w:b w:val="1"/>
          <w:bCs w:val="1"/>
          <w:color w:val="FFFFFF"/>
        </w:rPr>
        <w:t>Adjusted EBITDA</w:t>
      </w:r>
    </w:p>
    <w:p>
      <w:pPr>
        <w:spacing w:after="0" w:line="113" w:lineRule="exact"/>
        <w:rPr>
          <w:sz w:val="20"/>
          <w:szCs w:val="20"/>
          <w:color w:val="auto"/>
        </w:rPr>
      </w:pPr>
    </w:p>
    <w:p>
      <w:pPr>
        <w:ind w:left="60"/>
        <w:spacing w:after="0"/>
        <w:tabs>
          <w:tab w:leader="none" w:pos="1900" w:val="left"/>
        </w:tabs>
        <w:rPr>
          <w:sz w:val="20"/>
          <w:szCs w:val="20"/>
          <w:color w:val="auto"/>
        </w:rPr>
      </w:pPr>
      <w:r>
        <w:rPr>
          <w:rFonts w:ascii="Arial" w:cs="Arial" w:eastAsia="Arial" w:hAnsi="Arial"/>
          <w:sz w:val="16"/>
          <w:szCs w:val="16"/>
          <w:b w:val="1"/>
          <w:bCs w:val="1"/>
          <w:color w:val="0233A1"/>
        </w:rPr>
        <w:t>Why this metric?</w:t>
      </w:r>
      <w:r>
        <w:rPr>
          <w:sz w:val="20"/>
          <w:szCs w:val="20"/>
          <w:color w:val="auto"/>
        </w:rPr>
        <w:tab/>
      </w:r>
      <w:r>
        <w:rPr>
          <w:rFonts w:ascii="Arial" w:cs="Arial" w:eastAsia="Arial" w:hAnsi="Arial"/>
          <w:sz w:val="16"/>
          <w:szCs w:val="16"/>
          <w:color w:val="0233A1"/>
        </w:rPr>
        <w:t xml:space="preserve">•  </w:t>
      </w:r>
      <w:r>
        <w:rPr>
          <w:rFonts w:ascii="Arial" w:cs="Arial" w:eastAsia="Arial" w:hAnsi="Arial"/>
          <w:sz w:val="16"/>
          <w:szCs w:val="16"/>
          <w:color w:val="000000"/>
        </w:rPr>
        <w:t>The Committee considers adjusted EBITDA to be a</w:t>
      </w:r>
    </w:p>
    <w:p>
      <w:pPr>
        <w:spacing w:after="0" w:line="21"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good indicator of the quality of our earnings.</w:t>
      </w:r>
    </w:p>
    <w:p>
      <w:pPr>
        <w:spacing w:after="0" w:line="84" w:lineRule="exact"/>
        <w:rPr>
          <w:sz w:val="20"/>
          <w:szCs w:val="20"/>
          <w:color w:val="auto"/>
        </w:rPr>
      </w:pPr>
    </w:p>
    <w:p>
      <w:pPr>
        <w:ind w:left="192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Investors and market analysts often value SLB by</w:t>
      </w:r>
    </w:p>
    <w:p>
      <w:pPr>
        <w:spacing w:after="0" w:line="21" w:lineRule="exact"/>
        <w:rPr>
          <w:sz w:val="20"/>
          <w:szCs w:val="20"/>
          <w:color w:val="auto"/>
        </w:rPr>
      </w:pPr>
    </w:p>
    <w:p>
      <w:pPr>
        <w:ind w:left="2100" w:right="60"/>
        <w:spacing w:after="0" w:line="256" w:lineRule="auto"/>
        <w:rPr>
          <w:sz w:val="20"/>
          <w:szCs w:val="20"/>
          <w:color w:val="auto"/>
        </w:rPr>
      </w:pPr>
      <w:r>
        <w:rPr>
          <w:rFonts w:ascii="Arial" w:cs="Arial" w:eastAsia="Arial" w:hAnsi="Arial"/>
          <w:sz w:val="16"/>
          <w:szCs w:val="16"/>
          <w:color w:val="auto"/>
        </w:rPr>
        <w:t>reference to a multiple of adjusted EBITDA, so this metric aligns our NEOs’ 2022 compensation to a key market valuation method.</w:t>
      </w:r>
    </w:p>
    <w:p>
      <w:pPr>
        <w:spacing w:after="0" w:line="57" w:lineRule="exact"/>
        <w:rPr>
          <w:sz w:val="20"/>
          <w:szCs w:val="20"/>
          <w:color w:val="auto"/>
        </w:rPr>
      </w:pPr>
    </w:p>
    <w:p>
      <w:pPr>
        <w:ind w:left="1920"/>
        <w:spacing w:after="0"/>
        <w:rPr>
          <w:sz w:val="20"/>
          <w:szCs w:val="20"/>
          <w:color w:val="auto"/>
        </w:rPr>
      </w:pPr>
      <w:r>
        <w:rPr>
          <w:rFonts w:ascii="Arial" w:cs="Arial" w:eastAsia="Arial" w:hAnsi="Arial"/>
          <w:sz w:val="16"/>
          <w:szCs w:val="16"/>
          <w:color w:val="0233A1"/>
        </w:rPr>
        <w:t xml:space="preserve">•  </w:t>
      </w:r>
      <w:r>
        <w:rPr>
          <w:rFonts w:ascii="Arial" w:cs="Arial" w:eastAsia="Arial" w:hAnsi="Arial"/>
          <w:sz w:val="16"/>
          <w:szCs w:val="16"/>
          <w:color w:val="000000"/>
        </w:rPr>
        <w:t>A portion of our line management’s 2022 cash</w:t>
      </w:r>
    </w:p>
    <w:p>
      <w:pPr>
        <w:spacing w:after="0" w:line="21" w:lineRule="exact"/>
        <w:rPr>
          <w:sz w:val="20"/>
          <w:szCs w:val="20"/>
          <w:color w:val="auto"/>
        </w:rPr>
      </w:pPr>
    </w:p>
    <w:p>
      <w:pPr>
        <w:ind w:left="2100" w:right="120"/>
        <w:spacing w:after="0" w:line="256" w:lineRule="auto"/>
        <w:rPr>
          <w:sz w:val="20"/>
          <w:szCs w:val="20"/>
          <w:color w:val="auto"/>
        </w:rPr>
      </w:pPr>
      <w:r>
        <w:rPr>
          <w:rFonts w:ascii="Arial" w:cs="Arial" w:eastAsia="Arial" w:hAnsi="Arial"/>
          <w:sz w:val="16"/>
          <w:szCs w:val="16"/>
          <w:color w:val="auto"/>
        </w:rPr>
        <w:t>incentive opportunity was based on EBITDA performance goals, so this metric aligns executive compensation with line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471170" cy="28257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1977"/>
        <w:spacing w:after="0"/>
        <w:rPr>
          <w:sz w:val="20"/>
          <w:szCs w:val="20"/>
          <w:color w:val="auto"/>
        </w:rPr>
      </w:pPr>
      <w:r>
        <w:rPr>
          <w:rFonts w:ascii="Arial" w:cs="Arial" w:eastAsia="Arial" w:hAnsi="Arial"/>
          <w:sz w:val="16"/>
          <w:szCs w:val="16"/>
          <w:b w:val="1"/>
          <w:bCs w:val="1"/>
          <w:color w:val="FFFFFF"/>
        </w:rPr>
        <w:t>Free Cash Flow</w:t>
      </w:r>
    </w:p>
    <w:p>
      <w:pPr>
        <w:spacing w:after="0" w:line="113" w:lineRule="exact"/>
        <w:rPr>
          <w:sz w:val="20"/>
          <w:szCs w:val="20"/>
          <w:color w:val="auto"/>
        </w:rPr>
      </w:pPr>
    </w:p>
    <w:p>
      <w:pPr>
        <w:ind w:left="177" w:right="40" w:hanging="177"/>
        <w:spacing w:after="0" w:line="259" w:lineRule="auto"/>
        <w:tabs>
          <w:tab w:leader="none" w:pos="189" w:val="left"/>
        </w:tabs>
        <w:numPr>
          <w:ilvl w:val="0"/>
          <w:numId w:val="42"/>
        </w:numPr>
        <w:rPr>
          <w:rFonts w:ascii="Arial" w:cs="Arial" w:eastAsia="Arial" w:hAnsi="Arial"/>
          <w:sz w:val="16"/>
          <w:szCs w:val="16"/>
          <w:color w:val="0233A1"/>
        </w:rPr>
      </w:pPr>
      <w:r>
        <w:rPr>
          <w:rFonts w:ascii="Arial" w:cs="Arial" w:eastAsia="Arial" w:hAnsi="Arial"/>
          <w:sz w:val="16"/>
          <w:szCs w:val="16"/>
          <w:color w:val="auto"/>
        </w:rPr>
        <w:t>Free cash flow goals encourage our NEOs to continue strengthening our balance sheet, so we can sustainably return value to shareholders while making focused investments in future growth areas, such as SLB New Energy and digital.</w:t>
      </w:r>
    </w:p>
    <w:p>
      <w:pPr>
        <w:spacing w:after="0" w:line="56" w:lineRule="exact"/>
        <w:rPr>
          <w:rFonts w:ascii="Arial" w:cs="Arial" w:eastAsia="Arial" w:hAnsi="Arial"/>
          <w:sz w:val="16"/>
          <w:szCs w:val="16"/>
          <w:color w:val="0233A1"/>
        </w:rPr>
      </w:pPr>
    </w:p>
    <w:p>
      <w:pPr>
        <w:ind w:left="177" w:right="160" w:hanging="177"/>
        <w:spacing w:after="0" w:line="259" w:lineRule="auto"/>
        <w:tabs>
          <w:tab w:leader="none" w:pos="189" w:val="left"/>
        </w:tabs>
        <w:numPr>
          <w:ilvl w:val="0"/>
          <w:numId w:val="42"/>
        </w:numPr>
        <w:rPr>
          <w:rFonts w:ascii="Arial" w:cs="Arial" w:eastAsia="Arial" w:hAnsi="Arial"/>
          <w:sz w:val="16"/>
          <w:szCs w:val="16"/>
          <w:color w:val="0233A1"/>
        </w:rPr>
      </w:pPr>
      <w:r>
        <w:rPr>
          <w:rFonts w:ascii="Arial" w:cs="Arial" w:eastAsia="Arial" w:hAnsi="Arial"/>
          <w:sz w:val="16"/>
          <w:szCs w:val="16"/>
          <w:color w:val="auto"/>
        </w:rPr>
        <w:t>Free cash flow has been critical to achieving our net debt reduction goals over the past several years. In line with our external commitments, by year-end 2022 we had reduced our net-debt-to-adjusted-EBITDA ratio to 1.4x.</w:t>
      </w:r>
    </w:p>
    <w:p>
      <w:pPr>
        <w:spacing w:after="0" w:line="56" w:lineRule="exact"/>
        <w:rPr>
          <w:rFonts w:ascii="Arial" w:cs="Arial" w:eastAsia="Arial" w:hAnsi="Arial"/>
          <w:sz w:val="16"/>
          <w:szCs w:val="16"/>
          <w:color w:val="0233A1"/>
        </w:rPr>
      </w:pPr>
    </w:p>
    <w:p>
      <w:pPr>
        <w:ind w:left="177" w:right="140" w:hanging="177"/>
        <w:spacing w:after="0" w:line="286" w:lineRule="auto"/>
        <w:tabs>
          <w:tab w:leader="none" w:pos="189" w:val="left"/>
        </w:tabs>
        <w:numPr>
          <w:ilvl w:val="0"/>
          <w:numId w:val="42"/>
        </w:numPr>
        <w:rPr>
          <w:rFonts w:ascii="Arial" w:cs="Arial" w:eastAsia="Arial" w:hAnsi="Arial"/>
          <w:sz w:val="16"/>
          <w:szCs w:val="16"/>
          <w:color w:val="0233A1"/>
        </w:rPr>
      </w:pPr>
      <w:r>
        <w:rPr>
          <w:rFonts w:ascii="Arial" w:cs="Arial" w:eastAsia="Arial" w:hAnsi="Arial"/>
          <w:sz w:val="16"/>
          <w:szCs w:val="16"/>
          <w:color w:val="auto"/>
        </w:rPr>
        <w:t>The Committee also considers free cash flow to be a good indicator of the efficiency of capital management.</w:t>
      </w:r>
    </w:p>
    <w:p>
      <w:pPr>
        <w:spacing w:after="0" w:line="200" w:lineRule="exact"/>
        <w:rPr>
          <w:sz w:val="20"/>
          <w:szCs w:val="20"/>
          <w:color w:val="auto"/>
        </w:rPr>
      </w:pPr>
    </w:p>
    <w:p>
      <w:pPr>
        <w:sectPr>
          <w:pgSz w:w="11900" w:h="16838" w:orient="portrait"/>
          <w:cols w:equalWidth="0" w:num="2">
            <w:col w:w="5800" w:space="283"/>
            <w:col w:w="5157"/>
          </w:cols>
          <w:pgMar w:left="320" w:top="238" w:right="339" w:bottom="1440" w:gutter="0" w:footer="0" w:header="0"/>
          <w:type w:val="continuous"/>
        </w:sectPr>
      </w:pPr>
    </w:p>
    <w:p>
      <w:pPr>
        <w:spacing w:after="0" w:line="64" w:lineRule="exact"/>
        <w:rPr>
          <w:sz w:val="20"/>
          <w:szCs w:val="20"/>
          <w:color w:val="auto"/>
        </w:rPr>
      </w:pPr>
    </w:p>
    <w:p>
      <w:pPr>
        <w:ind w:left="5540"/>
        <w:spacing w:after="0"/>
        <w:tabs>
          <w:tab w:leader="none" w:pos="9540" w:val="left"/>
        </w:tabs>
        <w:rPr>
          <w:sz w:val="20"/>
          <w:szCs w:val="20"/>
          <w:color w:val="auto"/>
        </w:rPr>
      </w:pPr>
      <w:r>
        <w:rPr>
          <w:rFonts w:ascii="Arial" w:cs="Arial" w:eastAsia="Arial" w:hAnsi="Arial"/>
          <w:sz w:val="16"/>
          <w:szCs w:val="16"/>
          <w:b w:val="1"/>
          <w:bCs w:val="1"/>
          <w:color w:val="auto"/>
        </w:rPr>
        <w:t>36</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-46990</wp:posOffset>
            </wp:positionV>
            <wp:extent cx="5417820" cy="1714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setting Company financial targets and performance goals, as well as our NEOs’ strategic personal objectives, the Committee believes it is important to establish criteria that are realistically attainable, yet still challenging in an uncertain global economy. In addition, in approving free cash flow performance goals for the 2022 cash incentive plan, the Committee considered that these goals differ in important ways from the FCF margin goals contained in the LTI portion of our NEOs’ compensation program. Whereas the annual cash incentive portion focuses solely on the absolute amount of free cash flow we generate over a one-year period, our FCF margin PSU payout is calculated as free cash flow divided by our revenue over a three-year period. Because FCF margin measures how efficiently we convert revenue into cash, it is a good indicator of the business’s ability to generate high-quality revenue over the long term and, therefore, is complementary to the free cash flow metric in our annual cash incentive program.</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Adjusted EBITDA Targets and Results</w:t>
      </w:r>
    </w:p>
    <w:p>
      <w:pPr>
        <w:spacing w:after="0" w:line="19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The process used to set annual adjusted EBITDA targets starts with a review of plans and projections following bottom-up planning from the field. Adjusted EBITDA targets may increase or decrease year-over-year, taking into account, among other things, our cash requirements, industry cycles, anticipated customer spending, activity growth potential, pricing, the introduction of new technology, strategic M&amp;A activity, and commodity prices.</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Based on the foregoing, in January 2022 the Committee set the minimum performance goal 12% higher than SLB’s actual 2021 adjusted EBITDA results. The Committee set the target performance goal based on our then-current internal forecast, which was 11% higher than the minimum goal and 24% higher than our actual 2021 results, and set the maximum performance goal 15% higher than target and 42% higher than our actual 2021 results. The Committee believed an aggressive maximum performance goal would motivate our executives to significantly outperform market expectations and our internal forecast.</w:t>
      </w:r>
    </w:p>
    <w:p>
      <w:pPr>
        <w:spacing w:after="0" w:line="3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reflects our NEOs’ full-year adjusted EBITDA targets and corresponding potential payouts for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80" w:type="dxa"/>
            <w:vAlign w:val="bottom"/>
            <w:shd w:val="clear" w:color="auto" w:fill="0233A1"/>
          </w:tcPr>
          <w:p>
            <w:pPr>
              <w:spacing w:after="0"/>
              <w:rPr>
                <w:sz w:val="19"/>
                <w:szCs w:val="19"/>
                <w:color w:val="auto"/>
              </w:rPr>
            </w:pPr>
          </w:p>
        </w:tc>
        <w:tc>
          <w:tcPr>
            <w:tcW w:w="2640" w:type="dxa"/>
            <w:vAlign w:val="bottom"/>
            <w:shd w:val="clear" w:color="auto" w:fill="0233A1"/>
          </w:tcPr>
          <w:p>
            <w:pPr>
              <w:spacing w:after="0"/>
              <w:rPr>
                <w:sz w:val="19"/>
                <w:szCs w:val="19"/>
                <w:color w:val="auto"/>
              </w:rPr>
            </w:pPr>
          </w:p>
        </w:tc>
        <w:tc>
          <w:tcPr>
            <w:tcW w:w="4920" w:type="dxa"/>
            <w:vAlign w:val="bottom"/>
            <w:shd w:val="clear" w:color="auto" w:fill="0233A1"/>
          </w:tcPr>
          <w:p>
            <w:pPr>
              <w:ind w:left="1780"/>
              <w:spacing w:after="0"/>
              <w:rPr>
                <w:sz w:val="20"/>
                <w:szCs w:val="20"/>
                <w:color w:val="auto"/>
              </w:rPr>
            </w:pPr>
            <w:r>
              <w:rPr>
                <w:rFonts w:ascii="Arial" w:cs="Arial" w:eastAsia="Arial" w:hAnsi="Arial"/>
                <w:sz w:val="16"/>
                <w:szCs w:val="16"/>
                <w:b w:val="1"/>
                <w:bCs w:val="1"/>
                <w:color w:val="FFFFFF"/>
              </w:rPr>
              <w:t>Potential Payout as a %</w:t>
            </w:r>
          </w:p>
        </w:tc>
      </w:tr>
      <w:tr>
        <w:trPr>
          <w:trHeight w:val="298"/>
        </w:trPr>
        <w:tc>
          <w:tcPr>
            <w:tcW w:w="6320" w:type="dxa"/>
            <w:vAlign w:val="bottom"/>
            <w:gridSpan w:val="2"/>
            <w:shd w:val="clear" w:color="auto" w:fill="0233A1"/>
          </w:tcPr>
          <w:p>
            <w:pPr>
              <w:ind w:left="2500"/>
              <w:spacing w:after="0"/>
              <w:rPr>
                <w:sz w:val="20"/>
                <w:szCs w:val="20"/>
                <w:color w:val="auto"/>
              </w:rPr>
            </w:pPr>
            <w:r>
              <w:rPr>
                <w:rFonts w:ascii="Arial" w:cs="Arial" w:eastAsia="Arial" w:hAnsi="Arial"/>
                <w:sz w:val="16"/>
                <w:szCs w:val="16"/>
                <w:b w:val="1"/>
                <w:bCs w:val="1"/>
                <w:color w:val="FFFFFF"/>
              </w:rPr>
              <w:t>Performance Targets</w:t>
            </w:r>
            <w:r>
              <w:rPr>
                <w:rFonts w:ascii="Arial" w:cs="Arial" w:eastAsia="Arial" w:hAnsi="Arial"/>
                <w:sz w:val="26"/>
                <w:szCs w:val="26"/>
                <w:b w:val="1"/>
                <w:bCs w:val="1"/>
                <w:color w:val="FFFFFF"/>
                <w:vertAlign w:val="superscript"/>
              </w:rPr>
              <w:t>(1)</w:t>
            </w:r>
          </w:p>
        </w:tc>
        <w:tc>
          <w:tcPr>
            <w:tcW w:w="4920" w:type="dxa"/>
            <w:vAlign w:val="bottom"/>
            <w:shd w:val="clear" w:color="auto" w:fill="0233A1"/>
          </w:tcPr>
          <w:p>
            <w:pPr>
              <w:ind w:left="1780"/>
              <w:spacing w:after="0"/>
              <w:rPr>
                <w:sz w:val="20"/>
                <w:szCs w:val="20"/>
                <w:color w:val="auto"/>
              </w:rPr>
            </w:pPr>
            <w:r>
              <w:rPr>
                <w:rFonts w:ascii="Arial" w:cs="Arial" w:eastAsia="Arial" w:hAnsi="Arial"/>
                <w:sz w:val="16"/>
                <w:szCs w:val="16"/>
                <w:b w:val="1"/>
                <w:bCs w:val="1"/>
                <w:color w:val="FFFFFF"/>
              </w:rPr>
              <w:t>of Target Opportunity</w:t>
            </w:r>
            <w:r>
              <w:rPr>
                <w:rFonts w:ascii="Arial" w:cs="Arial" w:eastAsia="Arial" w:hAnsi="Arial"/>
                <w:sz w:val="26"/>
                <w:szCs w:val="26"/>
                <w:b w:val="1"/>
                <w:bCs w:val="1"/>
                <w:color w:val="FFFFFF"/>
                <w:vertAlign w:val="superscript"/>
              </w:rPr>
              <w:t>(1)</w:t>
            </w:r>
          </w:p>
        </w:tc>
      </w:tr>
      <w:tr>
        <w:trPr>
          <w:trHeight w:val="236"/>
        </w:trPr>
        <w:tc>
          <w:tcPr>
            <w:tcW w:w="3680" w:type="dxa"/>
            <w:vAlign w:val="bottom"/>
          </w:tcPr>
          <w:p>
            <w:pPr>
              <w:jc w:val="right"/>
              <w:ind w:right="39"/>
              <w:spacing w:after="0"/>
              <w:rPr>
                <w:sz w:val="20"/>
                <w:szCs w:val="20"/>
                <w:color w:val="auto"/>
              </w:rPr>
            </w:pPr>
            <w:r>
              <w:rPr>
                <w:rFonts w:ascii="Arial" w:cs="Arial" w:eastAsia="Arial" w:hAnsi="Arial"/>
                <w:sz w:val="16"/>
                <w:szCs w:val="16"/>
                <w:color w:val="auto"/>
              </w:rPr>
              <w:t>Less than $5.50 billion</w:t>
            </w:r>
          </w:p>
        </w:tc>
        <w:tc>
          <w:tcPr>
            <w:tcW w:w="2640" w:type="dxa"/>
            <w:vAlign w:val="bottom"/>
          </w:tcPr>
          <w:p>
            <w:pPr>
              <w:spacing w:after="0"/>
              <w:rPr>
                <w:sz w:val="20"/>
                <w:szCs w:val="20"/>
                <w:color w:val="auto"/>
              </w:rPr>
            </w:pPr>
          </w:p>
        </w:tc>
        <w:tc>
          <w:tcPr>
            <w:tcW w:w="4920" w:type="dxa"/>
            <w:vAlign w:val="bottom"/>
          </w:tcPr>
          <w:p>
            <w:pPr>
              <w:jc w:val="center"/>
              <w:ind w:left="379"/>
              <w:spacing w:after="0"/>
              <w:rPr>
                <w:sz w:val="20"/>
                <w:szCs w:val="20"/>
                <w:color w:val="auto"/>
              </w:rPr>
            </w:pPr>
            <w:r>
              <w:rPr>
                <w:rFonts w:ascii="Arial" w:cs="Arial" w:eastAsia="Arial" w:hAnsi="Arial"/>
                <w:sz w:val="16"/>
                <w:szCs w:val="16"/>
                <w:b w:val="1"/>
                <w:bCs w:val="1"/>
                <w:color w:val="auto"/>
                <w:w w:val="94"/>
              </w:rPr>
              <w:t>0%</w:t>
            </w:r>
          </w:p>
        </w:tc>
      </w:tr>
      <w:tr>
        <w:trPr>
          <w:trHeight w:val="243"/>
        </w:trPr>
        <w:tc>
          <w:tcPr>
            <w:tcW w:w="3680" w:type="dxa"/>
            <w:vAlign w:val="bottom"/>
          </w:tcPr>
          <w:p>
            <w:pPr>
              <w:jc w:val="right"/>
              <w:ind w:right="39"/>
              <w:spacing w:after="0"/>
              <w:rPr>
                <w:sz w:val="20"/>
                <w:szCs w:val="20"/>
                <w:color w:val="auto"/>
              </w:rPr>
            </w:pPr>
            <w:r>
              <w:rPr>
                <w:rFonts w:ascii="Arial" w:cs="Arial" w:eastAsia="Arial" w:hAnsi="Arial"/>
                <w:sz w:val="16"/>
                <w:szCs w:val="16"/>
                <w:color w:val="auto"/>
              </w:rPr>
              <w:t>$5.50 billion</w:t>
            </w:r>
          </w:p>
        </w:tc>
        <w:tc>
          <w:tcPr>
            <w:tcW w:w="2640" w:type="dxa"/>
            <w:vAlign w:val="bottom"/>
          </w:tcPr>
          <w:p>
            <w:pPr>
              <w:ind w:left="100"/>
              <w:spacing w:after="0"/>
              <w:rPr>
                <w:sz w:val="20"/>
                <w:szCs w:val="20"/>
                <w:color w:val="auto"/>
              </w:rPr>
            </w:pPr>
            <w:r>
              <w:rPr>
                <w:rFonts w:ascii="Arial" w:cs="Arial" w:eastAsia="Arial" w:hAnsi="Arial"/>
                <w:sz w:val="16"/>
                <w:szCs w:val="16"/>
                <w:b w:val="1"/>
                <w:bCs w:val="1"/>
                <w:color w:val="auto"/>
              </w:rPr>
              <w:t>Minimum</w:t>
            </w:r>
          </w:p>
        </w:tc>
        <w:tc>
          <w:tcPr>
            <w:tcW w:w="4920" w:type="dxa"/>
            <w:vAlign w:val="bottom"/>
          </w:tcPr>
          <w:p>
            <w:pPr>
              <w:jc w:val="center"/>
              <w:ind w:left="399"/>
              <w:spacing w:after="0"/>
              <w:rPr>
                <w:sz w:val="20"/>
                <w:szCs w:val="20"/>
                <w:color w:val="auto"/>
              </w:rPr>
            </w:pPr>
            <w:r>
              <w:rPr>
                <w:rFonts w:ascii="Arial" w:cs="Arial" w:eastAsia="Arial" w:hAnsi="Arial"/>
                <w:sz w:val="16"/>
                <w:szCs w:val="16"/>
                <w:b w:val="1"/>
                <w:bCs w:val="1"/>
                <w:color w:val="auto"/>
                <w:w w:val="99"/>
              </w:rPr>
              <w:t>50%</w:t>
            </w:r>
          </w:p>
        </w:tc>
      </w:tr>
      <w:tr>
        <w:trPr>
          <w:trHeight w:val="243"/>
        </w:trPr>
        <w:tc>
          <w:tcPr>
            <w:tcW w:w="3680" w:type="dxa"/>
            <w:vAlign w:val="bottom"/>
          </w:tcPr>
          <w:p>
            <w:pPr>
              <w:jc w:val="right"/>
              <w:ind w:right="39"/>
              <w:spacing w:after="0"/>
              <w:rPr>
                <w:sz w:val="20"/>
                <w:szCs w:val="20"/>
                <w:color w:val="auto"/>
              </w:rPr>
            </w:pPr>
            <w:r>
              <w:rPr>
                <w:rFonts w:ascii="Arial" w:cs="Arial" w:eastAsia="Arial" w:hAnsi="Arial"/>
                <w:sz w:val="16"/>
                <w:szCs w:val="16"/>
                <w:color w:val="auto"/>
              </w:rPr>
              <w:t>$6.10 billion</w:t>
            </w:r>
          </w:p>
        </w:tc>
        <w:tc>
          <w:tcPr>
            <w:tcW w:w="2640" w:type="dxa"/>
            <w:vAlign w:val="bottom"/>
          </w:tcPr>
          <w:p>
            <w:pPr>
              <w:ind w:left="100"/>
              <w:spacing w:after="0"/>
              <w:rPr>
                <w:sz w:val="20"/>
                <w:szCs w:val="20"/>
                <w:color w:val="auto"/>
              </w:rPr>
            </w:pPr>
            <w:r>
              <w:rPr>
                <w:rFonts w:ascii="Arial" w:cs="Arial" w:eastAsia="Arial" w:hAnsi="Arial"/>
                <w:sz w:val="16"/>
                <w:szCs w:val="16"/>
                <w:b w:val="1"/>
                <w:bCs w:val="1"/>
                <w:color w:val="auto"/>
              </w:rPr>
              <w:t>Target</w:t>
            </w:r>
          </w:p>
        </w:tc>
        <w:tc>
          <w:tcPr>
            <w:tcW w:w="4920" w:type="dxa"/>
            <w:vAlign w:val="bottom"/>
          </w:tcPr>
          <w:p>
            <w:pPr>
              <w:jc w:val="center"/>
              <w:ind w:left="379"/>
              <w:spacing w:after="0"/>
              <w:rPr>
                <w:sz w:val="20"/>
                <w:szCs w:val="20"/>
                <w:color w:val="auto"/>
              </w:rPr>
            </w:pPr>
            <w:r>
              <w:rPr>
                <w:rFonts w:ascii="Arial" w:cs="Arial" w:eastAsia="Arial" w:hAnsi="Arial"/>
                <w:sz w:val="16"/>
                <w:szCs w:val="16"/>
                <w:b w:val="1"/>
                <w:bCs w:val="1"/>
                <w:color w:val="auto"/>
              </w:rPr>
              <w:t>100%</w:t>
            </w:r>
          </w:p>
        </w:tc>
      </w:tr>
      <w:tr>
        <w:trPr>
          <w:trHeight w:val="244"/>
        </w:trPr>
        <w:tc>
          <w:tcPr>
            <w:tcW w:w="368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color w:val="auto"/>
              </w:rPr>
              <w:t>$7.00 billion</w:t>
            </w:r>
          </w:p>
        </w:tc>
        <w:tc>
          <w:tcPr>
            <w:tcW w:w="2640" w:type="dxa"/>
            <w:vAlign w:val="bottom"/>
            <w:tcBorders>
              <w:bottom w:val="single" w:sz="8" w:color="0233A1"/>
            </w:tcBorders>
          </w:tcPr>
          <w:p>
            <w:pPr>
              <w:ind w:left="100"/>
              <w:spacing w:after="0"/>
              <w:rPr>
                <w:sz w:val="20"/>
                <w:szCs w:val="20"/>
                <w:color w:val="auto"/>
              </w:rPr>
            </w:pPr>
            <w:r>
              <w:rPr>
                <w:rFonts w:ascii="Arial" w:cs="Arial" w:eastAsia="Arial" w:hAnsi="Arial"/>
                <w:sz w:val="16"/>
                <w:szCs w:val="16"/>
                <w:b w:val="1"/>
                <w:bCs w:val="1"/>
                <w:color w:val="auto"/>
              </w:rPr>
              <w:t>Maximum</w:t>
            </w:r>
          </w:p>
        </w:tc>
        <w:tc>
          <w:tcPr>
            <w:tcW w:w="4920" w:type="dxa"/>
            <w:vAlign w:val="bottom"/>
            <w:tcBorders>
              <w:bottom w:val="single" w:sz="8" w:color="0233A1"/>
            </w:tcBorders>
          </w:tcPr>
          <w:p>
            <w:pPr>
              <w:jc w:val="center"/>
              <w:ind w:left="379"/>
              <w:spacing w:after="0"/>
              <w:rPr>
                <w:sz w:val="20"/>
                <w:szCs w:val="20"/>
                <w:color w:val="auto"/>
              </w:rPr>
            </w:pPr>
            <w:r>
              <w:rPr>
                <w:rFonts w:ascii="Arial" w:cs="Arial" w:eastAsia="Arial" w:hAnsi="Arial"/>
                <w:sz w:val="16"/>
                <w:szCs w:val="16"/>
                <w:b w:val="1"/>
                <w:bCs w:val="1"/>
                <w:color w:val="auto"/>
              </w:rPr>
              <w:t>243%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-479425</wp:posOffset>
            </wp:positionV>
            <wp:extent cx="8890" cy="825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-479425</wp:posOffset>
            </wp:positionV>
            <wp:extent cx="8890"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-479425</wp:posOffset>
            </wp:positionV>
            <wp:extent cx="8255"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-479425</wp:posOffset>
            </wp:positionV>
            <wp:extent cx="8255" cy="825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-479425</wp:posOffset>
            </wp:positionV>
            <wp:extent cx="8890" cy="825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-479425</wp:posOffset>
            </wp:positionV>
            <wp:extent cx="8255" cy="825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-479425</wp:posOffset>
            </wp:positionV>
            <wp:extent cx="8255" cy="825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-479425</wp:posOffset>
            </wp:positionV>
            <wp:extent cx="8255" cy="825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-479425</wp:posOffset>
            </wp:positionV>
            <wp:extent cx="8890"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-479425</wp:posOffset>
            </wp:positionV>
            <wp:extent cx="8255" cy="825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-479425</wp:posOffset>
            </wp:positionV>
            <wp:extent cx="8255"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-479425</wp:posOffset>
            </wp:positionV>
            <wp:extent cx="8890" cy="825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-479425</wp:posOffset>
            </wp:positionV>
            <wp:extent cx="8255" cy="825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-479425</wp:posOffset>
            </wp:positionV>
            <wp:extent cx="8255"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-479425</wp:posOffset>
            </wp:positionV>
            <wp:extent cx="8255"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-479425</wp:posOffset>
            </wp:positionV>
            <wp:extent cx="8255"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-479425</wp:posOffset>
            </wp:positionV>
            <wp:extent cx="8255" cy="825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-479425</wp:posOffset>
            </wp:positionV>
            <wp:extent cx="8890"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-479425</wp:posOffset>
            </wp:positionV>
            <wp:extent cx="8255"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-479425</wp:posOffset>
            </wp:positionV>
            <wp:extent cx="8255" cy="825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-479425</wp:posOffset>
            </wp:positionV>
            <wp:extent cx="8890" cy="825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-479425</wp:posOffset>
            </wp:positionV>
            <wp:extent cx="8255" cy="825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-479425</wp:posOffset>
            </wp:positionV>
            <wp:extent cx="8255" cy="825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-479425</wp:posOffset>
            </wp:positionV>
            <wp:extent cx="8255"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-479425</wp:posOffset>
            </wp:positionV>
            <wp:extent cx="8255" cy="825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-479425</wp:posOffset>
            </wp:positionV>
            <wp:extent cx="8255" cy="825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-479425</wp:posOffset>
            </wp:positionV>
            <wp:extent cx="8255" cy="825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-479425</wp:posOffset>
            </wp:positionV>
            <wp:extent cx="8255"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-479425</wp:posOffset>
            </wp:positionV>
            <wp:extent cx="8255" cy="825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-479425</wp:posOffset>
            </wp:positionV>
            <wp:extent cx="8255" cy="825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-479425</wp:posOffset>
            </wp:positionV>
            <wp:extent cx="8255"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-479425</wp:posOffset>
            </wp:positionV>
            <wp:extent cx="8890" cy="825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-479425</wp:posOffset>
            </wp:positionV>
            <wp:extent cx="8255" cy="825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-479425</wp:posOffset>
            </wp:positionV>
            <wp:extent cx="8255" cy="825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-479425</wp:posOffset>
            </wp:positionV>
            <wp:extent cx="8890" cy="825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-479425</wp:posOffset>
            </wp:positionV>
            <wp:extent cx="8890" cy="825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-479425</wp:posOffset>
            </wp:positionV>
            <wp:extent cx="8890" cy="825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-479425</wp:posOffset>
            </wp:positionV>
            <wp:extent cx="8890" cy="825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-479425</wp:posOffset>
            </wp:positionV>
            <wp:extent cx="8890" cy="825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-479425</wp:posOffset>
            </wp:positionV>
            <wp:extent cx="8255" cy="825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-479425</wp:posOffset>
            </wp:positionV>
            <wp:extent cx="8255" cy="825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-479425</wp:posOffset>
            </wp:positionV>
            <wp:extent cx="8890"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-479425</wp:posOffset>
            </wp:positionV>
            <wp:extent cx="8890" cy="825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-479425</wp:posOffset>
            </wp:positionV>
            <wp:extent cx="8890" cy="825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-479425</wp:posOffset>
            </wp:positionV>
            <wp:extent cx="8255" cy="825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-479425</wp:posOffset>
            </wp:positionV>
            <wp:extent cx="8255" cy="825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-479425</wp:posOffset>
            </wp:positionV>
            <wp:extent cx="8255" cy="825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-479425</wp:posOffset>
            </wp:positionV>
            <wp:extent cx="8890" cy="825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-479425</wp:posOffset>
            </wp:positionV>
            <wp:extent cx="8890" cy="825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-479425</wp:posOffset>
            </wp:positionV>
            <wp:extent cx="8890" cy="825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-479425</wp:posOffset>
            </wp:positionV>
            <wp:extent cx="8255" cy="825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-479425</wp:posOffset>
            </wp:positionV>
            <wp:extent cx="8255" cy="825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-479425</wp:posOffset>
            </wp:positionV>
            <wp:extent cx="8890" cy="825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-479425</wp:posOffset>
            </wp:positionV>
            <wp:extent cx="8890" cy="825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-479425</wp:posOffset>
            </wp:positionV>
            <wp:extent cx="8890" cy="825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-479425</wp:posOffset>
            </wp:positionV>
            <wp:extent cx="8255" cy="825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-479425</wp:posOffset>
            </wp:positionV>
            <wp:extent cx="8255"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-479425</wp:posOffset>
            </wp:positionV>
            <wp:extent cx="8255" cy="825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-479425</wp:posOffset>
            </wp:positionV>
            <wp:extent cx="8890" cy="825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-479425</wp:posOffset>
            </wp:positionV>
            <wp:extent cx="8890" cy="825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-479425</wp:posOffset>
            </wp:positionV>
            <wp:extent cx="8890" cy="825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-479425</wp:posOffset>
            </wp:positionV>
            <wp:extent cx="8255" cy="825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-479425</wp:posOffset>
            </wp:positionV>
            <wp:extent cx="8255"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-479425</wp:posOffset>
            </wp:positionV>
            <wp:extent cx="8890" cy="825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-479425</wp:posOffset>
            </wp:positionV>
            <wp:extent cx="8890" cy="825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-479425</wp:posOffset>
            </wp:positionV>
            <wp:extent cx="8890" cy="825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-479425</wp:posOffset>
            </wp:positionV>
            <wp:extent cx="8255" cy="825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-479425</wp:posOffset>
            </wp:positionV>
            <wp:extent cx="8255" cy="825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-479425</wp:posOffset>
            </wp:positionV>
            <wp:extent cx="8255" cy="825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-479425</wp:posOffset>
            </wp:positionV>
            <wp:extent cx="8890" cy="825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-479425</wp:posOffset>
            </wp:positionV>
            <wp:extent cx="8890" cy="825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-479425</wp:posOffset>
            </wp:positionV>
            <wp:extent cx="8890" cy="825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-479425</wp:posOffset>
            </wp:positionV>
            <wp:extent cx="8255" cy="825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-479425</wp:posOffset>
            </wp:positionV>
            <wp:extent cx="8255" cy="825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-479425</wp:posOffset>
            </wp:positionV>
            <wp:extent cx="8890" cy="825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-479425</wp:posOffset>
            </wp:positionV>
            <wp:extent cx="8890" cy="825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-479425</wp:posOffset>
            </wp:positionV>
            <wp:extent cx="8890" cy="825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-479425</wp:posOffset>
            </wp:positionV>
            <wp:extent cx="8890" cy="825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-479425</wp:posOffset>
            </wp:positionV>
            <wp:extent cx="8255" cy="825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-479425</wp:posOffset>
            </wp:positionV>
            <wp:extent cx="8255" cy="825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-479425</wp:posOffset>
            </wp:positionV>
            <wp:extent cx="8890" cy="825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-479425</wp:posOffset>
            </wp:positionV>
            <wp:extent cx="8890" cy="825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-479425</wp:posOffset>
            </wp:positionV>
            <wp:extent cx="8890" cy="825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-479425</wp:posOffset>
            </wp:positionV>
            <wp:extent cx="8890" cy="825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-479425</wp:posOffset>
            </wp:positionV>
            <wp:extent cx="8890" cy="825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-479425</wp:posOffset>
            </wp:positionV>
            <wp:extent cx="8890" cy="825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-479425</wp:posOffset>
            </wp:positionV>
            <wp:extent cx="8890" cy="825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-479425</wp:posOffset>
            </wp:positionV>
            <wp:extent cx="8255" cy="825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-479425</wp:posOffset>
            </wp:positionV>
            <wp:extent cx="8890" cy="825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-479425</wp:posOffset>
            </wp:positionV>
            <wp:extent cx="8890" cy="825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-479425</wp:posOffset>
            </wp:positionV>
            <wp:extent cx="8890" cy="825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-479425</wp:posOffset>
            </wp:positionV>
            <wp:extent cx="8890" cy="825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-479425</wp:posOffset>
            </wp:positionV>
            <wp:extent cx="8255"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-479425</wp:posOffset>
            </wp:positionV>
            <wp:extent cx="8890" cy="825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-479425</wp:posOffset>
            </wp:positionV>
            <wp:extent cx="8890" cy="825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-479425</wp:posOffset>
            </wp:positionV>
            <wp:extent cx="8890" cy="825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-479425</wp:posOffset>
            </wp:positionV>
            <wp:extent cx="8890" cy="825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-479425</wp:posOffset>
            </wp:positionV>
            <wp:extent cx="8255" cy="825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-479425</wp:posOffset>
            </wp:positionV>
            <wp:extent cx="8890" cy="825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-479425</wp:posOffset>
            </wp:positionV>
            <wp:extent cx="8890" cy="825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-479425</wp:posOffset>
            </wp:positionV>
            <wp:extent cx="8890" cy="825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-479425</wp:posOffset>
            </wp:positionV>
            <wp:extent cx="8890" cy="825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-479425</wp:posOffset>
            </wp:positionV>
            <wp:extent cx="8890" cy="825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-479425</wp:posOffset>
            </wp:positionV>
            <wp:extent cx="8890" cy="825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-479425</wp:posOffset>
            </wp:positionV>
            <wp:extent cx="8255" cy="825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-479425</wp:posOffset>
            </wp:positionV>
            <wp:extent cx="8890" cy="825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-479425</wp:posOffset>
            </wp:positionV>
            <wp:extent cx="8890" cy="825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-479425</wp:posOffset>
            </wp:positionV>
            <wp:extent cx="8890" cy="825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-479425</wp:posOffset>
            </wp:positionV>
            <wp:extent cx="8890" cy="825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-479425</wp:posOffset>
            </wp:positionV>
            <wp:extent cx="8255" cy="825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-479425</wp:posOffset>
            </wp:positionV>
            <wp:extent cx="8890" cy="825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-479425</wp:posOffset>
            </wp:positionV>
            <wp:extent cx="8890" cy="825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-479425</wp:posOffset>
            </wp:positionV>
            <wp:extent cx="8890" cy="8255"/>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-479425</wp:posOffset>
            </wp:positionV>
            <wp:extent cx="8890" cy="825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-479425</wp:posOffset>
            </wp:positionV>
            <wp:extent cx="8255" cy="825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-479425</wp:posOffset>
            </wp:positionV>
            <wp:extent cx="8890" cy="825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-479425</wp:posOffset>
            </wp:positionV>
            <wp:extent cx="8890" cy="825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-479425</wp:posOffset>
            </wp:positionV>
            <wp:extent cx="8890" cy="825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-479425</wp:posOffset>
            </wp:positionV>
            <wp:extent cx="8890" cy="825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-479425</wp:posOffset>
            </wp:positionV>
            <wp:extent cx="8255" cy="825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-479425</wp:posOffset>
            </wp:positionV>
            <wp:extent cx="8890" cy="825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-479425</wp:posOffset>
            </wp:positionV>
            <wp:extent cx="8255" cy="825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-479425</wp:posOffset>
            </wp:positionV>
            <wp:extent cx="8890" cy="8255"/>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-479425</wp:posOffset>
            </wp:positionV>
            <wp:extent cx="8890" cy="825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-479425</wp:posOffset>
            </wp:positionV>
            <wp:extent cx="8890" cy="825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-479425</wp:posOffset>
            </wp:positionV>
            <wp:extent cx="8890" cy="825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-479425</wp:posOffset>
            </wp:positionV>
            <wp:extent cx="8255" cy="825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-479425</wp:posOffset>
            </wp:positionV>
            <wp:extent cx="8890" cy="825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-479425</wp:posOffset>
            </wp:positionV>
            <wp:extent cx="8890" cy="825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-479425</wp:posOffset>
            </wp:positionV>
            <wp:extent cx="8890" cy="825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-479425</wp:posOffset>
            </wp:positionV>
            <wp:extent cx="8890" cy="825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-479425</wp:posOffset>
            </wp:positionV>
            <wp:extent cx="8890" cy="825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-479425</wp:posOffset>
            </wp:positionV>
            <wp:extent cx="8890" cy="825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-479425</wp:posOffset>
            </wp:positionV>
            <wp:extent cx="8255" cy="825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-479425</wp:posOffset>
            </wp:positionV>
            <wp:extent cx="8890" cy="825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-479425</wp:posOffset>
            </wp:positionV>
            <wp:extent cx="8890" cy="825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-479425</wp:posOffset>
            </wp:positionV>
            <wp:extent cx="8890" cy="8255"/>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-479425</wp:posOffset>
            </wp:positionV>
            <wp:extent cx="8890" cy="825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-479425</wp:posOffset>
            </wp:positionV>
            <wp:extent cx="8255" cy="825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-479425</wp:posOffset>
            </wp:positionV>
            <wp:extent cx="4732020" cy="8255"/>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8890" cy="825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-325120</wp:posOffset>
            </wp:positionV>
            <wp:extent cx="8890" cy="8255"/>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-325120</wp:posOffset>
            </wp:positionV>
            <wp:extent cx="8255" cy="825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-325120</wp:posOffset>
            </wp:positionV>
            <wp:extent cx="8255" cy="825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-325120</wp:posOffset>
            </wp:positionV>
            <wp:extent cx="8890" cy="825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-325120</wp:posOffset>
            </wp:positionV>
            <wp:extent cx="8255" cy="825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-325120</wp:posOffset>
            </wp:positionV>
            <wp:extent cx="8255" cy="8255"/>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-325120</wp:posOffset>
            </wp:positionV>
            <wp:extent cx="8255" cy="825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-325120</wp:posOffset>
            </wp:positionV>
            <wp:extent cx="8890" cy="825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-325120</wp:posOffset>
            </wp:positionV>
            <wp:extent cx="8255" cy="825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-325120</wp:posOffset>
            </wp:positionV>
            <wp:extent cx="8255" cy="825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-325120</wp:posOffset>
            </wp:positionV>
            <wp:extent cx="8890" cy="825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-325120</wp:posOffset>
            </wp:positionV>
            <wp:extent cx="8255" cy="825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-325120</wp:posOffset>
            </wp:positionV>
            <wp:extent cx="8255" cy="825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-325120</wp:posOffset>
            </wp:positionV>
            <wp:extent cx="8255" cy="825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-325120</wp:posOffset>
            </wp:positionV>
            <wp:extent cx="8255" cy="825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-325120</wp:posOffset>
            </wp:positionV>
            <wp:extent cx="8255" cy="825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-325120</wp:posOffset>
            </wp:positionV>
            <wp:extent cx="8890" cy="825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-325120</wp:posOffset>
            </wp:positionV>
            <wp:extent cx="8255" cy="825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-325120</wp:posOffset>
            </wp:positionV>
            <wp:extent cx="8255" cy="825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-325120</wp:posOffset>
            </wp:positionV>
            <wp:extent cx="8890" cy="825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-325120</wp:posOffset>
            </wp:positionV>
            <wp:extent cx="8255" cy="8255"/>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-325120</wp:posOffset>
            </wp:positionV>
            <wp:extent cx="8255" cy="8255"/>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-325120</wp:posOffset>
            </wp:positionV>
            <wp:extent cx="8255" cy="8255"/>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-325120</wp:posOffset>
            </wp:positionV>
            <wp:extent cx="8255" cy="8255"/>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-325120</wp:posOffset>
            </wp:positionV>
            <wp:extent cx="8255" cy="8255"/>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-325120</wp:posOffset>
            </wp:positionV>
            <wp:extent cx="8255" cy="8255"/>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-325120</wp:posOffset>
            </wp:positionV>
            <wp:extent cx="8255" cy="8255"/>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-325120</wp:posOffset>
            </wp:positionV>
            <wp:extent cx="8255" cy="825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-325120</wp:posOffset>
            </wp:positionV>
            <wp:extent cx="8255" cy="825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-325120</wp:posOffset>
            </wp:positionV>
            <wp:extent cx="8255" cy="825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-325120</wp:posOffset>
            </wp:positionV>
            <wp:extent cx="8890" cy="8255"/>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-325120</wp:posOffset>
            </wp:positionV>
            <wp:extent cx="8255" cy="825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-325120</wp:posOffset>
            </wp:positionV>
            <wp:extent cx="8255" cy="825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-325120</wp:posOffset>
            </wp:positionV>
            <wp:extent cx="8890" cy="825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-325120</wp:posOffset>
            </wp:positionV>
            <wp:extent cx="8890" cy="8255"/>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-325120</wp:posOffset>
            </wp:positionV>
            <wp:extent cx="8890" cy="825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-325120</wp:posOffset>
            </wp:positionV>
            <wp:extent cx="8890" cy="825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-325120</wp:posOffset>
            </wp:positionV>
            <wp:extent cx="8890" cy="825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-325120</wp:posOffset>
            </wp:positionV>
            <wp:extent cx="8255" cy="825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-325120</wp:posOffset>
            </wp:positionV>
            <wp:extent cx="8255" cy="8255"/>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-325120</wp:posOffset>
            </wp:positionV>
            <wp:extent cx="8890" cy="825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-325120</wp:posOffset>
            </wp:positionV>
            <wp:extent cx="8890" cy="825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-325120</wp:posOffset>
            </wp:positionV>
            <wp:extent cx="8890" cy="825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-325120</wp:posOffset>
            </wp:positionV>
            <wp:extent cx="8255" cy="825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-325120</wp:posOffset>
            </wp:positionV>
            <wp:extent cx="8255" cy="825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-325120</wp:posOffset>
            </wp:positionV>
            <wp:extent cx="8255" cy="825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-325120</wp:posOffset>
            </wp:positionV>
            <wp:extent cx="8890" cy="825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-325120</wp:posOffset>
            </wp:positionV>
            <wp:extent cx="8890" cy="825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-325120</wp:posOffset>
            </wp:positionV>
            <wp:extent cx="8890" cy="825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-325120</wp:posOffset>
            </wp:positionV>
            <wp:extent cx="8255" cy="825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-325120</wp:posOffset>
            </wp:positionV>
            <wp:extent cx="8255" cy="825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-325120</wp:posOffset>
            </wp:positionV>
            <wp:extent cx="8890" cy="825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-325120</wp:posOffset>
            </wp:positionV>
            <wp:extent cx="8890" cy="825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-325120</wp:posOffset>
            </wp:positionV>
            <wp:extent cx="8890" cy="825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-325120</wp:posOffset>
            </wp:positionV>
            <wp:extent cx="8255" cy="825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-325120</wp:posOffset>
            </wp:positionV>
            <wp:extent cx="8255" cy="825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-325120</wp:posOffset>
            </wp:positionV>
            <wp:extent cx="8255" cy="8255"/>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-325120</wp:posOffset>
            </wp:positionV>
            <wp:extent cx="8890" cy="825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-325120</wp:posOffset>
            </wp:positionV>
            <wp:extent cx="8890" cy="825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-325120</wp:posOffset>
            </wp:positionV>
            <wp:extent cx="8890" cy="825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-325120</wp:posOffset>
            </wp:positionV>
            <wp:extent cx="8255" cy="8255"/>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-325120</wp:posOffset>
            </wp:positionV>
            <wp:extent cx="8255" cy="825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-325120</wp:posOffset>
            </wp:positionV>
            <wp:extent cx="8890" cy="8255"/>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-325120</wp:posOffset>
            </wp:positionV>
            <wp:extent cx="8890" cy="8255"/>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-325120</wp:posOffset>
            </wp:positionV>
            <wp:extent cx="8890" cy="8255"/>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-325120</wp:posOffset>
            </wp:positionV>
            <wp:extent cx="8255" cy="825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-325120</wp:posOffset>
            </wp:positionV>
            <wp:extent cx="8255" cy="825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-325120</wp:posOffset>
            </wp:positionV>
            <wp:extent cx="8255" cy="825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-325120</wp:posOffset>
            </wp:positionV>
            <wp:extent cx="8890" cy="825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-325120</wp:posOffset>
            </wp:positionV>
            <wp:extent cx="8890" cy="825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-325120</wp:posOffset>
            </wp:positionV>
            <wp:extent cx="8890" cy="825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-325120</wp:posOffset>
            </wp:positionV>
            <wp:extent cx="8255" cy="825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-325120</wp:posOffset>
            </wp:positionV>
            <wp:extent cx="8255" cy="825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-325120</wp:posOffset>
            </wp:positionV>
            <wp:extent cx="8890" cy="825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-325120</wp:posOffset>
            </wp:positionV>
            <wp:extent cx="8890" cy="825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-325120</wp:posOffset>
            </wp:positionV>
            <wp:extent cx="8890" cy="825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-325120</wp:posOffset>
            </wp:positionV>
            <wp:extent cx="8890" cy="825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-325120</wp:posOffset>
            </wp:positionV>
            <wp:extent cx="8255" cy="825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-325120</wp:posOffset>
            </wp:positionV>
            <wp:extent cx="8255" cy="8255"/>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-325120</wp:posOffset>
            </wp:positionV>
            <wp:extent cx="8890" cy="8255"/>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-325120</wp:posOffset>
            </wp:positionV>
            <wp:extent cx="8890" cy="825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-325120</wp:posOffset>
            </wp:positionV>
            <wp:extent cx="8890" cy="825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-325120</wp:posOffset>
            </wp:positionV>
            <wp:extent cx="8890" cy="8255"/>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-325120</wp:posOffset>
            </wp:positionV>
            <wp:extent cx="8890" cy="825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-325120</wp:posOffset>
            </wp:positionV>
            <wp:extent cx="8890" cy="825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-325120</wp:posOffset>
            </wp:positionV>
            <wp:extent cx="8890" cy="8255"/>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-325120</wp:posOffset>
            </wp:positionV>
            <wp:extent cx="8255" cy="825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-325120</wp:posOffset>
            </wp:positionV>
            <wp:extent cx="8890" cy="825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-325120</wp:posOffset>
            </wp:positionV>
            <wp:extent cx="8890" cy="825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-325120</wp:posOffset>
            </wp:positionV>
            <wp:extent cx="8890" cy="825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-325120</wp:posOffset>
            </wp:positionV>
            <wp:extent cx="8890" cy="825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-325120</wp:posOffset>
            </wp:positionV>
            <wp:extent cx="8255" cy="825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-325120</wp:posOffset>
            </wp:positionV>
            <wp:extent cx="8890" cy="8255"/>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-325120</wp:posOffset>
            </wp:positionV>
            <wp:extent cx="8890" cy="825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-325120</wp:posOffset>
            </wp:positionV>
            <wp:extent cx="8890" cy="825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-325120</wp:posOffset>
            </wp:positionV>
            <wp:extent cx="8890" cy="8255"/>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-325120</wp:posOffset>
            </wp:positionV>
            <wp:extent cx="8255" cy="825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-325120</wp:posOffset>
            </wp:positionV>
            <wp:extent cx="8890" cy="8255"/>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-325120</wp:posOffset>
            </wp:positionV>
            <wp:extent cx="8890" cy="825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-325120</wp:posOffset>
            </wp:positionV>
            <wp:extent cx="8890" cy="825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-325120</wp:posOffset>
            </wp:positionV>
            <wp:extent cx="8890" cy="8255"/>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-325120</wp:posOffset>
            </wp:positionV>
            <wp:extent cx="8890" cy="825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-325120</wp:posOffset>
            </wp:positionV>
            <wp:extent cx="8890" cy="825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-325120</wp:posOffset>
            </wp:positionV>
            <wp:extent cx="8255" cy="825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-325120</wp:posOffset>
            </wp:positionV>
            <wp:extent cx="8890" cy="825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-325120</wp:posOffset>
            </wp:positionV>
            <wp:extent cx="8890" cy="8255"/>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-325120</wp:posOffset>
            </wp:positionV>
            <wp:extent cx="8890" cy="8255"/>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-325120</wp:posOffset>
            </wp:positionV>
            <wp:extent cx="8890" cy="825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-325120</wp:posOffset>
            </wp:positionV>
            <wp:extent cx="8255" cy="8255"/>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-325120</wp:posOffset>
            </wp:positionV>
            <wp:extent cx="8890" cy="825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-325120</wp:posOffset>
            </wp:positionV>
            <wp:extent cx="8890" cy="8255"/>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-325120</wp:posOffset>
            </wp:positionV>
            <wp:extent cx="8890" cy="8255"/>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-325120</wp:posOffset>
            </wp:positionV>
            <wp:extent cx="8890" cy="825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-325120</wp:posOffset>
            </wp:positionV>
            <wp:extent cx="8255" cy="825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-325120</wp:posOffset>
            </wp:positionV>
            <wp:extent cx="8890" cy="825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-325120</wp:posOffset>
            </wp:positionV>
            <wp:extent cx="8890" cy="8255"/>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-325120</wp:posOffset>
            </wp:positionV>
            <wp:extent cx="8890" cy="825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-325120</wp:posOffset>
            </wp:positionV>
            <wp:extent cx="8890" cy="825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-325120</wp:posOffset>
            </wp:positionV>
            <wp:extent cx="8255" cy="825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-325120</wp:posOffset>
            </wp:positionV>
            <wp:extent cx="8890" cy="82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-325120</wp:posOffset>
            </wp:positionV>
            <wp:extent cx="8255" cy="8255"/>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-325120</wp:posOffset>
            </wp:positionV>
            <wp:extent cx="8890" cy="825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-325120</wp:posOffset>
            </wp:positionV>
            <wp:extent cx="8890" cy="825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-325120</wp:posOffset>
            </wp:positionV>
            <wp:extent cx="8890" cy="825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-325120</wp:posOffset>
            </wp:positionV>
            <wp:extent cx="8890" cy="825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-325120</wp:posOffset>
            </wp:positionV>
            <wp:extent cx="8255" cy="825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-325120</wp:posOffset>
            </wp:positionV>
            <wp:extent cx="8890" cy="8255"/>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-325120</wp:posOffset>
            </wp:positionV>
            <wp:extent cx="8890" cy="8255"/>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-325120</wp:posOffset>
            </wp:positionV>
            <wp:extent cx="8890" cy="825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-325120</wp:posOffset>
            </wp:positionV>
            <wp:extent cx="8890" cy="825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-325120</wp:posOffset>
            </wp:positionV>
            <wp:extent cx="8890" cy="825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-325120</wp:posOffset>
            </wp:positionV>
            <wp:extent cx="8890" cy="825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-325120</wp:posOffset>
            </wp:positionV>
            <wp:extent cx="8255" cy="825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-325120</wp:posOffset>
            </wp:positionV>
            <wp:extent cx="8890" cy="825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-325120</wp:posOffset>
            </wp:positionV>
            <wp:extent cx="8890" cy="825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-325120</wp:posOffset>
            </wp:positionV>
            <wp:extent cx="8890" cy="8255"/>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-325120</wp:posOffset>
            </wp:positionV>
            <wp:extent cx="8890" cy="825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-325120</wp:posOffset>
            </wp:positionV>
            <wp:extent cx="8255" cy="8255"/>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-325120</wp:posOffset>
            </wp:positionV>
            <wp:extent cx="4732020" cy="825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8890" cy="825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-170815</wp:posOffset>
            </wp:positionV>
            <wp:extent cx="8890" cy="825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-170815</wp:posOffset>
            </wp:positionV>
            <wp:extent cx="8255" cy="8255"/>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-170815</wp:posOffset>
            </wp:positionV>
            <wp:extent cx="8255" cy="825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-170815</wp:posOffset>
            </wp:positionV>
            <wp:extent cx="8890" cy="825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-170815</wp:posOffset>
            </wp:positionV>
            <wp:extent cx="8255" cy="825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-170815</wp:posOffset>
            </wp:positionV>
            <wp:extent cx="8255" cy="825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-170815</wp:posOffset>
            </wp:positionV>
            <wp:extent cx="8255" cy="825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-170815</wp:posOffset>
            </wp:positionV>
            <wp:extent cx="8890" cy="8255"/>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-170815</wp:posOffset>
            </wp:positionV>
            <wp:extent cx="8255" cy="825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-170815</wp:posOffset>
            </wp:positionV>
            <wp:extent cx="8255" cy="8255"/>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-170815</wp:posOffset>
            </wp:positionV>
            <wp:extent cx="8890" cy="825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-170815</wp:posOffset>
            </wp:positionV>
            <wp:extent cx="8255" cy="8255"/>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-170815</wp:posOffset>
            </wp:positionV>
            <wp:extent cx="8255" cy="825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-170815</wp:posOffset>
            </wp:positionV>
            <wp:extent cx="8255" cy="8255"/>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-170815</wp:posOffset>
            </wp:positionV>
            <wp:extent cx="8255" cy="825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-170815</wp:posOffset>
            </wp:positionV>
            <wp:extent cx="8255" cy="8255"/>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-170815</wp:posOffset>
            </wp:positionV>
            <wp:extent cx="8890" cy="825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-170815</wp:posOffset>
            </wp:positionV>
            <wp:extent cx="8255" cy="825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-170815</wp:posOffset>
            </wp:positionV>
            <wp:extent cx="8255" cy="825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-170815</wp:posOffset>
            </wp:positionV>
            <wp:extent cx="8890" cy="825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-170815</wp:posOffset>
            </wp:positionV>
            <wp:extent cx="8255" cy="825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-170815</wp:posOffset>
            </wp:positionV>
            <wp:extent cx="8255" cy="825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-170815</wp:posOffset>
            </wp:positionV>
            <wp:extent cx="8255" cy="825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-170815</wp:posOffset>
            </wp:positionV>
            <wp:extent cx="8255" cy="825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-170815</wp:posOffset>
            </wp:positionV>
            <wp:extent cx="8255" cy="825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-170815</wp:posOffset>
            </wp:positionV>
            <wp:extent cx="8255" cy="825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-170815</wp:posOffset>
            </wp:positionV>
            <wp:extent cx="8255" cy="825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-170815</wp:posOffset>
            </wp:positionV>
            <wp:extent cx="8255" cy="825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-170815</wp:posOffset>
            </wp:positionV>
            <wp:extent cx="8255" cy="825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-170815</wp:posOffset>
            </wp:positionV>
            <wp:extent cx="8255" cy="825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-170815</wp:posOffset>
            </wp:positionV>
            <wp:extent cx="8890" cy="825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-170815</wp:posOffset>
            </wp:positionV>
            <wp:extent cx="8255" cy="825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-170815</wp:posOffset>
            </wp:positionV>
            <wp:extent cx="8255" cy="825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-170815</wp:posOffset>
            </wp:positionV>
            <wp:extent cx="8890" cy="825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-170815</wp:posOffset>
            </wp:positionV>
            <wp:extent cx="8890" cy="825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-170815</wp:posOffset>
            </wp:positionV>
            <wp:extent cx="8890" cy="825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-170815</wp:posOffset>
            </wp:positionV>
            <wp:extent cx="8890" cy="825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-170815</wp:posOffset>
            </wp:positionV>
            <wp:extent cx="8890" cy="825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-170815</wp:posOffset>
            </wp:positionV>
            <wp:extent cx="8255" cy="8255"/>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-170815</wp:posOffset>
            </wp:positionV>
            <wp:extent cx="8255" cy="825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-170815</wp:posOffset>
            </wp:positionV>
            <wp:extent cx="8890" cy="825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-170815</wp:posOffset>
            </wp:positionV>
            <wp:extent cx="8890" cy="825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-170815</wp:posOffset>
            </wp:positionV>
            <wp:extent cx="8890" cy="825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-170815</wp:posOffset>
            </wp:positionV>
            <wp:extent cx="8255" cy="8255"/>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-170815</wp:posOffset>
            </wp:positionV>
            <wp:extent cx="8255" cy="825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-170815</wp:posOffset>
            </wp:positionV>
            <wp:extent cx="8255" cy="825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-170815</wp:posOffset>
            </wp:positionV>
            <wp:extent cx="8890" cy="825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-170815</wp:posOffset>
            </wp:positionV>
            <wp:extent cx="8890" cy="825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-170815</wp:posOffset>
            </wp:positionV>
            <wp:extent cx="8890" cy="8255"/>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-170815</wp:posOffset>
            </wp:positionV>
            <wp:extent cx="8255" cy="825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-170815</wp:posOffset>
            </wp:positionV>
            <wp:extent cx="8255" cy="825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-170815</wp:posOffset>
            </wp:positionV>
            <wp:extent cx="8890" cy="825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-170815</wp:posOffset>
            </wp:positionV>
            <wp:extent cx="8890" cy="825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-170815</wp:posOffset>
            </wp:positionV>
            <wp:extent cx="8890" cy="8255"/>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-170815</wp:posOffset>
            </wp:positionV>
            <wp:extent cx="8255" cy="8255"/>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-170815</wp:posOffset>
            </wp:positionV>
            <wp:extent cx="8255" cy="825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-170815</wp:posOffset>
            </wp:positionV>
            <wp:extent cx="8255" cy="825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-170815</wp:posOffset>
            </wp:positionV>
            <wp:extent cx="8890" cy="8255"/>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-170815</wp:posOffset>
            </wp:positionV>
            <wp:extent cx="8890" cy="825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-170815</wp:posOffset>
            </wp:positionV>
            <wp:extent cx="8890" cy="825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-170815</wp:posOffset>
            </wp:positionV>
            <wp:extent cx="8255" cy="825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-170815</wp:posOffset>
            </wp:positionV>
            <wp:extent cx="8255" cy="825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-170815</wp:posOffset>
            </wp:positionV>
            <wp:extent cx="8890" cy="825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-170815</wp:posOffset>
            </wp:positionV>
            <wp:extent cx="8890" cy="825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-170815</wp:posOffset>
            </wp:positionV>
            <wp:extent cx="8890" cy="825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-170815</wp:posOffset>
            </wp:positionV>
            <wp:extent cx="8255" cy="8255"/>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-170815</wp:posOffset>
            </wp:positionV>
            <wp:extent cx="8255" cy="825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-170815</wp:posOffset>
            </wp:positionV>
            <wp:extent cx="8255" cy="825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-170815</wp:posOffset>
            </wp:positionV>
            <wp:extent cx="8890" cy="8255"/>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-170815</wp:posOffset>
            </wp:positionV>
            <wp:extent cx="8890" cy="8255"/>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-170815</wp:posOffset>
            </wp:positionV>
            <wp:extent cx="8890" cy="8255"/>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-170815</wp:posOffset>
            </wp:positionV>
            <wp:extent cx="8255" cy="825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-170815</wp:posOffset>
            </wp:positionV>
            <wp:extent cx="8255" cy="825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-170815</wp:posOffset>
            </wp:positionV>
            <wp:extent cx="8890" cy="8255"/>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-170815</wp:posOffset>
            </wp:positionV>
            <wp:extent cx="8890" cy="8255"/>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-170815</wp:posOffset>
            </wp:positionV>
            <wp:extent cx="8890" cy="8255"/>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-170815</wp:posOffset>
            </wp:positionV>
            <wp:extent cx="8890" cy="825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-170815</wp:posOffset>
            </wp:positionV>
            <wp:extent cx="8255" cy="825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-170815</wp:posOffset>
            </wp:positionV>
            <wp:extent cx="8255" cy="825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-170815</wp:posOffset>
            </wp:positionV>
            <wp:extent cx="8890" cy="825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-170815</wp:posOffset>
            </wp:positionV>
            <wp:extent cx="8890" cy="8255"/>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-170815</wp:posOffset>
            </wp:positionV>
            <wp:extent cx="8890" cy="825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-170815</wp:posOffset>
            </wp:positionV>
            <wp:extent cx="8890" cy="825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-170815</wp:posOffset>
            </wp:positionV>
            <wp:extent cx="8890" cy="825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-170815</wp:posOffset>
            </wp:positionV>
            <wp:extent cx="8890" cy="825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-170815</wp:posOffset>
            </wp:positionV>
            <wp:extent cx="8890" cy="825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-170815</wp:posOffset>
            </wp:positionV>
            <wp:extent cx="8255" cy="8255"/>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-170815</wp:posOffset>
            </wp:positionV>
            <wp:extent cx="8890" cy="825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-170815</wp:posOffset>
            </wp:positionV>
            <wp:extent cx="8890" cy="825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-170815</wp:posOffset>
            </wp:positionV>
            <wp:extent cx="8890" cy="825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-170815</wp:posOffset>
            </wp:positionV>
            <wp:extent cx="8890" cy="8255"/>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-170815</wp:posOffset>
            </wp:positionV>
            <wp:extent cx="8255" cy="825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-170815</wp:posOffset>
            </wp:positionV>
            <wp:extent cx="8890" cy="825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-170815</wp:posOffset>
            </wp:positionV>
            <wp:extent cx="8890" cy="825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-170815</wp:posOffset>
            </wp:positionV>
            <wp:extent cx="8890" cy="825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-170815</wp:posOffset>
            </wp:positionV>
            <wp:extent cx="8890" cy="825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-170815</wp:posOffset>
            </wp:positionV>
            <wp:extent cx="8255" cy="825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-170815</wp:posOffset>
            </wp:positionV>
            <wp:extent cx="8890" cy="825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-170815</wp:posOffset>
            </wp:positionV>
            <wp:extent cx="8890" cy="8255"/>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-170815</wp:posOffset>
            </wp:positionV>
            <wp:extent cx="8890" cy="825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-170815</wp:posOffset>
            </wp:positionV>
            <wp:extent cx="8890" cy="825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-170815</wp:posOffset>
            </wp:positionV>
            <wp:extent cx="8890" cy="825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-170815</wp:posOffset>
            </wp:positionV>
            <wp:extent cx="8890" cy="825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-170815</wp:posOffset>
            </wp:positionV>
            <wp:extent cx="8255" cy="825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-170815</wp:posOffset>
            </wp:positionV>
            <wp:extent cx="8890" cy="8255"/>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-170815</wp:posOffset>
            </wp:positionV>
            <wp:extent cx="8890" cy="8255"/>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-170815</wp:posOffset>
            </wp:positionV>
            <wp:extent cx="8890" cy="825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-170815</wp:posOffset>
            </wp:positionV>
            <wp:extent cx="8890" cy="825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-170815</wp:posOffset>
            </wp:positionV>
            <wp:extent cx="8255" cy="825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-170815</wp:posOffset>
            </wp:positionV>
            <wp:extent cx="8890" cy="825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-170815</wp:posOffset>
            </wp:positionV>
            <wp:extent cx="8890" cy="825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-170815</wp:posOffset>
            </wp:positionV>
            <wp:extent cx="8890" cy="825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-170815</wp:posOffset>
            </wp:positionV>
            <wp:extent cx="8890" cy="825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-170815</wp:posOffset>
            </wp:positionV>
            <wp:extent cx="8255" cy="8255"/>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-170815</wp:posOffset>
            </wp:positionV>
            <wp:extent cx="8890" cy="8255"/>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-170815</wp:posOffset>
            </wp:positionV>
            <wp:extent cx="8890" cy="8255"/>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-170815</wp:posOffset>
            </wp:positionV>
            <wp:extent cx="8890" cy="825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-170815</wp:posOffset>
            </wp:positionV>
            <wp:extent cx="8890" cy="8255"/>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-170815</wp:posOffset>
            </wp:positionV>
            <wp:extent cx="8255" cy="825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-170815</wp:posOffset>
            </wp:positionV>
            <wp:extent cx="8890" cy="8255"/>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-170815</wp:posOffset>
            </wp:positionV>
            <wp:extent cx="8255" cy="825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-170815</wp:posOffset>
            </wp:positionV>
            <wp:extent cx="8890" cy="825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-170815</wp:posOffset>
            </wp:positionV>
            <wp:extent cx="8890" cy="8255"/>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-170815</wp:posOffset>
            </wp:positionV>
            <wp:extent cx="8890" cy="8255"/>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-170815</wp:posOffset>
            </wp:positionV>
            <wp:extent cx="8890" cy="825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-170815</wp:posOffset>
            </wp:positionV>
            <wp:extent cx="8255" cy="825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-170815</wp:posOffset>
            </wp:positionV>
            <wp:extent cx="8890" cy="825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-170815</wp:posOffset>
            </wp:positionV>
            <wp:extent cx="8890" cy="825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-170815</wp:posOffset>
            </wp:positionV>
            <wp:extent cx="8890" cy="825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-170815</wp:posOffset>
            </wp:positionV>
            <wp:extent cx="8890" cy="825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-170815</wp:posOffset>
            </wp:positionV>
            <wp:extent cx="8890" cy="825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-170815</wp:posOffset>
            </wp:positionV>
            <wp:extent cx="8890" cy="825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-170815</wp:posOffset>
            </wp:positionV>
            <wp:extent cx="8255" cy="8255"/>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-170815</wp:posOffset>
            </wp:positionV>
            <wp:extent cx="8890" cy="825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-170815</wp:posOffset>
            </wp:positionV>
            <wp:extent cx="8890" cy="825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-170815</wp:posOffset>
            </wp:positionV>
            <wp:extent cx="8890" cy="825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-170815</wp:posOffset>
            </wp:positionV>
            <wp:extent cx="8890" cy="825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-170815</wp:posOffset>
            </wp:positionV>
            <wp:extent cx="8255" cy="825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-170815</wp:posOffset>
            </wp:positionV>
            <wp:extent cx="4732020" cy="825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160" w:lineRule="exact"/>
        <w:rPr>
          <w:sz w:val="20"/>
          <w:szCs w:val="20"/>
          <w:color w:val="auto"/>
        </w:rPr>
      </w:pPr>
    </w:p>
    <w:p>
      <w:pPr>
        <w:ind w:left="340" w:right="20" w:hanging="332"/>
        <w:spacing w:after="0" w:line="262"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For adjusted EBITDA results between any two performance targets, payout is prorated. No cash incentive is earned if we do not achieve the minimum adjusted EBITDA target.</w:t>
      </w:r>
    </w:p>
    <w:p>
      <w:pPr>
        <w:spacing w:after="0" w:line="33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 xml:space="preserve">Our 2022 adjusted EBITDA was $6.462 billion, representing a 31% increase over 2021. As a result, and applying the payout matrix immediately above, our Compensation Committee approved a payout of </w:t>
      </w:r>
      <w:r>
        <w:rPr>
          <w:rFonts w:ascii="Arial" w:cs="Arial" w:eastAsia="Arial" w:hAnsi="Arial"/>
          <w:sz w:val="16"/>
          <w:szCs w:val="16"/>
          <w:b w:val="1"/>
          <w:bCs w:val="1"/>
          <w:color w:val="auto"/>
        </w:rPr>
        <w:t>157% of target</w:t>
      </w:r>
      <w:r>
        <w:rPr>
          <w:rFonts w:ascii="Arial" w:cs="Arial" w:eastAsia="Arial" w:hAnsi="Arial"/>
          <w:sz w:val="16"/>
          <w:szCs w:val="16"/>
          <w:color w:val="auto"/>
        </w:rPr>
        <w:t>—or 65% of the maximum payout opportunity—for the adjusted EBITDA component of our 2022 cash incentive plan.</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Free Cash Flow Targets and Results</w:t>
      </w:r>
    </w:p>
    <w:p>
      <w:pPr>
        <w:spacing w:after="0" w:line="19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The process used to set annual free cash flow targets starts with a review of plans and projections following bottom-up planning from the field. Free cash flow targets may increase or decrease year-over-year, taking into account the same factors listed above for adjusted EBITDA. The following table reflects our NEOs’ full-year free cash flow targets and corresponding potential payouts for 2022, as approved by our Compensation Committee in January 2022.</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80" w:type="dxa"/>
            <w:vAlign w:val="bottom"/>
            <w:shd w:val="clear" w:color="auto" w:fill="0233A1"/>
          </w:tcPr>
          <w:p>
            <w:pPr>
              <w:spacing w:after="0"/>
              <w:rPr>
                <w:sz w:val="19"/>
                <w:szCs w:val="19"/>
                <w:color w:val="auto"/>
              </w:rPr>
            </w:pPr>
          </w:p>
        </w:tc>
        <w:tc>
          <w:tcPr>
            <w:tcW w:w="2580" w:type="dxa"/>
            <w:vAlign w:val="bottom"/>
            <w:shd w:val="clear" w:color="auto" w:fill="0233A1"/>
          </w:tcPr>
          <w:p>
            <w:pPr>
              <w:spacing w:after="0"/>
              <w:rPr>
                <w:sz w:val="19"/>
                <w:szCs w:val="19"/>
                <w:color w:val="auto"/>
              </w:rPr>
            </w:pPr>
          </w:p>
        </w:tc>
        <w:tc>
          <w:tcPr>
            <w:tcW w:w="4980" w:type="dxa"/>
            <w:vAlign w:val="bottom"/>
            <w:shd w:val="clear" w:color="auto" w:fill="0233A1"/>
          </w:tcPr>
          <w:p>
            <w:pPr>
              <w:jc w:val="center"/>
              <w:ind w:left="439"/>
              <w:spacing w:after="0"/>
              <w:rPr>
                <w:sz w:val="20"/>
                <w:szCs w:val="20"/>
                <w:color w:val="auto"/>
              </w:rPr>
            </w:pPr>
            <w:r>
              <w:rPr>
                <w:rFonts w:ascii="Arial" w:cs="Arial" w:eastAsia="Arial" w:hAnsi="Arial"/>
                <w:sz w:val="16"/>
                <w:szCs w:val="16"/>
                <w:b w:val="1"/>
                <w:bCs w:val="1"/>
                <w:color w:val="FFFFFF"/>
              </w:rPr>
              <w:t>Potential Payout as a % of</w:t>
            </w:r>
          </w:p>
        </w:tc>
      </w:tr>
      <w:tr>
        <w:trPr>
          <w:trHeight w:val="298"/>
        </w:trPr>
        <w:tc>
          <w:tcPr>
            <w:tcW w:w="6260" w:type="dxa"/>
            <w:vAlign w:val="bottom"/>
            <w:gridSpan w:val="2"/>
            <w:shd w:val="clear" w:color="auto" w:fill="0233A1"/>
          </w:tcPr>
          <w:p>
            <w:pPr>
              <w:ind w:left="2500"/>
              <w:spacing w:after="0"/>
              <w:rPr>
                <w:sz w:val="20"/>
                <w:szCs w:val="20"/>
                <w:color w:val="auto"/>
              </w:rPr>
            </w:pPr>
            <w:r>
              <w:rPr>
                <w:rFonts w:ascii="Arial" w:cs="Arial" w:eastAsia="Arial" w:hAnsi="Arial"/>
                <w:sz w:val="16"/>
                <w:szCs w:val="16"/>
                <w:b w:val="1"/>
                <w:bCs w:val="1"/>
                <w:color w:val="FFFFFF"/>
              </w:rPr>
              <w:t>Performance Targets</w:t>
            </w:r>
            <w:r>
              <w:rPr>
                <w:rFonts w:ascii="Arial" w:cs="Arial" w:eastAsia="Arial" w:hAnsi="Arial"/>
                <w:sz w:val="26"/>
                <w:szCs w:val="26"/>
                <w:b w:val="1"/>
                <w:bCs w:val="1"/>
                <w:color w:val="FFFFFF"/>
                <w:vertAlign w:val="superscript"/>
              </w:rPr>
              <w:t>(1)</w:t>
            </w:r>
          </w:p>
        </w:tc>
        <w:tc>
          <w:tcPr>
            <w:tcW w:w="4980" w:type="dxa"/>
            <w:vAlign w:val="bottom"/>
            <w:shd w:val="clear" w:color="auto" w:fill="0233A1"/>
          </w:tcPr>
          <w:p>
            <w:pPr>
              <w:jc w:val="center"/>
              <w:ind w:left="439"/>
              <w:spacing w:after="0"/>
              <w:rPr>
                <w:sz w:val="20"/>
                <w:szCs w:val="20"/>
                <w:color w:val="auto"/>
              </w:rPr>
            </w:pPr>
            <w:r>
              <w:rPr>
                <w:rFonts w:ascii="Arial" w:cs="Arial" w:eastAsia="Arial" w:hAnsi="Arial"/>
                <w:sz w:val="16"/>
                <w:szCs w:val="16"/>
                <w:b w:val="1"/>
                <w:bCs w:val="1"/>
                <w:color w:val="FFFFFF"/>
                <w:w w:val="97"/>
              </w:rPr>
              <w:t>Target Opportunity</w:t>
            </w:r>
            <w:r>
              <w:rPr>
                <w:rFonts w:ascii="Arial" w:cs="Arial" w:eastAsia="Arial" w:hAnsi="Arial"/>
                <w:sz w:val="26"/>
                <w:szCs w:val="26"/>
                <w:b w:val="1"/>
                <w:bCs w:val="1"/>
                <w:color w:val="FFFFFF"/>
                <w:w w:val="97"/>
                <w:vertAlign w:val="superscript"/>
              </w:rPr>
              <w:t>(1)</w:t>
            </w:r>
          </w:p>
        </w:tc>
      </w:tr>
      <w:tr>
        <w:trPr>
          <w:trHeight w:val="236"/>
        </w:trPr>
        <w:tc>
          <w:tcPr>
            <w:tcW w:w="3680" w:type="dxa"/>
            <w:vAlign w:val="bottom"/>
          </w:tcPr>
          <w:p>
            <w:pPr>
              <w:jc w:val="right"/>
              <w:ind w:right="39"/>
              <w:spacing w:after="0"/>
              <w:rPr>
                <w:sz w:val="20"/>
                <w:szCs w:val="20"/>
                <w:color w:val="auto"/>
              </w:rPr>
            </w:pPr>
            <w:r>
              <w:rPr>
                <w:rFonts w:ascii="Arial" w:cs="Arial" w:eastAsia="Arial" w:hAnsi="Arial"/>
                <w:sz w:val="16"/>
                <w:szCs w:val="16"/>
                <w:color w:val="auto"/>
              </w:rPr>
              <w:t>Less than $2.30 billion</w:t>
            </w:r>
          </w:p>
        </w:tc>
        <w:tc>
          <w:tcPr>
            <w:tcW w:w="2580" w:type="dxa"/>
            <w:vAlign w:val="bottom"/>
          </w:tcPr>
          <w:p>
            <w:pPr>
              <w:spacing w:after="0"/>
              <w:rPr>
                <w:sz w:val="20"/>
                <w:szCs w:val="20"/>
                <w:color w:val="auto"/>
              </w:rPr>
            </w:pPr>
          </w:p>
        </w:tc>
        <w:tc>
          <w:tcPr>
            <w:tcW w:w="4980" w:type="dxa"/>
            <w:vAlign w:val="bottom"/>
          </w:tcPr>
          <w:p>
            <w:pPr>
              <w:jc w:val="center"/>
              <w:ind w:left="439"/>
              <w:spacing w:after="0"/>
              <w:rPr>
                <w:sz w:val="20"/>
                <w:szCs w:val="20"/>
                <w:color w:val="auto"/>
              </w:rPr>
            </w:pPr>
            <w:r>
              <w:rPr>
                <w:rFonts w:ascii="Arial" w:cs="Arial" w:eastAsia="Arial" w:hAnsi="Arial"/>
                <w:sz w:val="16"/>
                <w:szCs w:val="16"/>
                <w:b w:val="1"/>
                <w:bCs w:val="1"/>
                <w:color w:val="auto"/>
                <w:w w:val="94"/>
              </w:rPr>
              <w:t>0%</w:t>
            </w:r>
          </w:p>
        </w:tc>
      </w:tr>
      <w:tr>
        <w:trPr>
          <w:trHeight w:val="243"/>
        </w:trPr>
        <w:tc>
          <w:tcPr>
            <w:tcW w:w="3680" w:type="dxa"/>
            <w:vAlign w:val="bottom"/>
          </w:tcPr>
          <w:p>
            <w:pPr>
              <w:jc w:val="right"/>
              <w:ind w:right="39"/>
              <w:spacing w:after="0"/>
              <w:rPr>
                <w:sz w:val="20"/>
                <w:szCs w:val="20"/>
                <w:color w:val="auto"/>
              </w:rPr>
            </w:pPr>
            <w:r>
              <w:rPr>
                <w:rFonts w:ascii="Arial" w:cs="Arial" w:eastAsia="Arial" w:hAnsi="Arial"/>
                <w:sz w:val="16"/>
                <w:szCs w:val="16"/>
                <w:color w:val="auto"/>
              </w:rPr>
              <w:t>$2.30 billion</w:t>
            </w:r>
          </w:p>
        </w:tc>
        <w:tc>
          <w:tcPr>
            <w:tcW w:w="2580" w:type="dxa"/>
            <w:vAlign w:val="bottom"/>
          </w:tcPr>
          <w:p>
            <w:pPr>
              <w:ind w:left="100"/>
              <w:spacing w:after="0"/>
              <w:rPr>
                <w:sz w:val="20"/>
                <w:szCs w:val="20"/>
                <w:color w:val="auto"/>
              </w:rPr>
            </w:pPr>
            <w:r>
              <w:rPr>
                <w:rFonts w:ascii="Arial" w:cs="Arial" w:eastAsia="Arial" w:hAnsi="Arial"/>
                <w:sz w:val="16"/>
                <w:szCs w:val="16"/>
                <w:b w:val="1"/>
                <w:bCs w:val="1"/>
                <w:color w:val="auto"/>
              </w:rPr>
              <w:t>Minimum</w:t>
            </w:r>
          </w:p>
        </w:tc>
        <w:tc>
          <w:tcPr>
            <w:tcW w:w="4980" w:type="dxa"/>
            <w:vAlign w:val="bottom"/>
          </w:tcPr>
          <w:p>
            <w:pPr>
              <w:jc w:val="center"/>
              <w:ind w:left="459"/>
              <w:spacing w:after="0"/>
              <w:rPr>
                <w:sz w:val="20"/>
                <w:szCs w:val="20"/>
                <w:color w:val="auto"/>
              </w:rPr>
            </w:pPr>
            <w:r>
              <w:rPr>
                <w:rFonts w:ascii="Arial" w:cs="Arial" w:eastAsia="Arial" w:hAnsi="Arial"/>
                <w:sz w:val="16"/>
                <w:szCs w:val="16"/>
                <w:b w:val="1"/>
                <w:bCs w:val="1"/>
                <w:color w:val="auto"/>
                <w:w w:val="99"/>
              </w:rPr>
              <w:t>50%</w:t>
            </w:r>
          </w:p>
        </w:tc>
      </w:tr>
      <w:tr>
        <w:trPr>
          <w:trHeight w:val="243"/>
        </w:trPr>
        <w:tc>
          <w:tcPr>
            <w:tcW w:w="3680" w:type="dxa"/>
            <w:vAlign w:val="bottom"/>
          </w:tcPr>
          <w:p>
            <w:pPr>
              <w:jc w:val="right"/>
              <w:ind w:right="39"/>
              <w:spacing w:after="0"/>
              <w:rPr>
                <w:sz w:val="20"/>
                <w:szCs w:val="20"/>
                <w:color w:val="auto"/>
              </w:rPr>
            </w:pPr>
            <w:r>
              <w:rPr>
                <w:rFonts w:ascii="Arial" w:cs="Arial" w:eastAsia="Arial" w:hAnsi="Arial"/>
                <w:sz w:val="16"/>
                <w:szCs w:val="16"/>
                <w:color w:val="auto"/>
              </w:rPr>
              <w:t>$2.65 billion</w:t>
            </w:r>
          </w:p>
        </w:tc>
        <w:tc>
          <w:tcPr>
            <w:tcW w:w="2580" w:type="dxa"/>
            <w:vAlign w:val="bottom"/>
          </w:tcPr>
          <w:p>
            <w:pPr>
              <w:ind w:left="100"/>
              <w:spacing w:after="0"/>
              <w:rPr>
                <w:sz w:val="20"/>
                <w:szCs w:val="20"/>
                <w:color w:val="auto"/>
              </w:rPr>
            </w:pPr>
            <w:r>
              <w:rPr>
                <w:rFonts w:ascii="Arial" w:cs="Arial" w:eastAsia="Arial" w:hAnsi="Arial"/>
                <w:sz w:val="16"/>
                <w:szCs w:val="16"/>
                <w:b w:val="1"/>
                <w:bCs w:val="1"/>
                <w:color w:val="auto"/>
              </w:rPr>
              <w:t>Target</w:t>
            </w:r>
          </w:p>
        </w:tc>
        <w:tc>
          <w:tcPr>
            <w:tcW w:w="4980" w:type="dxa"/>
            <w:vAlign w:val="bottom"/>
          </w:tcPr>
          <w:p>
            <w:pPr>
              <w:jc w:val="center"/>
              <w:ind w:left="439"/>
              <w:spacing w:after="0"/>
              <w:rPr>
                <w:sz w:val="20"/>
                <w:szCs w:val="20"/>
                <w:color w:val="auto"/>
              </w:rPr>
            </w:pPr>
            <w:r>
              <w:rPr>
                <w:rFonts w:ascii="Arial" w:cs="Arial" w:eastAsia="Arial" w:hAnsi="Arial"/>
                <w:sz w:val="16"/>
                <w:szCs w:val="16"/>
                <w:b w:val="1"/>
                <w:bCs w:val="1"/>
                <w:color w:val="auto"/>
              </w:rPr>
              <w:t>100%</w:t>
            </w:r>
          </w:p>
        </w:tc>
      </w:tr>
      <w:tr>
        <w:trPr>
          <w:trHeight w:val="244"/>
        </w:trPr>
        <w:tc>
          <w:tcPr>
            <w:tcW w:w="368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color w:val="auto"/>
              </w:rPr>
              <w:t>$3.20 billion</w:t>
            </w:r>
          </w:p>
        </w:tc>
        <w:tc>
          <w:tcPr>
            <w:tcW w:w="2580" w:type="dxa"/>
            <w:vAlign w:val="bottom"/>
            <w:tcBorders>
              <w:bottom w:val="single" w:sz="8" w:color="0233A1"/>
            </w:tcBorders>
          </w:tcPr>
          <w:p>
            <w:pPr>
              <w:ind w:left="100"/>
              <w:spacing w:after="0"/>
              <w:rPr>
                <w:sz w:val="20"/>
                <w:szCs w:val="20"/>
                <w:color w:val="auto"/>
              </w:rPr>
            </w:pPr>
            <w:r>
              <w:rPr>
                <w:rFonts w:ascii="Arial" w:cs="Arial" w:eastAsia="Arial" w:hAnsi="Arial"/>
                <w:sz w:val="16"/>
                <w:szCs w:val="16"/>
                <w:b w:val="1"/>
                <w:bCs w:val="1"/>
                <w:color w:val="auto"/>
              </w:rPr>
              <w:t>Maximum</w:t>
            </w:r>
          </w:p>
        </w:tc>
        <w:tc>
          <w:tcPr>
            <w:tcW w:w="4980" w:type="dxa"/>
            <w:vAlign w:val="bottom"/>
            <w:tcBorders>
              <w:bottom w:val="single" w:sz="8" w:color="0233A1"/>
            </w:tcBorders>
          </w:tcPr>
          <w:p>
            <w:pPr>
              <w:jc w:val="center"/>
              <w:ind w:left="439"/>
              <w:spacing w:after="0"/>
              <w:rPr>
                <w:sz w:val="20"/>
                <w:szCs w:val="20"/>
                <w:color w:val="auto"/>
              </w:rPr>
            </w:pPr>
            <w:r>
              <w:rPr>
                <w:rFonts w:ascii="Arial" w:cs="Arial" w:eastAsia="Arial" w:hAnsi="Arial"/>
                <w:sz w:val="16"/>
                <w:szCs w:val="16"/>
                <w:b w:val="1"/>
                <w:bCs w:val="1"/>
                <w:color w:val="auto"/>
              </w:rPr>
              <w:t>243%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-479425</wp:posOffset>
            </wp:positionV>
            <wp:extent cx="8890" cy="8255"/>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-479425</wp:posOffset>
            </wp:positionV>
            <wp:extent cx="8890" cy="825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-479425</wp:posOffset>
            </wp:positionV>
            <wp:extent cx="8255" cy="825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-479425</wp:posOffset>
            </wp:positionV>
            <wp:extent cx="8255" cy="825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-479425</wp:posOffset>
            </wp:positionV>
            <wp:extent cx="8890" cy="8255"/>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-479425</wp:posOffset>
            </wp:positionV>
            <wp:extent cx="8255" cy="8255"/>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-479425</wp:posOffset>
            </wp:positionV>
            <wp:extent cx="8255" cy="825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-479425</wp:posOffset>
            </wp:positionV>
            <wp:extent cx="8255" cy="825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-479425</wp:posOffset>
            </wp:positionV>
            <wp:extent cx="8890" cy="825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-479425</wp:posOffset>
            </wp:positionV>
            <wp:extent cx="8255" cy="825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-479425</wp:posOffset>
            </wp:positionV>
            <wp:extent cx="8255" cy="8255"/>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-479425</wp:posOffset>
            </wp:positionV>
            <wp:extent cx="8890" cy="825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-479425</wp:posOffset>
            </wp:positionV>
            <wp:extent cx="8255" cy="825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-479425</wp:posOffset>
            </wp:positionV>
            <wp:extent cx="8255" cy="825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-479425</wp:posOffset>
            </wp:positionV>
            <wp:extent cx="8255" cy="825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-479425</wp:posOffset>
            </wp:positionV>
            <wp:extent cx="8255" cy="8255"/>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-479425</wp:posOffset>
            </wp:positionV>
            <wp:extent cx="8255" cy="8255"/>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-479425</wp:posOffset>
            </wp:positionV>
            <wp:extent cx="8890" cy="825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-479425</wp:posOffset>
            </wp:positionV>
            <wp:extent cx="8255" cy="825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-479425</wp:posOffset>
            </wp:positionV>
            <wp:extent cx="8255" cy="825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-479425</wp:posOffset>
            </wp:positionV>
            <wp:extent cx="8890" cy="8255"/>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-479425</wp:posOffset>
            </wp:positionV>
            <wp:extent cx="8255" cy="825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-479425</wp:posOffset>
            </wp:positionV>
            <wp:extent cx="8255" cy="825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-479425</wp:posOffset>
            </wp:positionV>
            <wp:extent cx="8255" cy="825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-479425</wp:posOffset>
            </wp:positionV>
            <wp:extent cx="8255" cy="8255"/>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-479425</wp:posOffset>
            </wp:positionV>
            <wp:extent cx="8255" cy="8255"/>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-479425</wp:posOffset>
            </wp:positionV>
            <wp:extent cx="8255" cy="825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-479425</wp:posOffset>
            </wp:positionV>
            <wp:extent cx="8255" cy="8255"/>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-479425</wp:posOffset>
            </wp:positionV>
            <wp:extent cx="8255" cy="825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-479425</wp:posOffset>
            </wp:positionV>
            <wp:extent cx="8255" cy="8255"/>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-479425</wp:posOffset>
            </wp:positionV>
            <wp:extent cx="8255" cy="8255"/>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-479425</wp:posOffset>
            </wp:positionV>
            <wp:extent cx="8890" cy="825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-479425</wp:posOffset>
            </wp:positionV>
            <wp:extent cx="8255" cy="825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-479425</wp:posOffset>
            </wp:positionV>
            <wp:extent cx="8255" cy="8255"/>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-479425</wp:posOffset>
            </wp:positionV>
            <wp:extent cx="8890" cy="8255"/>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-479425</wp:posOffset>
            </wp:positionV>
            <wp:extent cx="8890" cy="8255"/>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-479425</wp:posOffset>
            </wp:positionV>
            <wp:extent cx="8890" cy="825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-479425</wp:posOffset>
            </wp:positionV>
            <wp:extent cx="8890" cy="825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-479425</wp:posOffset>
            </wp:positionV>
            <wp:extent cx="8890" cy="8255"/>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-479425</wp:posOffset>
            </wp:positionV>
            <wp:extent cx="8255" cy="8255"/>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-479425</wp:posOffset>
            </wp:positionV>
            <wp:extent cx="8255" cy="825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-479425</wp:posOffset>
            </wp:positionV>
            <wp:extent cx="8890" cy="8255"/>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-479425</wp:posOffset>
            </wp:positionV>
            <wp:extent cx="8890" cy="8255"/>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-479425</wp:posOffset>
            </wp:positionV>
            <wp:extent cx="8890" cy="8255"/>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-479425</wp:posOffset>
            </wp:positionV>
            <wp:extent cx="8255" cy="8255"/>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-479425</wp:posOffset>
            </wp:positionV>
            <wp:extent cx="8255" cy="8255"/>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-479425</wp:posOffset>
            </wp:positionV>
            <wp:extent cx="8255" cy="8255"/>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-479425</wp:posOffset>
            </wp:positionV>
            <wp:extent cx="8890" cy="8255"/>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-479425</wp:posOffset>
            </wp:positionV>
            <wp:extent cx="8890" cy="8255"/>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-479425</wp:posOffset>
            </wp:positionV>
            <wp:extent cx="8890" cy="8255"/>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-479425</wp:posOffset>
            </wp:positionV>
            <wp:extent cx="8255" cy="8255"/>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-479425</wp:posOffset>
            </wp:positionV>
            <wp:extent cx="8255" cy="825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-479425</wp:posOffset>
            </wp:positionV>
            <wp:extent cx="8890" cy="8255"/>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-479425</wp:posOffset>
            </wp:positionV>
            <wp:extent cx="8890" cy="8255"/>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-479425</wp:posOffset>
            </wp:positionV>
            <wp:extent cx="8890" cy="8255"/>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-479425</wp:posOffset>
            </wp:positionV>
            <wp:extent cx="8255" cy="8255"/>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-479425</wp:posOffset>
            </wp:positionV>
            <wp:extent cx="8255" cy="8255"/>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-479425</wp:posOffset>
            </wp:positionV>
            <wp:extent cx="8255" cy="8255"/>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-479425</wp:posOffset>
            </wp:positionV>
            <wp:extent cx="8890" cy="8255"/>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-479425</wp:posOffset>
            </wp:positionV>
            <wp:extent cx="8890" cy="8255"/>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-479425</wp:posOffset>
            </wp:positionV>
            <wp:extent cx="8890" cy="825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-479425</wp:posOffset>
            </wp:positionV>
            <wp:extent cx="8255" cy="825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-479425</wp:posOffset>
            </wp:positionV>
            <wp:extent cx="8255" cy="8255"/>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-479425</wp:posOffset>
            </wp:positionV>
            <wp:extent cx="8890" cy="8255"/>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-479425</wp:posOffset>
            </wp:positionV>
            <wp:extent cx="8890" cy="8255"/>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-479425</wp:posOffset>
            </wp:positionV>
            <wp:extent cx="8890" cy="825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-479425</wp:posOffset>
            </wp:positionV>
            <wp:extent cx="8255" cy="8255"/>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-479425</wp:posOffset>
            </wp:positionV>
            <wp:extent cx="8255" cy="825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-479425</wp:posOffset>
            </wp:positionV>
            <wp:extent cx="8255" cy="825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-479425</wp:posOffset>
            </wp:positionV>
            <wp:extent cx="8890" cy="825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-479425</wp:posOffset>
            </wp:positionV>
            <wp:extent cx="8890" cy="8255"/>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-479425</wp:posOffset>
            </wp:positionV>
            <wp:extent cx="8890" cy="8255"/>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-479425</wp:posOffset>
            </wp:positionV>
            <wp:extent cx="8255" cy="8255"/>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-479425</wp:posOffset>
            </wp:positionV>
            <wp:extent cx="8255" cy="8255"/>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-479425</wp:posOffset>
            </wp:positionV>
            <wp:extent cx="8890" cy="8255"/>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-479425</wp:posOffset>
            </wp:positionV>
            <wp:extent cx="8890" cy="8255"/>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-479425</wp:posOffset>
            </wp:positionV>
            <wp:extent cx="8890" cy="8255"/>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-479425</wp:posOffset>
            </wp:positionV>
            <wp:extent cx="8890" cy="8255"/>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-479425</wp:posOffset>
            </wp:positionV>
            <wp:extent cx="8255" cy="8255"/>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-479425</wp:posOffset>
            </wp:positionV>
            <wp:extent cx="8255" cy="825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-479425</wp:posOffset>
            </wp:positionV>
            <wp:extent cx="8890" cy="8255"/>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-479425</wp:posOffset>
            </wp:positionV>
            <wp:extent cx="8890" cy="8255"/>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-479425</wp:posOffset>
            </wp:positionV>
            <wp:extent cx="8890" cy="8255"/>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-479425</wp:posOffset>
            </wp:positionV>
            <wp:extent cx="8890" cy="8255"/>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-479425</wp:posOffset>
            </wp:positionV>
            <wp:extent cx="8890" cy="8255"/>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-479425</wp:posOffset>
            </wp:positionV>
            <wp:extent cx="8890" cy="825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-479425</wp:posOffset>
            </wp:positionV>
            <wp:extent cx="8890" cy="8255"/>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-479425</wp:posOffset>
            </wp:positionV>
            <wp:extent cx="8255" cy="8255"/>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-479425</wp:posOffset>
            </wp:positionV>
            <wp:extent cx="8890" cy="8255"/>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-479425</wp:posOffset>
            </wp:positionV>
            <wp:extent cx="8890" cy="825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-479425</wp:posOffset>
            </wp:positionV>
            <wp:extent cx="8890" cy="8255"/>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-479425</wp:posOffset>
            </wp:positionV>
            <wp:extent cx="8890" cy="8255"/>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-479425</wp:posOffset>
            </wp:positionV>
            <wp:extent cx="8255" cy="8255"/>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-479425</wp:posOffset>
            </wp:positionV>
            <wp:extent cx="8890" cy="8255"/>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-479425</wp:posOffset>
            </wp:positionV>
            <wp:extent cx="8890" cy="8255"/>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-479425</wp:posOffset>
            </wp:positionV>
            <wp:extent cx="8890" cy="8255"/>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-479425</wp:posOffset>
            </wp:positionV>
            <wp:extent cx="8890" cy="825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-479425</wp:posOffset>
            </wp:positionV>
            <wp:extent cx="8255" cy="8255"/>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-479425</wp:posOffset>
            </wp:positionV>
            <wp:extent cx="8890" cy="8255"/>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-479425</wp:posOffset>
            </wp:positionV>
            <wp:extent cx="8890" cy="825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-479425</wp:posOffset>
            </wp:positionV>
            <wp:extent cx="8890" cy="825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-479425</wp:posOffset>
            </wp:positionV>
            <wp:extent cx="8890" cy="8255"/>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-479425</wp:posOffset>
            </wp:positionV>
            <wp:extent cx="8890" cy="825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-479425</wp:posOffset>
            </wp:positionV>
            <wp:extent cx="8890" cy="8255"/>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-479425</wp:posOffset>
            </wp:positionV>
            <wp:extent cx="8255" cy="825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-479425</wp:posOffset>
            </wp:positionV>
            <wp:extent cx="8890" cy="8255"/>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-479425</wp:posOffset>
            </wp:positionV>
            <wp:extent cx="8890" cy="8255"/>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-479425</wp:posOffset>
            </wp:positionV>
            <wp:extent cx="8890" cy="825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-479425</wp:posOffset>
            </wp:positionV>
            <wp:extent cx="8890" cy="8255"/>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-479425</wp:posOffset>
            </wp:positionV>
            <wp:extent cx="8255" cy="825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-479425</wp:posOffset>
            </wp:positionV>
            <wp:extent cx="8890" cy="8255"/>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-479425</wp:posOffset>
            </wp:positionV>
            <wp:extent cx="8890" cy="825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-479425</wp:posOffset>
            </wp:positionV>
            <wp:extent cx="8890" cy="8255"/>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-479425</wp:posOffset>
            </wp:positionV>
            <wp:extent cx="8890" cy="825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-479425</wp:posOffset>
            </wp:positionV>
            <wp:extent cx="8255" cy="8255"/>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-479425</wp:posOffset>
            </wp:positionV>
            <wp:extent cx="8890" cy="825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-479425</wp:posOffset>
            </wp:positionV>
            <wp:extent cx="8890" cy="825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-479425</wp:posOffset>
            </wp:positionV>
            <wp:extent cx="8890" cy="825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-479425</wp:posOffset>
            </wp:positionV>
            <wp:extent cx="8890" cy="8255"/>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-479425</wp:posOffset>
            </wp:positionV>
            <wp:extent cx="8255" cy="825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-479425</wp:posOffset>
            </wp:positionV>
            <wp:extent cx="8890" cy="825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-479425</wp:posOffset>
            </wp:positionV>
            <wp:extent cx="8255" cy="825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-479425</wp:posOffset>
            </wp:positionV>
            <wp:extent cx="8890" cy="8255"/>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-479425</wp:posOffset>
            </wp:positionV>
            <wp:extent cx="8890" cy="8255"/>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-479425</wp:posOffset>
            </wp:positionV>
            <wp:extent cx="8890" cy="8255"/>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-479425</wp:posOffset>
            </wp:positionV>
            <wp:extent cx="8890" cy="8255"/>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-479425</wp:posOffset>
            </wp:positionV>
            <wp:extent cx="8255" cy="8255"/>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-479425</wp:posOffset>
            </wp:positionV>
            <wp:extent cx="8890" cy="8255"/>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-479425</wp:posOffset>
            </wp:positionV>
            <wp:extent cx="8890" cy="8255"/>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-479425</wp:posOffset>
            </wp:positionV>
            <wp:extent cx="8890" cy="825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-479425</wp:posOffset>
            </wp:positionV>
            <wp:extent cx="8890" cy="8255"/>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-479425</wp:posOffset>
            </wp:positionV>
            <wp:extent cx="8890" cy="8255"/>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-479425</wp:posOffset>
            </wp:positionV>
            <wp:extent cx="8890" cy="8255"/>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-479425</wp:posOffset>
            </wp:positionV>
            <wp:extent cx="8255" cy="8255"/>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-479425</wp:posOffset>
            </wp:positionV>
            <wp:extent cx="8890" cy="8255"/>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-479425</wp:posOffset>
            </wp:positionV>
            <wp:extent cx="8890" cy="825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-479425</wp:posOffset>
            </wp:positionV>
            <wp:extent cx="8890" cy="8255"/>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-479425</wp:posOffset>
            </wp:positionV>
            <wp:extent cx="8890" cy="8255"/>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-479425</wp:posOffset>
            </wp:positionV>
            <wp:extent cx="8255" cy="8255"/>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-479425</wp:posOffset>
            </wp:positionV>
            <wp:extent cx="4732020" cy="8255"/>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8890" cy="825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-325120</wp:posOffset>
            </wp:positionV>
            <wp:extent cx="8890" cy="8255"/>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-325120</wp:posOffset>
            </wp:positionV>
            <wp:extent cx="8255" cy="8255"/>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-325120</wp:posOffset>
            </wp:positionV>
            <wp:extent cx="8255" cy="8255"/>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-325120</wp:posOffset>
            </wp:positionV>
            <wp:extent cx="8890" cy="8255"/>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-325120</wp:posOffset>
            </wp:positionV>
            <wp:extent cx="8255" cy="825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-325120</wp:posOffset>
            </wp:positionV>
            <wp:extent cx="8255" cy="825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-325120</wp:posOffset>
            </wp:positionV>
            <wp:extent cx="8255" cy="825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-325120</wp:posOffset>
            </wp:positionV>
            <wp:extent cx="8890" cy="8255"/>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-325120</wp:posOffset>
            </wp:positionV>
            <wp:extent cx="8255" cy="8255"/>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-325120</wp:posOffset>
            </wp:positionV>
            <wp:extent cx="8255" cy="825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-325120</wp:posOffset>
            </wp:positionV>
            <wp:extent cx="8890" cy="825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-325120</wp:posOffset>
            </wp:positionV>
            <wp:extent cx="8255" cy="825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-325120</wp:posOffset>
            </wp:positionV>
            <wp:extent cx="8255" cy="8255"/>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-325120</wp:posOffset>
            </wp:positionV>
            <wp:extent cx="8255" cy="8255"/>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-325120</wp:posOffset>
            </wp:positionV>
            <wp:extent cx="8255" cy="8255"/>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-325120</wp:posOffset>
            </wp:positionV>
            <wp:extent cx="8255" cy="825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-325120</wp:posOffset>
            </wp:positionV>
            <wp:extent cx="8890" cy="825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-325120</wp:posOffset>
            </wp:positionV>
            <wp:extent cx="8255" cy="8255"/>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-325120</wp:posOffset>
            </wp:positionV>
            <wp:extent cx="8255" cy="8255"/>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-325120</wp:posOffset>
            </wp:positionV>
            <wp:extent cx="8890" cy="8255"/>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-325120</wp:posOffset>
            </wp:positionV>
            <wp:extent cx="8255" cy="8255"/>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-325120</wp:posOffset>
            </wp:positionV>
            <wp:extent cx="8255" cy="825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-325120</wp:posOffset>
            </wp:positionV>
            <wp:extent cx="8255" cy="8255"/>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-325120</wp:posOffset>
            </wp:positionV>
            <wp:extent cx="8255" cy="8255"/>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-325120</wp:posOffset>
            </wp:positionV>
            <wp:extent cx="8255" cy="8255"/>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-325120</wp:posOffset>
            </wp:positionV>
            <wp:extent cx="8255" cy="8255"/>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-325120</wp:posOffset>
            </wp:positionV>
            <wp:extent cx="8255" cy="825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-325120</wp:posOffset>
            </wp:positionV>
            <wp:extent cx="8255" cy="825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-325120</wp:posOffset>
            </wp:positionV>
            <wp:extent cx="8255" cy="8255"/>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-325120</wp:posOffset>
            </wp:positionV>
            <wp:extent cx="8255" cy="8255"/>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-325120</wp:posOffset>
            </wp:positionV>
            <wp:extent cx="8890" cy="8255"/>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-325120</wp:posOffset>
            </wp:positionV>
            <wp:extent cx="8255" cy="825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-325120</wp:posOffset>
            </wp:positionV>
            <wp:extent cx="8255" cy="825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-325120</wp:posOffset>
            </wp:positionV>
            <wp:extent cx="8890" cy="8255"/>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-325120</wp:posOffset>
            </wp:positionV>
            <wp:extent cx="8890" cy="8255"/>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-325120</wp:posOffset>
            </wp:positionV>
            <wp:extent cx="8890" cy="8255"/>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-325120</wp:posOffset>
            </wp:positionV>
            <wp:extent cx="8890" cy="8255"/>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-325120</wp:posOffset>
            </wp:positionV>
            <wp:extent cx="8890" cy="825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-325120</wp:posOffset>
            </wp:positionV>
            <wp:extent cx="8255" cy="825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-325120</wp:posOffset>
            </wp:positionV>
            <wp:extent cx="8255" cy="8255"/>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-325120</wp:posOffset>
            </wp:positionV>
            <wp:extent cx="8890" cy="8255"/>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-325120</wp:posOffset>
            </wp:positionV>
            <wp:extent cx="8890" cy="825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-325120</wp:posOffset>
            </wp:positionV>
            <wp:extent cx="8890" cy="825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-325120</wp:posOffset>
            </wp:positionV>
            <wp:extent cx="8255" cy="8255"/>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-325120</wp:posOffset>
            </wp:positionV>
            <wp:extent cx="8255" cy="825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-325120</wp:posOffset>
            </wp:positionV>
            <wp:extent cx="8255" cy="8255"/>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-325120</wp:posOffset>
            </wp:positionV>
            <wp:extent cx="8890" cy="8255"/>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-325120</wp:posOffset>
            </wp:positionV>
            <wp:extent cx="8890" cy="825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-325120</wp:posOffset>
            </wp:positionV>
            <wp:extent cx="8890" cy="8255"/>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-325120</wp:posOffset>
            </wp:positionV>
            <wp:extent cx="8255" cy="825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-325120</wp:posOffset>
            </wp:positionV>
            <wp:extent cx="8255" cy="8255"/>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-325120</wp:posOffset>
            </wp:positionV>
            <wp:extent cx="8890" cy="825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-325120</wp:posOffset>
            </wp:positionV>
            <wp:extent cx="8890" cy="825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-325120</wp:posOffset>
            </wp:positionV>
            <wp:extent cx="8890" cy="8255"/>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-325120</wp:posOffset>
            </wp:positionV>
            <wp:extent cx="8255" cy="825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-325120</wp:posOffset>
            </wp:positionV>
            <wp:extent cx="8255" cy="8255"/>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-325120</wp:posOffset>
            </wp:positionV>
            <wp:extent cx="8255" cy="8255"/>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-325120</wp:posOffset>
            </wp:positionV>
            <wp:extent cx="8890" cy="8255"/>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-325120</wp:posOffset>
            </wp:positionV>
            <wp:extent cx="8890" cy="8255"/>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-325120</wp:posOffset>
            </wp:positionV>
            <wp:extent cx="8890" cy="825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-325120</wp:posOffset>
            </wp:positionV>
            <wp:extent cx="8255" cy="8255"/>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-325120</wp:posOffset>
            </wp:positionV>
            <wp:extent cx="8255" cy="825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-325120</wp:posOffset>
            </wp:positionV>
            <wp:extent cx="8890" cy="8255"/>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-325120</wp:posOffset>
            </wp:positionV>
            <wp:extent cx="8890" cy="8255"/>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-325120</wp:posOffset>
            </wp:positionV>
            <wp:extent cx="8890" cy="825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-325120</wp:posOffset>
            </wp:positionV>
            <wp:extent cx="8255" cy="8255"/>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-325120</wp:posOffset>
            </wp:positionV>
            <wp:extent cx="8255" cy="8255"/>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-325120</wp:posOffset>
            </wp:positionV>
            <wp:extent cx="8255" cy="825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-325120</wp:posOffset>
            </wp:positionV>
            <wp:extent cx="8890" cy="8255"/>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-325120</wp:posOffset>
            </wp:positionV>
            <wp:extent cx="8890" cy="8255"/>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-325120</wp:posOffset>
            </wp:positionV>
            <wp:extent cx="8890" cy="8255"/>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-325120</wp:posOffset>
            </wp:positionV>
            <wp:extent cx="8255" cy="8255"/>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-325120</wp:posOffset>
            </wp:positionV>
            <wp:extent cx="8255" cy="825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-325120</wp:posOffset>
            </wp:positionV>
            <wp:extent cx="8890" cy="8255"/>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-325120</wp:posOffset>
            </wp:positionV>
            <wp:extent cx="8890" cy="8255"/>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-325120</wp:posOffset>
            </wp:positionV>
            <wp:extent cx="8890" cy="8255"/>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-325120</wp:posOffset>
            </wp:positionV>
            <wp:extent cx="8890" cy="8255"/>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-325120</wp:posOffset>
            </wp:positionV>
            <wp:extent cx="8255" cy="825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-325120</wp:posOffset>
            </wp:positionV>
            <wp:extent cx="8255" cy="825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-325120</wp:posOffset>
            </wp:positionV>
            <wp:extent cx="8890" cy="825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-325120</wp:posOffset>
            </wp:positionV>
            <wp:extent cx="8890" cy="8255"/>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-325120</wp:posOffset>
            </wp:positionV>
            <wp:extent cx="8890" cy="8255"/>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-325120</wp:posOffset>
            </wp:positionV>
            <wp:extent cx="8890" cy="8255"/>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-325120</wp:posOffset>
            </wp:positionV>
            <wp:extent cx="8890" cy="8255"/>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-325120</wp:posOffset>
            </wp:positionV>
            <wp:extent cx="8890" cy="825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-325120</wp:posOffset>
            </wp:positionV>
            <wp:extent cx="8890" cy="8255"/>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-325120</wp:posOffset>
            </wp:positionV>
            <wp:extent cx="8255" cy="8255"/>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-325120</wp:posOffset>
            </wp:positionV>
            <wp:extent cx="8890" cy="825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-325120</wp:posOffset>
            </wp:positionV>
            <wp:extent cx="8890" cy="8255"/>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-325120</wp:posOffset>
            </wp:positionV>
            <wp:extent cx="8890" cy="8255"/>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-325120</wp:posOffset>
            </wp:positionV>
            <wp:extent cx="8890" cy="8255"/>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-325120</wp:posOffset>
            </wp:positionV>
            <wp:extent cx="8255" cy="8255"/>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-325120</wp:posOffset>
            </wp:positionV>
            <wp:extent cx="8890" cy="8255"/>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-325120</wp:posOffset>
            </wp:positionV>
            <wp:extent cx="8890" cy="8255"/>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-325120</wp:posOffset>
            </wp:positionV>
            <wp:extent cx="8890" cy="825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-325120</wp:posOffset>
            </wp:positionV>
            <wp:extent cx="8890" cy="8255"/>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-325120</wp:posOffset>
            </wp:positionV>
            <wp:extent cx="8255" cy="8255"/>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-325120</wp:posOffset>
            </wp:positionV>
            <wp:extent cx="8890" cy="8255"/>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-325120</wp:posOffset>
            </wp:positionV>
            <wp:extent cx="8890" cy="825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-325120</wp:posOffset>
            </wp:positionV>
            <wp:extent cx="8890" cy="8255"/>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-325120</wp:posOffset>
            </wp:positionV>
            <wp:extent cx="8890" cy="8255"/>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-325120</wp:posOffset>
            </wp:positionV>
            <wp:extent cx="8890" cy="8255"/>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-325120</wp:posOffset>
            </wp:positionV>
            <wp:extent cx="8890" cy="8255"/>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-325120</wp:posOffset>
            </wp:positionV>
            <wp:extent cx="8255" cy="8255"/>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-325120</wp:posOffset>
            </wp:positionV>
            <wp:extent cx="8890" cy="8255"/>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-325120</wp:posOffset>
            </wp:positionV>
            <wp:extent cx="8890" cy="8255"/>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-325120</wp:posOffset>
            </wp:positionV>
            <wp:extent cx="8890" cy="8255"/>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-325120</wp:posOffset>
            </wp:positionV>
            <wp:extent cx="8890" cy="8255"/>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-325120</wp:posOffset>
            </wp:positionV>
            <wp:extent cx="8255" cy="825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-325120</wp:posOffset>
            </wp:positionV>
            <wp:extent cx="8890" cy="8255"/>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-325120</wp:posOffset>
            </wp:positionV>
            <wp:extent cx="8890" cy="8255"/>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-325120</wp:posOffset>
            </wp:positionV>
            <wp:extent cx="8890" cy="8255"/>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-325120</wp:posOffset>
            </wp:positionV>
            <wp:extent cx="8890" cy="8255"/>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-325120</wp:posOffset>
            </wp:positionV>
            <wp:extent cx="8255" cy="825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-325120</wp:posOffset>
            </wp:positionV>
            <wp:extent cx="8890" cy="8255"/>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-325120</wp:posOffset>
            </wp:positionV>
            <wp:extent cx="8890" cy="8255"/>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-325120</wp:posOffset>
            </wp:positionV>
            <wp:extent cx="8890" cy="8255"/>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-325120</wp:posOffset>
            </wp:positionV>
            <wp:extent cx="8890" cy="8255"/>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-325120</wp:posOffset>
            </wp:positionV>
            <wp:extent cx="8255" cy="8255"/>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-325120</wp:posOffset>
            </wp:positionV>
            <wp:extent cx="8890" cy="8255"/>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-325120</wp:posOffset>
            </wp:positionV>
            <wp:extent cx="8255" cy="8255"/>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-325120</wp:posOffset>
            </wp:positionV>
            <wp:extent cx="8890" cy="8255"/>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-325120</wp:posOffset>
            </wp:positionV>
            <wp:extent cx="8890" cy="8255"/>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-325120</wp:posOffset>
            </wp:positionV>
            <wp:extent cx="8890" cy="8255"/>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-325120</wp:posOffset>
            </wp:positionV>
            <wp:extent cx="8890" cy="8255"/>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-325120</wp:posOffset>
            </wp:positionV>
            <wp:extent cx="8255" cy="8255"/>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-325120</wp:posOffset>
            </wp:positionV>
            <wp:extent cx="8890" cy="8255"/>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-325120</wp:posOffset>
            </wp:positionV>
            <wp:extent cx="8890" cy="8255"/>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-325120</wp:posOffset>
            </wp:positionV>
            <wp:extent cx="8890" cy="8255"/>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-325120</wp:posOffset>
            </wp:positionV>
            <wp:extent cx="8890" cy="8255"/>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-325120</wp:posOffset>
            </wp:positionV>
            <wp:extent cx="8890" cy="8255"/>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-325120</wp:posOffset>
            </wp:positionV>
            <wp:extent cx="8890" cy="8255"/>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-325120</wp:posOffset>
            </wp:positionV>
            <wp:extent cx="8255" cy="8255"/>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-325120</wp:posOffset>
            </wp:positionV>
            <wp:extent cx="8890" cy="8255"/>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-325120</wp:posOffset>
            </wp:positionV>
            <wp:extent cx="8890" cy="8255"/>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-325120</wp:posOffset>
            </wp:positionV>
            <wp:extent cx="8890" cy="8255"/>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-325120</wp:posOffset>
            </wp:positionV>
            <wp:extent cx="8890" cy="8255"/>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-325120</wp:posOffset>
            </wp:positionV>
            <wp:extent cx="8255" cy="8255"/>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-325120</wp:posOffset>
            </wp:positionV>
            <wp:extent cx="4732020" cy="8255"/>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8890" cy="8255"/>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-170815</wp:posOffset>
            </wp:positionV>
            <wp:extent cx="8890" cy="8255"/>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-170815</wp:posOffset>
            </wp:positionV>
            <wp:extent cx="8255" cy="8255"/>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-170815</wp:posOffset>
            </wp:positionV>
            <wp:extent cx="8255" cy="8255"/>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-170815</wp:posOffset>
            </wp:positionV>
            <wp:extent cx="8890" cy="8255"/>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-170815</wp:posOffset>
            </wp:positionV>
            <wp:extent cx="8255" cy="8255"/>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-170815</wp:posOffset>
            </wp:positionV>
            <wp:extent cx="8255" cy="8255"/>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-170815</wp:posOffset>
            </wp:positionV>
            <wp:extent cx="8255" cy="8255"/>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-170815</wp:posOffset>
            </wp:positionV>
            <wp:extent cx="8890" cy="8255"/>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-170815</wp:posOffset>
            </wp:positionV>
            <wp:extent cx="8255" cy="8255"/>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-170815</wp:posOffset>
            </wp:positionV>
            <wp:extent cx="8255" cy="8255"/>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-170815</wp:posOffset>
            </wp:positionV>
            <wp:extent cx="8890" cy="8255"/>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-170815</wp:posOffset>
            </wp:positionV>
            <wp:extent cx="8255" cy="8255"/>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-170815</wp:posOffset>
            </wp:positionV>
            <wp:extent cx="8255" cy="825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-170815</wp:posOffset>
            </wp:positionV>
            <wp:extent cx="8255" cy="8255"/>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-170815</wp:posOffset>
            </wp:positionV>
            <wp:extent cx="8255" cy="8255"/>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-170815</wp:posOffset>
            </wp:positionV>
            <wp:extent cx="8255" cy="8255"/>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-170815</wp:posOffset>
            </wp:positionV>
            <wp:extent cx="8890" cy="8255"/>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-170815</wp:posOffset>
            </wp:positionV>
            <wp:extent cx="8255" cy="825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-170815</wp:posOffset>
            </wp:positionV>
            <wp:extent cx="8255" cy="8255"/>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-170815</wp:posOffset>
            </wp:positionV>
            <wp:extent cx="8890" cy="8255"/>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-170815</wp:posOffset>
            </wp:positionV>
            <wp:extent cx="8255" cy="8255"/>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-170815</wp:posOffset>
            </wp:positionV>
            <wp:extent cx="8255" cy="8255"/>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-170815</wp:posOffset>
            </wp:positionV>
            <wp:extent cx="8255" cy="8255"/>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-170815</wp:posOffset>
            </wp:positionV>
            <wp:extent cx="8255" cy="8255"/>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-170815</wp:posOffset>
            </wp:positionV>
            <wp:extent cx="8255" cy="8255"/>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-170815</wp:posOffset>
            </wp:positionV>
            <wp:extent cx="8255" cy="8255"/>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-170815</wp:posOffset>
            </wp:positionV>
            <wp:extent cx="8255" cy="8255"/>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-170815</wp:posOffset>
            </wp:positionV>
            <wp:extent cx="8255" cy="825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-170815</wp:posOffset>
            </wp:positionV>
            <wp:extent cx="8255" cy="8255"/>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-170815</wp:posOffset>
            </wp:positionV>
            <wp:extent cx="8255" cy="8255"/>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-170815</wp:posOffset>
            </wp:positionV>
            <wp:extent cx="8890" cy="8255"/>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-170815</wp:posOffset>
            </wp:positionV>
            <wp:extent cx="8255" cy="8255"/>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-170815</wp:posOffset>
            </wp:positionV>
            <wp:extent cx="8255" cy="8255"/>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-170815</wp:posOffset>
            </wp:positionV>
            <wp:extent cx="8890" cy="8255"/>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-170815</wp:posOffset>
            </wp:positionV>
            <wp:extent cx="8890" cy="8255"/>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-170815</wp:posOffset>
            </wp:positionV>
            <wp:extent cx="8890" cy="8255"/>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-170815</wp:posOffset>
            </wp:positionV>
            <wp:extent cx="8890" cy="8255"/>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-170815</wp:posOffset>
            </wp:positionV>
            <wp:extent cx="8890" cy="8255"/>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-170815</wp:posOffset>
            </wp:positionV>
            <wp:extent cx="8255" cy="8255"/>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-170815</wp:posOffset>
            </wp:positionV>
            <wp:extent cx="8255" cy="8255"/>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-170815</wp:posOffset>
            </wp:positionV>
            <wp:extent cx="8890" cy="8255"/>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-170815</wp:posOffset>
            </wp:positionV>
            <wp:extent cx="8890" cy="8255"/>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-170815</wp:posOffset>
            </wp:positionV>
            <wp:extent cx="8890" cy="8255"/>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-170815</wp:posOffset>
            </wp:positionV>
            <wp:extent cx="8255" cy="8255"/>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-170815</wp:posOffset>
            </wp:positionV>
            <wp:extent cx="8255" cy="8255"/>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-170815</wp:posOffset>
            </wp:positionV>
            <wp:extent cx="8255" cy="8255"/>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-170815</wp:posOffset>
            </wp:positionV>
            <wp:extent cx="8890" cy="8255"/>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-170815</wp:posOffset>
            </wp:positionV>
            <wp:extent cx="8890" cy="8255"/>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-170815</wp:posOffset>
            </wp:positionV>
            <wp:extent cx="8890" cy="8255"/>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-170815</wp:posOffset>
            </wp:positionV>
            <wp:extent cx="8255" cy="8255"/>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-170815</wp:posOffset>
            </wp:positionV>
            <wp:extent cx="8255" cy="8255"/>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-170815</wp:posOffset>
            </wp:positionV>
            <wp:extent cx="8890" cy="8255"/>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-170815</wp:posOffset>
            </wp:positionV>
            <wp:extent cx="8890" cy="8255"/>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-170815</wp:posOffset>
            </wp:positionV>
            <wp:extent cx="8890" cy="8255"/>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-170815</wp:posOffset>
            </wp:positionV>
            <wp:extent cx="8255" cy="8255"/>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-170815</wp:posOffset>
            </wp:positionV>
            <wp:extent cx="8255" cy="8255"/>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-170815</wp:posOffset>
            </wp:positionV>
            <wp:extent cx="8255" cy="8255"/>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-170815</wp:posOffset>
            </wp:positionV>
            <wp:extent cx="8890" cy="8255"/>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-170815</wp:posOffset>
            </wp:positionV>
            <wp:extent cx="8890" cy="8255"/>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-170815</wp:posOffset>
            </wp:positionV>
            <wp:extent cx="8890" cy="8255"/>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-170815</wp:posOffset>
            </wp:positionV>
            <wp:extent cx="8255" cy="8255"/>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-170815</wp:posOffset>
            </wp:positionV>
            <wp:extent cx="8255" cy="8255"/>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-170815</wp:posOffset>
            </wp:positionV>
            <wp:extent cx="8890" cy="8255"/>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-170815</wp:posOffset>
            </wp:positionV>
            <wp:extent cx="8890" cy="8255"/>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-170815</wp:posOffset>
            </wp:positionV>
            <wp:extent cx="8890" cy="8255"/>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-170815</wp:posOffset>
            </wp:positionV>
            <wp:extent cx="8255" cy="8255"/>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-170815</wp:posOffset>
            </wp:positionV>
            <wp:extent cx="8255" cy="825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-170815</wp:posOffset>
            </wp:positionV>
            <wp:extent cx="8255" cy="825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-170815</wp:posOffset>
            </wp:positionV>
            <wp:extent cx="8890" cy="8255"/>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-170815</wp:posOffset>
            </wp:positionV>
            <wp:extent cx="8890" cy="8255"/>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-170815</wp:posOffset>
            </wp:positionV>
            <wp:extent cx="8890" cy="8255"/>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-170815</wp:posOffset>
            </wp:positionV>
            <wp:extent cx="8255" cy="8255"/>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-170815</wp:posOffset>
            </wp:positionV>
            <wp:extent cx="8255" cy="8255"/>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-170815</wp:posOffset>
            </wp:positionV>
            <wp:extent cx="8890" cy="8255"/>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-170815</wp:posOffset>
            </wp:positionV>
            <wp:extent cx="8890" cy="8255"/>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-170815</wp:posOffset>
            </wp:positionV>
            <wp:extent cx="8890" cy="8255"/>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-170815</wp:posOffset>
            </wp:positionV>
            <wp:extent cx="8890" cy="8255"/>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-170815</wp:posOffset>
            </wp:positionV>
            <wp:extent cx="8255" cy="8255"/>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-170815</wp:posOffset>
            </wp:positionV>
            <wp:extent cx="8255" cy="8255"/>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-170815</wp:posOffset>
            </wp:positionV>
            <wp:extent cx="8890" cy="8255"/>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-170815</wp:posOffset>
            </wp:positionV>
            <wp:extent cx="8890" cy="8255"/>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-170815</wp:posOffset>
            </wp:positionV>
            <wp:extent cx="8890" cy="8255"/>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-170815</wp:posOffset>
            </wp:positionV>
            <wp:extent cx="8890" cy="8255"/>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-170815</wp:posOffset>
            </wp:positionV>
            <wp:extent cx="8890" cy="8255"/>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-170815</wp:posOffset>
            </wp:positionV>
            <wp:extent cx="8890" cy="8255"/>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-170815</wp:posOffset>
            </wp:positionV>
            <wp:extent cx="8890" cy="8255"/>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-170815</wp:posOffset>
            </wp:positionV>
            <wp:extent cx="8255" cy="8255"/>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-170815</wp:posOffset>
            </wp:positionV>
            <wp:extent cx="8890" cy="8255"/>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-170815</wp:posOffset>
            </wp:positionV>
            <wp:extent cx="8890" cy="8255"/>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-170815</wp:posOffset>
            </wp:positionV>
            <wp:extent cx="8890" cy="8255"/>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-170815</wp:posOffset>
            </wp:positionV>
            <wp:extent cx="8890" cy="8255"/>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-170815</wp:posOffset>
            </wp:positionV>
            <wp:extent cx="8255" cy="8255"/>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-170815</wp:posOffset>
            </wp:positionV>
            <wp:extent cx="8890" cy="8255"/>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-170815</wp:posOffset>
            </wp:positionV>
            <wp:extent cx="8890" cy="8255"/>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-170815</wp:posOffset>
            </wp:positionV>
            <wp:extent cx="8890" cy="8255"/>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-170815</wp:posOffset>
            </wp:positionV>
            <wp:extent cx="8890" cy="8255"/>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-170815</wp:posOffset>
            </wp:positionV>
            <wp:extent cx="8255" cy="8255"/>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-170815</wp:posOffset>
            </wp:positionV>
            <wp:extent cx="8890" cy="8255"/>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-170815</wp:posOffset>
            </wp:positionV>
            <wp:extent cx="8890" cy="8255"/>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-170815</wp:posOffset>
            </wp:positionV>
            <wp:extent cx="8890" cy="8255"/>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-170815</wp:posOffset>
            </wp:positionV>
            <wp:extent cx="8890" cy="8255"/>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-170815</wp:posOffset>
            </wp:positionV>
            <wp:extent cx="8890" cy="8255"/>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-170815</wp:posOffset>
            </wp:positionV>
            <wp:extent cx="8890" cy="8255"/>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-170815</wp:posOffset>
            </wp:positionV>
            <wp:extent cx="8255" cy="8255"/>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-170815</wp:posOffset>
            </wp:positionV>
            <wp:extent cx="8890" cy="8255"/>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-170815</wp:posOffset>
            </wp:positionV>
            <wp:extent cx="8890" cy="8255"/>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-170815</wp:posOffset>
            </wp:positionV>
            <wp:extent cx="8890" cy="8255"/>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-170815</wp:posOffset>
            </wp:positionV>
            <wp:extent cx="8890" cy="8255"/>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-170815</wp:posOffset>
            </wp:positionV>
            <wp:extent cx="8255" cy="8255"/>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-170815</wp:posOffset>
            </wp:positionV>
            <wp:extent cx="8890" cy="8255"/>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-170815</wp:posOffset>
            </wp:positionV>
            <wp:extent cx="8890" cy="8255"/>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-170815</wp:posOffset>
            </wp:positionV>
            <wp:extent cx="8890" cy="8255"/>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-170815</wp:posOffset>
            </wp:positionV>
            <wp:extent cx="8890" cy="8255"/>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-170815</wp:posOffset>
            </wp:positionV>
            <wp:extent cx="8255" cy="8255"/>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-170815</wp:posOffset>
            </wp:positionV>
            <wp:extent cx="8890" cy="8255"/>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-170815</wp:posOffset>
            </wp:positionV>
            <wp:extent cx="8890" cy="8255"/>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-170815</wp:posOffset>
            </wp:positionV>
            <wp:extent cx="8890" cy="8255"/>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-170815</wp:posOffset>
            </wp:positionV>
            <wp:extent cx="8890" cy="8255"/>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-170815</wp:posOffset>
            </wp:positionV>
            <wp:extent cx="8255" cy="8255"/>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-170815</wp:posOffset>
            </wp:positionV>
            <wp:extent cx="8890" cy="8255"/>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-170815</wp:posOffset>
            </wp:positionV>
            <wp:extent cx="8255" cy="8255"/>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-170815</wp:posOffset>
            </wp:positionV>
            <wp:extent cx="8890" cy="8255"/>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-170815</wp:posOffset>
            </wp:positionV>
            <wp:extent cx="8890" cy="8255"/>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-170815</wp:posOffset>
            </wp:positionV>
            <wp:extent cx="8890" cy="8255"/>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-170815</wp:posOffset>
            </wp:positionV>
            <wp:extent cx="8890" cy="8255"/>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-170815</wp:posOffset>
            </wp:positionV>
            <wp:extent cx="8255" cy="8255"/>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-170815</wp:posOffset>
            </wp:positionV>
            <wp:extent cx="8890" cy="8255"/>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-170815</wp:posOffset>
            </wp:positionV>
            <wp:extent cx="8890" cy="8255"/>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-170815</wp:posOffset>
            </wp:positionV>
            <wp:extent cx="8890" cy="8255"/>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-170815</wp:posOffset>
            </wp:positionV>
            <wp:extent cx="8890" cy="8255"/>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-170815</wp:posOffset>
            </wp:positionV>
            <wp:extent cx="8890" cy="8255"/>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-170815</wp:posOffset>
            </wp:positionV>
            <wp:extent cx="8890" cy="8255"/>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-170815</wp:posOffset>
            </wp:positionV>
            <wp:extent cx="8255" cy="8255"/>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-170815</wp:posOffset>
            </wp:positionV>
            <wp:extent cx="8890" cy="8255"/>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-170815</wp:posOffset>
            </wp:positionV>
            <wp:extent cx="8890" cy="8255"/>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-170815</wp:posOffset>
            </wp:positionV>
            <wp:extent cx="8890" cy="8255"/>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-170815</wp:posOffset>
            </wp:positionV>
            <wp:extent cx="8890" cy="8255"/>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-170815</wp:posOffset>
            </wp:positionV>
            <wp:extent cx="8255" cy="8255"/>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-170815</wp:posOffset>
            </wp:positionV>
            <wp:extent cx="4732020" cy="8255"/>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7">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160"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For free cash flow results between any two performance targets, payout is prorated. No cash incentive is earned if we do not achieve the minimum free cash flow target.</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Committee set the target performance goal based on our then-current internal free cash flow forecast for 2022, which was 15% higher than our target cash flow generation goal from the prior year. The Committee believed the above performance goals appropriately reflected a change in the industry cycle, because execution of SLB’s strategy in 2022 and outperformance through the upcycle would require increased capital investment in line with anticipated activity increases.</w:t>
      </w:r>
    </w:p>
    <w:p>
      <w:pPr>
        <w:spacing w:after="0" w:line="15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Our 2022 free cash flow was $1.418 billion. Because we did not achieve our threshold free cash flow performance target, our CEO and other NEOs earned </w:t>
      </w:r>
      <w:r>
        <w:rPr>
          <w:rFonts w:ascii="Arial" w:cs="Arial" w:eastAsia="Arial" w:hAnsi="Arial"/>
          <w:sz w:val="16"/>
          <w:szCs w:val="16"/>
          <w:b w:val="1"/>
          <w:bCs w:val="1"/>
          <w:color w:val="auto"/>
        </w:rPr>
        <w:t>no payout</w:t>
      </w:r>
      <w:r>
        <w:rPr>
          <w:rFonts w:ascii="Arial" w:cs="Arial" w:eastAsia="Arial" w:hAnsi="Arial"/>
          <w:sz w:val="16"/>
          <w:szCs w:val="16"/>
          <w:color w:val="auto"/>
        </w:rPr>
        <w:t xml:space="preserve"> under the free cash flow component of our 2022 cash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183515</wp:posOffset>
            </wp:positionV>
            <wp:extent cx="471805" cy="282575"/>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8">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Pr>
          <w:p>
            <w:pPr>
              <w:spacing w:after="0"/>
              <w:rPr>
                <w:sz w:val="9"/>
                <w:szCs w:val="9"/>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37</w:t>
            </w:r>
          </w:p>
        </w:tc>
        <w:tc>
          <w:tcPr>
            <w:tcW w:w="44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Strategic Personal Objectives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reflects our NEOs’ 2022 strategic personal objectives and their achievements against those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158115</wp:posOffset>
            </wp:positionV>
            <wp:extent cx="2425700" cy="403225"/>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9">
                      <a:extLst>
                        <a:ext uri="{28A0092B-C50C-407E-A947-70E740481C1C}"/>
                      </a:extLst>
                    </a:blip>
                    <a:srcRect/>
                    <a:stretch>
                      <a:fillRect/>
                    </a:stretch>
                  </pic:blipFill>
                  <pic:spPr bwMode="auto">
                    <a:xfrm>
                      <a:off x="0" y="0"/>
                      <a:ext cx="242570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40" w:type="dxa"/>
            <w:vAlign w:val="bottom"/>
            <w:gridSpan w:val="3"/>
            <w:shd w:val="clear" w:color="auto" w:fill="0233A1"/>
          </w:tcPr>
          <w:p>
            <w:pPr>
              <w:ind w:left="100"/>
              <w:spacing w:after="0"/>
              <w:rPr>
                <w:sz w:val="20"/>
                <w:szCs w:val="20"/>
                <w:color w:val="auto"/>
              </w:rPr>
            </w:pPr>
            <w:r>
              <w:rPr>
                <w:rFonts w:ascii="Arial" w:cs="Arial" w:eastAsia="Arial" w:hAnsi="Arial"/>
                <w:sz w:val="16"/>
                <w:szCs w:val="16"/>
                <w:b w:val="1"/>
                <w:bCs w:val="1"/>
                <w:color w:val="FFFFFF"/>
              </w:rPr>
              <w:t>Performance Goal</w:t>
            </w:r>
          </w:p>
        </w:tc>
        <w:tc>
          <w:tcPr>
            <w:tcW w:w="120" w:type="dxa"/>
            <w:vAlign w:val="bottom"/>
            <w:shd w:val="clear" w:color="auto" w:fill="0233A1"/>
          </w:tcPr>
          <w:p>
            <w:pPr>
              <w:spacing w:after="0"/>
              <w:rPr>
                <w:sz w:val="21"/>
                <w:szCs w:val="21"/>
                <w:color w:val="auto"/>
              </w:rPr>
            </w:pPr>
          </w:p>
        </w:tc>
        <w:tc>
          <w:tcPr>
            <w:tcW w:w="360" w:type="dxa"/>
            <w:vAlign w:val="bottom"/>
            <w:shd w:val="clear" w:color="auto" w:fill="0233A1"/>
          </w:tcPr>
          <w:p>
            <w:pPr>
              <w:spacing w:after="0"/>
              <w:rPr>
                <w:sz w:val="21"/>
                <w:szCs w:val="21"/>
                <w:color w:val="auto"/>
              </w:rPr>
            </w:pPr>
          </w:p>
        </w:tc>
        <w:tc>
          <w:tcPr>
            <w:tcW w:w="660" w:type="dxa"/>
            <w:vAlign w:val="bottom"/>
            <w:shd w:val="clear" w:color="auto" w:fill="0233A1"/>
          </w:tcPr>
          <w:p>
            <w:pPr>
              <w:spacing w:after="0"/>
              <w:rPr>
                <w:sz w:val="21"/>
                <w:szCs w:val="21"/>
                <w:color w:val="auto"/>
              </w:rPr>
            </w:pPr>
          </w:p>
        </w:tc>
        <w:tc>
          <w:tcPr>
            <w:tcW w:w="700" w:type="dxa"/>
            <w:vAlign w:val="bottom"/>
            <w:shd w:val="clear" w:color="auto" w:fill="0233A1"/>
          </w:tcPr>
          <w:p>
            <w:pPr>
              <w:spacing w:after="0"/>
              <w:rPr>
                <w:sz w:val="21"/>
                <w:szCs w:val="21"/>
                <w:color w:val="auto"/>
              </w:rPr>
            </w:pPr>
          </w:p>
        </w:tc>
        <w:tc>
          <w:tcPr>
            <w:tcW w:w="720" w:type="dxa"/>
            <w:vAlign w:val="bottom"/>
            <w:shd w:val="clear" w:color="auto" w:fill="0233A1"/>
          </w:tcPr>
          <w:p>
            <w:pPr>
              <w:spacing w:after="0"/>
              <w:rPr>
                <w:sz w:val="21"/>
                <w:szCs w:val="21"/>
                <w:color w:val="auto"/>
              </w:rPr>
            </w:pPr>
          </w:p>
        </w:tc>
        <w:tc>
          <w:tcPr>
            <w:tcW w:w="660" w:type="dxa"/>
            <w:vAlign w:val="bottom"/>
            <w:shd w:val="clear" w:color="auto" w:fill="0233A1"/>
          </w:tcPr>
          <w:p>
            <w:pPr>
              <w:spacing w:after="0"/>
              <w:rPr>
                <w:sz w:val="21"/>
                <w:szCs w:val="21"/>
                <w:color w:val="auto"/>
              </w:rPr>
            </w:pPr>
          </w:p>
        </w:tc>
        <w:tc>
          <w:tcPr>
            <w:tcW w:w="480" w:type="dxa"/>
            <w:vAlign w:val="bottom"/>
            <w:shd w:val="clear" w:color="auto" w:fill="0233A1"/>
          </w:tcPr>
          <w:p>
            <w:pPr>
              <w:spacing w:after="0"/>
              <w:rPr>
                <w:sz w:val="21"/>
                <w:szCs w:val="21"/>
                <w:color w:val="auto"/>
              </w:rPr>
            </w:pPr>
          </w:p>
        </w:tc>
        <w:tc>
          <w:tcPr>
            <w:tcW w:w="1800" w:type="dxa"/>
            <w:vAlign w:val="bottom"/>
            <w:shd w:val="clear" w:color="auto" w:fill="0233A1"/>
          </w:tcPr>
          <w:p>
            <w:pPr>
              <w:ind w:left="340"/>
              <w:spacing w:after="0"/>
              <w:rPr>
                <w:sz w:val="20"/>
                <w:szCs w:val="20"/>
                <w:color w:val="auto"/>
              </w:rPr>
            </w:pPr>
            <w:r>
              <w:rPr>
                <w:rFonts w:ascii="Arial" w:cs="Arial" w:eastAsia="Arial" w:hAnsi="Arial"/>
                <w:sz w:val="16"/>
                <w:szCs w:val="16"/>
                <w:b w:val="1"/>
                <w:bCs w:val="1"/>
                <w:color w:val="FFFFFF"/>
              </w:rPr>
              <w:t>Achievement</w:t>
            </w:r>
          </w:p>
        </w:tc>
        <w:tc>
          <w:tcPr>
            <w:tcW w:w="0" w:type="dxa"/>
            <w:vAlign w:val="bottom"/>
          </w:tcPr>
          <w:p>
            <w:pPr>
              <w:spacing w:after="0"/>
              <w:rPr>
                <w:sz w:val="1"/>
                <w:szCs w:val="1"/>
                <w:color w:val="auto"/>
              </w:rPr>
            </w:pPr>
          </w:p>
        </w:tc>
      </w:tr>
      <w:tr>
        <w:trPr>
          <w:trHeight w:val="243"/>
        </w:trPr>
        <w:tc>
          <w:tcPr>
            <w:tcW w:w="5740" w:type="dxa"/>
            <w:vAlign w:val="bottom"/>
            <w:gridSpan w:val="3"/>
            <w:shd w:val="clear" w:color="auto" w:fill="E0E2EC"/>
          </w:tcPr>
          <w:p>
            <w:pPr>
              <w:ind w:left="100"/>
              <w:spacing w:after="0"/>
              <w:rPr>
                <w:sz w:val="20"/>
                <w:szCs w:val="20"/>
                <w:color w:val="auto"/>
              </w:rPr>
            </w:pPr>
            <w:r>
              <w:rPr>
                <w:rFonts w:ascii="Arial" w:cs="Arial" w:eastAsia="Arial" w:hAnsi="Arial"/>
                <w:sz w:val="16"/>
                <w:szCs w:val="16"/>
                <w:b w:val="1"/>
                <w:bCs w:val="1"/>
                <w:color w:val="auto"/>
              </w:rPr>
              <w:t>Strategic Planning and Sustainability</w:t>
            </w:r>
          </w:p>
        </w:tc>
        <w:tc>
          <w:tcPr>
            <w:tcW w:w="120" w:type="dxa"/>
            <w:vAlign w:val="bottom"/>
            <w:shd w:val="clear" w:color="auto" w:fill="E0E2EC"/>
          </w:tcPr>
          <w:p>
            <w:pPr>
              <w:spacing w:after="0"/>
              <w:rPr>
                <w:sz w:val="21"/>
                <w:szCs w:val="21"/>
                <w:color w:val="auto"/>
              </w:rPr>
            </w:pPr>
          </w:p>
        </w:tc>
        <w:tc>
          <w:tcPr>
            <w:tcW w:w="360" w:type="dxa"/>
            <w:vAlign w:val="bottom"/>
            <w:shd w:val="clear" w:color="auto" w:fill="E0E2EC"/>
          </w:tcPr>
          <w:p>
            <w:pPr>
              <w:spacing w:after="0"/>
              <w:rPr>
                <w:sz w:val="21"/>
                <w:szCs w:val="21"/>
                <w:color w:val="auto"/>
              </w:rPr>
            </w:pPr>
          </w:p>
        </w:tc>
        <w:tc>
          <w:tcPr>
            <w:tcW w:w="660" w:type="dxa"/>
            <w:vAlign w:val="bottom"/>
            <w:shd w:val="clear" w:color="auto" w:fill="E0E2EC"/>
          </w:tcPr>
          <w:p>
            <w:pPr>
              <w:spacing w:after="0"/>
              <w:rPr>
                <w:sz w:val="21"/>
                <w:szCs w:val="21"/>
                <w:color w:val="auto"/>
              </w:rPr>
            </w:pPr>
          </w:p>
        </w:tc>
        <w:tc>
          <w:tcPr>
            <w:tcW w:w="700" w:type="dxa"/>
            <w:vAlign w:val="bottom"/>
            <w:shd w:val="clear" w:color="auto" w:fill="E0E2EC"/>
          </w:tcPr>
          <w:p>
            <w:pPr>
              <w:spacing w:after="0"/>
              <w:rPr>
                <w:sz w:val="21"/>
                <w:szCs w:val="21"/>
                <w:color w:val="auto"/>
              </w:rPr>
            </w:pPr>
          </w:p>
        </w:tc>
        <w:tc>
          <w:tcPr>
            <w:tcW w:w="720" w:type="dxa"/>
            <w:vAlign w:val="bottom"/>
            <w:shd w:val="clear" w:color="auto" w:fill="E0E2EC"/>
          </w:tcPr>
          <w:p>
            <w:pPr>
              <w:spacing w:after="0"/>
              <w:rPr>
                <w:sz w:val="21"/>
                <w:szCs w:val="21"/>
                <w:color w:val="auto"/>
              </w:rPr>
            </w:pPr>
          </w:p>
        </w:tc>
        <w:tc>
          <w:tcPr>
            <w:tcW w:w="660" w:type="dxa"/>
            <w:vAlign w:val="bottom"/>
            <w:shd w:val="clear" w:color="auto" w:fill="E0E2EC"/>
          </w:tcPr>
          <w:p>
            <w:pPr>
              <w:spacing w:after="0"/>
              <w:rPr>
                <w:sz w:val="21"/>
                <w:szCs w:val="21"/>
                <w:color w:val="auto"/>
              </w:rPr>
            </w:pPr>
          </w:p>
        </w:tc>
        <w:tc>
          <w:tcPr>
            <w:tcW w:w="480" w:type="dxa"/>
            <w:vAlign w:val="bottom"/>
            <w:shd w:val="clear" w:color="auto" w:fill="E0E2EC"/>
          </w:tcPr>
          <w:p>
            <w:pPr>
              <w:spacing w:after="0"/>
              <w:rPr>
                <w:sz w:val="21"/>
                <w:szCs w:val="21"/>
                <w:color w:val="auto"/>
              </w:rPr>
            </w:pPr>
          </w:p>
        </w:tc>
        <w:tc>
          <w:tcPr>
            <w:tcW w:w="1800" w:type="dxa"/>
            <w:vAlign w:val="bottom"/>
            <w:shd w:val="clear" w:color="auto" w:fill="E0E2E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740" w:type="dxa"/>
            <w:vAlign w:val="bottom"/>
            <w:gridSpan w:val="3"/>
          </w:tcPr>
          <w:p>
            <w:pPr>
              <w:ind w:left="180"/>
              <w:spacing w:after="0" w:line="242" w:lineRule="exact"/>
              <w:rPr>
                <w:sz w:val="20"/>
                <w:szCs w:val="20"/>
                <w:color w:val="auto"/>
              </w:rPr>
            </w:pPr>
            <w:r>
              <w:rPr>
                <w:rFonts w:ascii="Arial" w:cs="Arial" w:eastAsia="Arial" w:hAnsi="Arial"/>
                <w:sz w:val="16"/>
                <w:szCs w:val="16"/>
                <w:color w:val="auto"/>
              </w:rPr>
              <w:t>Reduce SLB’s Scope 3 emissions, using a pre-established CO</w:t>
            </w:r>
            <w:r>
              <w:rPr>
                <w:rFonts w:ascii="Arial" w:cs="Arial" w:eastAsia="Arial" w:hAnsi="Arial"/>
                <w:sz w:val="26"/>
                <w:szCs w:val="26"/>
                <w:color w:val="auto"/>
                <w:vertAlign w:val="subscript"/>
              </w:rPr>
              <w:t>2</w:t>
            </w:r>
            <w:r>
              <w:rPr>
                <w:rFonts w:ascii="Arial" w:cs="Arial" w:eastAsia="Arial" w:hAnsi="Arial"/>
                <w:sz w:val="16"/>
                <w:szCs w:val="16"/>
                <w:color w:val="auto"/>
              </w:rPr>
              <w:t>e target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0" w:type="dxa"/>
            <w:vAlign w:val="bottom"/>
          </w:tcPr>
          <w:p>
            <w:pPr>
              <w:ind w:left="340"/>
              <w:spacing w:after="0"/>
              <w:rPr>
                <w:sz w:val="20"/>
                <w:szCs w:val="20"/>
                <w:color w:val="auto"/>
              </w:rPr>
            </w:pPr>
            <w:r>
              <w:rPr>
                <w:rFonts w:ascii="Arial" w:cs="Arial" w:eastAsia="Arial" w:hAnsi="Arial"/>
                <w:sz w:val="16"/>
                <w:szCs w:val="16"/>
                <w:color w:val="auto"/>
              </w:rPr>
              <w:t>Achieved</w:t>
            </w:r>
          </w:p>
        </w:tc>
        <w:tc>
          <w:tcPr>
            <w:tcW w:w="0" w:type="dxa"/>
            <w:vAlign w:val="bottom"/>
          </w:tcPr>
          <w:p>
            <w:pPr>
              <w:spacing w:after="0"/>
              <w:rPr>
                <w:sz w:val="1"/>
                <w:szCs w:val="1"/>
                <w:color w:val="auto"/>
              </w:rPr>
            </w:pPr>
          </w:p>
        </w:tc>
      </w:tr>
      <w:tr>
        <w:trPr>
          <w:trHeight w:val="189"/>
        </w:trPr>
        <w:tc>
          <w:tcPr>
            <w:tcW w:w="5740" w:type="dxa"/>
            <w:vAlign w:val="bottom"/>
            <w:gridSpan w:val="3"/>
          </w:tcPr>
          <w:p>
            <w:pPr>
              <w:ind w:left="180"/>
              <w:spacing w:after="0"/>
              <w:rPr>
                <w:sz w:val="20"/>
                <w:szCs w:val="20"/>
                <w:color w:val="auto"/>
              </w:rPr>
            </w:pPr>
            <w:r>
              <w:rPr>
                <w:rFonts w:ascii="Arial" w:cs="Arial" w:eastAsia="Arial" w:hAnsi="Arial"/>
                <w:sz w:val="16"/>
                <w:szCs w:val="16"/>
                <w:color w:val="auto"/>
              </w:rPr>
              <w:t>based on “customer-avoided” emissions. These avoided emissions are</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40" w:type="dxa"/>
            <w:vAlign w:val="bottom"/>
            <w:gridSpan w:val="3"/>
          </w:tcPr>
          <w:p>
            <w:pPr>
              <w:ind w:left="180"/>
              <w:spacing w:after="0"/>
              <w:rPr>
                <w:sz w:val="20"/>
                <w:szCs w:val="20"/>
                <w:color w:val="auto"/>
              </w:rPr>
            </w:pPr>
            <w:r>
              <w:rPr>
                <w:rFonts w:ascii="Arial" w:cs="Arial" w:eastAsia="Arial" w:hAnsi="Arial"/>
                <w:sz w:val="16"/>
                <w:szCs w:val="16"/>
                <w:color w:val="auto"/>
              </w:rPr>
              <w:t>driven by sales from our Transition Technologies portfolio, which helps us</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40" w:type="dxa"/>
            <w:vAlign w:val="bottom"/>
            <w:gridSpan w:val="3"/>
          </w:tcPr>
          <w:p>
            <w:pPr>
              <w:ind w:left="180"/>
              <w:spacing w:after="0"/>
              <w:rPr>
                <w:sz w:val="20"/>
                <w:szCs w:val="20"/>
                <w:color w:val="auto"/>
              </w:rPr>
            </w:pPr>
            <w:r>
              <w:rPr>
                <w:rFonts w:ascii="Arial" w:cs="Arial" w:eastAsia="Arial" w:hAnsi="Arial"/>
                <w:sz w:val="16"/>
                <w:szCs w:val="16"/>
                <w:color w:val="auto"/>
              </w:rPr>
              <w:t>and our customers reduce carbon emissions while strengthening our</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740" w:type="dxa"/>
            <w:vAlign w:val="bottom"/>
            <w:gridSpan w:val="3"/>
          </w:tcPr>
          <w:p>
            <w:pPr>
              <w:ind w:left="180"/>
              <w:spacing w:after="0"/>
              <w:rPr>
                <w:sz w:val="20"/>
                <w:szCs w:val="20"/>
                <w:color w:val="auto"/>
              </w:rPr>
            </w:pPr>
            <w:r>
              <w:rPr>
                <w:rFonts w:ascii="Arial" w:cs="Arial" w:eastAsia="Arial" w:hAnsi="Arial"/>
                <w:sz w:val="16"/>
                <w:szCs w:val="16"/>
                <w:color w:val="auto"/>
              </w:rPr>
              <w:t>commercial model.</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740" w:type="dxa"/>
            <w:vAlign w:val="bottom"/>
            <w:gridSpan w:val="3"/>
          </w:tcPr>
          <w:p>
            <w:pPr>
              <w:ind w:left="180"/>
              <w:spacing w:after="0"/>
              <w:rPr>
                <w:sz w:val="20"/>
                <w:szCs w:val="20"/>
                <w:color w:val="auto"/>
              </w:rPr>
            </w:pPr>
            <w:r>
              <w:rPr>
                <w:rFonts w:ascii="Arial" w:cs="Arial" w:eastAsia="Arial" w:hAnsi="Arial"/>
                <w:sz w:val="16"/>
                <w:szCs w:val="16"/>
                <w:color w:val="auto"/>
              </w:rPr>
              <w:t>Oversee completion and roll-out of near- and mid-term corporate strategy, in</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0" w:type="dxa"/>
            <w:vAlign w:val="bottom"/>
          </w:tcPr>
          <w:p>
            <w:pPr>
              <w:ind w:left="340"/>
              <w:spacing w:after="0"/>
              <w:rPr>
                <w:sz w:val="20"/>
                <w:szCs w:val="20"/>
                <w:color w:val="auto"/>
              </w:rPr>
            </w:pPr>
            <w:r>
              <w:rPr>
                <w:rFonts w:ascii="Arial" w:cs="Arial" w:eastAsia="Arial" w:hAnsi="Arial"/>
                <w:sz w:val="16"/>
                <w:szCs w:val="16"/>
                <w:color w:val="auto"/>
              </w:rPr>
              <w:t>Achieved</w:t>
            </w:r>
          </w:p>
        </w:tc>
        <w:tc>
          <w:tcPr>
            <w:tcW w:w="0" w:type="dxa"/>
            <w:vAlign w:val="bottom"/>
          </w:tcPr>
          <w:p>
            <w:pPr>
              <w:spacing w:after="0"/>
              <w:rPr>
                <w:sz w:val="1"/>
                <w:szCs w:val="1"/>
                <w:color w:val="auto"/>
              </w:rPr>
            </w:pPr>
          </w:p>
        </w:tc>
      </w:tr>
      <w:tr>
        <w:trPr>
          <w:trHeight w:val="215"/>
        </w:trPr>
        <w:tc>
          <w:tcPr>
            <w:tcW w:w="5740" w:type="dxa"/>
            <w:vAlign w:val="bottom"/>
            <w:gridSpan w:val="3"/>
          </w:tcPr>
          <w:p>
            <w:pPr>
              <w:ind w:left="180"/>
              <w:spacing w:after="0"/>
              <w:rPr>
                <w:sz w:val="20"/>
                <w:szCs w:val="20"/>
                <w:color w:val="auto"/>
              </w:rPr>
            </w:pPr>
            <w:r>
              <w:rPr>
                <w:rFonts w:ascii="Arial" w:cs="Arial" w:eastAsia="Arial" w:hAnsi="Arial"/>
                <w:sz w:val="16"/>
                <w:szCs w:val="16"/>
                <w:color w:val="auto"/>
              </w:rPr>
              <w:t>line with sustainability and New Energy priorities.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740" w:type="dxa"/>
            <w:vAlign w:val="bottom"/>
            <w:gridSpan w:val="3"/>
          </w:tcPr>
          <w:p>
            <w:pPr>
              <w:ind w:left="180"/>
              <w:spacing w:after="0"/>
              <w:rPr>
                <w:sz w:val="20"/>
                <w:szCs w:val="20"/>
                <w:color w:val="auto"/>
              </w:rPr>
            </w:pPr>
            <w:r>
              <w:rPr>
                <w:rFonts w:ascii="Arial" w:cs="Arial" w:eastAsia="Arial" w:hAnsi="Arial"/>
                <w:sz w:val="16"/>
                <w:szCs w:val="16"/>
                <w:color w:val="auto"/>
              </w:rPr>
              <w:t>Launch M&amp;A program aligned with near- and mid-term corporate portfolio</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0" w:type="dxa"/>
            <w:vAlign w:val="bottom"/>
          </w:tcPr>
          <w:p>
            <w:pPr>
              <w:ind w:left="340"/>
              <w:spacing w:after="0"/>
              <w:rPr>
                <w:sz w:val="20"/>
                <w:szCs w:val="20"/>
                <w:color w:val="auto"/>
              </w:rPr>
            </w:pPr>
            <w:r>
              <w:rPr>
                <w:rFonts w:ascii="Arial" w:cs="Arial" w:eastAsia="Arial" w:hAnsi="Arial"/>
                <w:sz w:val="16"/>
                <w:szCs w:val="16"/>
                <w:color w:val="auto"/>
              </w:rPr>
              <w:t>Achieved</w:t>
            </w:r>
          </w:p>
        </w:tc>
        <w:tc>
          <w:tcPr>
            <w:tcW w:w="0" w:type="dxa"/>
            <w:vAlign w:val="bottom"/>
          </w:tcPr>
          <w:p>
            <w:pPr>
              <w:spacing w:after="0"/>
              <w:rPr>
                <w:sz w:val="1"/>
                <w:szCs w:val="1"/>
                <w:color w:val="auto"/>
              </w:rPr>
            </w:pPr>
          </w:p>
        </w:tc>
      </w:tr>
      <w:tr>
        <w:trPr>
          <w:trHeight w:val="215"/>
        </w:trPr>
        <w:tc>
          <w:tcPr>
            <w:tcW w:w="5740" w:type="dxa"/>
            <w:vAlign w:val="bottom"/>
            <w:gridSpan w:val="3"/>
          </w:tcPr>
          <w:p>
            <w:pPr>
              <w:ind w:left="180"/>
              <w:spacing w:after="0"/>
              <w:rPr>
                <w:sz w:val="20"/>
                <w:szCs w:val="20"/>
                <w:color w:val="auto"/>
              </w:rPr>
            </w:pPr>
            <w:r>
              <w:rPr>
                <w:rFonts w:ascii="Arial" w:cs="Arial" w:eastAsia="Arial" w:hAnsi="Arial"/>
                <w:sz w:val="16"/>
                <w:szCs w:val="16"/>
                <w:color w:val="auto"/>
              </w:rPr>
              <w:t>strategy based on scenario planning.</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740" w:type="dxa"/>
            <w:vAlign w:val="bottom"/>
            <w:gridSpan w:val="3"/>
          </w:tcPr>
          <w:p>
            <w:pPr>
              <w:ind w:left="180"/>
              <w:spacing w:after="0"/>
              <w:rPr>
                <w:sz w:val="20"/>
                <w:szCs w:val="20"/>
                <w:color w:val="auto"/>
              </w:rPr>
            </w:pPr>
            <w:r>
              <w:rPr>
                <w:rFonts w:ascii="Arial" w:cs="Arial" w:eastAsia="Arial" w:hAnsi="Arial"/>
                <w:sz w:val="16"/>
                <w:szCs w:val="16"/>
                <w:color w:val="auto"/>
              </w:rPr>
              <w:t>Oversee enhancements to our carbon emissions reporting, due diligence,</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0" w:type="dxa"/>
            <w:vAlign w:val="bottom"/>
          </w:tcPr>
          <w:p>
            <w:pPr>
              <w:ind w:left="340"/>
              <w:spacing w:after="0"/>
              <w:rPr>
                <w:sz w:val="20"/>
                <w:szCs w:val="20"/>
                <w:color w:val="auto"/>
              </w:rPr>
            </w:pPr>
            <w:r>
              <w:rPr>
                <w:rFonts w:ascii="Arial" w:cs="Arial" w:eastAsia="Arial" w:hAnsi="Arial"/>
                <w:sz w:val="16"/>
                <w:szCs w:val="16"/>
                <w:color w:val="auto"/>
              </w:rPr>
              <w:t>Achieved</w:t>
            </w:r>
          </w:p>
        </w:tc>
        <w:tc>
          <w:tcPr>
            <w:tcW w:w="0" w:type="dxa"/>
            <w:vAlign w:val="bottom"/>
          </w:tcPr>
          <w:p>
            <w:pPr>
              <w:spacing w:after="0"/>
              <w:rPr>
                <w:sz w:val="1"/>
                <w:szCs w:val="1"/>
                <w:color w:val="auto"/>
              </w:rPr>
            </w:pPr>
          </w:p>
        </w:tc>
      </w:tr>
      <w:tr>
        <w:trPr>
          <w:trHeight w:val="189"/>
        </w:trPr>
        <w:tc>
          <w:tcPr>
            <w:tcW w:w="5740" w:type="dxa"/>
            <w:vAlign w:val="bottom"/>
            <w:gridSpan w:val="3"/>
          </w:tcPr>
          <w:p>
            <w:pPr>
              <w:ind w:left="180"/>
              <w:spacing w:after="0"/>
              <w:rPr>
                <w:sz w:val="20"/>
                <w:szCs w:val="20"/>
                <w:color w:val="auto"/>
              </w:rPr>
            </w:pPr>
            <w:r>
              <w:rPr>
                <w:rFonts w:ascii="Arial" w:cs="Arial" w:eastAsia="Arial" w:hAnsi="Arial"/>
                <w:sz w:val="16"/>
                <w:szCs w:val="16"/>
                <w:color w:val="auto"/>
              </w:rPr>
              <w:t>internal controls, and auditing processes, and meet related quantitative</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740" w:type="dxa"/>
            <w:vAlign w:val="bottom"/>
            <w:gridSpan w:val="3"/>
          </w:tcPr>
          <w:p>
            <w:pPr>
              <w:ind w:left="180"/>
              <w:spacing w:after="0"/>
              <w:rPr>
                <w:sz w:val="20"/>
                <w:szCs w:val="20"/>
                <w:color w:val="auto"/>
              </w:rPr>
            </w:pPr>
            <w:r>
              <w:rPr>
                <w:rFonts w:ascii="Arial" w:cs="Arial" w:eastAsia="Arial" w:hAnsi="Arial"/>
                <w:sz w:val="16"/>
                <w:szCs w:val="16"/>
                <w:color w:val="auto"/>
              </w:rPr>
              <w:t>milestones.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740" w:type="dxa"/>
            <w:vAlign w:val="bottom"/>
            <w:gridSpan w:val="3"/>
            <w:shd w:val="clear" w:color="auto" w:fill="E0E2EC"/>
          </w:tcPr>
          <w:p>
            <w:pPr>
              <w:ind w:left="100"/>
              <w:spacing w:after="0"/>
              <w:rPr>
                <w:sz w:val="20"/>
                <w:szCs w:val="20"/>
                <w:color w:val="auto"/>
              </w:rPr>
            </w:pPr>
            <w:r>
              <w:rPr>
                <w:rFonts w:ascii="Arial" w:cs="Arial" w:eastAsia="Arial" w:hAnsi="Arial"/>
                <w:sz w:val="16"/>
                <w:szCs w:val="16"/>
                <w:b w:val="1"/>
                <w:bCs w:val="1"/>
                <w:color w:val="auto"/>
              </w:rPr>
              <w:t>Digital Growth and Technology Innovation</w:t>
            </w:r>
          </w:p>
        </w:tc>
        <w:tc>
          <w:tcPr>
            <w:tcW w:w="120" w:type="dxa"/>
            <w:vAlign w:val="bottom"/>
            <w:shd w:val="clear" w:color="auto" w:fill="E0E2EC"/>
          </w:tcPr>
          <w:p>
            <w:pPr>
              <w:spacing w:after="0"/>
              <w:rPr>
                <w:sz w:val="22"/>
                <w:szCs w:val="22"/>
                <w:color w:val="auto"/>
              </w:rPr>
            </w:pPr>
          </w:p>
        </w:tc>
        <w:tc>
          <w:tcPr>
            <w:tcW w:w="360" w:type="dxa"/>
            <w:vAlign w:val="bottom"/>
            <w:shd w:val="clear" w:color="auto" w:fill="E0E2EC"/>
          </w:tcPr>
          <w:p>
            <w:pPr>
              <w:spacing w:after="0"/>
              <w:rPr>
                <w:sz w:val="22"/>
                <w:szCs w:val="22"/>
                <w:color w:val="auto"/>
              </w:rPr>
            </w:pPr>
          </w:p>
        </w:tc>
        <w:tc>
          <w:tcPr>
            <w:tcW w:w="660" w:type="dxa"/>
            <w:vAlign w:val="bottom"/>
            <w:shd w:val="clear" w:color="auto" w:fill="E0E2EC"/>
          </w:tcPr>
          <w:p>
            <w:pPr>
              <w:spacing w:after="0"/>
              <w:rPr>
                <w:sz w:val="22"/>
                <w:szCs w:val="22"/>
                <w:color w:val="auto"/>
              </w:rPr>
            </w:pPr>
          </w:p>
        </w:tc>
        <w:tc>
          <w:tcPr>
            <w:tcW w:w="700" w:type="dxa"/>
            <w:vAlign w:val="bottom"/>
            <w:shd w:val="clear" w:color="auto" w:fill="E0E2EC"/>
          </w:tcPr>
          <w:p>
            <w:pPr>
              <w:spacing w:after="0"/>
              <w:rPr>
                <w:sz w:val="22"/>
                <w:szCs w:val="22"/>
                <w:color w:val="auto"/>
              </w:rPr>
            </w:pPr>
          </w:p>
        </w:tc>
        <w:tc>
          <w:tcPr>
            <w:tcW w:w="720" w:type="dxa"/>
            <w:vAlign w:val="bottom"/>
            <w:shd w:val="clear" w:color="auto" w:fill="E0E2EC"/>
          </w:tcPr>
          <w:p>
            <w:pPr>
              <w:spacing w:after="0"/>
              <w:rPr>
                <w:sz w:val="22"/>
                <w:szCs w:val="22"/>
                <w:color w:val="auto"/>
              </w:rPr>
            </w:pPr>
          </w:p>
        </w:tc>
        <w:tc>
          <w:tcPr>
            <w:tcW w:w="660" w:type="dxa"/>
            <w:vAlign w:val="bottom"/>
            <w:shd w:val="clear" w:color="auto" w:fill="E0E2EC"/>
          </w:tcPr>
          <w:p>
            <w:pPr>
              <w:spacing w:after="0"/>
              <w:rPr>
                <w:sz w:val="22"/>
                <w:szCs w:val="22"/>
                <w:color w:val="auto"/>
              </w:rPr>
            </w:pPr>
          </w:p>
        </w:tc>
        <w:tc>
          <w:tcPr>
            <w:tcW w:w="480" w:type="dxa"/>
            <w:vAlign w:val="bottom"/>
            <w:shd w:val="clear" w:color="auto" w:fill="E0E2EC"/>
          </w:tcPr>
          <w:p>
            <w:pPr>
              <w:spacing w:after="0"/>
              <w:rPr>
                <w:sz w:val="22"/>
                <w:szCs w:val="22"/>
                <w:color w:val="auto"/>
              </w:rPr>
            </w:pPr>
          </w:p>
        </w:tc>
        <w:tc>
          <w:tcPr>
            <w:tcW w:w="1800" w:type="dxa"/>
            <w:vAlign w:val="bottom"/>
            <w:shd w:val="clear" w:color="auto" w:fill="E0E2EC"/>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740" w:type="dxa"/>
            <w:vAlign w:val="bottom"/>
            <w:gridSpan w:val="3"/>
          </w:tcPr>
          <w:p>
            <w:pPr>
              <w:ind w:left="180"/>
              <w:spacing w:after="0"/>
              <w:rPr>
                <w:sz w:val="20"/>
                <w:szCs w:val="20"/>
                <w:color w:val="auto"/>
              </w:rPr>
            </w:pPr>
            <w:r>
              <w:rPr>
                <w:rFonts w:ascii="Arial" w:cs="Arial" w:eastAsia="Arial" w:hAnsi="Arial"/>
                <w:sz w:val="16"/>
                <w:szCs w:val="16"/>
                <w:color w:val="auto"/>
              </w:rPr>
              <w:t>Increase digital revenue—enabled by digital penetration—above a pre-</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ind w:left="340"/>
              <w:spacing w:after="0"/>
              <w:rPr>
                <w:sz w:val="20"/>
                <w:szCs w:val="20"/>
                <w:color w:val="auto"/>
              </w:rPr>
            </w:pPr>
            <w:r>
              <w:rPr>
                <w:rFonts w:ascii="Arial" w:cs="Arial" w:eastAsia="Arial" w:hAnsi="Arial"/>
                <w:sz w:val="16"/>
                <w:szCs w:val="16"/>
                <w:color w:val="auto"/>
              </w:rPr>
              <w:t>Substantially</w:t>
            </w:r>
          </w:p>
        </w:tc>
        <w:tc>
          <w:tcPr>
            <w:tcW w:w="0" w:type="dxa"/>
            <w:vAlign w:val="bottom"/>
          </w:tcPr>
          <w:p>
            <w:pPr>
              <w:spacing w:after="0"/>
              <w:rPr>
                <w:sz w:val="1"/>
                <w:szCs w:val="1"/>
                <w:color w:val="auto"/>
              </w:rPr>
            </w:pPr>
          </w:p>
        </w:tc>
      </w:tr>
      <w:tr>
        <w:trPr>
          <w:trHeight w:val="215"/>
        </w:trPr>
        <w:tc>
          <w:tcPr>
            <w:tcW w:w="5740" w:type="dxa"/>
            <w:vAlign w:val="bottom"/>
            <w:gridSpan w:val="3"/>
          </w:tcPr>
          <w:p>
            <w:pPr>
              <w:ind w:left="180"/>
              <w:spacing w:after="0"/>
              <w:rPr>
                <w:sz w:val="20"/>
                <w:szCs w:val="20"/>
                <w:color w:val="auto"/>
              </w:rPr>
            </w:pPr>
            <w:r>
              <w:rPr>
                <w:rFonts w:ascii="Arial" w:cs="Arial" w:eastAsia="Arial" w:hAnsi="Arial"/>
                <w:sz w:val="16"/>
                <w:szCs w:val="16"/>
                <w:color w:val="auto"/>
              </w:rPr>
              <w:t>established target.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ind w:left="340"/>
              <w:spacing w:after="0"/>
              <w:rPr>
                <w:sz w:val="20"/>
                <w:szCs w:val="20"/>
                <w:color w:val="auto"/>
              </w:rPr>
            </w:pPr>
            <w:r>
              <w:rPr>
                <w:rFonts w:ascii="Arial" w:cs="Arial" w:eastAsia="Arial" w:hAnsi="Arial"/>
                <w:sz w:val="16"/>
                <w:szCs w:val="16"/>
                <w:color w:val="auto"/>
              </w:rPr>
              <w:t>achieved</w:t>
            </w:r>
          </w:p>
        </w:tc>
        <w:tc>
          <w:tcPr>
            <w:tcW w:w="0" w:type="dxa"/>
            <w:vAlign w:val="bottom"/>
          </w:tcPr>
          <w:p>
            <w:pPr>
              <w:spacing w:after="0"/>
              <w:rPr>
                <w:sz w:val="1"/>
                <w:szCs w:val="1"/>
                <w:color w:val="auto"/>
              </w:rPr>
            </w:pPr>
          </w:p>
        </w:tc>
      </w:tr>
      <w:tr>
        <w:trPr>
          <w:trHeight w:val="231"/>
        </w:trPr>
        <w:tc>
          <w:tcPr>
            <w:tcW w:w="5740" w:type="dxa"/>
            <w:vAlign w:val="bottom"/>
            <w:gridSpan w:val="3"/>
          </w:tcPr>
          <w:p>
            <w:pPr>
              <w:ind w:left="180"/>
              <w:spacing w:after="0"/>
              <w:rPr>
                <w:sz w:val="20"/>
                <w:szCs w:val="20"/>
                <w:color w:val="auto"/>
              </w:rPr>
            </w:pPr>
            <w:r>
              <w:rPr>
                <w:rFonts w:ascii="Arial" w:cs="Arial" w:eastAsia="Arial" w:hAnsi="Arial"/>
                <w:sz w:val="16"/>
                <w:szCs w:val="16"/>
                <w:color w:val="auto"/>
              </w:rPr>
              <w:t>Secure a minimum number of technology access projects exceeding a</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0" w:type="dxa"/>
            <w:vAlign w:val="bottom"/>
          </w:tcPr>
          <w:p>
            <w:pPr>
              <w:ind w:left="340"/>
              <w:spacing w:after="0"/>
              <w:rPr>
                <w:sz w:val="20"/>
                <w:szCs w:val="20"/>
                <w:color w:val="auto"/>
              </w:rPr>
            </w:pPr>
            <w:r>
              <w:rPr>
                <w:rFonts w:ascii="Arial" w:cs="Arial" w:eastAsia="Arial" w:hAnsi="Arial"/>
                <w:sz w:val="16"/>
                <w:szCs w:val="16"/>
                <w:color w:val="auto"/>
              </w:rPr>
              <w:t>Partially</w:t>
            </w:r>
          </w:p>
        </w:tc>
        <w:tc>
          <w:tcPr>
            <w:tcW w:w="0" w:type="dxa"/>
            <w:vAlign w:val="bottom"/>
          </w:tcPr>
          <w:p>
            <w:pPr>
              <w:spacing w:after="0"/>
              <w:rPr>
                <w:sz w:val="1"/>
                <w:szCs w:val="1"/>
                <w:color w:val="auto"/>
              </w:rPr>
            </w:pPr>
          </w:p>
        </w:tc>
      </w:tr>
      <w:tr>
        <w:trPr>
          <w:trHeight w:val="215"/>
        </w:trPr>
        <w:tc>
          <w:tcPr>
            <w:tcW w:w="5740" w:type="dxa"/>
            <w:vAlign w:val="bottom"/>
            <w:gridSpan w:val="3"/>
          </w:tcPr>
          <w:p>
            <w:pPr>
              <w:ind w:left="180"/>
              <w:spacing w:after="0"/>
              <w:rPr>
                <w:sz w:val="20"/>
                <w:szCs w:val="20"/>
                <w:color w:val="auto"/>
              </w:rPr>
            </w:pPr>
            <w:r>
              <w:rPr>
                <w:rFonts w:ascii="Arial" w:cs="Arial" w:eastAsia="Arial" w:hAnsi="Arial"/>
                <w:sz w:val="16"/>
                <w:szCs w:val="16"/>
                <w:color w:val="auto"/>
              </w:rPr>
              <w:t>threshold contract value.</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ind w:left="340"/>
              <w:spacing w:after="0"/>
              <w:rPr>
                <w:sz w:val="20"/>
                <w:szCs w:val="20"/>
                <w:color w:val="auto"/>
              </w:rPr>
            </w:pPr>
            <w:r>
              <w:rPr>
                <w:rFonts w:ascii="Arial" w:cs="Arial" w:eastAsia="Arial" w:hAnsi="Arial"/>
                <w:sz w:val="16"/>
                <w:szCs w:val="16"/>
                <w:color w:val="auto"/>
              </w:rPr>
              <w:t>achieved</w:t>
            </w:r>
          </w:p>
        </w:tc>
        <w:tc>
          <w:tcPr>
            <w:tcW w:w="0" w:type="dxa"/>
            <w:vAlign w:val="bottom"/>
          </w:tcPr>
          <w:p>
            <w:pPr>
              <w:spacing w:after="0"/>
              <w:rPr>
                <w:sz w:val="1"/>
                <w:szCs w:val="1"/>
                <w:color w:val="auto"/>
              </w:rPr>
            </w:pPr>
          </w:p>
        </w:tc>
      </w:tr>
      <w:tr>
        <w:trPr>
          <w:trHeight w:val="231"/>
        </w:trPr>
        <w:tc>
          <w:tcPr>
            <w:tcW w:w="5740" w:type="dxa"/>
            <w:vAlign w:val="bottom"/>
            <w:gridSpan w:val="3"/>
          </w:tcPr>
          <w:p>
            <w:pPr>
              <w:ind w:left="180"/>
              <w:spacing w:after="0"/>
              <w:rPr>
                <w:sz w:val="20"/>
                <w:szCs w:val="20"/>
                <w:color w:val="auto"/>
              </w:rPr>
            </w:pPr>
            <w:r>
              <w:rPr>
                <w:rFonts w:ascii="Arial" w:cs="Arial" w:eastAsia="Arial" w:hAnsi="Arial"/>
                <w:sz w:val="16"/>
                <w:szCs w:val="16"/>
                <w:color w:val="auto"/>
              </w:rPr>
              <w:t>Accelerate development of new technologies, Transition Technologies and</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0" w:type="dxa"/>
            <w:vAlign w:val="bottom"/>
          </w:tcPr>
          <w:p>
            <w:pPr>
              <w:ind w:left="340"/>
              <w:spacing w:after="0"/>
              <w:rPr>
                <w:sz w:val="20"/>
                <w:szCs w:val="20"/>
                <w:color w:val="auto"/>
              </w:rPr>
            </w:pPr>
            <w:r>
              <w:rPr>
                <w:rFonts w:ascii="Arial" w:cs="Arial" w:eastAsia="Arial" w:hAnsi="Arial"/>
                <w:sz w:val="16"/>
                <w:szCs w:val="16"/>
                <w:color w:val="auto"/>
              </w:rPr>
              <w:t>Achieved</w:t>
            </w:r>
          </w:p>
        </w:tc>
        <w:tc>
          <w:tcPr>
            <w:tcW w:w="0" w:type="dxa"/>
            <w:vAlign w:val="bottom"/>
          </w:tcPr>
          <w:p>
            <w:pPr>
              <w:spacing w:after="0"/>
              <w:rPr>
                <w:sz w:val="1"/>
                <w:szCs w:val="1"/>
                <w:color w:val="auto"/>
              </w:rPr>
            </w:pPr>
          </w:p>
        </w:tc>
      </w:tr>
      <w:tr>
        <w:trPr>
          <w:trHeight w:val="222"/>
        </w:trPr>
        <w:tc>
          <w:tcPr>
            <w:tcW w:w="5740" w:type="dxa"/>
            <w:vAlign w:val="bottom"/>
            <w:gridSpan w:val="3"/>
          </w:tcPr>
          <w:p>
            <w:pPr>
              <w:ind w:left="180"/>
              <w:spacing w:after="0"/>
              <w:rPr>
                <w:sz w:val="20"/>
                <w:szCs w:val="20"/>
                <w:color w:val="auto"/>
              </w:rPr>
            </w:pPr>
            <w:r>
              <w:rPr>
                <w:rFonts w:ascii="Arial" w:cs="Arial" w:eastAsia="Arial" w:hAnsi="Arial"/>
                <w:sz w:val="16"/>
                <w:szCs w:val="16"/>
                <w:color w:val="auto"/>
              </w:rPr>
              <w:t>fit-for-basin technologies, based on a specified revenue target.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740" w:type="dxa"/>
            <w:vAlign w:val="bottom"/>
            <w:gridSpan w:val="3"/>
            <w:shd w:val="clear" w:color="auto" w:fill="E0E2EC"/>
          </w:tcPr>
          <w:p>
            <w:pPr>
              <w:ind w:left="100"/>
              <w:spacing w:after="0"/>
              <w:rPr>
                <w:sz w:val="20"/>
                <w:szCs w:val="20"/>
                <w:color w:val="auto"/>
              </w:rPr>
            </w:pPr>
            <w:r>
              <w:rPr>
                <w:rFonts w:ascii="Arial" w:cs="Arial" w:eastAsia="Arial" w:hAnsi="Arial"/>
                <w:sz w:val="16"/>
                <w:szCs w:val="16"/>
                <w:b w:val="1"/>
                <w:bCs w:val="1"/>
                <w:color w:val="auto"/>
              </w:rPr>
              <w:t>Core Growth</w:t>
            </w:r>
          </w:p>
        </w:tc>
        <w:tc>
          <w:tcPr>
            <w:tcW w:w="120" w:type="dxa"/>
            <w:vAlign w:val="bottom"/>
            <w:shd w:val="clear" w:color="auto" w:fill="E0E2EC"/>
          </w:tcPr>
          <w:p>
            <w:pPr>
              <w:spacing w:after="0"/>
              <w:rPr>
                <w:sz w:val="22"/>
                <w:szCs w:val="22"/>
                <w:color w:val="auto"/>
              </w:rPr>
            </w:pPr>
          </w:p>
        </w:tc>
        <w:tc>
          <w:tcPr>
            <w:tcW w:w="360" w:type="dxa"/>
            <w:vAlign w:val="bottom"/>
            <w:shd w:val="clear" w:color="auto" w:fill="E0E2EC"/>
          </w:tcPr>
          <w:p>
            <w:pPr>
              <w:spacing w:after="0"/>
              <w:rPr>
                <w:sz w:val="22"/>
                <w:szCs w:val="22"/>
                <w:color w:val="auto"/>
              </w:rPr>
            </w:pPr>
          </w:p>
        </w:tc>
        <w:tc>
          <w:tcPr>
            <w:tcW w:w="660" w:type="dxa"/>
            <w:vAlign w:val="bottom"/>
            <w:shd w:val="clear" w:color="auto" w:fill="E0E2EC"/>
          </w:tcPr>
          <w:p>
            <w:pPr>
              <w:spacing w:after="0"/>
              <w:rPr>
                <w:sz w:val="22"/>
                <w:szCs w:val="22"/>
                <w:color w:val="auto"/>
              </w:rPr>
            </w:pPr>
          </w:p>
        </w:tc>
        <w:tc>
          <w:tcPr>
            <w:tcW w:w="700" w:type="dxa"/>
            <w:vAlign w:val="bottom"/>
            <w:shd w:val="clear" w:color="auto" w:fill="E0E2EC"/>
          </w:tcPr>
          <w:p>
            <w:pPr>
              <w:spacing w:after="0"/>
              <w:rPr>
                <w:sz w:val="22"/>
                <w:szCs w:val="22"/>
                <w:color w:val="auto"/>
              </w:rPr>
            </w:pPr>
          </w:p>
        </w:tc>
        <w:tc>
          <w:tcPr>
            <w:tcW w:w="720" w:type="dxa"/>
            <w:vAlign w:val="bottom"/>
            <w:shd w:val="clear" w:color="auto" w:fill="E0E2EC"/>
          </w:tcPr>
          <w:p>
            <w:pPr>
              <w:spacing w:after="0"/>
              <w:rPr>
                <w:sz w:val="22"/>
                <w:szCs w:val="22"/>
                <w:color w:val="auto"/>
              </w:rPr>
            </w:pPr>
          </w:p>
        </w:tc>
        <w:tc>
          <w:tcPr>
            <w:tcW w:w="660" w:type="dxa"/>
            <w:vAlign w:val="bottom"/>
            <w:shd w:val="clear" w:color="auto" w:fill="E0E2EC"/>
          </w:tcPr>
          <w:p>
            <w:pPr>
              <w:spacing w:after="0"/>
              <w:rPr>
                <w:sz w:val="22"/>
                <w:szCs w:val="22"/>
                <w:color w:val="auto"/>
              </w:rPr>
            </w:pPr>
          </w:p>
        </w:tc>
        <w:tc>
          <w:tcPr>
            <w:tcW w:w="480" w:type="dxa"/>
            <w:vAlign w:val="bottom"/>
            <w:shd w:val="clear" w:color="auto" w:fill="E0E2EC"/>
          </w:tcPr>
          <w:p>
            <w:pPr>
              <w:spacing w:after="0"/>
              <w:rPr>
                <w:sz w:val="22"/>
                <w:szCs w:val="22"/>
                <w:color w:val="auto"/>
              </w:rPr>
            </w:pPr>
          </w:p>
        </w:tc>
        <w:tc>
          <w:tcPr>
            <w:tcW w:w="1800" w:type="dxa"/>
            <w:vAlign w:val="bottom"/>
            <w:shd w:val="clear" w:color="auto" w:fill="E0E2EC"/>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740" w:type="dxa"/>
            <w:vAlign w:val="bottom"/>
            <w:gridSpan w:val="3"/>
          </w:tcPr>
          <w:p>
            <w:pPr>
              <w:ind w:left="180"/>
              <w:spacing w:after="0"/>
              <w:rPr>
                <w:sz w:val="20"/>
                <w:szCs w:val="20"/>
                <w:color w:val="auto"/>
              </w:rPr>
            </w:pPr>
            <w:r>
              <w:rPr>
                <w:rFonts w:ascii="Arial" w:cs="Arial" w:eastAsia="Arial" w:hAnsi="Arial"/>
                <w:sz w:val="16"/>
                <w:szCs w:val="16"/>
                <w:color w:val="auto"/>
              </w:rPr>
              <w:t>Increase revenue generated from fit-for-basin technologies above a pre-</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ind w:left="340"/>
              <w:spacing w:after="0"/>
              <w:rPr>
                <w:sz w:val="20"/>
                <w:szCs w:val="20"/>
                <w:color w:val="auto"/>
              </w:rPr>
            </w:pPr>
            <w:r>
              <w:rPr>
                <w:rFonts w:ascii="Arial" w:cs="Arial" w:eastAsia="Arial" w:hAnsi="Arial"/>
                <w:sz w:val="16"/>
                <w:szCs w:val="16"/>
                <w:color w:val="auto"/>
              </w:rPr>
              <w:t>Achieved</w:t>
            </w:r>
          </w:p>
        </w:tc>
        <w:tc>
          <w:tcPr>
            <w:tcW w:w="0" w:type="dxa"/>
            <w:vAlign w:val="bottom"/>
          </w:tcPr>
          <w:p>
            <w:pPr>
              <w:spacing w:after="0"/>
              <w:rPr>
                <w:sz w:val="1"/>
                <w:szCs w:val="1"/>
                <w:color w:val="auto"/>
              </w:rPr>
            </w:pPr>
          </w:p>
        </w:tc>
      </w:tr>
      <w:tr>
        <w:trPr>
          <w:trHeight w:val="215"/>
        </w:trPr>
        <w:tc>
          <w:tcPr>
            <w:tcW w:w="5740" w:type="dxa"/>
            <w:vAlign w:val="bottom"/>
            <w:gridSpan w:val="3"/>
          </w:tcPr>
          <w:p>
            <w:pPr>
              <w:ind w:left="180"/>
              <w:spacing w:after="0"/>
              <w:rPr>
                <w:sz w:val="20"/>
                <w:szCs w:val="20"/>
                <w:color w:val="auto"/>
              </w:rPr>
            </w:pPr>
            <w:r>
              <w:rPr>
                <w:rFonts w:ascii="Arial" w:cs="Arial" w:eastAsia="Arial" w:hAnsi="Arial"/>
                <w:sz w:val="16"/>
                <w:szCs w:val="16"/>
                <w:color w:val="auto"/>
              </w:rPr>
              <w:t>established target.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740" w:type="dxa"/>
            <w:vAlign w:val="bottom"/>
            <w:gridSpan w:val="3"/>
          </w:tcPr>
          <w:p>
            <w:pPr>
              <w:ind w:left="180"/>
              <w:spacing w:after="0"/>
              <w:rPr>
                <w:sz w:val="20"/>
                <w:szCs w:val="20"/>
                <w:color w:val="auto"/>
              </w:rPr>
            </w:pPr>
            <w:r>
              <w:rPr>
                <w:rFonts w:ascii="Arial" w:cs="Arial" w:eastAsia="Arial" w:hAnsi="Arial"/>
                <w:sz w:val="16"/>
                <w:szCs w:val="16"/>
                <w:color w:val="auto"/>
              </w:rPr>
              <w:t>Increase total revenue year over year by a target percentage exceeding the</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0" w:type="dxa"/>
            <w:vAlign w:val="bottom"/>
          </w:tcPr>
          <w:p>
            <w:pPr>
              <w:ind w:left="340"/>
              <w:spacing w:after="0"/>
              <w:rPr>
                <w:sz w:val="20"/>
                <w:szCs w:val="20"/>
                <w:color w:val="auto"/>
              </w:rPr>
            </w:pPr>
            <w:r>
              <w:rPr>
                <w:rFonts w:ascii="Arial" w:cs="Arial" w:eastAsia="Arial" w:hAnsi="Arial"/>
                <w:sz w:val="16"/>
                <w:szCs w:val="16"/>
                <w:color w:val="auto"/>
              </w:rPr>
              <w:t>Achieved</w:t>
            </w:r>
          </w:p>
        </w:tc>
        <w:tc>
          <w:tcPr>
            <w:tcW w:w="0" w:type="dxa"/>
            <w:vAlign w:val="bottom"/>
          </w:tcPr>
          <w:p>
            <w:pPr>
              <w:spacing w:after="0"/>
              <w:rPr>
                <w:sz w:val="1"/>
                <w:szCs w:val="1"/>
                <w:color w:val="auto"/>
              </w:rPr>
            </w:pPr>
          </w:p>
        </w:tc>
      </w:tr>
      <w:tr>
        <w:trPr>
          <w:trHeight w:val="215"/>
        </w:trPr>
        <w:tc>
          <w:tcPr>
            <w:tcW w:w="5740" w:type="dxa"/>
            <w:vAlign w:val="bottom"/>
            <w:gridSpan w:val="3"/>
          </w:tcPr>
          <w:p>
            <w:pPr>
              <w:ind w:left="180"/>
              <w:spacing w:after="0"/>
              <w:rPr>
                <w:sz w:val="20"/>
                <w:szCs w:val="20"/>
                <w:color w:val="auto"/>
              </w:rPr>
            </w:pPr>
            <w:r>
              <w:rPr>
                <w:rFonts w:ascii="Arial" w:cs="Arial" w:eastAsia="Arial" w:hAnsi="Arial"/>
                <w:sz w:val="16"/>
                <w:szCs w:val="16"/>
                <w:color w:val="auto"/>
              </w:rPr>
              <w:t>rig count increase.</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740" w:type="dxa"/>
            <w:vAlign w:val="bottom"/>
            <w:gridSpan w:val="3"/>
          </w:tcPr>
          <w:p>
            <w:pPr>
              <w:ind w:left="180"/>
              <w:spacing w:after="0"/>
              <w:rPr>
                <w:sz w:val="20"/>
                <w:szCs w:val="20"/>
                <w:color w:val="auto"/>
              </w:rPr>
            </w:pPr>
            <w:r>
              <w:rPr>
                <w:rFonts w:ascii="Arial" w:cs="Arial" w:eastAsia="Arial" w:hAnsi="Arial"/>
                <w:sz w:val="16"/>
                <w:szCs w:val="16"/>
                <w:color w:val="auto"/>
              </w:rPr>
              <w:t>Achieve international revenue growth as a percentage exceeding that of</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0" w:type="dxa"/>
            <w:vAlign w:val="bottom"/>
          </w:tcPr>
          <w:p>
            <w:pPr>
              <w:ind w:left="340"/>
              <w:spacing w:after="0"/>
              <w:rPr>
                <w:sz w:val="20"/>
                <w:szCs w:val="20"/>
                <w:color w:val="auto"/>
              </w:rPr>
            </w:pPr>
            <w:r>
              <w:rPr>
                <w:rFonts w:ascii="Arial" w:cs="Arial" w:eastAsia="Arial" w:hAnsi="Arial"/>
                <w:sz w:val="16"/>
                <w:szCs w:val="16"/>
                <w:color w:val="auto"/>
              </w:rPr>
              <w:t>Achieved</w:t>
            </w:r>
          </w:p>
        </w:tc>
        <w:tc>
          <w:tcPr>
            <w:tcW w:w="0" w:type="dxa"/>
            <w:vAlign w:val="bottom"/>
          </w:tcPr>
          <w:p>
            <w:pPr>
              <w:spacing w:after="0"/>
              <w:rPr>
                <w:sz w:val="1"/>
                <w:szCs w:val="1"/>
                <w:color w:val="auto"/>
              </w:rPr>
            </w:pPr>
          </w:p>
        </w:tc>
      </w:tr>
      <w:tr>
        <w:trPr>
          <w:trHeight w:val="222"/>
        </w:trPr>
        <w:tc>
          <w:tcPr>
            <w:tcW w:w="5740" w:type="dxa"/>
            <w:vAlign w:val="bottom"/>
            <w:gridSpan w:val="3"/>
          </w:tcPr>
          <w:p>
            <w:pPr>
              <w:ind w:left="180"/>
              <w:spacing w:after="0"/>
              <w:rPr>
                <w:sz w:val="20"/>
                <w:szCs w:val="20"/>
                <w:color w:val="auto"/>
              </w:rPr>
            </w:pPr>
            <w:r>
              <w:rPr>
                <w:rFonts w:ascii="Arial" w:cs="Arial" w:eastAsia="Arial" w:hAnsi="Arial"/>
                <w:sz w:val="16"/>
                <w:szCs w:val="16"/>
                <w:color w:val="auto"/>
              </w:rPr>
              <w:t>direct competitors.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740" w:type="dxa"/>
            <w:vAlign w:val="bottom"/>
            <w:gridSpan w:val="3"/>
            <w:shd w:val="clear" w:color="auto" w:fill="E0E2EC"/>
          </w:tcPr>
          <w:p>
            <w:pPr>
              <w:ind w:left="100"/>
              <w:spacing w:after="0"/>
              <w:rPr>
                <w:sz w:val="20"/>
                <w:szCs w:val="20"/>
                <w:color w:val="auto"/>
              </w:rPr>
            </w:pPr>
            <w:r>
              <w:rPr>
                <w:rFonts w:ascii="Arial" w:cs="Arial" w:eastAsia="Arial" w:hAnsi="Arial"/>
                <w:sz w:val="16"/>
                <w:szCs w:val="16"/>
                <w:b w:val="1"/>
                <w:bCs w:val="1"/>
                <w:color w:val="auto"/>
              </w:rPr>
              <w:t>New Energy Innovation</w:t>
            </w:r>
          </w:p>
        </w:tc>
        <w:tc>
          <w:tcPr>
            <w:tcW w:w="120" w:type="dxa"/>
            <w:vAlign w:val="bottom"/>
            <w:shd w:val="clear" w:color="auto" w:fill="E0E2EC"/>
          </w:tcPr>
          <w:p>
            <w:pPr>
              <w:spacing w:after="0"/>
              <w:rPr>
                <w:sz w:val="22"/>
                <w:szCs w:val="22"/>
                <w:color w:val="auto"/>
              </w:rPr>
            </w:pPr>
          </w:p>
        </w:tc>
        <w:tc>
          <w:tcPr>
            <w:tcW w:w="360" w:type="dxa"/>
            <w:vAlign w:val="bottom"/>
            <w:shd w:val="clear" w:color="auto" w:fill="E0E2EC"/>
          </w:tcPr>
          <w:p>
            <w:pPr>
              <w:spacing w:after="0"/>
              <w:rPr>
                <w:sz w:val="22"/>
                <w:szCs w:val="22"/>
                <w:color w:val="auto"/>
              </w:rPr>
            </w:pPr>
          </w:p>
        </w:tc>
        <w:tc>
          <w:tcPr>
            <w:tcW w:w="660" w:type="dxa"/>
            <w:vAlign w:val="bottom"/>
            <w:shd w:val="clear" w:color="auto" w:fill="E0E2EC"/>
          </w:tcPr>
          <w:p>
            <w:pPr>
              <w:spacing w:after="0"/>
              <w:rPr>
                <w:sz w:val="22"/>
                <w:szCs w:val="22"/>
                <w:color w:val="auto"/>
              </w:rPr>
            </w:pPr>
          </w:p>
        </w:tc>
        <w:tc>
          <w:tcPr>
            <w:tcW w:w="700" w:type="dxa"/>
            <w:vAlign w:val="bottom"/>
            <w:shd w:val="clear" w:color="auto" w:fill="E0E2EC"/>
          </w:tcPr>
          <w:p>
            <w:pPr>
              <w:spacing w:after="0"/>
              <w:rPr>
                <w:sz w:val="22"/>
                <w:szCs w:val="22"/>
                <w:color w:val="auto"/>
              </w:rPr>
            </w:pPr>
          </w:p>
        </w:tc>
        <w:tc>
          <w:tcPr>
            <w:tcW w:w="720" w:type="dxa"/>
            <w:vAlign w:val="bottom"/>
            <w:shd w:val="clear" w:color="auto" w:fill="E0E2EC"/>
          </w:tcPr>
          <w:p>
            <w:pPr>
              <w:spacing w:after="0"/>
              <w:rPr>
                <w:sz w:val="22"/>
                <w:szCs w:val="22"/>
                <w:color w:val="auto"/>
              </w:rPr>
            </w:pPr>
          </w:p>
        </w:tc>
        <w:tc>
          <w:tcPr>
            <w:tcW w:w="660" w:type="dxa"/>
            <w:vAlign w:val="bottom"/>
            <w:shd w:val="clear" w:color="auto" w:fill="E0E2EC"/>
          </w:tcPr>
          <w:p>
            <w:pPr>
              <w:spacing w:after="0"/>
              <w:rPr>
                <w:sz w:val="22"/>
                <w:szCs w:val="22"/>
                <w:color w:val="auto"/>
              </w:rPr>
            </w:pPr>
          </w:p>
        </w:tc>
        <w:tc>
          <w:tcPr>
            <w:tcW w:w="480" w:type="dxa"/>
            <w:vAlign w:val="bottom"/>
            <w:shd w:val="clear" w:color="auto" w:fill="E0E2EC"/>
          </w:tcPr>
          <w:p>
            <w:pPr>
              <w:spacing w:after="0"/>
              <w:rPr>
                <w:sz w:val="22"/>
                <w:szCs w:val="22"/>
                <w:color w:val="auto"/>
              </w:rPr>
            </w:pPr>
          </w:p>
        </w:tc>
        <w:tc>
          <w:tcPr>
            <w:tcW w:w="1800" w:type="dxa"/>
            <w:vAlign w:val="bottom"/>
            <w:shd w:val="clear" w:color="auto" w:fill="E0E2EC"/>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740" w:type="dxa"/>
            <w:vAlign w:val="bottom"/>
            <w:gridSpan w:val="3"/>
          </w:tcPr>
          <w:p>
            <w:pPr>
              <w:ind w:left="180"/>
              <w:spacing w:after="0"/>
              <w:rPr>
                <w:sz w:val="20"/>
                <w:szCs w:val="20"/>
                <w:color w:val="auto"/>
              </w:rPr>
            </w:pPr>
            <w:r>
              <w:rPr>
                <w:rFonts w:ascii="Arial" w:cs="Arial" w:eastAsia="Arial" w:hAnsi="Arial"/>
                <w:sz w:val="16"/>
                <w:szCs w:val="16"/>
                <w:color w:val="auto"/>
              </w:rPr>
              <w:t>Oversee development of near- and mid-term New Energy growth strategy,</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ind w:left="340"/>
              <w:spacing w:after="0"/>
              <w:rPr>
                <w:sz w:val="20"/>
                <w:szCs w:val="20"/>
                <w:color w:val="auto"/>
              </w:rPr>
            </w:pPr>
            <w:r>
              <w:rPr>
                <w:rFonts w:ascii="Arial" w:cs="Arial" w:eastAsia="Arial" w:hAnsi="Arial"/>
                <w:sz w:val="16"/>
                <w:szCs w:val="16"/>
                <w:color w:val="auto"/>
              </w:rPr>
              <w:t>Achieved</w:t>
            </w:r>
          </w:p>
        </w:tc>
        <w:tc>
          <w:tcPr>
            <w:tcW w:w="0" w:type="dxa"/>
            <w:vAlign w:val="bottom"/>
          </w:tcPr>
          <w:p>
            <w:pPr>
              <w:spacing w:after="0"/>
              <w:rPr>
                <w:sz w:val="1"/>
                <w:szCs w:val="1"/>
                <w:color w:val="auto"/>
              </w:rPr>
            </w:pPr>
          </w:p>
        </w:tc>
      </w:tr>
      <w:tr>
        <w:trPr>
          <w:trHeight w:val="215"/>
        </w:trPr>
        <w:tc>
          <w:tcPr>
            <w:tcW w:w="5740" w:type="dxa"/>
            <w:vAlign w:val="bottom"/>
            <w:gridSpan w:val="3"/>
          </w:tcPr>
          <w:p>
            <w:pPr>
              <w:ind w:left="180"/>
              <w:spacing w:after="0"/>
              <w:rPr>
                <w:sz w:val="20"/>
                <w:szCs w:val="20"/>
                <w:color w:val="auto"/>
              </w:rPr>
            </w:pPr>
            <w:r>
              <w:rPr>
                <w:rFonts w:ascii="Arial" w:cs="Arial" w:eastAsia="Arial" w:hAnsi="Arial"/>
                <w:sz w:val="16"/>
                <w:szCs w:val="16"/>
                <w:color w:val="auto"/>
              </w:rPr>
              <w:t>as well as revenue and market analysis.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740" w:type="dxa"/>
            <w:vAlign w:val="bottom"/>
            <w:gridSpan w:val="3"/>
          </w:tcPr>
          <w:p>
            <w:pPr>
              <w:ind w:left="180"/>
              <w:spacing w:after="0"/>
              <w:rPr>
                <w:sz w:val="20"/>
                <w:szCs w:val="20"/>
                <w:color w:val="auto"/>
              </w:rPr>
            </w:pPr>
            <w:r>
              <w:rPr>
                <w:rFonts w:ascii="Arial" w:cs="Arial" w:eastAsia="Arial" w:hAnsi="Arial"/>
                <w:sz w:val="16"/>
                <w:szCs w:val="16"/>
                <w:color w:val="auto"/>
              </w:rPr>
              <w:t>Secure a minimum number of large carbon capture and sequestration</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0" w:type="dxa"/>
            <w:vAlign w:val="bottom"/>
          </w:tcPr>
          <w:p>
            <w:pPr>
              <w:ind w:left="340"/>
              <w:spacing w:after="0"/>
              <w:rPr>
                <w:sz w:val="20"/>
                <w:szCs w:val="20"/>
                <w:color w:val="auto"/>
              </w:rPr>
            </w:pPr>
            <w:r>
              <w:rPr>
                <w:rFonts w:ascii="Arial" w:cs="Arial" w:eastAsia="Arial" w:hAnsi="Arial"/>
                <w:sz w:val="16"/>
                <w:szCs w:val="16"/>
                <w:color w:val="auto"/>
              </w:rPr>
              <w:t>Substantially</w:t>
            </w:r>
          </w:p>
        </w:tc>
        <w:tc>
          <w:tcPr>
            <w:tcW w:w="0" w:type="dxa"/>
            <w:vAlign w:val="bottom"/>
          </w:tcPr>
          <w:p>
            <w:pPr>
              <w:spacing w:after="0"/>
              <w:rPr>
                <w:sz w:val="1"/>
                <w:szCs w:val="1"/>
                <w:color w:val="auto"/>
              </w:rPr>
            </w:pPr>
          </w:p>
        </w:tc>
      </w:tr>
      <w:tr>
        <w:trPr>
          <w:trHeight w:val="215"/>
        </w:trPr>
        <w:tc>
          <w:tcPr>
            <w:tcW w:w="5740" w:type="dxa"/>
            <w:vAlign w:val="bottom"/>
            <w:gridSpan w:val="3"/>
          </w:tcPr>
          <w:p>
            <w:pPr>
              <w:ind w:left="180"/>
              <w:spacing w:after="0"/>
              <w:rPr>
                <w:sz w:val="20"/>
                <w:szCs w:val="20"/>
                <w:color w:val="auto"/>
              </w:rPr>
            </w:pPr>
            <w:r>
              <w:rPr>
                <w:rFonts w:ascii="Arial" w:cs="Arial" w:eastAsia="Arial" w:hAnsi="Arial"/>
                <w:sz w:val="16"/>
                <w:szCs w:val="16"/>
                <w:color w:val="auto"/>
              </w:rPr>
              <w:t>projects, and execute identified key partnerships and acquisitions.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ind w:left="340"/>
              <w:spacing w:after="0"/>
              <w:rPr>
                <w:sz w:val="20"/>
                <w:szCs w:val="20"/>
                <w:color w:val="auto"/>
              </w:rPr>
            </w:pPr>
            <w:r>
              <w:rPr>
                <w:rFonts w:ascii="Arial" w:cs="Arial" w:eastAsia="Arial" w:hAnsi="Arial"/>
                <w:sz w:val="16"/>
                <w:szCs w:val="16"/>
                <w:color w:val="auto"/>
              </w:rPr>
              <w:t>achieved</w:t>
            </w:r>
          </w:p>
        </w:tc>
        <w:tc>
          <w:tcPr>
            <w:tcW w:w="0" w:type="dxa"/>
            <w:vAlign w:val="bottom"/>
          </w:tcPr>
          <w:p>
            <w:pPr>
              <w:spacing w:after="0"/>
              <w:rPr>
                <w:sz w:val="1"/>
                <w:szCs w:val="1"/>
                <w:color w:val="auto"/>
              </w:rPr>
            </w:pPr>
          </w:p>
        </w:tc>
      </w:tr>
      <w:tr>
        <w:trPr>
          <w:trHeight w:val="231"/>
        </w:trPr>
        <w:tc>
          <w:tcPr>
            <w:tcW w:w="5740" w:type="dxa"/>
            <w:vAlign w:val="bottom"/>
            <w:gridSpan w:val="3"/>
          </w:tcPr>
          <w:p>
            <w:pPr>
              <w:ind w:left="180"/>
              <w:spacing w:after="0"/>
              <w:rPr>
                <w:sz w:val="20"/>
                <w:szCs w:val="20"/>
                <w:color w:val="auto"/>
              </w:rPr>
            </w:pPr>
            <w:r>
              <w:rPr>
                <w:rFonts w:ascii="Arial" w:cs="Arial" w:eastAsia="Arial" w:hAnsi="Arial"/>
                <w:sz w:val="16"/>
                <w:szCs w:val="16"/>
                <w:color w:val="auto"/>
              </w:rPr>
              <w:t>Achieve certain milestones in other New Energy ventures.</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0" w:type="dxa"/>
            <w:vAlign w:val="bottom"/>
          </w:tcPr>
          <w:p>
            <w:pPr>
              <w:ind w:left="340"/>
              <w:spacing w:after="0"/>
              <w:rPr>
                <w:sz w:val="20"/>
                <w:szCs w:val="20"/>
                <w:color w:val="auto"/>
              </w:rPr>
            </w:pPr>
            <w:r>
              <w:rPr>
                <w:rFonts w:ascii="Arial" w:cs="Arial" w:eastAsia="Arial" w:hAnsi="Arial"/>
                <w:sz w:val="16"/>
                <w:szCs w:val="16"/>
                <w:color w:val="auto"/>
              </w:rPr>
              <w:t>Substantially</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0" w:type="dxa"/>
            <w:vAlign w:val="bottom"/>
          </w:tcPr>
          <w:p>
            <w:pPr>
              <w:ind w:left="340"/>
              <w:spacing w:after="0"/>
              <w:rPr>
                <w:sz w:val="20"/>
                <w:szCs w:val="20"/>
                <w:color w:val="auto"/>
              </w:rPr>
            </w:pPr>
            <w:r>
              <w:rPr>
                <w:rFonts w:ascii="Arial" w:cs="Arial" w:eastAsia="Arial" w:hAnsi="Arial"/>
                <w:sz w:val="16"/>
                <w:szCs w:val="16"/>
                <w:color w:val="auto"/>
              </w:rPr>
              <w:t>achieved</w:t>
            </w:r>
          </w:p>
        </w:tc>
        <w:tc>
          <w:tcPr>
            <w:tcW w:w="0" w:type="dxa"/>
            <w:vAlign w:val="bottom"/>
          </w:tcPr>
          <w:p>
            <w:pPr>
              <w:spacing w:after="0"/>
              <w:rPr>
                <w:sz w:val="1"/>
                <w:szCs w:val="1"/>
                <w:color w:val="auto"/>
              </w:rPr>
            </w:pPr>
          </w:p>
        </w:tc>
      </w:tr>
      <w:tr>
        <w:trPr>
          <w:trHeight w:val="264"/>
        </w:trPr>
        <w:tc>
          <w:tcPr>
            <w:tcW w:w="5740" w:type="dxa"/>
            <w:vAlign w:val="bottom"/>
            <w:gridSpan w:val="3"/>
            <w:shd w:val="clear" w:color="auto" w:fill="E0E2EC"/>
          </w:tcPr>
          <w:p>
            <w:pPr>
              <w:ind w:left="100"/>
              <w:spacing w:after="0"/>
              <w:rPr>
                <w:sz w:val="20"/>
                <w:szCs w:val="20"/>
                <w:color w:val="auto"/>
              </w:rPr>
            </w:pPr>
            <w:r>
              <w:rPr>
                <w:rFonts w:ascii="Arial" w:cs="Arial" w:eastAsia="Arial" w:hAnsi="Arial"/>
                <w:sz w:val="16"/>
                <w:szCs w:val="16"/>
                <w:b w:val="1"/>
                <w:bCs w:val="1"/>
                <w:color w:val="auto"/>
              </w:rPr>
              <w:t>HSE Performance</w:t>
            </w:r>
          </w:p>
        </w:tc>
        <w:tc>
          <w:tcPr>
            <w:tcW w:w="120" w:type="dxa"/>
            <w:vAlign w:val="bottom"/>
            <w:shd w:val="clear" w:color="auto" w:fill="E0E2EC"/>
          </w:tcPr>
          <w:p>
            <w:pPr>
              <w:spacing w:after="0"/>
              <w:rPr>
                <w:sz w:val="22"/>
                <w:szCs w:val="22"/>
                <w:color w:val="auto"/>
              </w:rPr>
            </w:pPr>
          </w:p>
        </w:tc>
        <w:tc>
          <w:tcPr>
            <w:tcW w:w="360" w:type="dxa"/>
            <w:vAlign w:val="bottom"/>
            <w:shd w:val="clear" w:color="auto" w:fill="E0E2EC"/>
          </w:tcPr>
          <w:p>
            <w:pPr>
              <w:spacing w:after="0"/>
              <w:rPr>
                <w:sz w:val="22"/>
                <w:szCs w:val="22"/>
                <w:color w:val="auto"/>
              </w:rPr>
            </w:pPr>
          </w:p>
        </w:tc>
        <w:tc>
          <w:tcPr>
            <w:tcW w:w="660" w:type="dxa"/>
            <w:vAlign w:val="bottom"/>
            <w:shd w:val="clear" w:color="auto" w:fill="E0E2EC"/>
          </w:tcPr>
          <w:p>
            <w:pPr>
              <w:spacing w:after="0"/>
              <w:rPr>
                <w:sz w:val="22"/>
                <w:szCs w:val="22"/>
                <w:color w:val="auto"/>
              </w:rPr>
            </w:pPr>
          </w:p>
        </w:tc>
        <w:tc>
          <w:tcPr>
            <w:tcW w:w="700" w:type="dxa"/>
            <w:vAlign w:val="bottom"/>
            <w:shd w:val="clear" w:color="auto" w:fill="E0E2EC"/>
          </w:tcPr>
          <w:p>
            <w:pPr>
              <w:spacing w:after="0"/>
              <w:rPr>
                <w:sz w:val="22"/>
                <w:szCs w:val="22"/>
                <w:color w:val="auto"/>
              </w:rPr>
            </w:pPr>
          </w:p>
        </w:tc>
        <w:tc>
          <w:tcPr>
            <w:tcW w:w="720" w:type="dxa"/>
            <w:vAlign w:val="bottom"/>
            <w:shd w:val="clear" w:color="auto" w:fill="E0E2EC"/>
          </w:tcPr>
          <w:p>
            <w:pPr>
              <w:spacing w:after="0"/>
              <w:rPr>
                <w:sz w:val="22"/>
                <w:szCs w:val="22"/>
                <w:color w:val="auto"/>
              </w:rPr>
            </w:pPr>
          </w:p>
        </w:tc>
        <w:tc>
          <w:tcPr>
            <w:tcW w:w="660" w:type="dxa"/>
            <w:vAlign w:val="bottom"/>
            <w:shd w:val="clear" w:color="auto" w:fill="E0E2EC"/>
          </w:tcPr>
          <w:p>
            <w:pPr>
              <w:spacing w:after="0"/>
              <w:rPr>
                <w:sz w:val="22"/>
                <w:szCs w:val="22"/>
                <w:color w:val="auto"/>
              </w:rPr>
            </w:pPr>
          </w:p>
        </w:tc>
        <w:tc>
          <w:tcPr>
            <w:tcW w:w="480" w:type="dxa"/>
            <w:vAlign w:val="bottom"/>
            <w:shd w:val="clear" w:color="auto" w:fill="E0E2EC"/>
          </w:tcPr>
          <w:p>
            <w:pPr>
              <w:spacing w:after="0"/>
              <w:rPr>
                <w:sz w:val="22"/>
                <w:szCs w:val="22"/>
                <w:color w:val="auto"/>
              </w:rPr>
            </w:pPr>
          </w:p>
        </w:tc>
        <w:tc>
          <w:tcPr>
            <w:tcW w:w="1800" w:type="dxa"/>
            <w:vAlign w:val="bottom"/>
            <w:shd w:val="clear" w:color="auto" w:fill="E0E2EC"/>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740" w:type="dxa"/>
            <w:vAlign w:val="bottom"/>
            <w:gridSpan w:val="3"/>
          </w:tcPr>
          <w:p>
            <w:pPr>
              <w:ind w:left="180"/>
              <w:spacing w:after="0"/>
              <w:rPr>
                <w:sz w:val="20"/>
                <w:szCs w:val="20"/>
                <w:color w:val="auto"/>
              </w:rPr>
            </w:pPr>
            <w:r>
              <w:rPr>
                <w:rFonts w:ascii="Arial" w:cs="Arial" w:eastAsia="Arial" w:hAnsi="Arial"/>
                <w:sz w:val="16"/>
                <w:szCs w:val="16"/>
                <w:color w:val="auto"/>
              </w:rPr>
              <w:t>Fatality-free.</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ind w:left="340"/>
              <w:spacing w:after="0"/>
              <w:rPr>
                <w:sz w:val="20"/>
                <w:szCs w:val="20"/>
                <w:color w:val="auto"/>
              </w:rPr>
            </w:pPr>
            <w:r>
              <w:rPr>
                <w:rFonts w:ascii="Arial" w:cs="Arial" w:eastAsia="Arial" w:hAnsi="Arial"/>
                <w:sz w:val="16"/>
                <w:szCs w:val="16"/>
                <w:color w:val="auto"/>
              </w:rPr>
              <w:t>Mostly not</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0" w:type="dxa"/>
            <w:vAlign w:val="bottom"/>
          </w:tcPr>
          <w:p>
            <w:pPr>
              <w:ind w:left="340"/>
              <w:spacing w:after="0"/>
              <w:rPr>
                <w:sz w:val="20"/>
                <w:szCs w:val="20"/>
                <w:color w:val="auto"/>
              </w:rPr>
            </w:pPr>
            <w:r>
              <w:rPr>
                <w:rFonts w:ascii="Arial" w:cs="Arial" w:eastAsia="Arial" w:hAnsi="Arial"/>
                <w:sz w:val="16"/>
                <w:szCs w:val="16"/>
                <w:color w:val="auto"/>
              </w:rPr>
              <w:t>achieved</w:t>
            </w:r>
          </w:p>
        </w:tc>
        <w:tc>
          <w:tcPr>
            <w:tcW w:w="0" w:type="dxa"/>
            <w:vAlign w:val="bottom"/>
          </w:tcPr>
          <w:p>
            <w:pPr>
              <w:spacing w:after="0"/>
              <w:rPr>
                <w:sz w:val="1"/>
                <w:szCs w:val="1"/>
                <w:color w:val="auto"/>
              </w:rPr>
            </w:pPr>
          </w:p>
        </w:tc>
      </w:tr>
      <w:tr>
        <w:trPr>
          <w:trHeight w:val="223"/>
        </w:trPr>
        <w:tc>
          <w:tcPr>
            <w:tcW w:w="5740" w:type="dxa"/>
            <w:vAlign w:val="bottom"/>
            <w:gridSpan w:val="3"/>
            <w:shd w:val="clear" w:color="auto" w:fill="E0E2EC"/>
          </w:tcPr>
          <w:p>
            <w:pPr>
              <w:ind w:left="100"/>
              <w:spacing w:after="0"/>
              <w:rPr>
                <w:sz w:val="20"/>
                <w:szCs w:val="20"/>
                <w:color w:val="auto"/>
              </w:rPr>
            </w:pPr>
            <w:r>
              <w:rPr>
                <w:rFonts w:ascii="Arial" w:cs="Arial" w:eastAsia="Arial" w:hAnsi="Arial"/>
                <w:sz w:val="16"/>
                <w:szCs w:val="16"/>
                <w:b w:val="1"/>
                <w:bCs w:val="1"/>
                <w:color w:val="auto"/>
              </w:rPr>
              <w:t>% of 2022 payout opportunity earned under strategic personal</w:t>
            </w:r>
          </w:p>
        </w:tc>
        <w:tc>
          <w:tcPr>
            <w:tcW w:w="480" w:type="dxa"/>
            <w:vAlign w:val="bottom"/>
            <w:gridSpan w:val="2"/>
            <w:shd w:val="clear" w:color="auto" w:fill="E0E2EC"/>
          </w:tcPr>
          <w:p>
            <w:pPr>
              <w:jc w:val="right"/>
              <w:ind w:right="160"/>
              <w:spacing w:after="0"/>
              <w:rPr>
                <w:sz w:val="20"/>
                <w:szCs w:val="20"/>
                <w:color w:val="auto"/>
              </w:rPr>
            </w:pPr>
            <w:r>
              <w:rPr>
                <w:rFonts w:ascii="Arial" w:cs="Arial" w:eastAsia="Arial" w:hAnsi="Arial"/>
                <w:sz w:val="16"/>
                <w:szCs w:val="16"/>
                <w:b w:val="1"/>
                <w:bCs w:val="1"/>
                <w:color w:val="auto"/>
                <w:w w:val="93"/>
              </w:rPr>
              <w:t>93%</w:t>
            </w:r>
          </w:p>
        </w:tc>
        <w:tc>
          <w:tcPr>
            <w:tcW w:w="660" w:type="dxa"/>
            <w:vAlign w:val="bottom"/>
            <w:shd w:val="clear" w:color="auto" w:fill="E0E2EC"/>
          </w:tcPr>
          <w:p>
            <w:pPr>
              <w:jc w:val="right"/>
              <w:ind w:right="79"/>
              <w:spacing w:after="0"/>
              <w:rPr>
                <w:sz w:val="20"/>
                <w:szCs w:val="20"/>
                <w:color w:val="auto"/>
              </w:rPr>
            </w:pPr>
            <w:r>
              <w:rPr>
                <w:rFonts w:ascii="Arial" w:cs="Arial" w:eastAsia="Arial" w:hAnsi="Arial"/>
                <w:sz w:val="16"/>
                <w:szCs w:val="16"/>
                <w:b w:val="1"/>
                <w:bCs w:val="1"/>
                <w:color w:val="auto"/>
              </w:rPr>
              <w:t>88%</w:t>
            </w:r>
          </w:p>
        </w:tc>
        <w:tc>
          <w:tcPr>
            <w:tcW w:w="700" w:type="dxa"/>
            <w:vAlign w:val="bottom"/>
            <w:shd w:val="clear" w:color="auto" w:fill="E0E2EC"/>
          </w:tcPr>
          <w:p>
            <w:pPr>
              <w:jc w:val="right"/>
              <w:ind w:right="119"/>
              <w:spacing w:after="0"/>
              <w:rPr>
                <w:sz w:val="20"/>
                <w:szCs w:val="20"/>
                <w:color w:val="auto"/>
              </w:rPr>
            </w:pPr>
            <w:r>
              <w:rPr>
                <w:rFonts w:ascii="Arial" w:cs="Arial" w:eastAsia="Arial" w:hAnsi="Arial"/>
                <w:sz w:val="16"/>
                <w:szCs w:val="16"/>
                <w:b w:val="1"/>
                <w:bCs w:val="1"/>
                <w:color w:val="auto"/>
              </w:rPr>
              <w:t>88%</w:t>
            </w:r>
          </w:p>
        </w:tc>
        <w:tc>
          <w:tcPr>
            <w:tcW w:w="720" w:type="dxa"/>
            <w:vAlign w:val="bottom"/>
            <w:shd w:val="clear" w:color="auto" w:fill="E0E2EC"/>
          </w:tcPr>
          <w:p>
            <w:pPr>
              <w:jc w:val="right"/>
              <w:ind w:right="99"/>
              <w:spacing w:after="0"/>
              <w:rPr>
                <w:sz w:val="20"/>
                <w:szCs w:val="20"/>
                <w:color w:val="auto"/>
              </w:rPr>
            </w:pPr>
            <w:r>
              <w:rPr>
                <w:rFonts w:ascii="Arial" w:cs="Arial" w:eastAsia="Arial" w:hAnsi="Arial"/>
                <w:sz w:val="16"/>
                <w:szCs w:val="16"/>
                <w:b w:val="1"/>
                <w:bCs w:val="1"/>
                <w:color w:val="auto"/>
              </w:rPr>
              <w:t>79%</w:t>
            </w:r>
          </w:p>
        </w:tc>
        <w:tc>
          <w:tcPr>
            <w:tcW w:w="660" w:type="dxa"/>
            <w:vAlign w:val="bottom"/>
            <w:shd w:val="clear" w:color="auto" w:fill="E0E2EC"/>
          </w:tcPr>
          <w:p>
            <w:pPr>
              <w:jc w:val="right"/>
              <w:ind w:right="99"/>
              <w:spacing w:after="0"/>
              <w:rPr>
                <w:sz w:val="20"/>
                <w:szCs w:val="20"/>
                <w:color w:val="auto"/>
              </w:rPr>
            </w:pPr>
            <w:r>
              <w:rPr>
                <w:rFonts w:ascii="Arial" w:cs="Arial" w:eastAsia="Arial" w:hAnsi="Arial"/>
                <w:sz w:val="16"/>
                <w:szCs w:val="16"/>
                <w:b w:val="1"/>
                <w:bCs w:val="1"/>
                <w:color w:val="auto"/>
              </w:rPr>
              <w:t>75%</w:t>
            </w:r>
          </w:p>
        </w:tc>
        <w:tc>
          <w:tcPr>
            <w:tcW w:w="2280" w:type="dxa"/>
            <w:vAlign w:val="bottom"/>
            <w:gridSpan w:val="2"/>
            <w:shd w:val="clear" w:color="auto" w:fill="E0E2EC"/>
          </w:tcPr>
          <w:p>
            <w:pPr>
              <w:jc w:val="right"/>
              <w:ind w:right="1719"/>
              <w:spacing w:after="0"/>
              <w:rPr>
                <w:sz w:val="20"/>
                <w:szCs w:val="20"/>
                <w:color w:val="auto"/>
              </w:rPr>
            </w:pPr>
            <w:r>
              <w:rPr>
                <w:rFonts w:ascii="Arial" w:cs="Arial" w:eastAsia="Arial" w:hAnsi="Arial"/>
                <w:sz w:val="16"/>
                <w:szCs w:val="16"/>
                <w:b w:val="1"/>
                <w:bCs w:val="1"/>
                <w:color w:val="auto"/>
              </w:rPr>
              <w:t>76%</w:t>
            </w:r>
          </w:p>
        </w:tc>
        <w:tc>
          <w:tcPr>
            <w:tcW w:w="0" w:type="dxa"/>
            <w:vAlign w:val="bottom"/>
          </w:tcPr>
          <w:p>
            <w:pPr>
              <w:spacing w:after="0"/>
              <w:rPr>
                <w:sz w:val="1"/>
                <w:szCs w:val="1"/>
                <w:color w:val="auto"/>
              </w:rPr>
            </w:pPr>
          </w:p>
        </w:tc>
      </w:tr>
      <w:tr>
        <w:trPr>
          <w:trHeight w:val="226"/>
        </w:trPr>
        <w:tc>
          <w:tcPr>
            <w:tcW w:w="5740" w:type="dxa"/>
            <w:vAlign w:val="bottom"/>
            <w:tcBorders>
              <w:bottom w:val="single" w:sz="8" w:color="5A5C5F"/>
            </w:tcBorders>
            <w:gridSpan w:val="3"/>
            <w:shd w:val="clear" w:color="auto" w:fill="E0E2EC"/>
          </w:tcPr>
          <w:p>
            <w:pPr>
              <w:ind w:left="100"/>
              <w:spacing w:after="0"/>
              <w:rPr>
                <w:sz w:val="20"/>
                <w:szCs w:val="20"/>
                <w:color w:val="auto"/>
              </w:rPr>
            </w:pPr>
            <w:r>
              <w:rPr>
                <w:rFonts w:ascii="Arial" w:cs="Arial" w:eastAsia="Arial" w:hAnsi="Arial"/>
                <w:sz w:val="16"/>
                <w:szCs w:val="16"/>
                <w:b w:val="1"/>
                <w:bCs w:val="1"/>
                <w:color w:val="auto"/>
              </w:rPr>
              <w:t>objectives</w:t>
            </w:r>
          </w:p>
        </w:tc>
        <w:tc>
          <w:tcPr>
            <w:tcW w:w="120" w:type="dxa"/>
            <w:vAlign w:val="bottom"/>
            <w:tcBorders>
              <w:bottom w:val="single" w:sz="8" w:color="5A5C5F"/>
            </w:tcBorders>
            <w:shd w:val="clear" w:color="auto" w:fill="E0E2EC"/>
          </w:tcPr>
          <w:p>
            <w:pPr>
              <w:spacing w:after="0"/>
              <w:rPr>
                <w:sz w:val="19"/>
                <w:szCs w:val="19"/>
                <w:color w:val="auto"/>
              </w:rPr>
            </w:pPr>
          </w:p>
        </w:tc>
        <w:tc>
          <w:tcPr>
            <w:tcW w:w="360" w:type="dxa"/>
            <w:vAlign w:val="bottom"/>
            <w:tcBorders>
              <w:bottom w:val="single" w:sz="8" w:color="5A5C5F"/>
            </w:tcBorders>
            <w:shd w:val="clear" w:color="auto" w:fill="E0E2EC"/>
          </w:tcPr>
          <w:p>
            <w:pPr>
              <w:spacing w:after="0"/>
              <w:rPr>
                <w:sz w:val="19"/>
                <w:szCs w:val="19"/>
                <w:color w:val="auto"/>
              </w:rPr>
            </w:pPr>
          </w:p>
        </w:tc>
        <w:tc>
          <w:tcPr>
            <w:tcW w:w="660" w:type="dxa"/>
            <w:vAlign w:val="bottom"/>
            <w:tcBorders>
              <w:bottom w:val="single" w:sz="8" w:color="5A5C5F"/>
            </w:tcBorders>
            <w:shd w:val="clear" w:color="auto" w:fill="E0E2EC"/>
          </w:tcPr>
          <w:p>
            <w:pPr>
              <w:spacing w:after="0"/>
              <w:rPr>
                <w:sz w:val="19"/>
                <w:szCs w:val="19"/>
                <w:color w:val="auto"/>
              </w:rPr>
            </w:pPr>
          </w:p>
        </w:tc>
        <w:tc>
          <w:tcPr>
            <w:tcW w:w="700" w:type="dxa"/>
            <w:vAlign w:val="bottom"/>
            <w:tcBorders>
              <w:bottom w:val="single" w:sz="8" w:color="5A5C5F"/>
            </w:tcBorders>
            <w:shd w:val="clear" w:color="auto" w:fill="E0E2EC"/>
          </w:tcPr>
          <w:p>
            <w:pPr>
              <w:spacing w:after="0"/>
              <w:rPr>
                <w:sz w:val="19"/>
                <w:szCs w:val="19"/>
                <w:color w:val="auto"/>
              </w:rPr>
            </w:pPr>
          </w:p>
        </w:tc>
        <w:tc>
          <w:tcPr>
            <w:tcW w:w="720" w:type="dxa"/>
            <w:vAlign w:val="bottom"/>
            <w:tcBorders>
              <w:bottom w:val="single" w:sz="8" w:color="5A5C5F"/>
            </w:tcBorders>
            <w:shd w:val="clear" w:color="auto" w:fill="E0E2EC"/>
          </w:tcPr>
          <w:p>
            <w:pPr>
              <w:spacing w:after="0"/>
              <w:rPr>
                <w:sz w:val="19"/>
                <w:szCs w:val="19"/>
                <w:color w:val="auto"/>
              </w:rPr>
            </w:pPr>
          </w:p>
        </w:tc>
        <w:tc>
          <w:tcPr>
            <w:tcW w:w="660" w:type="dxa"/>
            <w:vAlign w:val="bottom"/>
            <w:tcBorders>
              <w:bottom w:val="single" w:sz="8" w:color="5A5C5F"/>
            </w:tcBorders>
            <w:shd w:val="clear" w:color="auto" w:fill="E0E2EC"/>
          </w:tcPr>
          <w:p>
            <w:pPr>
              <w:spacing w:after="0"/>
              <w:rPr>
                <w:sz w:val="19"/>
                <w:szCs w:val="19"/>
                <w:color w:val="auto"/>
              </w:rPr>
            </w:pPr>
          </w:p>
        </w:tc>
        <w:tc>
          <w:tcPr>
            <w:tcW w:w="480" w:type="dxa"/>
            <w:vAlign w:val="bottom"/>
            <w:tcBorders>
              <w:bottom w:val="single" w:sz="8" w:color="5A5C5F"/>
            </w:tcBorders>
            <w:shd w:val="clear" w:color="auto" w:fill="E0E2EC"/>
          </w:tcPr>
          <w:p>
            <w:pPr>
              <w:spacing w:after="0"/>
              <w:rPr>
                <w:sz w:val="19"/>
                <w:szCs w:val="19"/>
                <w:color w:val="auto"/>
              </w:rPr>
            </w:pPr>
          </w:p>
        </w:tc>
        <w:tc>
          <w:tcPr>
            <w:tcW w:w="1800" w:type="dxa"/>
            <w:vAlign w:val="bottom"/>
            <w:tcBorders>
              <w:bottom w:val="single" w:sz="8" w:color="5A5C5F"/>
            </w:tcBorders>
            <w:shd w:val="clear" w:color="auto" w:fill="E0E2EC"/>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92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38</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0" w:type="dxa"/>
            <w:vAlign w:val="bottom"/>
            <w:vMerge w:val="restart"/>
          </w:tcPr>
          <w:p>
            <w:pPr>
              <w:ind w:left="120"/>
              <w:spacing w:after="0"/>
              <w:rPr>
                <w:sz w:val="20"/>
                <w:szCs w:val="20"/>
                <w:color w:val="auto"/>
              </w:rPr>
            </w:pPr>
            <w:r>
              <w:rPr>
                <w:rFonts w:ascii="Arial" w:cs="Arial" w:eastAsia="Arial" w:hAnsi="Arial"/>
                <w:sz w:val="16"/>
                <w:szCs w:val="16"/>
                <w:b w:val="1"/>
                <w:bCs w:val="1"/>
                <w:color w:val="636466"/>
                <w:w w:val="99"/>
              </w:rPr>
              <w:t>2023 Proxy Statement</w:t>
            </w:r>
          </w:p>
        </w:tc>
        <w:tc>
          <w:tcPr>
            <w:tcW w:w="0" w:type="dxa"/>
            <w:vAlign w:val="bottom"/>
          </w:tcPr>
          <w:p>
            <w:pPr>
              <w:spacing w:after="0"/>
              <w:rPr>
                <w:sz w:val="1"/>
                <w:szCs w:val="1"/>
                <w:color w:val="auto"/>
              </w:rPr>
            </w:pPr>
          </w:p>
        </w:tc>
      </w:tr>
      <w:tr>
        <w:trPr>
          <w:trHeight w:val="74"/>
        </w:trPr>
        <w:tc>
          <w:tcPr>
            <w:tcW w:w="920" w:type="dxa"/>
            <w:vAlign w:val="bottom"/>
          </w:tcPr>
          <w:p>
            <w:pPr>
              <w:spacing w:after="0"/>
              <w:rPr>
                <w:sz w:val="6"/>
                <w:szCs w:val="6"/>
                <w:color w:val="auto"/>
              </w:rPr>
            </w:pPr>
          </w:p>
        </w:tc>
        <w:tc>
          <w:tcPr>
            <w:tcW w:w="44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920" w:type="dxa"/>
            <w:vAlign w:val="bottom"/>
            <w:tcBorders>
              <w:bottom w:val="single" w:sz="8" w:color="C0C0C0"/>
            </w:tcBorders>
          </w:tcPr>
          <w:p>
            <w:pPr>
              <w:spacing w:after="0"/>
              <w:rPr>
                <w:sz w:val="20"/>
                <w:szCs w:val="20"/>
                <w:color w:val="auto"/>
              </w:rPr>
            </w:pPr>
          </w:p>
        </w:tc>
        <w:tc>
          <w:tcPr>
            <w:tcW w:w="448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660" w:type="dxa"/>
            <w:vAlign w:val="bottom"/>
            <w:tcBorders>
              <w:bottom w:val="single" w:sz="8" w:color="C0C0C0"/>
            </w:tcBorders>
          </w:tcPr>
          <w:p>
            <w:pPr>
              <w:spacing w:after="0"/>
              <w:rPr>
                <w:sz w:val="20"/>
                <w:szCs w:val="20"/>
                <w:color w:val="auto"/>
              </w:rPr>
            </w:pPr>
          </w:p>
        </w:tc>
        <w:tc>
          <w:tcPr>
            <w:tcW w:w="70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660" w:type="dxa"/>
            <w:vAlign w:val="bottom"/>
            <w:tcBorders>
              <w:bottom w:val="single" w:sz="8" w:color="C0C0C0"/>
            </w:tcBorders>
          </w:tcPr>
          <w:p>
            <w:pPr>
              <w:spacing w:after="0"/>
              <w:rPr>
                <w:sz w:val="20"/>
                <w:szCs w:val="20"/>
                <w:color w:val="auto"/>
              </w:rPr>
            </w:pPr>
          </w:p>
        </w:tc>
        <w:tc>
          <w:tcPr>
            <w:tcW w:w="480" w:type="dxa"/>
            <w:vAlign w:val="bottom"/>
            <w:tcBorders>
              <w:bottom w:val="single" w:sz="8" w:color="C0C0C0"/>
            </w:tcBorders>
          </w:tcPr>
          <w:p>
            <w:pPr>
              <w:spacing w:after="0"/>
              <w:rPr>
                <w:sz w:val="20"/>
                <w:szCs w:val="20"/>
                <w:color w:val="auto"/>
              </w:rPr>
            </w:pPr>
          </w:p>
        </w:tc>
        <w:tc>
          <w:tcPr>
            <w:tcW w:w="18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-783590</wp:posOffset>
            </wp:positionV>
            <wp:extent cx="7157720" cy="33655"/>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0">
                      <a:extLst>
                        <a:ext uri="{28A0092B-C50C-407E-A947-70E740481C1C}"/>
                      </a:extLst>
                    </a:blip>
                    <a:srcRect/>
                    <a:stretch>
                      <a:fillRect/>
                    </a:stretch>
                  </pic:blipFill>
                  <pic:spPr bwMode="auto">
                    <a:xfrm>
                      <a:off x="0" y="0"/>
                      <a:ext cx="715772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-5892800</wp:posOffset>
            </wp:positionV>
            <wp:extent cx="7157720" cy="5781675"/>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1">
                      <a:extLst>
                        <a:ext uri="{28A0092B-C50C-407E-A947-70E740481C1C}"/>
                      </a:extLst>
                    </a:blip>
                    <a:srcRect/>
                    <a:stretch>
                      <a:fillRect/>
                    </a:stretch>
                  </pic:blipFill>
                  <pic:spPr bwMode="auto">
                    <a:xfrm>
                      <a:off x="0" y="0"/>
                      <a:ext cx="7157720" cy="57816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-5892800</wp:posOffset>
            </wp:positionV>
            <wp:extent cx="7157720" cy="5781675"/>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2">
                      <a:extLst>
                        <a:ext uri="{28A0092B-C50C-407E-A947-70E740481C1C}"/>
                      </a:extLst>
                    </a:blip>
                    <a:srcRect/>
                    <a:stretch>
                      <a:fillRect/>
                    </a:stretch>
                  </pic:blipFill>
                  <pic:spPr bwMode="auto">
                    <a:xfrm>
                      <a:off x="0" y="0"/>
                      <a:ext cx="7157720" cy="578167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As discussed on page 36 above, 30% of our NEOs’ target 2022 cash incentive opportunity was tied to achieving quantitative and qualitative performance goals specific to their roles within SLB. These may relate to: financial goals, such as profitability, revenue growth, capital management or cost reduction; performance achievements, such as contract awards or operational reliability or HSE objectives; non-financial or sustainability-related goals that are important to SLB’s strategy and reputation, such as carbon emissions reduction, ethics and compliance, or people-related objectives including diversity and gender balance; and other business priorities, including energy transition services and technologies.</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Each January, our Compensation Committee reviews and, subject to approval by the Board’s independent directors, approves our CEO’s strategic personal objectives for that year. The Committee also annually assesses our CEO’s performance against his strategic personal objectives established for the prior year, to determine the appropriate payout for the 30% portion of his annual cash incentive opportunity tied to his personal objectives. The CEO reviews and approves the strategic personal objectives of the other NEOs and assesses their performance against their pre-approved objectives in a similar way. The Committee annually approves the aggregate annual cash incentive payouts for all executive officers, including the payout portion related to an executive’s strategic personal objectives.</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Summary of 2022 Cash Incentive Results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In January 2022, our Compensation Committee determined to leave the target annual cash incentive opportunity for all NEOs unchanged from 2021, following a review of market data indicating that our NEOs’ target annual cash incentive opportunity (as a percentage of base salary) was competitively positioned. As a result, the 2022 target cash incentive for our CEO was 150% of his base salary and for our other NEOs it was 100% of base salary. The following table reflects our NEOs’ full-year 2022 annual cash incentive results, together with relevant weightings of the different components and payouts under each component.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40" w:type="dxa"/>
            <w:vAlign w:val="bottom"/>
          </w:tcPr>
          <w:p>
            <w:pPr>
              <w:spacing w:after="0"/>
              <w:rPr>
                <w:sz w:val="17"/>
                <w:szCs w:val="17"/>
                <w:color w:val="auto"/>
              </w:rPr>
            </w:pPr>
          </w:p>
        </w:tc>
        <w:tc>
          <w:tcPr>
            <w:tcW w:w="17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0233A1"/>
              </w:rPr>
              <w:t>Incentive</w:t>
            </w:r>
          </w:p>
        </w:tc>
        <w:tc>
          <w:tcPr>
            <w:tcW w:w="1080" w:type="dxa"/>
            <w:vAlign w:val="bottom"/>
          </w:tcPr>
          <w:p>
            <w:pPr>
              <w:spacing w:after="0"/>
              <w:rPr>
                <w:sz w:val="17"/>
                <w:szCs w:val="17"/>
                <w:color w:val="auto"/>
              </w:rPr>
            </w:pPr>
          </w:p>
        </w:tc>
        <w:tc>
          <w:tcPr>
            <w:tcW w:w="226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0233A1"/>
              </w:rPr>
              <w:t>Financial Objectives</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0233A1"/>
              </w:rPr>
              <w:t>Personal Objectives</w:t>
            </w:r>
          </w:p>
        </w:tc>
        <w:tc>
          <w:tcPr>
            <w:tcW w:w="12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0233A1"/>
              </w:rPr>
              <w:t>Total 2022</w:t>
            </w:r>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2200" w:type="dxa"/>
            <w:vAlign w:val="bottom"/>
            <w:tcBorders>
              <w:top w:val="single" w:sz="8" w:color="0233A1"/>
            </w:tcBorders>
            <w:gridSpan w:val="3"/>
          </w:tcPr>
          <w:p>
            <w:pPr>
              <w:ind w:left="320"/>
              <w:spacing w:after="0" w:line="183" w:lineRule="exact"/>
              <w:rPr>
                <w:sz w:val="20"/>
                <w:szCs w:val="20"/>
                <w:color w:val="auto"/>
              </w:rPr>
            </w:pPr>
            <w:r>
              <w:rPr>
                <w:rFonts w:ascii="Arial" w:cs="Arial" w:eastAsia="Arial" w:hAnsi="Arial"/>
                <w:sz w:val="16"/>
                <w:szCs w:val="16"/>
                <w:b w:val="1"/>
                <w:bCs w:val="1"/>
                <w:color w:val="0233A1"/>
              </w:rPr>
              <w:t>Adjusted EBITDA</w:t>
            </w:r>
          </w:p>
        </w:tc>
        <w:tc>
          <w:tcPr>
            <w:tcW w:w="1980" w:type="dxa"/>
            <w:vAlign w:val="bottom"/>
            <w:tcBorders>
              <w:top w:val="single" w:sz="8" w:color="0233A1"/>
            </w:tcBorders>
            <w:gridSpan w:val="2"/>
          </w:tcPr>
          <w:p>
            <w:pPr>
              <w:ind w:left="400"/>
              <w:spacing w:after="0" w:line="183" w:lineRule="exact"/>
              <w:rPr>
                <w:sz w:val="20"/>
                <w:szCs w:val="20"/>
                <w:color w:val="auto"/>
              </w:rPr>
            </w:pPr>
            <w:r>
              <w:rPr>
                <w:rFonts w:ascii="Arial" w:cs="Arial" w:eastAsia="Arial" w:hAnsi="Arial"/>
                <w:sz w:val="16"/>
                <w:szCs w:val="16"/>
                <w:b w:val="1"/>
                <w:bCs w:val="1"/>
                <w:color w:val="0233A1"/>
              </w:rPr>
              <w:t>Free Cash Flow</w:t>
            </w:r>
          </w:p>
        </w:tc>
        <w:tc>
          <w:tcPr>
            <w:tcW w:w="220" w:type="dxa"/>
            <w:vAlign w:val="bottom"/>
          </w:tcPr>
          <w:p>
            <w:pPr>
              <w:spacing w:after="0"/>
              <w:rPr>
                <w:sz w:val="15"/>
                <w:szCs w:val="15"/>
                <w:color w:val="auto"/>
              </w:rPr>
            </w:pPr>
          </w:p>
        </w:tc>
        <w:tc>
          <w:tcPr>
            <w:tcW w:w="1180" w:type="dxa"/>
            <w:vAlign w:val="bottom"/>
            <w:tcBorders>
              <w:top w:val="single" w:sz="8" w:color="0233A1"/>
            </w:tcBorders>
          </w:tcPr>
          <w:p>
            <w:pPr>
              <w:spacing w:after="0"/>
              <w:rPr>
                <w:sz w:val="15"/>
                <w:szCs w:val="15"/>
                <w:color w:val="auto"/>
              </w:rPr>
            </w:pPr>
          </w:p>
        </w:tc>
        <w:tc>
          <w:tcPr>
            <w:tcW w:w="820" w:type="dxa"/>
            <w:vAlign w:val="bottom"/>
            <w:tcBorders>
              <w:top w:val="single" w:sz="8" w:color="0233A1"/>
            </w:tcBorders>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740" w:type="dxa"/>
            <w:vAlign w:val="bottom"/>
          </w:tcPr>
          <w:p>
            <w:pPr>
              <w:spacing w:after="0"/>
              <w:rPr>
                <w:sz w:val="14"/>
                <w:szCs w:val="14"/>
                <w:color w:val="auto"/>
              </w:rPr>
            </w:pPr>
          </w:p>
        </w:tc>
        <w:tc>
          <w:tcPr>
            <w:tcW w:w="1720" w:type="dxa"/>
            <w:vAlign w:val="bottom"/>
          </w:tcPr>
          <w:p>
            <w:pPr>
              <w:jc w:val="right"/>
              <w:ind w:right="179"/>
              <w:spacing w:after="0" w:line="168" w:lineRule="exact"/>
              <w:rPr>
                <w:sz w:val="20"/>
                <w:szCs w:val="20"/>
                <w:color w:val="auto"/>
              </w:rPr>
            </w:pPr>
            <w:r>
              <w:rPr>
                <w:rFonts w:ascii="Arial" w:cs="Arial" w:eastAsia="Arial" w:hAnsi="Arial"/>
                <w:sz w:val="16"/>
                <w:szCs w:val="16"/>
                <w:b w:val="1"/>
                <w:bCs w:val="1"/>
                <w:color w:val="0233A1"/>
              </w:rPr>
              <w:t>Opportunity</w:t>
            </w:r>
          </w:p>
        </w:tc>
        <w:tc>
          <w:tcPr>
            <w:tcW w:w="1080" w:type="dxa"/>
            <w:vAlign w:val="bottom"/>
            <w:tcBorders>
              <w:top w:val="single" w:sz="8" w:color="0233A1"/>
            </w:tcBorders>
          </w:tcPr>
          <w:p>
            <w:pPr>
              <w:spacing w:after="0"/>
              <w:rPr>
                <w:sz w:val="14"/>
                <w:szCs w:val="14"/>
                <w:color w:val="auto"/>
              </w:rPr>
            </w:pPr>
          </w:p>
        </w:tc>
        <w:tc>
          <w:tcPr>
            <w:tcW w:w="900" w:type="dxa"/>
            <w:vAlign w:val="bottom"/>
            <w:tcBorders>
              <w:top w:val="single" w:sz="8" w:color="0233A1"/>
            </w:tcBorders>
          </w:tcPr>
          <w:p>
            <w:pPr>
              <w:jc w:val="right"/>
              <w:spacing w:after="0" w:line="168" w:lineRule="exact"/>
              <w:rPr>
                <w:sz w:val="20"/>
                <w:szCs w:val="20"/>
                <w:color w:val="auto"/>
              </w:rPr>
            </w:pPr>
            <w:r>
              <w:rPr>
                <w:rFonts w:ascii="Arial" w:cs="Arial" w:eastAsia="Arial" w:hAnsi="Arial"/>
                <w:sz w:val="16"/>
                <w:szCs w:val="16"/>
                <w:b w:val="1"/>
                <w:bCs w:val="1"/>
                <w:color w:val="0233A1"/>
              </w:rPr>
              <w:t>Payout</w:t>
            </w:r>
          </w:p>
        </w:tc>
        <w:tc>
          <w:tcPr>
            <w:tcW w:w="220" w:type="dxa"/>
            <w:vAlign w:val="bottom"/>
          </w:tcPr>
          <w:p>
            <w:pPr>
              <w:spacing w:after="0"/>
              <w:rPr>
                <w:sz w:val="14"/>
                <w:szCs w:val="14"/>
                <w:color w:val="auto"/>
              </w:rPr>
            </w:pPr>
          </w:p>
        </w:tc>
        <w:tc>
          <w:tcPr>
            <w:tcW w:w="1140" w:type="dxa"/>
            <w:vAlign w:val="bottom"/>
            <w:tcBorders>
              <w:top w:val="single" w:sz="8" w:color="0233A1"/>
            </w:tcBorders>
          </w:tcPr>
          <w:p>
            <w:pPr>
              <w:spacing w:after="0"/>
              <w:rPr>
                <w:sz w:val="14"/>
                <w:szCs w:val="14"/>
                <w:color w:val="auto"/>
              </w:rPr>
            </w:pPr>
          </w:p>
        </w:tc>
        <w:tc>
          <w:tcPr>
            <w:tcW w:w="840" w:type="dxa"/>
            <w:vAlign w:val="bottom"/>
            <w:tcBorders>
              <w:top w:val="single" w:sz="8" w:color="0233A1"/>
            </w:tcBorders>
          </w:tcPr>
          <w:p>
            <w:pPr>
              <w:ind w:left="260"/>
              <w:spacing w:after="0" w:line="168" w:lineRule="exact"/>
              <w:rPr>
                <w:sz w:val="20"/>
                <w:szCs w:val="20"/>
                <w:color w:val="auto"/>
              </w:rPr>
            </w:pPr>
            <w:r>
              <w:rPr>
                <w:rFonts w:ascii="Arial" w:cs="Arial" w:eastAsia="Arial" w:hAnsi="Arial"/>
                <w:sz w:val="16"/>
                <w:szCs w:val="16"/>
                <w:b w:val="1"/>
                <w:bCs w:val="1"/>
                <w:color w:val="0233A1"/>
              </w:rPr>
              <w:t>Payout</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gridSpan w:val="2"/>
          </w:tcPr>
          <w:p>
            <w:pPr>
              <w:jc w:val="right"/>
              <w:ind w:right="160"/>
              <w:spacing w:after="0" w:line="168" w:lineRule="exact"/>
              <w:rPr>
                <w:sz w:val="20"/>
                <w:szCs w:val="20"/>
                <w:color w:val="auto"/>
              </w:rPr>
            </w:pPr>
            <w:r>
              <w:rPr>
                <w:rFonts w:ascii="Arial" w:cs="Arial" w:eastAsia="Arial" w:hAnsi="Arial"/>
                <w:sz w:val="16"/>
                <w:szCs w:val="16"/>
                <w:b w:val="1"/>
                <w:bCs w:val="1"/>
                <w:color w:val="0233A1"/>
              </w:rPr>
              <w:t>Payout</w:t>
            </w:r>
          </w:p>
        </w:tc>
        <w:tc>
          <w:tcPr>
            <w:tcW w:w="1220" w:type="dxa"/>
            <w:vAlign w:val="bottom"/>
          </w:tcPr>
          <w:p>
            <w:pPr>
              <w:jc w:val="right"/>
              <w:ind w:right="179"/>
              <w:spacing w:after="0" w:line="168" w:lineRule="exact"/>
              <w:rPr>
                <w:sz w:val="20"/>
                <w:szCs w:val="20"/>
                <w:color w:val="auto"/>
              </w:rPr>
            </w:pPr>
            <w:r>
              <w:rPr>
                <w:rFonts w:ascii="Arial" w:cs="Arial" w:eastAsia="Arial" w:hAnsi="Arial"/>
                <w:sz w:val="16"/>
                <w:szCs w:val="16"/>
                <w:b w:val="1"/>
                <w:bCs w:val="1"/>
                <w:color w:val="0233A1"/>
              </w:rPr>
              <w:t>Incentive</w:t>
            </w:r>
          </w:p>
        </w:tc>
        <w:tc>
          <w:tcPr>
            <w:tcW w:w="0" w:type="dxa"/>
            <w:vAlign w:val="bottom"/>
          </w:tcPr>
          <w:p>
            <w:pPr>
              <w:spacing w:after="0"/>
              <w:rPr>
                <w:sz w:val="1"/>
                <w:szCs w:val="1"/>
                <w:color w:val="auto"/>
              </w:rPr>
            </w:pPr>
          </w:p>
        </w:tc>
      </w:tr>
      <w:tr>
        <w:trPr>
          <w:trHeight w:val="163"/>
        </w:trPr>
        <w:tc>
          <w:tcPr>
            <w:tcW w:w="1740" w:type="dxa"/>
            <w:vAlign w:val="bottom"/>
          </w:tcPr>
          <w:p>
            <w:pPr>
              <w:spacing w:after="0"/>
              <w:rPr>
                <w:sz w:val="14"/>
                <w:szCs w:val="14"/>
                <w:color w:val="auto"/>
              </w:rPr>
            </w:pPr>
          </w:p>
        </w:tc>
        <w:tc>
          <w:tcPr>
            <w:tcW w:w="1720" w:type="dxa"/>
            <w:vAlign w:val="bottom"/>
          </w:tcPr>
          <w:p>
            <w:pPr>
              <w:jc w:val="right"/>
              <w:ind w:right="179"/>
              <w:spacing w:after="0" w:line="163" w:lineRule="exact"/>
              <w:rPr>
                <w:sz w:val="20"/>
                <w:szCs w:val="20"/>
                <w:color w:val="auto"/>
              </w:rPr>
            </w:pPr>
            <w:r>
              <w:rPr>
                <w:rFonts w:ascii="Arial" w:cs="Arial" w:eastAsia="Arial" w:hAnsi="Arial"/>
                <w:sz w:val="16"/>
                <w:szCs w:val="16"/>
                <w:b w:val="1"/>
                <w:bCs w:val="1"/>
                <w:color w:val="0233A1"/>
              </w:rPr>
              <w:t>as % of</w:t>
            </w:r>
          </w:p>
        </w:tc>
        <w:tc>
          <w:tcPr>
            <w:tcW w:w="1080" w:type="dxa"/>
            <w:vAlign w:val="bottom"/>
          </w:tcPr>
          <w:p>
            <w:pPr>
              <w:jc w:val="right"/>
              <w:ind w:right="139"/>
              <w:spacing w:after="0" w:line="163" w:lineRule="exact"/>
              <w:rPr>
                <w:sz w:val="20"/>
                <w:szCs w:val="20"/>
                <w:color w:val="auto"/>
              </w:rPr>
            </w:pPr>
            <w:r>
              <w:rPr>
                <w:rFonts w:ascii="Arial" w:cs="Arial" w:eastAsia="Arial" w:hAnsi="Arial"/>
                <w:sz w:val="16"/>
                <w:szCs w:val="16"/>
                <w:b w:val="1"/>
                <w:bCs w:val="1"/>
                <w:color w:val="0233A1"/>
              </w:rPr>
              <w:t>Weight</w:t>
            </w:r>
          </w:p>
        </w:tc>
        <w:tc>
          <w:tcPr>
            <w:tcW w:w="1120" w:type="dxa"/>
            <w:vAlign w:val="bottom"/>
            <w:gridSpan w:val="2"/>
          </w:tcPr>
          <w:p>
            <w:pPr>
              <w:jc w:val="right"/>
              <w:ind w:right="220"/>
              <w:spacing w:after="0" w:line="163" w:lineRule="exact"/>
              <w:rPr>
                <w:sz w:val="20"/>
                <w:szCs w:val="20"/>
                <w:color w:val="auto"/>
              </w:rPr>
            </w:pPr>
            <w:r>
              <w:rPr>
                <w:rFonts w:ascii="Arial" w:cs="Arial" w:eastAsia="Arial" w:hAnsi="Arial"/>
                <w:sz w:val="16"/>
                <w:szCs w:val="16"/>
                <w:b w:val="1"/>
                <w:bCs w:val="1"/>
                <w:color w:val="0233A1"/>
              </w:rPr>
              <w:t>Result</w:t>
            </w:r>
          </w:p>
        </w:tc>
        <w:tc>
          <w:tcPr>
            <w:tcW w:w="1140" w:type="dxa"/>
            <w:vAlign w:val="bottom"/>
          </w:tcPr>
          <w:p>
            <w:pPr>
              <w:jc w:val="right"/>
              <w:ind w:right="179"/>
              <w:spacing w:after="0" w:line="163" w:lineRule="exact"/>
              <w:rPr>
                <w:sz w:val="20"/>
                <w:szCs w:val="20"/>
                <w:color w:val="auto"/>
              </w:rPr>
            </w:pPr>
            <w:r>
              <w:rPr>
                <w:rFonts w:ascii="Arial" w:cs="Arial" w:eastAsia="Arial" w:hAnsi="Arial"/>
                <w:sz w:val="16"/>
                <w:szCs w:val="16"/>
                <w:b w:val="1"/>
                <w:bCs w:val="1"/>
                <w:color w:val="0233A1"/>
              </w:rPr>
              <w:t>Weight</w:t>
            </w:r>
          </w:p>
        </w:tc>
        <w:tc>
          <w:tcPr>
            <w:tcW w:w="1060" w:type="dxa"/>
            <w:vAlign w:val="bottom"/>
            <w:gridSpan w:val="2"/>
          </w:tcPr>
          <w:p>
            <w:pPr>
              <w:jc w:val="right"/>
              <w:ind w:right="220"/>
              <w:spacing w:after="0" w:line="163" w:lineRule="exact"/>
              <w:rPr>
                <w:sz w:val="20"/>
                <w:szCs w:val="20"/>
                <w:color w:val="auto"/>
              </w:rPr>
            </w:pPr>
            <w:r>
              <w:rPr>
                <w:rFonts w:ascii="Arial" w:cs="Arial" w:eastAsia="Arial" w:hAnsi="Arial"/>
                <w:sz w:val="16"/>
                <w:szCs w:val="16"/>
                <w:b w:val="1"/>
                <w:bCs w:val="1"/>
                <w:color w:val="0233A1"/>
              </w:rPr>
              <w:t>Result</w:t>
            </w:r>
          </w:p>
        </w:tc>
        <w:tc>
          <w:tcPr>
            <w:tcW w:w="1180" w:type="dxa"/>
            <w:vAlign w:val="bottom"/>
          </w:tcPr>
          <w:p>
            <w:pPr>
              <w:jc w:val="right"/>
              <w:ind w:right="199"/>
              <w:spacing w:after="0" w:line="163" w:lineRule="exact"/>
              <w:rPr>
                <w:sz w:val="20"/>
                <w:szCs w:val="20"/>
                <w:color w:val="auto"/>
              </w:rPr>
            </w:pPr>
            <w:r>
              <w:rPr>
                <w:rFonts w:ascii="Arial" w:cs="Arial" w:eastAsia="Arial" w:hAnsi="Arial"/>
                <w:sz w:val="16"/>
                <w:szCs w:val="16"/>
                <w:b w:val="1"/>
                <w:bCs w:val="1"/>
                <w:color w:val="0233A1"/>
              </w:rPr>
              <w:t>Weight</w:t>
            </w:r>
          </w:p>
        </w:tc>
        <w:tc>
          <w:tcPr>
            <w:tcW w:w="980" w:type="dxa"/>
            <w:vAlign w:val="bottom"/>
            <w:gridSpan w:val="2"/>
          </w:tcPr>
          <w:p>
            <w:pPr>
              <w:jc w:val="right"/>
              <w:ind w:right="160"/>
              <w:spacing w:after="0" w:line="163" w:lineRule="exact"/>
              <w:rPr>
                <w:sz w:val="20"/>
                <w:szCs w:val="20"/>
                <w:color w:val="auto"/>
              </w:rPr>
            </w:pPr>
            <w:r>
              <w:rPr>
                <w:rFonts w:ascii="Arial" w:cs="Arial" w:eastAsia="Arial" w:hAnsi="Arial"/>
                <w:sz w:val="16"/>
                <w:szCs w:val="16"/>
                <w:b w:val="1"/>
                <w:bCs w:val="1"/>
                <w:color w:val="0233A1"/>
              </w:rPr>
              <w:t>Result</w:t>
            </w:r>
          </w:p>
        </w:tc>
        <w:tc>
          <w:tcPr>
            <w:tcW w:w="1220" w:type="dxa"/>
            <w:vAlign w:val="bottom"/>
          </w:tcPr>
          <w:p>
            <w:pPr>
              <w:jc w:val="right"/>
              <w:ind w:right="179"/>
              <w:spacing w:after="0" w:line="163" w:lineRule="exact"/>
              <w:rPr>
                <w:sz w:val="20"/>
                <w:szCs w:val="20"/>
                <w:color w:val="auto"/>
              </w:rPr>
            </w:pPr>
            <w:r>
              <w:rPr>
                <w:rFonts w:ascii="Arial" w:cs="Arial" w:eastAsia="Arial" w:hAnsi="Arial"/>
                <w:sz w:val="16"/>
                <w:szCs w:val="16"/>
                <w:b w:val="1"/>
                <w:bCs w:val="1"/>
                <w:color w:val="0233A1"/>
              </w:rPr>
              <w:t>Paid as %</w:t>
            </w:r>
          </w:p>
        </w:tc>
        <w:tc>
          <w:tcPr>
            <w:tcW w:w="0" w:type="dxa"/>
            <w:vAlign w:val="bottom"/>
          </w:tcPr>
          <w:p>
            <w:pPr>
              <w:spacing w:after="0"/>
              <w:rPr>
                <w:sz w:val="1"/>
                <w:szCs w:val="1"/>
                <w:color w:val="auto"/>
              </w:rPr>
            </w:pPr>
          </w:p>
        </w:tc>
      </w:tr>
      <w:tr>
        <w:trPr>
          <w:trHeight w:val="230"/>
        </w:trPr>
        <w:tc>
          <w:tcPr>
            <w:tcW w:w="1740" w:type="dxa"/>
            <w:vAlign w:val="bottom"/>
            <w:tcBorders>
              <w:bottom w:val="single" w:sz="8" w:color="0233A1"/>
            </w:tcBorders>
          </w:tcPr>
          <w:p>
            <w:pPr>
              <w:ind w:left="40"/>
              <w:spacing w:after="0"/>
              <w:rPr>
                <w:sz w:val="20"/>
                <w:szCs w:val="20"/>
                <w:color w:val="auto"/>
              </w:rPr>
            </w:pPr>
            <w:r>
              <w:rPr>
                <w:rFonts w:ascii="Arial" w:cs="Arial" w:eastAsia="Arial" w:hAnsi="Arial"/>
                <w:sz w:val="16"/>
                <w:szCs w:val="16"/>
                <w:b w:val="1"/>
                <w:bCs w:val="1"/>
                <w:color w:val="0233A1"/>
              </w:rPr>
              <w:t>Name</w:t>
            </w:r>
          </w:p>
        </w:tc>
        <w:tc>
          <w:tcPr>
            <w:tcW w:w="1720" w:type="dxa"/>
            <w:vAlign w:val="bottom"/>
            <w:tcBorders>
              <w:bottom w:val="single" w:sz="8" w:color="0233A1"/>
            </w:tcBorders>
          </w:tcPr>
          <w:p>
            <w:pPr>
              <w:jc w:val="right"/>
              <w:ind w:right="179"/>
              <w:spacing w:after="0"/>
              <w:rPr>
                <w:sz w:val="20"/>
                <w:szCs w:val="20"/>
                <w:color w:val="auto"/>
              </w:rPr>
            </w:pPr>
            <w:r>
              <w:rPr>
                <w:rFonts w:ascii="Arial" w:cs="Arial" w:eastAsia="Arial" w:hAnsi="Arial"/>
                <w:sz w:val="16"/>
                <w:szCs w:val="16"/>
                <w:b w:val="1"/>
                <w:bCs w:val="1"/>
                <w:color w:val="0233A1"/>
              </w:rPr>
              <w:t>Base Salary</w:t>
            </w:r>
          </w:p>
        </w:tc>
        <w:tc>
          <w:tcPr>
            <w:tcW w:w="1080" w:type="dxa"/>
            <w:vAlign w:val="bottom"/>
            <w:tcBorders>
              <w:bottom w:val="single" w:sz="8" w:color="0233A1"/>
            </w:tcBorders>
          </w:tcPr>
          <w:p>
            <w:pPr>
              <w:jc w:val="right"/>
              <w:ind w:right="139"/>
              <w:spacing w:after="0"/>
              <w:rPr>
                <w:sz w:val="20"/>
                <w:szCs w:val="20"/>
                <w:color w:val="auto"/>
              </w:rPr>
            </w:pPr>
            <w:r>
              <w:rPr>
                <w:rFonts w:ascii="Arial" w:cs="Arial" w:eastAsia="Arial" w:hAnsi="Arial"/>
                <w:sz w:val="16"/>
                <w:szCs w:val="16"/>
                <w:b w:val="1"/>
                <w:bCs w:val="1"/>
                <w:color w:val="0233A1"/>
              </w:rPr>
              <w:t>(%)</w:t>
            </w:r>
          </w:p>
        </w:tc>
        <w:tc>
          <w:tcPr>
            <w:tcW w:w="1120" w:type="dxa"/>
            <w:vAlign w:val="bottom"/>
            <w:tcBorders>
              <w:bottom w:val="single" w:sz="8" w:color="0233A1"/>
            </w:tcBorders>
            <w:gridSpan w:val="2"/>
          </w:tcPr>
          <w:p>
            <w:pPr>
              <w:jc w:val="right"/>
              <w:ind w:right="220"/>
              <w:spacing w:after="0"/>
              <w:rPr>
                <w:sz w:val="20"/>
                <w:szCs w:val="20"/>
                <w:color w:val="auto"/>
              </w:rPr>
            </w:pPr>
            <w:r>
              <w:rPr>
                <w:rFonts w:ascii="Arial" w:cs="Arial" w:eastAsia="Arial" w:hAnsi="Arial"/>
                <w:sz w:val="16"/>
                <w:szCs w:val="16"/>
                <w:b w:val="1"/>
                <w:bCs w:val="1"/>
                <w:color w:val="0233A1"/>
              </w:rPr>
              <w:t>(%)</w:t>
            </w:r>
          </w:p>
        </w:tc>
        <w:tc>
          <w:tcPr>
            <w:tcW w:w="1140" w:type="dxa"/>
            <w:vAlign w:val="bottom"/>
            <w:tcBorders>
              <w:bottom w:val="single" w:sz="8" w:color="0233A1"/>
            </w:tcBorders>
          </w:tcPr>
          <w:p>
            <w:pPr>
              <w:jc w:val="right"/>
              <w:ind w:right="179"/>
              <w:spacing w:after="0"/>
              <w:rPr>
                <w:sz w:val="20"/>
                <w:szCs w:val="20"/>
                <w:color w:val="auto"/>
              </w:rPr>
            </w:pPr>
            <w:r>
              <w:rPr>
                <w:rFonts w:ascii="Arial" w:cs="Arial" w:eastAsia="Arial" w:hAnsi="Arial"/>
                <w:sz w:val="16"/>
                <w:szCs w:val="16"/>
                <w:b w:val="1"/>
                <w:bCs w:val="1"/>
                <w:color w:val="0233A1"/>
              </w:rPr>
              <w:t>(%)</w:t>
            </w:r>
          </w:p>
        </w:tc>
        <w:tc>
          <w:tcPr>
            <w:tcW w:w="1060" w:type="dxa"/>
            <w:vAlign w:val="bottom"/>
            <w:tcBorders>
              <w:bottom w:val="single" w:sz="8" w:color="0233A1"/>
            </w:tcBorders>
            <w:gridSpan w:val="2"/>
          </w:tcPr>
          <w:p>
            <w:pPr>
              <w:jc w:val="right"/>
              <w:ind w:right="220"/>
              <w:spacing w:after="0"/>
              <w:rPr>
                <w:sz w:val="20"/>
                <w:szCs w:val="20"/>
                <w:color w:val="auto"/>
              </w:rPr>
            </w:pPr>
            <w:r>
              <w:rPr>
                <w:rFonts w:ascii="Arial" w:cs="Arial" w:eastAsia="Arial" w:hAnsi="Arial"/>
                <w:sz w:val="16"/>
                <w:szCs w:val="16"/>
                <w:b w:val="1"/>
                <w:bCs w:val="1"/>
                <w:color w:val="0233A1"/>
              </w:rPr>
              <w:t>(%)</w:t>
            </w:r>
          </w:p>
        </w:tc>
        <w:tc>
          <w:tcPr>
            <w:tcW w:w="1180" w:type="dxa"/>
            <w:vAlign w:val="bottom"/>
            <w:tcBorders>
              <w:bottom w:val="single" w:sz="8" w:color="0233A1"/>
            </w:tcBorders>
          </w:tcPr>
          <w:p>
            <w:pPr>
              <w:jc w:val="right"/>
              <w:ind w:right="199"/>
              <w:spacing w:after="0"/>
              <w:rPr>
                <w:sz w:val="20"/>
                <w:szCs w:val="20"/>
                <w:color w:val="auto"/>
              </w:rPr>
            </w:pPr>
            <w:r>
              <w:rPr>
                <w:rFonts w:ascii="Arial" w:cs="Arial" w:eastAsia="Arial" w:hAnsi="Arial"/>
                <w:sz w:val="16"/>
                <w:szCs w:val="16"/>
                <w:b w:val="1"/>
                <w:bCs w:val="1"/>
                <w:color w:val="0233A1"/>
              </w:rPr>
              <w:t>(%)</w:t>
            </w:r>
          </w:p>
        </w:tc>
        <w:tc>
          <w:tcPr>
            <w:tcW w:w="980" w:type="dxa"/>
            <w:vAlign w:val="bottom"/>
            <w:tcBorders>
              <w:bottom w:val="single" w:sz="8" w:color="0233A1"/>
            </w:tcBorders>
            <w:gridSpan w:val="2"/>
          </w:tcPr>
          <w:p>
            <w:pPr>
              <w:jc w:val="right"/>
              <w:ind w:right="160"/>
              <w:spacing w:after="0"/>
              <w:rPr>
                <w:sz w:val="20"/>
                <w:szCs w:val="20"/>
                <w:color w:val="auto"/>
              </w:rPr>
            </w:pPr>
            <w:r>
              <w:rPr>
                <w:rFonts w:ascii="Arial" w:cs="Arial" w:eastAsia="Arial" w:hAnsi="Arial"/>
                <w:sz w:val="16"/>
                <w:szCs w:val="16"/>
                <w:b w:val="1"/>
                <w:bCs w:val="1"/>
                <w:color w:val="0233A1"/>
              </w:rPr>
              <w:t>(%)</w:t>
            </w:r>
          </w:p>
        </w:tc>
        <w:tc>
          <w:tcPr>
            <w:tcW w:w="1220" w:type="dxa"/>
            <w:vAlign w:val="bottom"/>
            <w:tcBorders>
              <w:bottom w:val="single" w:sz="8" w:color="0233A1"/>
            </w:tcBorders>
          </w:tcPr>
          <w:p>
            <w:pPr>
              <w:jc w:val="right"/>
              <w:ind w:right="19"/>
              <w:spacing w:after="0" w:line="230" w:lineRule="exact"/>
              <w:rPr>
                <w:sz w:val="20"/>
                <w:szCs w:val="20"/>
                <w:color w:val="auto"/>
              </w:rPr>
            </w:pPr>
            <w:r>
              <w:rPr>
                <w:rFonts w:ascii="Arial" w:cs="Arial" w:eastAsia="Arial" w:hAnsi="Arial"/>
                <w:sz w:val="16"/>
                <w:szCs w:val="16"/>
                <w:b w:val="1"/>
                <w:bCs w:val="1"/>
                <w:color w:val="0233A1"/>
              </w:rPr>
              <w:t>of Target</w:t>
            </w:r>
            <w:r>
              <w:rPr>
                <w:rFonts w:ascii="Arial" w:cs="Arial" w:eastAsia="Arial" w:hAnsi="Arial"/>
                <w:sz w:val="26"/>
                <w:szCs w:val="26"/>
                <w:b w:val="1"/>
                <w:bCs w:val="1"/>
                <w:color w:val="0233A1"/>
                <w:vertAlign w:val="superscript"/>
              </w:rPr>
              <w:t>(1)</w:t>
            </w:r>
          </w:p>
        </w:tc>
        <w:tc>
          <w:tcPr>
            <w:tcW w:w="0" w:type="dxa"/>
            <w:vAlign w:val="bottom"/>
          </w:tcPr>
          <w:p>
            <w:pPr>
              <w:spacing w:after="0"/>
              <w:rPr>
                <w:sz w:val="1"/>
                <w:szCs w:val="1"/>
                <w:color w:val="auto"/>
              </w:rPr>
            </w:pPr>
          </w:p>
        </w:tc>
      </w:tr>
      <w:tr>
        <w:trPr>
          <w:trHeight w:val="182"/>
        </w:trPr>
        <w:tc>
          <w:tcPr>
            <w:tcW w:w="1740" w:type="dxa"/>
            <w:vAlign w:val="bottom"/>
          </w:tcPr>
          <w:p>
            <w:pPr>
              <w:ind w:left="40"/>
              <w:spacing w:after="0" w:line="182" w:lineRule="exact"/>
              <w:rPr>
                <w:sz w:val="20"/>
                <w:szCs w:val="20"/>
                <w:color w:val="auto"/>
              </w:rPr>
            </w:pPr>
            <w:r>
              <w:rPr>
                <w:rFonts w:ascii="Arial" w:cs="Arial" w:eastAsia="Arial" w:hAnsi="Arial"/>
                <w:sz w:val="16"/>
                <w:szCs w:val="16"/>
                <w:color w:val="auto"/>
              </w:rPr>
              <w:t>O. Le Peuch</w:t>
            </w:r>
          </w:p>
        </w:tc>
        <w:tc>
          <w:tcPr>
            <w:tcW w:w="1720" w:type="dxa"/>
            <w:vAlign w:val="bottom"/>
          </w:tcPr>
          <w:p>
            <w:pPr>
              <w:jc w:val="right"/>
              <w:ind w:right="39"/>
              <w:spacing w:after="0" w:line="182" w:lineRule="exact"/>
              <w:rPr>
                <w:sz w:val="20"/>
                <w:szCs w:val="20"/>
                <w:color w:val="auto"/>
              </w:rPr>
            </w:pPr>
            <w:r>
              <w:rPr>
                <w:rFonts w:ascii="Arial" w:cs="Arial" w:eastAsia="Arial" w:hAnsi="Arial"/>
                <w:sz w:val="16"/>
                <w:szCs w:val="16"/>
                <w:color w:val="auto"/>
              </w:rPr>
              <w:t>150%</w:t>
            </w:r>
          </w:p>
        </w:tc>
        <w:tc>
          <w:tcPr>
            <w:tcW w:w="1080" w:type="dxa"/>
            <w:vAlign w:val="bottom"/>
          </w:tcPr>
          <w:p>
            <w:pPr>
              <w:jc w:val="right"/>
              <w:ind w:right="139"/>
              <w:spacing w:after="0" w:line="182" w:lineRule="exact"/>
              <w:rPr>
                <w:sz w:val="20"/>
                <w:szCs w:val="20"/>
                <w:color w:val="auto"/>
              </w:rPr>
            </w:pPr>
            <w:r>
              <w:rPr>
                <w:rFonts w:ascii="Arial" w:cs="Arial" w:eastAsia="Arial" w:hAnsi="Arial"/>
                <w:sz w:val="16"/>
                <w:szCs w:val="16"/>
                <w:color w:val="auto"/>
              </w:rPr>
              <w:t>35</w:t>
            </w:r>
          </w:p>
        </w:tc>
        <w:tc>
          <w:tcPr>
            <w:tcW w:w="1120" w:type="dxa"/>
            <w:vAlign w:val="bottom"/>
            <w:gridSpan w:val="2"/>
          </w:tcPr>
          <w:p>
            <w:pPr>
              <w:jc w:val="right"/>
              <w:ind w:right="220"/>
              <w:spacing w:after="0" w:line="182" w:lineRule="exact"/>
              <w:rPr>
                <w:sz w:val="20"/>
                <w:szCs w:val="20"/>
                <w:color w:val="auto"/>
              </w:rPr>
            </w:pPr>
            <w:r>
              <w:rPr>
                <w:rFonts w:ascii="Arial" w:cs="Arial" w:eastAsia="Arial" w:hAnsi="Arial"/>
                <w:sz w:val="16"/>
                <w:szCs w:val="16"/>
                <w:color w:val="auto"/>
              </w:rPr>
              <w:t>157</w:t>
            </w:r>
          </w:p>
        </w:tc>
        <w:tc>
          <w:tcPr>
            <w:tcW w:w="1140" w:type="dxa"/>
            <w:vAlign w:val="bottom"/>
          </w:tcPr>
          <w:p>
            <w:pPr>
              <w:jc w:val="right"/>
              <w:ind w:right="179"/>
              <w:spacing w:after="0" w:line="182" w:lineRule="exact"/>
              <w:rPr>
                <w:sz w:val="20"/>
                <w:szCs w:val="20"/>
                <w:color w:val="auto"/>
              </w:rPr>
            </w:pPr>
            <w:r>
              <w:rPr>
                <w:rFonts w:ascii="Arial" w:cs="Arial" w:eastAsia="Arial" w:hAnsi="Arial"/>
                <w:sz w:val="16"/>
                <w:szCs w:val="16"/>
                <w:color w:val="auto"/>
              </w:rPr>
              <w:t>35</w:t>
            </w:r>
          </w:p>
        </w:tc>
        <w:tc>
          <w:tcPr>
            <w:tcW w:w="1060" w:type="dxa"/>
            <w:vAlign w:val="bottom"/>
            <w:gridSpan w:val="2"/>
          </w:tcPr>
          <w:p>
            <w:pPr>
              <w:jc w:val="right"/>
              <w:ind w:right="220"/>
              <w:spacing w:after="0" w:line="182" w:lineRule="exact"/>
              <w:rPr>
                <w:sz w:val="20"/>
                <w:szCs w:val="20"/>
                <w:color w:val="auto"/>
              </w:rPr>
            </w:pPr>
            <w:r>
              <w:rPr>
                <w:rFonts w:ascii="Arial" w:cs="Arial" w:eastAsia="Arial" w:hAnsi="Arial"/>
                <w:sz w:val="16"/>
                <w:szCs w:val="16"/>
                <w:color w:val="auto"/>
              </w:rPr>
              <w:t>0</w:t>
            </w:r>
          </w:p>
        </w:tc>
        <w:tc>
          <w:tcPr>
            <w:tcW w:w="1180" w:type="dxa"/>
            <w:vAlign w:val="bottom"/>
          </w:tcPr>
          <w:p>
            <w:pPr>
              <w:jc w:val="right"/>
              <w:ind w:right="199"/>
              <w:spacing w:after="0" w:line="182" w:lineRule="exact"/>
              <w:rPr>
                <w:sz w:val="20"/>
                <w:szCs w:val="20"/>
                <w:color w:val="auto"/>
              </w:rPr>
            </w:pPr>
            <w:r>
              <w:rPr>
                <w:rFonts w:ascii="Arial" w:cs="Arial" w:eastAsia="Arial" w:hAnsi="Arial"/>
                <w:sz w:val="16"/>
                <w:szCs w:val="16"/>
                <w:color w:val="auto"/>
              </w:rPr>
              <w:t>30</w:t>
            </w:r>
          </w:p>
        </w:tc>
        <w:tc>
          <w:tcPr>
            <w:tcW w:w="980" w:type="dxa"/>
            <w:vAlign w:val="bottom"/>
            <w:gridSpan w:val="2"/>
          </w:tcPr>
          <w:p>
            <w:pPr>
              <w:jc w:val="right"/>
              <w:ind w:right="160"/>
              <w:spacing w:after="0" w:line="182" w:lineRule="exact"/>
              <w:rPr>
                <w:sz w:val="20"/>
                <w:szCs w:val="20"/>
                <w:color w:val="auto"/>
              </w:rPr>
            </w:pPr>
            <w:r>
              <w:rPr>
                <w:rFonts w:ascii="Arial" w:cs="Arial" w:eastAsia="Arial" w:hAnsi="Arial"/>
                <w:sz w:val="16"/>
                <w:szCs w:val="16"/>
                <w:color w:val="auto"/>
              </w:rPr>
              <w:t>93</w:t>
            </w:r>
          </w:p>
        </w:tc>
        <w:tc>
          <w:tcPr>
            <w:tcW w:w="1220" w:type="dxa"/>
            <w:vAlign w:val="bottom"/>
          </w:tcPr>
          <w:p>
            <w:pPr>
              <w:jc w:val="right"/>
              <w:ind w:right="39"/>
              <w:spacing w:after="0" w:line="182"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3"/>
        </w:trPr>
        <w:tc>
          <w:tcPr>
            <w:tcW w:w="1740" w:type="dxa"/>
            <w:vAlign w:val="bottom"/>
          </w:tcPr>
          <w:p>
            <w:pPr>
              <w:ind w:left="40"/>
              <w:spacing w:after="0"/>
              <w:rPr>
                <w:sz w:val="20"/>
                <w:szCs w:val="20"/>
                <w:color w:val="auto"/>
              </w:rPr>
            </w:pPr>
            <w:r>
              <w:rPr>
                <w:rFonts w:ascii="Arial" w:cs="Arial" w:eastAsia="Arial" w:hAnsi="Arial"/>
                <w:sz w:val="16"/>
                <w:szCs w:val="16"/>
                <w:color w:val="auto"/>
              </w:rPr>
              <w:t>S. Biguet</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35</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157</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35</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30</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88</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3"/>
        </w:trPr>
        <w:tc>
          <w:tcPr>
            <w:tcW w:w="1740" w:type="dxa"/>
            <w:vAlign w:val="bottom"/>
          </w:tcPr>
          <w:p>
            <w:pPr>
              <w:ind w:left="40"/>
              <w:spacing w:after="0"/>
              <w:rPr>
                <w:sz w:val="20"/>
                <w:szCs w:val="20"/>
                <w:color w:val="auto"/>
              </w:rPr>
            </w:pPr>
            <w:r>
              <w:rPr>
                <w:rFonts w:ascii="Arial" w:cs="Arial" w:eastAsia="Arial" w:hAnsi="Arial"/>
                <w:sz w:val="16"/>
                <w:szCs w:val="16"/>
                <w:color w:val="auto"/>
              </w:rPr>
              <w:t>K. Al Mogharbel</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35</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157</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35</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30</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88</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3"/>
        </w:trPr>
        <w:tc>
          <w:tcPr>
            <w:tcW w:w="1740" w:type="dxa"/>
            <w:vAlign w:val="bottom"/>
          </w:tcPr>
          <w:p>
            <w:pPr>
              <w:ind w:left="40"/>
              <w:spacing w:after="0"/>
              <w:rPr>
                <w:sz w:val="20"/>
                <w:szCs w:val="20"/>
                <w:color w:val="auto"/>
              </w:rPr>
            </w:pPr>
            <w:r>
              <w:rPr>
                <w:rFonts w:ascii="Arial" w:cs="Arial" w:eastAsia="Arial" w:hAnsi="Arial"/>
                <w:sz w:val="16"/>
                <w:szCs w:val="16"/>
                <w:color w:val="auto"/>
              </w:rPr>
              <w:t>A. Merad</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35</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157</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35</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30</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79</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4"/>
        </w:trPr>
        <w:tc>
          <w:tcPr>
            <w:tcW w:w="1740" w:type="dxa"/>
            <w:vAlign w:val="bottom"/>
          </w:tcPr>
          <w:p>
            <w:pPr>
              <w:ind w:left="40"/>
              <w:spacing w:after="0"/>
              <w:rPr>
                <w:sz w:val="20"/>
                <w:szCs w:val="20"/>
                <w:color w:val="auto"/>
              </w:rPr>
            </w:pPr>
            <w:r>
              <w:rPr>
                <w:rFonts w:ascii="Arial" w:cs="Arial" w:eastAsia="Arial" w:hAnsi="Arial"/>
                <w:sz w:val="16"/>
                <w:szCs w:val="16"/>
                <w:color w:val="auto"/>
              </w:rPr>
              <w:t>D. Ralston</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35</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157</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35</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30</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75</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49"/>
        </w:trPr>
        <w:tc>
          <w:tcPr>
            <w:tcW w:w="1740" w:type="dxa"/>
            <w:vAlign w:val="bottom"/>
            <w:tcBorders>
              <w:bottom w:val="single" w:sz="8" w:color="0233A1"/>
            </w:tcBorders>
          </w:tcPr>
          <w:p>
            <w:pPr>
              <w:ind w:left="40"/>
              <w:spacing w:after="0" w:line="242" w:lineRule="exact"/>
              <w:rPr>
                <w:sz w:val="20"/>
                <w:szCs w:val="20"/>
                <w:color w:val="auto"/>
              </w:rPr>
            </w:pPr>
            <w:r>
              <w:rPr>
                <w:rFonts w:ascii="Arial" w:cs="Arial" w:eastAsia="Arial" w:hAnsi="Arial"/>
                <w:sz w:val="16"/>
                <w:szCs w:val="16"/>
                <w:color w:val="auto"/>
              </w:rPr>
              <w:t>A. Belani</w:t>
            </w:r>
            <w:r>
              <w:rPr>
                <w:rFonts w:ascii="Arial" w:cs="Arial" w:eastAsia="Arial" w:hAnsi="Arial"/>
                <w:sz w:val="26"/>
                <w:szCs w:val="26"/>
                <w:color w:val="auto"/>
                <w:vertAlign w:val="superscript"/>
              </w:rPr>
              <w:t>(2)</w:t>
            </w:r>
          </w:p>
        </w:tc>
        <w:tc>
          <w:tcPr>
            <w:tcW w:w="172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color w:val="auto"/>
              </w:rPr>
              <w:t>100%</w:t>
            </w:r>
          </w:p>
        </w:tc>
        <w:tc>
          <w:tcPr>
            <w:tcW w:w="1080" w:type="dxa"/>
            <w:vAlign w:val="bottom"/>
            <w:tcBorders>
              <w:bottom w:val="single" w:sz="8" w:color="0233A1"/>
            </w:tcBorders>
          </w:tcPr>
          <w:p>
            <w:pPr>
              <w:jc w:val="right"/>
              <w:ind w:right="139"/>
              <w:spacing w:after="0"/>
              <w:rPr>
                <w:sz w:val="20"/>
                <w:szCs w:val="20"/>
                <w:color w:val="auto"/>
              </w:rPr>
            </w:pPr>
            <w:r>
              <w:rPr>
                <w:rFonts w:ascii="Arial" w:cs="Arial" w:eastAsia="Arial" w:hAnsi="Arial"/>
                <w:sz w:val="16"/>
                <w:szCs w:val="16"/>
                <w:color w:val="auto"/>
              </w:rPr>
              <w:t>35</w:t>
            </w:r>
          </w:p>
        </w:tc>
        <w:tc>
          <w:tcPr>
            <w:tcW w:w="1120" w:type="dxa"/>
            <w:vAlign w:val="bottom"/>
            <w:tcBorders>
              <w:bottom w:val="single" w:sz="8" w:color="0233A1"/>
            </w:tcBorders>
            <w:gridSpan w:val="2"/>
          </w:tcPr>
          <w:p>
            <w:pPr>
              <w:jc w:val="right"/>
              <w:ind w:right="220"/>
              <w:spacing w:after="0"/>
              <w:rPr>
                <w:sz w:val="20"/>
                <w:szCs w:val="20"/>
                <w:color w:val="auto"/>
              </w:rPr>
            </w:pPr>
            <w:r>
              <w:rPr>
                <w:rFonts w:ascii="Arial" w:cs="Arial" w:eastAsia="Arial" w:hAnsi="Arial"/>
                <w:sz w:val="16"/>
                <w:szCs w:val="16"/>
                <w:color w:val="auto"/>
              </w:rPr>
              <w:t>157</w:t>
            </w:r>
          </w:p>
        </w:tc>
        <w:tc>
          <w:tcPr>
            <w:tcW w:w="1140" w:type="dxa"/>
            <w:vAlign w:val="bottom"/>
            <w:tcBorders>
              <w:bottom w:val="single" w:sz="8" w:color="0233A1"/>
            </w:tcBorders>
          </w:tcPr>
          <w:p>
            <w:pPr>
              <w:jc w:val="right"/>
              <w:ind w:right="179"/>
              <w:spacing w:after="0"/>
              <w:rPr>
                <w:sz w:val="20"/>
                <w:szCs w:val="20"/>
                <w:color w:val="auto"/>
              </w:rPr>
            </w:pPr>
            <w:r>
              <w:rPr>
                <w:rFonts w:ascii="Arial" w:cs="Arial" w:eastAsia="Arial" w:hAnsi="Arial"/>
                <w:sz w:val="16"/>
                <w:szCs w:val="16"/>
                <w:color w:val="auto"/>
              </w:rPr>
              <w:t>35</w:t>
            </w:r>
          </w:p>
        </w:tc>
        <w:tc>
          <w:tcPr>
            <w:tcW w:w="1060" w:type="dxa"/>
            <w:vAlign w:val="bottom"/>
            <w:tcBorders>
              <w:bottom w:val="single" w:sz="8" w:color="0233A1"/>
            </w:tcBorders>
            <w:gridSpan w:val="2"/>
          </w:tcPr>
          <w:p>
            <w:pPr>
              <w:jc w:val="right"/>
              <w:ind w:right="220"/>
              <w:spacing w:after="0"/>
              <w:rPr>
                <w:sz w:val="20"/>
                <w:szCs w:val="20"/>
                <w:color w:val="auto"/>
              </w:rPr>
            </w:pPr>
            <w:r>
              <w:rPr>
                <w:rFonts w:ascii="Arial" w:cs="Arial" w:eastAsia="Arial" w:hAnsi="Arial"/>
                <w:sz w:val="16"/>
                <w:szCs w:val="16"/>
                <w:color w:val="auto"/>
              </w:rPr>
              <w:t>0</w:t>
            </w:r>
          </w:p>
        </w:tc>
        <w:tc>
          <w:tcPr>
            <w:tcW w:w="1180" w:type="dxa"/>
            <w:vAlign w:val="bottom"/>
            <w:tcBorders>
              <w:bottom w:val="single" w:sz="8" w:color="0233A1"/>
            </w:tcBorders>
          </w:tcPr>
          <w:p>
            <w:pPr>
              <w:jc w:val="right"/>
              <w:ind w:right="199"/>
              <w:spacing w:after="0"/>
              <w:rPr>
                <w:sz w:val="20"/>
                <w:szCs w:val="20"/>
                <w:color w:val="auto"/>
              </w:rPr>
            </w:pPr>
            <w:r>
              <w:rPr>
                <w:rFonts w:ascii="Arial" w:cs="Arial" w:eastAsia="Arial" w:hAnsi="Arial"/>
                <w:sz w:val="16"/>
                <w:szCs w:val="16"/>
                <w:color w:val="auto"/>
              </w:rPr>
              <w:t>30</w:t>
            </w:r>
          </w:p>
        </w:tc>
        <w:tc>
          <w:tcPr>
            <w:tcW w:w="980" w:type="dxa"/>
            <w:vAlign w:val="bottom"/>
            <w:tcBorders>
              <w:bottom w:val="single" w:sz="8" w:color="0233A1"/>
            </w:tcBorders>
            <w:gridSpan w:val="2"/>
          </w:tcPr>
          <w:p>
            <w:pPr>
              <w:jc w:val="right"/>
              <w:ind w:right="160"/>
              <w:spacing w:after="0"/>
              <w:rPr>
                <w:sz w:val="20"/>
                <w:szCs w:val="20"/>
                <w:color w:val="auto"/>
              </w:rPr>
            </w:pPr>
            <w:r>
              <w:rPr>
                <w:rFonts w:ascii="Arial" w:cs="Arial" w:eastAsia="Arial" w:hAnsi="Arial"/>
                <w:sz w:val="16"/>
                <w:szCs w:val="16"/>
                <w:color w:val="auto"/>
              </w:rPr>
              <w:t>76</w:t>
            </w:r>
          </w:p>
        </w:tc>
        <w:tc>
          <w:tcPr>
            <w:tcW w:w="122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890"/>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255"/>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255"/>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8255"/>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8255"/>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0"/>
          <w:szCs w:val="20"/>
          <w:color w:val="auto"/>
        </w:rPr>
      </w:pPr>
    </w:p>
    <w:p>
      <w:pPr>
        <w:ind w:left="340" w:hanging="278"/>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Equals the sum of the financial and strategic personal portions of the annual cash incentive achieved, shown as a percentage of base salary.</w:t>
      </w:r>
    </w:p>
    <w:p>
      <w:pPr>
        <w:spacing w:after="0" w:line="55" w:lineRule="exact"/>
        <w:rPr>
          <w:rFonts w:ascii="Arial" w:cs="Arial" w:eastAsia="Arial" w:hAnsi="Arial"/>
          <w:sz w:val="14"/>
          <w:szCs w:val="14"/>
          <w:color w:val="auto"/>
        </w:rPr>
      </w:pPr>
    </w:p>
    <w:p>
      <w:pPr>
        <w:ind w:left="340" w:hanging="278"/>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Prorated for the three-month period that Mr. Belani served as EVP, New Energy.</w:t>
      </w:r>
    </w:p>
    <w:p>
      <w:pPr>
        <w:spacing w:after="0" w:line="298" w:lineRule="exact"/>
        <w:rPr>
          <w:sz w:val="20"/>
          <w:szCs w:val="20"/>
          <w:color w:val="auto"/>
        </w:rPr>
      </w:pPr>
    </w:p>
    <w:p>
      <w:pPr>
        <w:spacing w:after="0"/>
        <w:rPr>
          <w:sz w:val="20"/>
          <w:szCs w:val="20"/>
          <w:color w:val="auto"/>
        </w:rPr>
      </w:pPr>
      <w:r>
        <w:rPr>
          <w:rFonts w:ascii="Arial" w:cs="Arial" w:eastAsia="Arial" w:hAnsi="Arial"/>
          <w:sz w:val="25"/>
          <w:szCs w:val="25"/>
          <w:color w:val="0233A1"/>
        </w:rPr>
        <w:t>Long-Term Equity Incentive Awards</w:t>
      </w:r>
    </w:p>
    <w:p>
      <w:pPr>
        <w:spacing w:after="0" w:line="22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LTI awards are designed to give NEOs and other high-value employees a long-term stake in SLB, incentivize the creation of sustained shareholder value, and act as long-term retention and motivation tools—aligning employee and shareholder interests over the long term.</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Since 2021, our Compensation Committee has awarded to our NEOs and other executives a diversified mix of LTI grants, with 75% of their target LTI opportunity awarded in the form of PSUs—with payout contingent on achieving absolute and relative performance goals over three-year periods—and 25% awarded in the form of three-year, time-based RSUs. The Committee believes that our current LTI program appropriately balances the following Committee objectives:</w:t>
      </w:r>
    </w:p>
    <w:p>
      <w:pPr>
        <w:spacing w:after="0" w:line="151" w:lineRule="exact"/>
        <w:rPr>
          <w:sz w:val="20"/>
          <w:szCs w:val="20"/>
          <w:color w:val="auto"/>
        </w:rPr>
      </w:pPr>
    </w:p>
    <w:p>
      <w:pPr>
        <w:ind w:left="500" w:hanging="168"/>
        <w:spacing w:after="0"/>
        <w:tabs>
          <w:tab w:leader="none" w:pos="500" w:val="left"/>
        </w:tabs>
        <w:numPr>
          <w:ilvl w:val="0"/>
          <w:numId w:val="46"/>
        </w:numPr>
        <w:rPr>
          <w:rFonts w:ascii="Arial" w:cs="Arial" w:eastAsia="Arial" w:hAnsi="Arial"/>
          <w:sz w:val="16"/>
          <w:szCs w:val="16"/>
          <w:b w:val="1"/>
          <w:bCs w:val="1"/>
          <w:color w:val="0233A1"/>
        </w:rPr>
      </w:pPr>
      <w:r>
        <w:rPr>
          <w:rFonts w:ascii="Arial" w:cs="Arial" w:eastAsia="Arial" w:hAnsi="Arial"/>
          <w:sz w:val="16"/>
          <w:szCs w:val="16"/>
          <w:color w:val="auto"/>
        </w:rPr>
        <w:t>closely aligning PSU performance metrics with our long-term strategy, publicly disclosed financial objectives, and total shareholder return,</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46"/>
        </w:numPr>
        <w:rPr>
          <w:rFonts w:ascii="Arial" w:cs="Arial" w:eastAsia="Arial" w:hAnsi="Arial"/>
          <w:sz w:val="16"/>
          <w:szCs w:val="16"/>
          <w:b w:val="1"/>
          <w:bCs w:val="1"/>
          <w:color w:val="0233A1"/>
        </w:rPr>
      </w:pPr>
      <w:r>
        <w:rPr>
          <w:rFonts w:ascii="Arial" w:cs="Arial" w:eastAsia="Arial" w:hAnsi="Arial"/>
          <w:sz w:val="16"/>
          <w:szCs w:val="16"/>
          <w:color w:val="auto"/>
        </w:rPr>
        <w:t>aligning pay-for-performance and creating shareholder value,</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46"/>
        </w:numPr>
        <w:rPr>
          <w:rFonts w:ascii="Arial" w:cs="Arial" w:eastAsia="Arial" w:hAnsi="Arial"/>
          <w:sz w:val="16"/>
          <w:szCs w:val="16"/>
          <w:b w:val="1"/>
          <w:bCs w:val="1"/>
          <w:color w:val="0233A1"/>
        </w:rPr>
      </w:pPr>
      <w:r>
        <w:rPr>
          <w:rFonts w:ascii="Arial" w:cs="Arial" w:eastAsia="Arial" w:hAnsi="Arial"/>
          <w:sz w:val="16"/>
          <w:szCs w:val="16"/>
          <w:color w:val="auto"/>
        </w:rPr>
        <w:t>maintaining a mix of absolute and relative PSU metrics, in light of the cyclicality of our industry,</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46"/>
        </w:numPr>
        <w:rPr>
          <w:rFonts w:ascii="Arial" w:cs="Arial" w:eastAsia="Arial" w:hAnsi="Arial"/>
          <w:sz w:val="16"/>
          <w:szCs w:val="16"/>
          <w:b w:val="1"/>
          <w:bCs w:val="1"/>
          <w:color w:val="0233A1"/>
        </w:rPr>
      </w:pPr>
      <w:r>
        <w:rPr>
          <w:rFonts w:ascii="Arial" w:cs="Arial" w:eastAsia="Arial" w:hAnsi="Arial"/>
          <w:sz w:val="16"/>
          <w:szCs w:val="16"/>
          <w:color w:val="auto"/>
        </w:rPr>
        <w:t>motivating and incentivizing outperformance relative to our direct competitors and the broader energy sector, and</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46"/>
        </w:numPr>
        <w:rPr>
          <w:rFonts w:ascii="Arial" w:cs="Arial" w:eastAsia="Arial" w:hAnsi="Arial"/>
          <w:sz w:val="16"/>
          <w:szCs w:val="16"/>
          <w:b w:val="1"/>
          <w:bCs w:val="1"/>
          <w:color w:val="0233A1"/>
        </w:rPr>
      </w:pPr>
      <w:r>
        <w:rPr>
          <w:rFonts w:ascii="Arial" w:cs="Arial" w:eastAsia="Arial" w:hAnsi="Arial"/>
          <w:sz w:val="16"/>
          <w:szCs w:val="16"/>
          <w:color w:val="auto"/>
        </w:rPr>
        <w:t>promoting the stability and retention of our executive team through business cycles with awards of time-based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175260</wp:posOffset>
            </wp:positionV>
            <wp:extent cx="471805" cy="283210"/>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8">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Pr>
          <w:p>
            <w:pPr>
              <w:spacing w:after="0"/>
              <w:rPr>
                <w:sz w:val="9"/>
                <w:szCs w:val="9"/>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39</w:t>
            </w:r>
          </w:p>
        </w:tc>
        <w:tc>
          <w:tcPr>
            <w:tcW w:w="44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in 2021, the 2022 LTI program consisted of four types of grants, equally weighted at target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140970</wp:posOffset>
            </wp:positionV>
            <wp:extent cx="6009005" cy="1971675"/>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9">
                      <a:extLst>
                        <a:ext uri="{28A0092B-C50C-407E-A947-70E740481C1C}"/>
                      </a:extLst>
                    </a:blip>
                    <a:srcRect/>
                    <a:stretch>
                      <a:fillRect/>
                    </a:stretch>
                  </pic:blipFill>
                  <pic:spPr bwMode="auto">
                    <a:xfrm>
                      <a:off x="0" y="0"/>
                      <a:ext cx="600900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maximum overall payout opportunity under the 2022 LTI program was 200% of target—consistent with 2021 and in line with market practice. The maximum payout opportunity for each type of LTI award is reflected by the outer bars in the chart above.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details regarding LTI grants made to our NEOs in 2019 and 2020, see “—Payouts Under Prior LTI Awards” beginning on page 43.</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How We Determined the Target Value of 2022 LTI Equity Awards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value of an executive’s LTI grant increases with their level of responsibility at SLB. For our CEO and the other NEOs, it is the largest element of their compensation. In determining the value of LTI awards granted to our NEOs, our Compensation Committee (in recommending that the Board approve the CEO’s awards) and the CEO (in recommending awards for the other NEOs) first consider market data regarding the LTI value for the most comparable positions in our main executive compensation peer groups, as well as several other factors, such as:</w:t>
      </w:r>
    </w:p>
    <w:p>
      <w:pPr>
        <w:spacing w:after="0" w:line="151" w:lineRule="exact"/>
        <w:rPr>
          <w:sz w:val="20"/>
          <w:szCs w:val="20"/>
          <w:color w:val="auto"/>
        </w:rPr>
      </w:pPr>
    </w:p>
    <w:p>
      <w:pPr>
        <w:ind w:left="500" w:hanging="168"/>
        <w:spacing w:after="0"/>
        <w:tabs>
          <w:tab w:leader="none" w:pos="500" w:val="left"/>
        </w:tabs>
        <w:numPr>
          <w:ilvl w:val="0"/>
          <w:numId w:val="47"/>
        </w:numPr>
        <w:rPr>
          <w:rFonts w:ascii="Arial" w:cs="Arial" w:eastAsia="Arial" w:hAnsi="Arial"/>
          <w:sz w:val="16"/>
          <w:szCs w:val="16"/>
          <w:b w:val="1"/>
          <w:bCs w:val="1"/>
          <w:color w:val="0233A1"/>
        </w:rPr>
      </w:pPr>
      <w:r>
        <w:rPr>
          <w:rFonts w:ascii="Arial" w:cs="Arial" w:eastAsia="Arial" w:hAnsi="Arial"/>
          <w:sz w:val="16"/>
          <w:szCs w:val="16"/>
          <w:color w:val="auto"/>
        </w:rPr>
        <w:t>SLB’s financial and operating performance,</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47"/>
        </w:numPr>
        <w:rPr>
          <w:rFonts w:ascii="Arial" w:cs="Arial" w:eastAsia="Arial" w:hAnsi="Arial"/>
          <w:sz w:val="16"/>
          <w:szCs w:val="16"/>
          <w:b w:val="1"/>
          <w:bCs w:val="1"/>
          <w:color w:val="0233A1"/>
        </w:rPr>
      </w:pPr>
      <w:r>
        <w:rPr>
          <w:rFonts w:ascii="Arial" w:cs="Arial" w:eastAsia="Arial" w:hAnsi="Arial"/>
          <w:sz w:val="16"/>
          <w:szCs w:val="16"/>
          <w:color w:val="auto"/>
        </w:rPr>
        <w:t>the size and mix of the executive’s total direct compensation,</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47"/>
        </w:numPr>
        <w:rPr>
          <w:rFonts w:ascii="Arial" w:cs="Arial" w:eastAsia="Arial" w:hAnsi="Arial"/>
          <w:sz w:val="16"/>
          <w:szCs w:val="16"/>
          <w:b w:val="1"/>
          <w:bCs w:val="1"/>
          <w:color w:val="0233A1"/>
        </w:rPr>
      </w:pPr>
      <w:r>
        <w:rPr>
          <w:rFonts w:ascii="Arial" w:cs="Arial" w:eastAsia="Arial" w:hAnsi="Arial"/>
          <w:sz w:val="16"/>
          <w:szCs w:val="16"/>
          <w:color w:val="auto"/>
        </w:rPr>
        <w:t>internal pay equity,</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47"/>
        </w:numPr>
        <w:rPr>
          <w:rFonts w:ascii="Arial" w:cs="Arial" w:eastAsia="Arial" w:hAnsi="Arial"/>
          <w:sz w:val="16"/>
          <w:szCs w:val="16"/>
          <w:b w:val="1"/>
          <w:bCs w:val="1"/>
          <w:color w:val="0233A1"/>
        </w:rPr>
      </w:pPr>
      <w:r>
        <w:rPr>
          <w:rFonts w:ascii="Arial" w:cs="Arial" w:eastAsia="Arial" w:hAnsi="Arial"/>
          <w:sz w:val="16"/>
          <w:szCs w:val="16"/>
          <w:color w:val="auto"/>
        </w:rPr>
        <w:t>retention,</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47"/>
        </w:numPr>
        <w:rPr>
          <w:rFonts w:ascii="Arial" w:cs="Arial" w:eastAsia="Arial" w:hAnsi="Arial"/>
          <w:sz w:val="16"/>
          <w:szCs w:val="16"/>
          <w:b w:val="1"/>
          <w:bCs w:val="1"/>
          <w:color w:val="0233A1"/>
        </w:rPr>
      </w:pPr>
      <w:r>
        <w:rPr>
          <w:rFonts w:ascii="Arial" w:cs="Arial" w:eastAsia="Arial" w:hAnsi="Arial"/>
          <w:sz w:val="16"/>
          <w:szCs w:val="16"/>
          <w:color w:val="auto"/>
        </w:rPr>
        <w:t>the executive’s contribution to SLB’s success, and</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47"/>
        </w:numPr>
        <w:rPr>
          <w:rFonts w:ascii="Arial" w:cs="Arial" w:eastAsia="Arial" w:hAnsi="Arial"/>
          <w:sz w:val="16"/>
          <w:szCs w:val="16"/>
          <w:b w:val="1"/>
          <w:bCs w:val="1"/>
          <w:color w:val="0233A1"/>
        </w:rPr>
      </w:pPr>
      <w:r>
        <w:rPr>
          <w:rFonts w:ascii="Arial" w:cs="Arial" w:eastAsia="Arial" w:hAnsi="Arial"/>
          <w:sz w:val="16"/>
          <w:szCs w:val="16"/>
          <w:color w:val="auto"/>
        </w:rPr>
        <w:t>the level of competition for executives with comparable skills and experience.</w:t>
      </w:r>
    </w:p>
    <w:p>
      <w:pPr>
        <w:spacing w:after="0" w:line="2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In January 2022, our Compensation Committee reviewed the target annual LTI awards to each of our NEOs in line with the factors described in this section. Based on its review of comparator peer group data and internal pay equity considerations, the Committee determined to hold annual target LTI grant values flat for Mr. Al Mogharbel, Mr. Belani, and Ms. Ralston. The Committee approved an increase in Mr. Biguet’s 2022 target LTI grant date fair value from $3.2 million to $3.5 million, after considering SLB’s strong financial performance in 2021 and that Mr. Biguet’s 2021 compensation was below his peers’ compensation at our two largest energy services competitors, as well as internal equity factors.</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In evaluating Mr. Le Peuch’s target LTI award in January 2022, our Compensation Committee considered the success of the Company’s returns-focused strategy and execution in the prior year, as well as SLB’s strong 2021 financial results—which surpassed all of the Company’s annual financial targets. The Committee also considered that Mr. Le Peuch’s 2021 compensation was below his peers’ compensation at our two largest energy services competitors, and below the median of our general industry peer group. In light of these factors, as well as SLB’s leading position in the energy services industry, the Compensation Committee recommended, and the independent members of the Board approved, an increase in Mr. Le Peuch’s 2022 target LTI grant date fair value from $10.5 million to $12 million.</w:t>
      </w:r>
    </w:p>
    <w:p>
      <w:pPr>
        <w:spacing w:after="0" w:line="16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April 2022, in connection with Mr. Merad’s promotion to the role of EVP, Core Services and Equipment, and in light of internal pay equity considerations, the Committee approved an increase in his 2022 target LTI grant date fair value from $3.2 million to $3.5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471170" cy="282575"/>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0">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17" w:lineRule="exact"/>
        <w:rPr>
          <w:sz w:val="20"/>
          <w:szCs w:val="20"/>
          <w:color w:val="auto"/>
        </w:rPr>
      </w:pPr>
    </w:p>
    <w:p>
      <w:pPr>
        <w:ind w:left="5540"/>
        <w:spacing w:after="0"/>
        <w:tabs>
          <w:tab w:leader="none" w:pos="9540" w:val="left"/>
        </w:tabs>
        <w:rPr>
          <w:sz w:val="20"/>
          <w:szCs w:val="20"/>
          <w:color w:val="auto"/>
        </w:rPr>
      </w:pPr>
      <w:r>
        <w:rPr>
          <w:rFonts w:ascii="Arial" w:cs="Arial" w:eastAsia="Arial" w:hAnsi="Arial"/>
          <w:sz w:val="16"/>
          <w:szCs w:val="16"/>
          <w:b w:val="1"/>
          <w:bCs w:val="1"/>
          <w:color w:val="auto"/>
        </w:rPr>
        <w:t>40</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-46990</wp:posOffset>
            </wp:positionV>
            <wp:extent cx="5417820" cy="17145"/>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1">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2022 Absolute FCF Margin PSUs — Performance Measures and Goals</w:t>
      </w:r>
    </w:p>
    <w:p>
      <w:pPr>
        <w:spacing w:after="0" w:line="20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In January 2022, our Compensation Committee set goals for the 2022 FCF Margin PSUs based on our absolute FCF margin over a three-year performance period (January 1, 2022 to December 31, 2024). At the end of the performance period, the Committee will certify our three-year cumulative absolute FCF margin and then determine the percentage of shares earned based on the graph below.</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FCF Margin PSU Payout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137795</wp:posOffset>
            </wp:positionV>
            <wp:extent cx="3883025" cy="2563495"/>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3">
                      <a:extLst>
                        <a:ext uri="{28A0092B-C50C-407E-A947-70E740481C1C}"/>
                      </a:extLst>
                    </a:blip>
                    <a:srcRect/>
                    <a:stretch>
                      <a:fillRect/>
                    </a:stretch>
                  </pic:blipFill>
                  <pic:spPr bwMode="auto">
                    <a:xfrm>
                      <a:off x="0" y="0"/>
                      <a:ext cx="3883025" cy="256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number of 2022 FCF Margin PSUs that will vest and convert to shares as of the vesting date can range from 0% to 250% of target, depending on our absolute FCF margin performance over the three-year period, but in no event will payout relating to this metric exceed 250% of target.</w:t>
      </w:r>
    </w:p>
    <w:p>
      <w:pPr>
        <w:spacing w:after="0" w:line="14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For 2022, the Committee increased the maximum performance goal for the FCF margin PSUs to 12.0%, to reflect SLB’s strong free cash flow performance in the prior year. In maintaining the other performance goals for these PSUs consistent with 2021, the Committee believed that the target performance goal was conservative with respect to capital consumption, while not being overly aggressive so as to disincentivize investment in growth and planned working capital increases in line with anticipated activity increases. As illustrated in the graph above, no SLB shares will be earned if our FCF margin over the three-year performance period is less than the minimum performance goal of 9.0%.</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FCF margin is calculated as free cash flow divided by revenue. FCF margin measures how efficiently we convert revenue into free cash flow, and is an indicator of capital efficiency. In selecting absolute FCF margin as the performance metric for 25% of our NEOs’ 2022 target LTI grant date fair value, the Committee considered that this metric was aligned with our capital allocation strategy and publicly disclosed financial objective of achieving double-digit FCF margin. The Committee also believes that tying a portion of our NEOs’ LTI payout to FCF margin encourages our executives to:</w:t>
      </w:r>
    </w:p>
    <w:p>
      <w:pPr>
        <w:spacing w:after="0" w:line="151" w:lineRule="exact"/>
        <w:rPr>
          <w:sz w:val="20"/>
          <w:szCs w:val="20"/>
          <w:color w:val="auto"/>
        </w:rPr>
      </w:pPr>
    </w:p>
    <w:p>
      <w:pPr>
        <w:ind w:left="500" w:hanging="168"/>
        <w:spacing w:after="0"/>
        <w:tabs>
          <w:tab w:leader="none" w:pos="500" w:val="left"/>
        </w:tabs>
        <w:numPr>
          <w:ilvl w:val="0"/>
          <w:numId w:val="48"/>
        </w:numPr>
        <w:rPr>
          <w:rFonts w:ascii="Arial" w:cs="Arial" w:eastAsia="Arial" w:hAnsi="Arial"/>
          <w:sz w:val="16"/>
          <w:szCs w:val="16"/>
          <w:b w:val="1"/>
          <w:bCs w:val="1"/>
          <w:color w:val="0233A1"/>
        </w:rPr>
      </w:pPr>
      <w:r>
        <w:rPr>
          <w:rFonts w:ascii="Arial" w:cs="Arial" w:eastAsia="Arial" w:hAnsi="Arial"/>
          <w:sz w:val="16"/>
          <w:szCs w:val="16"/>
          <w:color w:val="auto"/>
        </w:rPr>
        <w:t>maintain capital discipline,</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48"/>
        </w:numPr>
        <w:rPr>
          <w:rFonts w:ascii="Arial" w:cs="Arial" w:eastAsia="Arial" w:hAnsi="Arial"/>
          <w:sz w:val="16"/>
          <w:szCs w:val="16"/>
          <w:b w:val="1"/>
          <w:bCs w:val="1"/>
          <w:color w:val="0233A1"/>
        </w:rPr>
      </w:pPr>
      <w:r>
        <w:rPr>
          <w:rFonts w:ascii="Arial" w:cs="Arial" w:eastAsia="Arial" w:hAnsi="Arial"/>
          <w:sz w:val="16"/>
          <w:szCs w:val="16"/>
          <w:color w:val="auto"/>
        </w:rPr>
        <w:t>generate sufficient cash flow to allow for increased returns to shareholders and net debt reduction,</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48"/>
        </w:numPr>
        <w:rPr>
          <w:rFonts w:ascii="Arial" w:cs="Arial" w:eastAsia="Arial" w:hAnsi="Arial"/>
          <w:sz w:val="16"/>
          <w:szCs w:val="16"/>
          <w:b w:val="1"/>
          <w:bCs w:val="1"/>
          <w:color w:val="0233A1"/>
        </w:rPr>
      </w:pPr>
      <w:r>
        <w:rPr>
          <w:rFonts w:ascii="Arial" w:cs="Arial" w:eastAsia="Arial" w:hAnsi="Arial"/>
          <w:sz w:val="16"/>
          <w:szCs w:val="16"/>
          <w:color w:val="auto"/>
        </w:rPr>
        <w:t>make key investments and capital expenditures in line with our stated strategy, including our energy transition strategy, and</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48"/>
        </w:numPr>
        <w:rPr>
          <w:rFonts w:ascii="Arial" w:cs="Arial" w:eastAsia="Arial" w:hAnsi="Arial"/>
          <w:sz w:val="16"/>
          <w:szCs w:val="16"/>
          <w:b w:val="1"/>
          <w:bCs w:val="1"/>
          <w:color w:val="0233A1"/>
        </w:rPr>
      </w:pPr>
      <w:r>
        <w:rPr>
          <w:rFonts w:ascii="Arial" w:cs="Arial" w:eastAsia="Arial" w:hAnsi="Arial"/>
          <w:sz w:val="16"/>
          <w:szCs w:val="16"/>
          <w:color w:val="auto"/>
        </w:rPr>
        <w:t>increase SLB’s liquidity.</w:t>
      </w:r>
    </w:p>
    <w:p>
      <w:pPr>
        <w:spacing w:after="0" w:line="208"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Committee also sought to maintain a mix of absolute (FCF margin) and relative (ROCE and TSR) metrics in our NEOs’ PSU awards, to effectively manage industry cycles.</w:t>
      </w:r>
    </w:p>
    <w:p>
      <w:pPr>
        <w:spacing w:after="0" w:line="142"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Free cash flow represents cash flow from operations less capital expenditures, Asset Performance Solutions investments and exploration data costs 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133350</wp:posOffset>
            </wp:positionV>
            <wp:extent cx="471805" cy="283210"/>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4">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Pr>
          <w:p>
            <w:pPr>
              <w:spacing w:after="0"/>
              <w:rPr>
                <w:sz w:val="9"/>
                <w:szCs w:val="9"/>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41</w:t>
            </w:r>
          </w:p>
        </w:tc>
        <w:tc>
          <w:tcPr>
            <w:tcW w:w="44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2022 Relative ROCE PSUs — Performance Measures and Goals</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 xml:space="preserve">In January 2022, our Compensation Committee set goals for the 2022 ROCE PSUs based on our average annual ROCE over a three-year performance period (January 1, 2022 to December 31, 2024), as compared to the average annual ROCE of the following direct competitors, taken together over the same period: Halliburton, Baker Hughes, TechnipFMC, and NOV (together the </w:t>
      </w:r>
      <w:r>
        <w:rPr>
          <w:rFonts w:ascii="Arial" w:cs="Arial" w:eastAsia="Arial" w:hAnsi="Arial"/>
          <w:sz w:val="16"/>
          <w:szCs w:val="16"/>
          <w:b w:val="1"/>
          <w:bCs w:val="1"/>
          <w:color w:val="auto"/>
        </w:rPr>
        <w:t>ROCE comparator group</w:t>
      </w:r>
      <w:r>
        <w:rPr>
          <w:rFonts w:ascii="Arial" w:cs="Arial" w:eastAsia="Arial" w:hAnsi="Arial"/>
          <w:sz w:val="16"/>
          <w:szCs w:val="16"/>
          <w:color w:val="auto"/>
        </w:rPr>
        <w:t>). At the end of the performance period, the Committee will certify our average ROCE and that of the ROCE comparator group as a whole, and then determine the percentage of shares earned based on the graph below.</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Relative ROCE PSU Payout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128905</wp:posOffset>
            </wp:positionV>
            <wp:extent cx="3874770" cy="2580640"/>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5">
                      <a:extLst>
                        <a:ext uri="{28A0092B-C50C-407E-A947-70E740481C1C}"/>
                      </a:extLst>
                    </a:blip>
                    <a:srcRect/>
                    <a:stretch>
                      <a:fillRect/>
                    </a:stretch>
                  </pic:blipFill>
                  <pic:spPr bwMode="auto">
                    <a:xfrm>
                      <a:off x="0" y="0"/>
                      <a:ext cx="3874770" cy="258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The number of 2022 ROCE PSUs that will vest and convert to shares as of the vesting date can range from 0% to 250% of target, depending on our relative ROCE performance over the three-year period, but in no event will payout relating to this metric exceed 250% of target. As illustrated in the graph above, consistent with the ROCE PSUs granted in 2021:</w:t>
      </w:r>
    </w:p>
    <w:p>
      <w:pPr>
        <w:spacing w:after="0" w:line="144" w:lineRule="exact"/>
        <w:rPr>
          <w:sz w:val="20"/>
          <w:szCs w:val="20"/>
          <w:color w:val="auto"/>
        </w:rPr>
      </w:pPr>
    </w:p>
    <w:p>
      <w:pPr>
        <w:jc w:val="both"/>
        <w:ind w:left="500" w:hanging="168"/>
        <w:spacing w:after="0" w:line="266" w:lineRule="auto"/>
        <w:tabs>
          <w:tab w:leader="none" w:pos="500" w:val="left"/>
        </w:tabs>
        <w:numPr>
          <w:ilvl w:val="0"/>
          <w:numId w:val="49"/>
        </w:numPr>
        <w:rPr>
          <w:rFonts w:ascii="Arial" w:cs="Arial" w:eastAsia="Arial" w:hAnsi="Arial"/>
          <w:sz w:val="16"/>
          <w:szCs w:val="16"/>
          <w:b w:val="1"/>
          <w:bCs w:val="1"/>
          <w:color w:val="0233A1"/>
        </w:rPr>
      </w:pPr>
      <w:r>
        <w:rPr>
          <w:rFonts w:ascii="Arial" w:cs="Arial" w:eastAsia="Arial" w:hAnsi="Arial"/>
          <w:sz w:val="16"/>
          <w:szCs w:val="16"/>
          <w:color w:val="auto"/>
        </w:rPr>
        <w:t>If our average annual ROCE over the three-year performance period is four percentage points or more below the average of the ROCE comparator group, then no 2022 ROCE PSUs will vest and no shares will be earned. This is because our Compensation Committee believes our executives should not receive PSU payouts for significantly low relative ROCE performance.</w:t>
      </w:r>
    </w:p>
    <w:p>
      <w:pPr>
        <w:spacing w:after="0" w:line="36" w:lineRule="exact"/>
        <w:rPr>
          <w:rFonts w:ascii="Arial" w:cs="Arial" w:eastAsia="Arial" w:hAnsi="Arial"/>
          <w:sz w:val="16"/>
          <w:szCs w:val="16"/>
          <w:b w:val="1"/>
          <w:bCs w:val="1"/>
          <w:color w:val="0233A1"/>
        </w:rPr>
      </w:pPr>
    </w:p>
    <w:p>
      <w:pPr>
        <w:jc w:val="both"/>
        <w:ind w:left="500" w:hanging="168"/>
        <w:spacing w:after="0" w:line="266" w:lineRule="auto"/>
        <w:tabs>
          <w:tab w:leader="none" w:pos="500" w:val="left"/>
        </w:tabs>
        <w:numPr>
          <w:ilvl w:val="0"/>
          <w:numId w:val="49"/>
        </w:numPr>
        <w:rPr>
          <w:rFonts w:ascii="Arial" w:cs="Arial" w:eastAsia="Arial" w:hAnsi="Arial"/>
          <w:sz w:val="16"/>
          <w:szCs w:val="16"/>
          <w:b w:val="1"/>
          <w:bCs w:val="1"/>
          <w:color w:val="0233A1"/>
        </w:rPr>
      </w:pPr>
      <w:r>
        <w:rPr>
          <w:rFonts w:ascii="Arial" w:cs="Arial" w:eastAsia="Arial" w:hAnsi="Arial"/>
          <w:sz w:val="16"/>
          <w:szCs w:val="16"/>
          <w:color w:val="auto"/>
        </w:rPr>
        <w:t>If our average annual ROCE over the three-year performance period is equal to that of the average of the ROCE comparator group as a whole, then the 2022 ROCE PSUs will vest at 100% of target. If our average annual ROCE over that period is higher than that of the average of the ROCE comparator group as a whole, then the 2022 ROCE PSUs will vest between 101% and 250% of target, as shown by the solid line in the graph above.</w:t>
      </w:r>
    </w:p>
    <w:p>
      <w:pPr>
        <w:spacing w:after="0" w:line="36" w:lineRule="exact"/>
        <w:rPr>
          <w:rFonts w:ascii="Arial" w:cs="Arial" w:eastAsia="Arial" w:hAnsi="Arial"/>
          <w:sz w:val="16"/>
          <w:szCs w:val="16"/>
          <w:b w:val="1"/>
          <w:bCs w:val="1"/>
          <w:color w:val="0233A1"/>
        </w:rPr>
      </w:pPr>
    </w:p>
    <w:p>
      <w:pPr>
        <w:jc w:val="both"/>
        <w:ind w:left="500" w:hanging="168"/>
        <w:spacing w:after="0" w:line="266" w:lineRule="auto"/>
        <w:tabs>
          <w:tab w:leader="none" w:pos="500" w:val="left"/>
        </w:tabs>
        <w:numPr>
          <w:ilvl w:val="0"/>
          <w:numId w:val="49"/>
        </w:numPr>
        <w:rPr>
          <w:rFonts w:ascii="Arial" w:cs="Arial" w:eastAsia="Arial" w:hAnsi="Arial"/>
          <w:sz w:val="16"/>
          <w:szCs w:val="16"/>
          <w:b w:val="1"/>
          <w:bCs w:val="1"/>
          <w:color w:val="0233A1"/>
        </w:rPr>
      </w:pPr>
      <w:r>
        <w:rPr>
          <w:rFonts w:ascii="Arial" w:cs="Arial" w:eastAsia="Arial" w:hAnsi="Arial"/>
          <w:sz w:val="16"/>
          <w:szCs w:val="16"/>
          <w:color w:val="auto"/>
        </w:rPr>
        <w:t>In addition, if both (x) our absolute, single-year ROCE is greater than 10% in 2024, and (y) our average annual ROCE over the three-year performance period exceeds that of the average of the ROCE comparator group as a whole, then the 2022 ROCE PSUs will vest at an increased rate (up to a maximum of 250%), as shown by the dotted line in the graph above.</w:t>
      </w:r>
    </w:p>
    <w:p>
      <w:pPr>
        <w:spacing w:after="0" w:line="1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ROCE is a measure of the efficiency of our capital employed, and is a comprehensive indicator of long-term Company and management performance, measured in a way that is tracked and understood by many of our investors. Our Compensation Committee has based a portion of our NEOs’ LTI awards on a relative ROCE metric since 2016 because this metric allows us to directly compare how efficiently we deploy our capital against our direct competitors. The Committee also believes that tying a portion of our executives’ LTI payout to achieving our capital efficiency goals and comparing these results to our competitors will motivate our executives to focus on outperformance, and will result in increased revenue and improved margins. In selecting ROCE as the performance metric for 25% of our NEOs’ 2022 target LTI grant date fair value, the Committee also considered that ROCE performance goals align executives’ potential ROCE PSU payouts with SLB’s goal of achieving ROCE above its weighted average cost of capital.</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We calculate ROCE as a ratio, the numerator of which is (a) net income excluding charges and credits, plus (b) after tax net interest expense, and the denominator of which is (x) stockholders’ equity, including non-controlling interests (average of beginning and end of each quarter in the year), plus (y) net debt (average of beginning and end of each quarter in the year). Our Compensation Committee has discretion to cap payouts on the 2022 ROCE PSUs at 100% of target in the event of material asset impairments attributable to M&amp;A transactions and other management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471170" cy="282575"/>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6">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39"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42</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-46990</wp:posOffset>
            </wp:positionV>
            <wp:extent cx="5417820" cy="17145"/>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7">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2022 Relative TSR PSUs — Performance Measures and Goals</w:t>
      </w:r>
    </w:p>
    <w:p>
      <w:pPr>
        <w:spacing w:after="0" w:line="2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 xml:space="preserve">In January 2022, our Compensation Committee set goals for the 2022 TSR PSUs based on our relative TSR percentile rank, as compared to the cumulative TSR results achieved by the four direct competitors used for the 2022 ROCE PSUs, plus the S&amp;P Global 1200 Energy Index as a fifth comparator (each a </w:t>
      </w:r>
      <w:r>
        <w:rPr>
          <w:rFonts w:ascii="Arial" w:cs="Arial" w:eastAsia="Arial" w:hAnsi="Arial"/>
          <w:sz w:val="16"/>
          <w:szCs w:val="16"/>
          <w:b w:val="1"/>
          <w:bCs w:val="1"/>
          <w:color w:val="auto"/>
        </w:rPr>
        <w:t>TSR comparator</w:t>
      </w:r>
      <w:r>
        <w:rPr>
          <w:rFonts w:ascii="Arial" w:cs="Arial" w:eastAsia="Arial" w:hAnsi="Arial"/>
          <w:sz w:val="16"/>
          <w:szCs w:val="16"/>
          <w:color w:val="auto"/>
        </w:rPr>
        <w:t>), over a three-year performance period (January 20, 2022 to December 31, 2024). At the end of the performance period, the Committee will certify the three-year, cumulative TSR results for us and for each TSR comparator, based on the average of the 20 trading days prior to the start and end of the performance period. The Committee will then determine our percentile rank relative to the five TSR comparators, as well as the percentage of shares earned based on the table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shd w:val="clear" w:color="auto" w:fill="0233A1"/>
          </w:tcPr>
          <w:p>
            <w:pPr>
              <w:ind w:left="40"/>
              <w:spacing w:after="0"/>
              <w:rPr>
                <w:sz w:val="20"/>
                <w:szCs w:val="20"/>
                <w:color w:val="auto"/>
              </w:rPr>
            </w:pPr>
            <w:r>
              <w:rPr>
                <w:rFonts w:ascii="Arial" w:cs="Arial" w:eastAsia="Arial" w:hAnsi="Arial"/>
                <w:sz w:val="16"/>
                <w:szCs w:val="16"/>
                <w:b w:val="1"/>
                <w:bCs w:val="1"/>
                <w:color w:val="FFFFFF"/>
              </w:rPr>
              <w:t>Relative TSR</w:t>
            </w:r>
          </w:p>
        </w:tc>
        <w:tc>
          <w:tcPr>
            <w:tcW w:w="4500" w:type="dxa"/>
            <w:vAlign w:val="bottom"/>
            <w:shd w:val="clear" w:color="auto" w:fill="0233A1"/>
          </w:tcPr>
          <w:p>
            <w:pPr>
              <w:ind w:left="1300"/>
              <w:spacing w:after="0"/>
              <w:rPr>
                <w:sz w:val="20"/>
                <w:szCs w:val="20"/>
                <w:color w:val="auto"/>
              </w:rPr>
            </w:pPr>
            <w:r>
              <w:rPr>
                <w:rFonts w:ascii="Arial" w:cs="Arial" w:eastAsia="Arial" w:hAnsi="Arial"/>
                <w:sz w:val="16"/>
                <w:szCs w:val="16"/>
                <w:b w:val="1"/>
                <w:bCs w:val="1"/>
                <w:color w:val="FFFFFF"/>
              </w:rPr>
              <w:t>Performance</w:t>
            </w:r>
          </w:p>
        </w:tc>
        <w:tc>
          <w:tcPr>
            <w:tcW w:w="3860" w:type="dxa"/>
            <w:vAlign w:val="bottom"/>
            <w:shd w:val="clear" w:color="auto" w:fill="0233A1"/>
          </w:tcPr>
          <w:p>
            <w:pPr>
              <w:jc w:val="right"/>
              <w:spacing w:after="0"/>
              <w:rPr>
                <w:sz w:val="20"/>
                <w:szCs w:val="20"/>
                <w:color w:val="auto"/>
              </w:rPr>
            </w:pPr>
            <w:r>
              <w:rPr>
                <w:rFonts w:ascii="Arial" w:cs="Arial" w:eastAsia="Arial" w:hAnsi="Arial"/>
                <w:sz w:val="16"/>
                <w:szCs w:val="16"/>
                <w:b w:val="1"/>
                <w:bCs w:val="1"/>
                <w:color w:val="FFFFFF"/>
              </w:rPr>
              <w:t>% of Target Shares</w:t>
            </w:r>
          </w:p>
        </w:tc>
      </w:tr>
      <w:tr>
        <w:trPr>
          <w:trHeight w:val="229"/>
        </w:trPr>
        <w:tc>
          <w:tcPr>
            <w:tcW w:w="2880" w:type="dxa"/>
            <w:vAlign w:val="bottom"/>
            <w:shd w:val="clear" w:color="auto" w:fill="0233A1"/>
          </w:tcPr>
          <w:p>
            <w:pPr>
              <w:ind w:left="40"/>
              <w:spacing w:after="0"/>
              <w:rPr>
                <w:sz w:val="20"/>
                <w:szCs w:val="20"/>
                <w:color w:val="auto"/>
              </w:rPr>
            </w:pPr>
            <w:r>
              <w:rPr>
                <w:rFonts w:ascii="Arial" w:cs="Arial" w:eastAsia="Arial" w:hAnsi="Arial"/>
                <w:sz w:val="16"/>
                <w:szCs w:val="16"/>
                <w:b w:val="1"/>
                <w:bCs w:val="1"/>
                <w:color w:val="FFFFFF"/>
              </w:rPr>
              <w:t>Percentile Rank</w:t>
            </w:r>
          </w:p>
        </w:tc>
        <w:tc>
          <w:tcPr>
            <w:tcW w:w="4500" w:type="dxa"/>
            <w:vAlign w:val="bottom"/>
            <w:shd w:val="clear" w:color="auto" w:fill="0233A1"/>
          </w:tcPr>
          <w:p>
            <w:pPr>
              <w:ind w:left="1300"/>
              <w:spacing w:after="0"/>
              <w:rPr>
                <w:sz w:val="20"/>
                <w:szCs w:val="20"/>
                <w:color w:val="auto"/>
              </w:rPr>
            </w:pPr>
            <w:r>
              <w:rPr>
                <w:rFonts w:ascii="Arial" w:cs="Arial" w:eastAsia="Arial" w:hAnsi="Arial"/>
                <w:sz w:val="16"/>
                <w:szCs w:val="16"/>
                <w:b w:val="1"/>
                <w:bCs w:val="1"/>
                <w:color w:val="FFFFFF"/>
              </w:rPr>
              <w:t>Targets</w:t>
            </w:r>
          </w:p>
        </w:tc>
        <w:tc>
          <w:tcPr>
            <w:tcW w:w="3860" w:type="dxa"/>
            <w:vAlign w:val="bottom"/>
            <w:shd w:val="clear" w:color="auto" w:fill="0233A1"/>
          </w:tcPr>
          <w:p>
            <w:pPr>
              <w:jc w:val="right"/>
              <w:spacing w:after="0" w:line="230" w:lineRule="exact"/>
              <w:rPr>
                <w:sz w:val="20"/>
                <w:szCs w:val="20"/>
                <w:color w:val="auto"/>
              </w:rPr>
            </w:pPr>
            <w:r>
              <w:rPr>
                <w:rFonts w:ascii="Arial" w:cs="Arial" w:eastAsia="Arial" w:hAnsi="Arial"/>
                <w:sz w:val="16"/>
                <w:szCs w:val="16"/>
                <w:b w:val="1"/>
                <w:bCs w:val="1"/>
                <w:color w:val="FFFFFF"/>
              </w:rPr>
              <w:t>Earned (Payout %)</w:t>
            </w:r>
            <w:r>
              <w:rPr>
                <w:rFonts w:ascii="Arial" w:cs="Arial" w:eastAsia="Arial" w:hAnsi="Arial"/>
                <w:sz w:val="26"/>
                <w:szCs w:val="26"/>
                <w:b w:val="1"/>
                <w:bCs w:val="1"/>
                <w:color w:val="FFFFFF"/>
                <w:vertAlign w:val="superscript"/>
              </w:rPr>
              <w:t>(1)</w:t>
            </w:r>
          </w:p>
        </w:tc>
      </w:tr>
      <w:tr>
        <w:trPr>
          <w:trHeight w:val="230"/>
        </w:trPr>
        <w:tc>
          <w:tcPr>
            <w:tcW w:w="2880" w:type="dxa"/>
            <w:vAlign w:val="bottom"/>
          </w:tcPr>
          <w:p>
            <w:pPr>
              <w:ind w:left="40"/>
              <w:spacing w:after="0" w:line="230" w:lineRule="exact"/>
              <w:rPr>
                <w:sz w:val="20"/>
                <w:szCs w:val="20"/>
                <w:color w:val="auto"/>
              </w:rPr>
            </w:pPr>
            <w:r>
              <w:rPr>
                <w:rFonts w:ascii="Arial" w:cs="Arial" w:eastAsia="Arial" w:hAnsi="Arial"/>
                <w:sz w:val="16"/>
                <w:szCs w:val="16"/>
                <w:color w:val="auto"/>
              </w:rPr>
              <w:t>Below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4500" w:type="dxa"/>
            <w:vAlign w:val="bottom"/>
          </w:tcPr>
          <w:p>
            <w:pPr>
              <w:spacing w:after="0"/>
              <w:rPr>
                <w:sz w:val="20"/>
                <w:szCs w:val="20"/>
                <w:color w:val="auto"/>
              </w:rPr>
            </w:pPr>
          </w:p>
        </w:tc>
        <w:tc>
          <w:tcPr>
            <w:tcW w:w="3860" w:type="dxa"/>
            <w:vAlign w:val="bottom"/>
          </w:tcPr>
          <w:p>
            <w:pPr>
              <w:jc w:val="right"/>
              <w:spacing w:after="0"/>
              <w:rPr>
                <w:sz w:val="20"/>
                <w:szCs w:val="20"/>
                <w:color w:val="auto"/>
              </w:rPr>
            </w:pPr>
            <w:r>
              <w:rPr>
                <w:rFonts w:ascii="Arial" w:cs="Arial" w:eastAsia="Arial" w:hAnsi="Arial"/>
                <w:sz w:val="16"/>
                <w:szCs w:val="16"/>
                <w:b w:val="1"/>
                <w:bCs w:val="1"/>
                <w:color w:val="auto"/>
              </w:rPr>
              <w:t>0%</w:t>
            </w:r>
          </w:p>
        </w:tc>
      </w:tr>
      <w:tr>
        <w:trPr>
          <w:trHeight w:val="243"/>
        </w:trPr>
        <w:tc>
          <w:tcPr>
            <w:tcW w:w="2880" w:type="dxa"/>
            <w:vAlign w:val="bottom"/>
          </w:tcPr>
          <w:p>
            <w:pPr>
              <w:ind w:left="40"/>
              <w:spacing w:after="0" w:line="243" w:lineRule="exact"/>
              <w:rPr>
                <w:sz w:val="20"/>
                <w:szCs w:val="20"/>
                <w:color w:val="auto"/>
              </w:rPr>
            </w:pPr>
            <w:r>
              <w:rPr>
                <w:rFonts w:ascii="Arial" w:cs="Arial" w:eastAsia="Arial" w:hAnsi="Arial"/>
                <w:sz w:val="16"/>
                <w:szCs w:val="16"/>
                <w:color w:val="auto"/>
              </w:rPr>
              <w:t>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4500" w:type="dxa"/>
            <w:vAlign w:val="bottom"/>
          </w:tcPr>
          <w:p>
            <w:pPr>
              <w:ind w:left="1300"/>
              <w:spacing w:after="0"/>
              <w:rPr>
                <w:sz w:val="20"/>
                <w:szCs w:val="20"/>
                <w:color w:val="auto"/>
              </w:rPr>
            </w:pPr>
            <w:r>
              <w:rPr>
                <w:rFonts w:ascii="Arial" w:cs="Arial" w:eastAsia="Arial" w:hAnsi="Arial"/>
                <w:sz w:val="16"/>
                <w:szCs w:val="16"/>
                <w:b w:val="1"/>
                <w:bCs w:val="1"/>
                <w:color w:val="auto"/>
              </w:rPr>
              <w:t>Minimum</w:t>
            </w:r>
          </w:p>
        </w:tc>
        <w:tc>
          <w:tcPr>
            <w:tcW w:w="3860" w:type="dxa"/>
            <w:vAlign w:val="bottom"/>
          </w:tcPr>
          <w:p>
            <w:pPr>
              <w:jc w:val="right"/>
              <w:spacing w:after="0"/>
              <w:rPr>
                <w:sz w:val="20"/>
                <w:szCs w:val="20"/>
                <w:color w:val="auto"/>
              </w:rPr>
            </w:pPr>
            <w:r>
              <w:rPr>
                <w:rFonts w:ascii="Arial" w:cs="Arial" w:eastAsia="Arial" w:hAnsi="Arial"/>
                <w:sz w:val="16"/>
                <w:szCs w:val="16"/>
                <w:b w:val="1"/>
                <w:bCs w:val="1"/>
                <w:color w:val="auto"/>
              </w:rPr>
              <w:t>25%</w:t>
            </w:r>
          </w:p>
        </w:tc>
      </w:tr>
      <w:tr>
        <w:trPr>
          <w:trHeight w:val="243"/>
        </w:trPr>
        <w:tc>
          <w:tcPr>
            <w:tcW w:w="2880" w:type="dxa"/>
            <w:vAlign w:val="bottom"/>
          </w:tcPr>
          <w:p>
            <w:pPr>
              <w:ind w:left="40"/>
              <w:spacing w:after="0" w:line="243" w:lineRule="exact"/>
              <w:rPr>
                <w:sz w:val="20"/>
                <w:szCs w:val="20"/>
                <w:color w:val="auto"/>
              </w:rPr>
            </w:pPr>
            <w:r>
              <w:rPr>
                <w:rFonts w:ascii="Arial" w:cs="Arial" w:eastAsia="Arial" w:hAnsi="Arial"/>
                <w:sz w:val="16"/>
                <w:szCs w:val="16"/>
                <w:color w:val="auto"/>
              </w:rPr>
              <w:t>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4500" w:type="dxa"/>
            <w:vAlign w:val="bottom"/>
          </w:tcPr>
          <w:p>
            <w:pPr>
              <w:ind w:left="1300"/>
              <w:spacing w:after="0"/>
              <w:rPr>
                <w:sz w:val="20"/>
                <w:szCs w:val="20"/>
                <w:color w:val="auto"/>
              </w:rPr>
            </w:pPr>
            <w:r>
              <w:rPr>
                <w:rFonts w:ascii="Arial" w:cs="Arial" w:eastAsia="Arial" w:hAnsi="Arial"/>
                <w:sz w:val="16"/>
                <w:szCs w:val="16"/>
                <w:b w:val="1"/>
                <w:bCs w:val="1"/>
                <w:color w:val="auto"/>
              </w:rPr>
              <w:t>Target</w:t>
            </w:r>
          </w:p>
        </w:tc>
        <w:tc>
          <w:tcPr>
            <w:tcW w:w="3860" w:type="dxa"/>
            <w:vAlign w:val="bottom"/>
          </w:tcPr>
          <w:p>
            <w:pPr>
              <w:jc w:val="right"/>
              <w:spacing w:after="0"/>
              <w:rPr>
                <w:sz w:val="20"/>
                <w:szCs w:val="20"/>
                <w:color w:val="auto"/>
              </w:rPr>
            </w:pPr>
            <w:r>
              <w:rPr>
                <w:rFonts w:ascii="Arial" w:cs="Arial" w:eastAsia="Arial" w:hAnsi="Arial"/>
                <w:sz w:val="16"/>
                <w:szCs w:val="16"/>
                <w:b w:val="1"/>
                <w:bCs w:val="1"/>
                <w:color w:val="auto"/>
              </w:rPr>
              <w:t>100%</w:t>
            </w:r>
          </w:p>
        </w:tc>
      </w:tr>
      <w:tr>
        <w:trPr>
          <w:trHeight w:val="249"/>
        </w:trPr>
        <w:tc>
          <w:tcPr>
            <w:tcW w:w="2880" w:type="dxa"/>
            <w:vAlign w:val="bottom"/>
            <w:tcBorders>
              <w:bottom w:val="single" w:sz="8" w:color="0233A1"/>
            </w:tcBorders>
          </w:tcPr>
          <w:p>
            <w:pPr>
              <w:ind w:left="40"/>
              <w:spacing w:after="0" w:line="242" w:lineRule="exact"/>
              <w:rPr>
                <w:sz w:val="20"/>
                <w:szCs w:val="20"/>
                <w:color w:val="auto"/>
              </w:rPr>
            </w:pPr>
            <w:r>
              <w:rPr>
                <w:rFonts w:ascii="Arial" w:cs="Arial" w:eastAsia="Arial" w:hAnsi="Arial"/>
                <w:sz w:val="16"/>
                <w:szCs w:val="16"/>
                <w:color w:val="auto"/>
              </w:rPr>
              <w:t>100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4500" w:type="dxa"/>
            <w:vAlign w:val="bottom"/>
            <w:tcBorders>
              <w:bottom w:val="single" w:sz="8" w:color="0233A1"/>
            </w:tcBorders>
          </w:tcPr>
          <w:p>
            <w:pPr>
              <w:ind w:left="1300"/>
              <w:spacing w:after="0"/>
              <w:rPr>
                <w:sz w:val="20"/>
                <w:szCs w:val="20"/>
                <w:color w:val="auto"/>
              </w:rPr>
            </w:pPr>
            <w:r>
              <w:rPr>
                <w:rFonts w:ascii="Arial" w:cs="Arial" w:eastAsia="Arial" w:hAnsi="Arial"/>
                <w:sz w:val="16"/>
                <w:szCs w:val="16"/>
                <w:b w:val="1"/>
                <w:bCs w:val="1"/>
                <w:color w:val="auto"/>
              </w:rPr>
              <w:t>Maximum</w:t>
            </w:r>
          </w:p>
        </w:tc>
        <w:tc>
          <w:tcPr>
            <w:tcW w:w="386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auto"/>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33655"/>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9">
                      <a:extLst>
                        <a:ext uri="{28A0092B-C50C-407E-A947-70E740481C1C}"/>
                      </a:extLst>
                    </a:blip>
                    <a:srcRect/>
                    <a:stretch>
                      <a:fillRect/>
                    </a:stretch>
                  </pic:blipFill>
                  <pic:spPr bwMode="auto">
                    <a:xfrm>
                      <a:off x="0" y="0"/>
                      <a:ext cx="715772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-337820</wp:posOffset>
            </wp:positionV>
            <wp:extent cx="7157720" cy="34290"/>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0">
                      <a:extLst>
                        <a:ext uri="{28A0092B-C50C-407E-A947-70E740481C1C}"/>
                      </a:extLst>
                    </a:blip>
                    <a:srcRect/>
                    <a:stretch>
                      <a:fillRect/>
                    </a:stretch>
                  </pic:blipFill>
                  <pic:spPr bwMode="auto">
                    <a:xfrm>
                      <a:off x="0" y="0"/>
                      <a:ext cx="71577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33655"/>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1">
                      <a:extLst>
                        <a:ext uri="{28A0092B-C50C-407E-A947-70E740481C1C}"/>
                      </a:extLst>
                    </a:blip>
                    <a:srcRect/>
                    <a:stretch>
                      <a:fillRect/>
                    </a:stretch>
                  </pic:blipFill>
                  <pic:spPr bwMode="auto">
                    <a:xfrm>
                      <a:off x="0" y="0"/>
                      <a:ext cx="7157720" cy="33655"/>
                    </a:xfrm>
                    <a:prstGeom prst="rect">
                      <a:avLst/>
                    </a:prstGeom>
                    <a:noFill/>
                  </pic:spPr>
                </pic:pic>
              </a:graphicData>
            </a:graphic>
          </wp:anchor>
        </w:drawing>
      </w:r>
    </w:p>
    <w:p>
      <w:pPr>
        <w:spacing w:after="0" w:line="38"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Number of shares determined by straight-line interpolation between performance levels.</w:t>
      </w:r>
    </w:p>
    <w:p>
      <w:pPr>
        <w:spacing w:after="0" w:line="1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As in 2021, the number of 2022 TSR PSUs that will vest and convert to shares as of the vesting date can range from 0% to 200% of target, depending on our relative TSR performance over the three-year period, but in no event will payout relating to this metric exceed 200% of target. In maintaining the maximum payout opportunity for the 2022 TSR PSUs at 200%, which is below the maximum payout for the 2022 FCF Margin PSUs and 2022 ROCE PSUs, the Committee considered that management’s efforts would more directly affect FCF margin and ROCE, whereas management had less control over SLB’s TSR relative to that of the TSR comparator companies, due to external market and economic influences.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illustrated by the table in this section, our Compensation Committee set the target performance goal above median at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consistent</w:t>
      </w:r>
    </w:p>
    <w:p>
      <w:pPr>
        <w:jc w:val="both"/>
        <w:spacing w:after="0" w:line="214" w:lineRule="auto"/>
        <w:rPr>
          <w:sz w:val="20"/>
          <w:szCs w:val="20"/>
          <w:color w:val="auto"/>
        </w:rPr>
      </w:pPr>
      <w:r>
        <w:rPr>
          <w:rFonts w:ascii="Arial" w:cs="Arial" w:eastAsia="Arial" w:hAnsi="Arial"/>
          <w:sz w:val="16"/>
          <w:szCs w:val="16"/>
          <w:color w:val="auto"/>
        </w:rPr>
        <w:t>with 2021. No SLB shares will be earned if our three-year, cumulative TSR is in the bottom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rank as compared to that of the individual TSR comparator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308610"/>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Target set above median relative TSR performance</w:t>
      </w:r>
    </w:p>
    <w:p>
      <w:pPr>
        <w:spacing w:after="0" w:line="35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January 2022, our Compensation Committee reviewed the peer companies used to assess relative TSR performance under our LTI program, based on market data and a TSR correlation analysis prepared by Pay Governance. Following this review, the Committee adjusted the TSR comparator group as compared to 2021, to better focus on outperformance relative to our direct competitors and the broader energy market. For 2022, the Committee assessed our relative performance under both our TSR PSUs and our ROCE PSUs against Halliburton, Baker Hughes, TechnipFMC, and NOV, because it believes the most appropriate TSR and ROCE comparisons are against our direct competitors in the energy services industry. The Committee included a fifth comparator for the 2022 TSR PSUs—the S&amp;P Global 1200 Energy Index—based on shareholder feedback that our investors also evaluate our TSR performance against the broader energy sector.</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Payouts Under Prior LTI Awards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20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Prior to 2017, SLB granted a significant portion of its LTI compensation to executives in the form of stock options. Beginning in 2017, SLB ended its practice of granting stock options to executive officers. As of December 31, 2022, all of our NEOs’ outstanding stock options were “underwater.”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PSUs Vesting in 2022</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 xml:space="preserve">As previously disclosed in the proxy statement for our 2022 AGM, in January 2022 our Compensation Committee approved payout results for the PSUs issued to our NEOs in 2019, based on the Committee’s previously approved performance criteria. Our NEOs earned 250% of target under the free cash flow conversion PSUs issued in 2019, based on our achievement of a cumulative free cash flow conversion rate of 166% for the two-year performance period applicable to those PSUs. In addition, our NEOs earned 182% of target under the relative ROCE PSUs issued in 2019, based on our average annual ROCE over the three-year performance period being 327 basis points above the average annual ROCE of five of our direct competitors taken together over the same period. These competitors were Halliburton, Baker Hughes, TechnipFMC, Weatherford International, and NOV (the </w:t>
      </w:r>
      <w:r>
        <w:rPr>
          <w:rFonts w:ascii="Arial" w:cs="Arial" w:eastAsia="Arial" w:hAnsi="Arial"/>
          <w:sz w:val="16"/>
          <w:szCs w:val="16"/>
          <w:b w:val="1"/>
          <w:bCs w:val="1"/>
          <w:color w:val="auto"/>
        </w:rPr>
        <w:t>prior ROCE comparator</w:t>
      </w:r>
      <w:r>
        <w:rPr>
          <w:rFonts w:ascii="Arial" w:cs="Arial" w:eastAsia="Arial" w:hAnsi="Arial"/>
          <w:sz w:val="16"/>
          <w:szCs w:val="16"/>
          <w:color w:val="auto"/>
        </w:rPr>
        <w:t xml:space="preserve"> </w:t>
      </w:r>
      <w:r>
        <w:rPr>
          <w:rFonts w:ascii="Arial" w:cs="Arial" w:eastAsia="Arial" w:hAnsi="Arial"/>
          <w:sz w:val="16"/>
          <w:szCs w:val="16"/>
          <w:b w:val="1"/>
          <w:bCs w:val="1"/>
          <w:color w:val="auto"/>
        </w:rPr>
        <w:t>companies</w:t>
      </w:r>
      <w:r>
        <w:rPr>
          <w:rFonts w:ascii="Arial" w:cs="Arial" w:eastAsia="Arial" w:hAnsi="Arial"/>
          <w:sz w:val="16"/>
          <w:szCs w:val="16"/>
          <w:color w:val="auto"/>
        </w:rPr>
        <w:t>). For additional details, see the Option Exercises and Stock Vested in 2022 table on page 54 of this proxy statement.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PSUs Vesting in 2023</w:t>
      </w:r>
    </w:p>
    <w:p>
      <w:pPr>
        <w:spacing w:after="0" w:line="208"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In January 2020, our Compensation Committee approved PSU awards to our NEOs (other than the CEO) as follows, in each case subject to a three-year relative TSR modifier:</w:t>
      </w:r>
    </w:p>
    <w:p>
      <w:pPr>
        <w:spacing w:after="0" w:line="129" w:lineRule="exact"/>
        <w:rPr>
          <w:sz w:val="20"/>
          <w:szCs w:val="20"/>
          <w:color w:val="auto"/>
        </w:rPr>
      </w:pPr>
    </w:p>
    <w:p>
      <w:pPr>
        <w:ind w:left="500" w:hanging="168"/>
        <w:spacing w:after="0" w:line="296" w:lineRule="auto"/>
        <w:tabs>
          <w:tab w:leader="none" w:pos="500" w:val="left"/>
        </w:tabs>
        <w:numPr>
          <w:ilvl w:val="0"/>
          <w:numId w:val="50"/>
        </w:numPr>
        <w:rPr>
          <w:rFonts w:ascii="Arial" w:cs="Arial" w:eastAsia="Arial" w:hAnsi="Arial"/>
          <w:sz w:val="16"/>
          <w:szCs w:val="16"/>
          <w:b w:val="1"/>
          <w:bCs w:val="1"/>
          <w:color w:val="0233A1"/>
        </w:rPr>
      </w:pPr>
      <w:r>
        <w:rPr>
          <w:rFonts w:ascii="Arial" w:cs="Arial" w:eastAsia="Arial" w:hAnsi="Arial"/>
          <w:sz w:val="16"/>
          <w:szCs w:val="16"/>
          <w:color w:val="auto"/>
        </w:rPr>
        <w:t xml:space="preserve">With respect to 50% of our NEOs’ 2020 target LTI grant date fair value, payout was conditioned based on the percentage of our cumulative net income, excluding charges and credits, converted to free cash flow from January 1, 2020 to December 31, 2021 (the </w:t>
      </w:r>
      <w:r>
        <w:rPr>
          <w:rFonts w:ascii="Arial" w:cs="Arial" w:eastAsia="Arial" w:hAnsi="Arial"/>
          <w:sz w:val="16"/>
          <w:szCs w:val="16"/>
          <w:b w:val="1"/>
          <w:bCs w:val="1"/>
          <w:color w:val="auto"/>
        </w:rPr>
        <w:t>2020 FCF Conversion PSUs</w:t>
      </w:r>
      <w:r>
        <w:rPr>
          <w:rFonts w:ascii="Arial" w:cs="Arial" w:eastAsia="Arial" w:hAnsi="Arial"/>
          <w:sz w:val="16"/>
          <w:szCs w:val="16"/>
          <w:color w:val="auto"/>
        </w:rPr>
        <w:t>).</w:t>
      </w:r>
    </w:p>
    <w:p>
      <w:pPr>
        <w:spacing w:after="0" w:line="5" w:lineRule="exact"/>
        <w:rPr>
          <w:rFonts w:ascii="Arial" w:cs="Arial" w:eastAsia="Arial" w:hAnsi="Arial"/>
          <w:sz w:val="16"/>
          <w:szCs w:val="16"/>
          <w:b w:val="1"/>
          <w:bCs w:val="1"/>
          <w:color w:val="0233A1"/>
        </w:rPr>
      </w:pPr>
    </w:p>
    <w:p>
      <w:pPr>
        <w:jc w:val="both"/>
        <w:ind w:left="500" w:right="20" w:hanging="168"/>
        <w:spacing w:after="0" w:line="271" w:lineRule="auto"/>
        <w:tabs>
          <w:tab w:leader="none" w:pos="500" w:val="left"/>
        </w:tabs>
        <w:numPr>
          <w:ilvl w:val="0"/>
          <w:numId w:val="50"/>
        </w:numPr>
        <w:rPr>
          <w:rFonts w:ascii="Arial" w:cs="Arial" w:eastAsia="Arial" w:hAnsi="Arial"/>
          <w:sz w:val="16"/>
          <w:szCs w:val="16"/>
          <w:b w:val="1"/>
          <w:bCs w:val="1"/>
          <w:color w:val="0233A1"/>
        </w:rPr>
      </w:pPr>
      <w:r>
        <w:rPr>
          <w:rFonts w:ascii="Arial" w:cs="Arial" w:eastAsia="Arial" w:hAnsi="Arial"/>
          <w:sz w:val="16"/>
          <w:szCs w:val="16"/>
          <w:color w:val="auto"/>
        </w:rPr>
        <w:t xml:space="preserve">With respect to 50% of our NEOs’ 2020 target LTI grant date fair value, payout was conditioned based on our average annual ROCE achieved over a three-year performance period as compared to the average annual ROCE of the prior ROCE comparator companies, taken together over the same period (the </w:t>
      </w:r>
      <w:r>
        <w:rPr>
          <w:rFonts w:ascii="Arial" w:cs="Arial" w:eastAsia="Arial" w:hAnsi="Arial"/>
          <w:sz w:val="16"/>
          <w:szCs w:val="16"/>
          <w:b w:val="1"/>
          <w:bCs w:val="1"/>
          <w:color w:val="auto"/>
        </w:rPr>
        <w:t>2020 ROCE PSUs</w:t>
      </w:r>
      <w:r>
        <w:rPr>
          <w:rFonts w:ascii="Arial" w:cs="Arial" w:eastAsia="Arial" w:hAnsi="Arial"/>
          <w:sz w:val="16"/>
          <w:szCs w:val="16"/>
          <w:color w:val="auto"/>
        </w:rPr>
        <w:t>).</w:t>
      </w:r>
    </w:p>
    <w:p>
      <w:pPr>
        <w:spacing w:after="0" w:line="14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CEO, Mr. Le Peuch, did not receive an LTI award in 2020 because he had received a PSU award in 2019 in connection with his promotion to CEO, in lieu of a 2020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142240</wp:posOffset>
            </wp:positionV>
            <wp:extent cx="471805" cy="283210"/>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3">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Pr>
          <w:p>
            <w:pPr>
              <w:spacing w:after="0"/>
              <w:rPr>
                <w:sz w:val="9"/>
                <w:szCs w:val="9"/>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43</w:t>
            </w:r>
          </w:p>
        </w:tc>
        <w:tc>
          <w:tcPr>
            <w:tcW w:w="44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906"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In January 2022, the Committee determined that we achieved a cumulative free cash flow conversion rate of 192% for the two-year performance period applicable to the 2020 FCF Conversion PSUs, representing achievement of 250% of target, based on the Committee’s previously approved performance criteria. These PSUs also were subject to the relative TSR modifier, which would have caused payouts to be reduced by 25% if our three-year, cumulative</w:t>
      </w:r>
    </w:p>
    <w:p>
      <w:pPr>
        <w:spacing w:after="0" w:line="1" w:lineRule="exact"/>
        <w:rPr>
          <w:sz w:val="20"/>
          <w:szCs w:val="20"/>
          <w:color w:val="auto"/>
        </w:rPr>
      </w:pPr>
    </w:p>
    <w:p>
      <w:pPr>
        <w:jc w:val="both"/>
        <w:spacing w:after="0" w:line="207" w:lineRule="auto"/>
        <w:rPr>
          <w:sz w:val="20"/>
          <w:szCs w:val="20"/>
          <w:color w:val="auto"/>
        </w:rPr>
      </w:pPr>
      <w:r>
        <w:rPr>
          <w:rFonts w:ascii="Arial" w:cs="Arial" w:eastAsia="Arial" w:hAnsi="Arial"/>
          <w:sz w:val="16"/>
          <w:szCs w:val="16"/>
          <w:color w:val="auto"/>
        </w:rPr>
        <w:t>TSR was in the bottom 33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percentile rank as compared to the individual companies comprising the Philadelphia Oil Services Sector index as of January 2020. In January 2023, the Committee determined that the relative TSR modifier did not trigger a negative adjustment to the 2020 PSU payouts, because</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6"/>
          <w:szCs w:val="16"/>
          <w:color w:val="auto"/>
        </w:rPr>
        <w:t>SLB’s TSR ranked at the 85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As a result, in January 2023, our NEOs (other than the CEO) earned 250% of target under the 2020 FCF Conversion PSUs.</w:t>
      </w:r>
    </w:p>
    <w:p>
      <w:pPr>
        <w:spacing w:after="0" w:line="17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January 2023, the Committee also approved the results for the 2020 ROCE PSUs using the Committee’s previously approved performance criteria. Specifically, the Committee determined that in 2022, SLB had achieved absolute, single-year ROCE of 13%—as a result, the 2020 ROCE PSUs had been earned at 250% of target, based on SLB’s average annual ROCE being 407 basis points above the average of the prior ROCE comparator companies through the third quarter of 2022, which was the then-most recent fiscal period end reported by all the prior ROCE comparator companies. Because not all the prior ROCE comparator companies had reported their 2022 audited results as of January 2023, the Committee approved a preliminary issuance of 80% of the shares earned under the 2020 ROCE PSUs. Any additional shares finally determined to have been earned by our NEOs (other than the CEO) will be issued after all the prior ROCE comparator companies disclose their full-year 2022 audited results.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Unvested PSUs</w:t>
      </w:r>
    </w:p>
    <w:p>
      <w:pPr>
        <w:spacing w:after="0" w:line="20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All of the PSUs granted to our NEOs since 2021 will vest, if at all, only after a three-year performance period. At the end of the applicable performance periods, the Committee will determine the number of shares ultimately earned under these unvested PSUs based on the extent of achievement of the applicable performance goals.</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color w:val="0233A1"/>
        </w:rPr>
        <w:t>Other Benefits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Officer Departure Guidelines</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Our Compensation Committee has approved guidelines covering, among other things, LTI vesting, salary, benefits, and other compensation matters for officers departing SLB, either because they are eligible for retirement, early retirement or special retirement, or because they are involuntarily terminated (if not eligible for retirement). These guidelines are a non-binding framework referenced by management in its executive succession planning, with flexibility as required by specific situations.</w:t>
      </w:r>
    </w:p>
    <w:p>
      <w:pPr>
        <w:spacing w:after="0" w:line="1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Under the guidelines, we may, at our discretion, enter into agreements with outgoing officers whereby they would remain employed by SLB during the agreement term and receive annual cash payments that would generally be less than their pre-termination annual base salary. In addition, outgoing officers would receive a prorated cash incentive award payment with respect to the year of their departure. They would also receive benefits such as medical coverage and life and disability insurance during the agreement term, and would continue to vest in previously granted LTI awards—but would not receive any new LTI awards—during the term. In exchange, the outgoing officers must agree to non-competition, non-solicitation, and non-disparagement covenants, and generally would agree to be available to SLB for a portion of their business time during the term.</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Agreement with Senior Strategic Advisor</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As previously disclosed in the proxy statement for our 2022 AGM, SLB entered into an agreement with Mr. Belani in connection with his decision to retire from his role as SLB’s EVP, New Energy, effective as of April 1, 2022. Under the terms of the agreement, Mr. Belani currently serves as Senior Strategic Advisor to our CEO through March 31, 2024, supporting certain technology and innovation projects. Mr. Belani has also agreed to certain restrictive covenants under the agreement, including three-year non-competition and non-solicitation undertakings, as well as confidentiality and non-disparagement undertakings and a waiver and release of claims.</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In consideration for his services as Senior Strategic Advisor, the restrictive covenants, and the waiver and release, Mr. Belani will continue to receive certain benefits and payments through March 31, 2024, including a cash payment in each year of the term equal to his base salary prior to retiring from his EVP role. During the term, he will also continue to participate in our health, welfare, and insurance plans for which he is eligible as an employee, and will continue to accrue benefits under our pension and profit-sharing plans. In addition, because Mr. Belani remains an employee and qualifies for retirement treatment under the terms of our LTI award agreements, his outstanding LTI awards will continue to vest in accordance with the terms applicable to those grants.</w:t>
      </w:r>
    </w:p>
    <w:p>
      <w:pPr>
        <w:spacing w:after="0" w:line="16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As a global technology company driving energy innovation, we believe that our greatest competitive strengths are our people and our intellectual property. Mr. Belani led SLB New Energy from its launch in 2020 through March 2022, and prior to that, he served for over a decade as SLB’s Chief Technology Officer and EVP, Technology. He has critical knowledge about our technology and innovation strategy, important relationships with SLB New Energy’s strategic partners and joint ventures, and deep ties to the scientific community within SLB and externally. Thus, our Compensation Committee believed it to be in the best interest of SLB and our shareholders to enter into an agreement with Mr. Belani to secure his continued support on key technology and innovation projects where his expertise and significant contacts will benefit the advancement of SLB’s strategy. In addition, the agreement secures his covenant not to compete with us and prohibits him from soliciting key employees for a period of three years. If the undertakings in the agreement are breached, we may immediately stop payment of all cash amounts that would otherwise be due to Mr. Belani, all outstanding equity awards will be subject to cancellation, and we may require repayment of consideration previously paid or vested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471170" cy="282575"/>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4">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46"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44</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-46990</wp:posOffset>
            </wp:positionV>
            <wp:extent cx="5417820" cy="17145"/>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5">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Broadly Available Benefit Plans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We seek to provide benefit plans, such as medical coverage and life and disability insurance, on a country-by-country basis in line with market conditions. Where the local practice is considered to be less than the SLB minimum standard, we generally enhance the local plans to meet the SLB standard plan. Our NEOs are eligible for the same benefit plans provided to other employees, including medical coverage and life and disability insurance, as well as supplemental plans chosen and paid for by employees who wish to obtain additional coverage. There are no special insurance plans for our NEOs.</w:t>
      </w:r>
    </w:p>
    <w:p>
      <w:pPr>
        <w:spacing w:after="0" w:line="3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In line with our aim to encourage long-term careers with SLB and to promote retention, retirement plans are provided, where possible and according to local market practice, for all employees, including NEOs. For details regarding our pension plans and nonqualified deferred compensation plans, see “Executive Compensation Tables—Pension Benefits,” “—Nonqualified Deferred Compensation,” “—Potential Payments Upon Termination or Change in Control—Retirement Plans,” and “—Retiree Medical” and the accompanying narratives beginning on page 54 of this proxy statement.</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Limited Perquisites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provide only limited perquisites to our NEOs, which are identified in the footnotes to the Summary Compensation Table.</w:t>
      </w:r>
    </w:p>
    <w:p>
      <w:pPr>
        <w:spacing w:after="0" w:line="136" w:lineRule="exact"/>
        <w:rPr>
          <w:sz w:val="20"/>
          <w:szCs w:val="20"/>
          <w:color w:val="auto"/>
        </w:rPr>
      </w:pPr>
    </w:p>
    <w:p>
      <w:pPr>
        <w:spacing w:after="0"/>
        <w:rPr>
          <w:sz w:val="20"/>
          <w:szCs w:val="20"/>
          <w:color w:val="auto"/>
        </w:rPr>
      </w:pPr>
      <w:r>
        <w:rPr>
          <w:rFonts w:ascii="Arial" w:cs="Arial" w:eastAsia="Arial" w:hAnsi="Arial"/>
          <w:sz w:val="29"/>
          <w:szCs w:val="29"/>
          <w:color w:val="16458B"/>
        </w:rPr>
        <w:t>Other Aspects of Our Executive Compensation Program</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color w:val="0233A1"/>
        </w:rPr>
        <w:t>Competition for Our Executive Talent</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A primary consideration of our Compensation Committee in overseeing our executive compensation program is the need to motivate and retain what it believes is the best executive talent in our industry. We are a global technology company, driving energy innovation for a balanced planet, and the Committee believes that delivering financial and operational outperformance and long-term shareholder returns depends on our ability to attract, develop, and retain the best talent globally. A highly competitive compensation package is critical to this objective.</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result, the Committee generally seeks to target total direct compensation for our NEOs between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percentiles of our two main</w:t>
      </w:r>
    </w:p>
    <w:p>
      <w:pPr>
        <w:jc w:val="both"/>
        <w:spacing w:after="0" w:line="222" w:lineRule="auto"/>
        <w:rPr>
          <w:sz w:val="20"/>
          <w:szCs w:val="20"/>
          <w:color w:val="auto"/>
        </w:rPr>
      </w:pPr>
      <w:r>
        <w:rPr>
          <w:rFonts w:ascii="Arial" w:cs="Arial" w:eastAsia="Arial" w:hAnsi="Arial"/>
          <w:sz w:val="16"/>
          <w:szCs w:val="16"/>
          <w:color w:val="auto"/>
        </w:rPr>
        <w:t>executive compensation peer groups. The Committee may also position an NEO who is new to a position at or below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for a period of time. An NEO’s target total direct compensation depends on a variety of factors, including tenure in a particular position, individual and Company performance, and internal pay equity.</w:t>
      </w:r>
    </w:p>
    <w:p>
      <w:pPr>
        <w:spacing w:after="0" w:line="168"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16"/>
          <w:szCs w:val="16"/>
          <w:color w:val="auto"/>
        </w:rPr>
        <w:t>Competition for executive talent in our industry is exceptionally fierce. The Committee believes that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to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range is appropriate for us to target in light of SLB’s leading position in our industry, and because our executives are very highly sought after, both by our direct competitors and by other leading oil and gas, advanced extractive, technology-driven manufacturing, and engineering-focused companies, including companies focused on the new energy economy.</w:t>
      </w:r>
    </w:p>
    <w:p>
      <w:pPr>
        <w:spacing w:after="0" w:line="16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In approving this target range and when setting compensation for 2022, the Committee considered that many current and former senior executives of leading companies in various industries have previously served in senior management at SLB. Former members of senior SLB management have either been, or are, senior executives at the competitors, customers, and other technology- and engineering-focused companies listed in the table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40" w:type="dxa"/>
            <w:vAlign w:val="bottom"/>
            <w:tcBorders>
              <w:top w:val="single" w:sz="8" w:color="0233A1"/>
            </w:tcBorders>
          </w:tcPr>
          <w:p>
            <w:pPr>
              <w:jc w:val="center"/>
              <w:ind w:right="59"/>
              <w:spacing w:after="0"/>
              <w:rPr>
                <w:sz w:val="20"/>
                <w:szCs w:val="20"/>
                <w:color w:val="auto"/>
              </w:rPr>
            </w:pPr>
            <w:r>
              <w:rPr>
                <w:rFonts w:ascii="Arial" w:cs="Arial" w:eastAsia="Arial" w:hAnsi="Arial"/>
                <w:sz w:val="16"/>
                <w:szCs w:val="16"/>
                <w:b w:val="1"/>
                <w:bCs w:val="1"/>
                <w:color w:val="auto"/>
              </w:rPr>
              <w:t>Baker Hughes*</w:t>
            </w:r>
          </w:p>
        </w:tc>
        <w:tc>
          <w:tcPr>
            <w:tcW w:w="3020" w:type="dxa"/>
            <w:vAlign w:val="bottom"/>
            <w:tcBorders>
              <w:top w:val="single" w:sz="8" w:color="0233A1"/>
            </w:tcBorders>
          </w:tcPr>
          <w:p>
            <w:pPr>
              <w:jc w:val="center"/>
              <w:spacing w:after="0"/>
              <w:rPr>
                <w:sz w:val="20"/>
                <w:szCs w:val="20"/>
                <w:color w:val="auto"/>
              </w:rPr>
            </w:pPr>
            <w:r>
              <w:rPr>
                <w:rFonts w:ascii="Arial" w:cs="Arial" w:eastAsia="Arial" w:hAnsi="Arial"/>
                <w:sz w:val="16"/>
                <w:szCs w:val="16"/>
                <w:b w:val="1"/>
                <w:bCs w:val="1"/>
                <w:color w:val="auto"/>
                <w:w w:val="99"/>
              </w:rPr>
              <w:t>TechnipFMC*</w:t>
            </w:r>
          </w:p>
        </w:tc>
        <w:tc>
          <w:tcPr>
            <w:tcW w:w="3000" w:type="dxa"/>
            <w:vAlign w:val="bottom"/>
            <w:tcBorders>
              <w:top w:val="single" w:sz="8" w:color="0233A1"/>
            </w:tcBorders>
          </w:tcPr>
          <w:p>
            <w:pPr>
              <w:jc w:val="center"/>
              <w:ind w:right="119"/>
              <w:spacing w:after="0"/>
              <w:rPr>
                <w:sz w:val="20"/>
                <w:szCs w:val="20"/>
                <w:color w:val="auto"/>
              </w:rPr>
            </w:pPr>
            <w:r>
              <w:rPr>
                <w:rFonts w:ascii="Arial" w:cs="Arial" w:eastAsia="Arial" w:hAnsi="Arial"/>
                <w:sz w:val="16"/>
                <w:szCs w:val="16"/>
                <w:b w:val="1"/>
                <w:bCs w:val="1"/>
                <w:color w:val="auto"/>
              </w:rPr>
              <w:t>Weatherford</w:t>
            </w:r>
          </w:p>
        </w:tc>
        <w:tc>
          <w:tcPr>
            <w:tcW w:w="2480" w:type="dxa"/>
            <w:vAlign w:val="bottom"/>
            <w:tcBorders>
              <w:top w:val="single" w:sz="8" w:color="0233A1"/>
            </w:tcBorders>
          </w:tcPr>
          <w:p>
            <w:pPr>
              <w:jc w:val="center"/>
              <w:spacing w:after="0"/>
              <w:rPr>
                <w:sz w:val="20"/>
                <w:szCs w:val="20"/>
                <w:color w:val="auto"/>
              </w:rPr>
            </w:pPr>
            <w:r>
              <w:rPr>
                <w:rFonts w:ascii="Arial" w:cs="Arial" w:eastAsia="Arial" w:hAnsi="Arial"/>
                <w:sz w:val="16"/>
                <w:szCs w:val="16"/>
                <w:b w:val="1"/>
                <w:bCs w:val="1"/>
                <w:color w:val="auto"/>
              </w:rPr>
              <w:t>BAE Systems*</w:t>
            </w:r>
          </w:p>
        </w:tc>
      </w:tr>
      <w:tr>
        <w:trPr>
          <w:trHeight w:val="189"/>
        </w:trPr>
        <w:tc>
          <w:tcPr>
            <w:tcW w:w="2740" w:type="dxa"/>
            <w:vAlign w:val="bottom"/>
          </w:tcPr>
          <w:p>
            <w:pPr>
              <w:jc w:val="center"/>
              <w:ind w:right="39"/>
              <w:spacing w:after="0"/>
              <w:rPr>
                <w:sz w:val="20"/>
                <w:szCs w:val="20"/>
                <w:color w:val="auto"/>
              </w:rPr>
            </w:pPr>
            <w:r>
              <w:rPr>
                <w:rFonts w:ascii="Arial" w:cs="Arial" w:eastAsia="Arial" w:hAnsi="Arial"/>
                <w:sz w:val="16"/>
                <w:szCs w:val="16"/>
                <w:i w:val="1"/>
                <w:iCs w:val="1"/>
                <w:color w:val="auto"/>
              </w:rPr>
              <w:t>(past Chairman and CEO,</w:t>
            </w:r>
          </w:p>
        </w:tc>
        <w:tc>
          <w:tcPr>
            <w:tcW w:w="3020" w:type="dxa"/>
            <w:vAlign w:val="bottom"/>
          </w:tcPr>
          <w:p>
            <w:pPr>
              <w:jc w:val="center"/>
              <w:spacing w:after="0"/>
              <w:rPr>
                <w:sz w:val="20"/>
                <w:szCs w:val="20"/>
                <w:color w:val="auto"/>
              </w:rPr>
            </w:pPr>
            <w:r>
              <w:rPr>
                <w:rFonts w:ascii="Arial" w:cs="Arial" w:eastAsia="Arial" w:hAnsi="Arial"/>
                <w:sz w:val="16"/>
                <w:szCs w:val="16"/>
                <w:i w:val="1"/>
                <w:iCs w:val="1"/>
                <w:color w:val="auto"/>
              </w:rPr>
              <w:t>(current Chairman, CEO</w:t>
            </w:r>
          </w:p>
        </w:tc>
        <w:tc>
          <w:tcPr>
            <w:tcW w:w="3000" w:type="dxa"/>
            <w:vAlign w:val="bottom"/>
          </w:tcPr>
          <w:p>
            <w:pPr>
              <w:jc w:val="center"/>
              <w:ind w:right="119"/>
              <w:spacing w:after="0"/>
              <w:rPr>
                <w:sz w:val="20"/>
                <w:szCs w:val="20"/>
                <w:color w:val="auto"/>
              </w:rPr>
            </w:pPr>
            <w:r>
              <w:rPr>
                <w:rFonts w:ascii="Arial" w:cs="Arial" w:eastAsia="Arial" w:hAnsi="Arial"/>
                <w:sz w:val="16"/>
                <w:szCs w:val="16"/>
                <w:i w:val="1"/>
                <w:iCs w:val="1"/>
                <w:color w:val="auto"/>
              </w:rPr>
              <w:t>(past acting CEO</w:t>
            </w:r>
          </w:p>
        </w:tc>
        <w:tc>
          <w:tcPr>
            <w:tcW w:w="2480" w:type="dxa"/>
            <w:vAlign w:val="bottom"/>
          </w:tcPr>
          <w:p>
            <w:pPr>
              <w:jc w:val="center"/>
              <w:spacing w:after="0"/>
              <w:rPr>
                <w:sz w:val="20"/>
                <w:szCs w:val="20"/>
                <w:color w:val="auto"/>
              </w:rPr>
            </w:pPr>
            <w:r>
              <w:rPr>
                <w:rFonts w:ascii="Arial" w:cs="Arial" w:eastAsia="Arial" w:hAnsi="Arial"/>
                <w:sz w:val="16"/>
                <w:szCs w:val="16"/>
                <w:i w:val="1"/>
                <w:iCs w:val="1"/>
                <w:color w:val="auto"/>
              </w:rPr>
              <w:t>(current CEO,</w:t>
            </w:r>
          </w:p>
        </w:tc>
      </w:tr>
      <w:tr>
        <w:trPr>
          <w:trHeight w:val="189"/>
        </w:trPr>
        <w:tc>
          <w:tcPr>
            <w:tcW w:w="2740" w:type="dxa"/>
            <w:vAlign w:val="bottom"/>
          </w:tcPr>
          <w:p>
            <w:pPr>
              <w:jc w:val="center"/>
              <w:ind w:right="59"/>
              <w:spacing w:after="0"/>
              <w:rPr>
                <w:sz w:val="20"/>
                <w:szCs w:val="20"/>
                <w:color w:val="auto"/>
              </w:rPr>
            </w:pPr>
            <w:r>
              <w:rPr>
                <w:rFonts w:ascii="Arial" w:cs="Arial" w:eastAsia="Arial" w:hAnsi="Arial"/>
                <w:sz w:val="16"/>
                <w:szCs w:val="16"/>
                <w:i w:val="1"/>
                <w:iCs w:val="1"/>
                <w:color w:val="auto"/>
              </w:rPr>
              <w:t>current CHRO and CLO, and</w:t>
            </w:r>
          </w:p>
        </w:tc>
        <w:tc>
          <w:tcPr>
            <w:tcW w:w="3020" w:type="dxa"/>
            <w:vAlign w:val="bottom"/>
          </w:tcPr>
          <w:p>
            <w:pPr>
              <w:jc w:val="center"/>
              <w:spacing w:after="0"/>
              <w:rPr>
                <w:sz w:val="20"/>
                <w:szCs w:val="20"/>
                <w:color w:val="auto"/>
              </w:rPr>
            </w:pPr>
            <w:r>
              <w:rPr>
                <w:rFonts w:ascii="Arial" w:cs="Arial" w:eastAsia="Arial" w:hAnsi="Arial"/>
                <w:sz w:val="16"/>
                <w:szCs w:val="16"/>
                <w:i w:val="1"/>
                <w:iCs w:val="1"/>
                <w:color w:val="auto"/>
              </w:rPr>
              <w:t>and CTO, and past Chairman,</w:t>
            </w:r>
          </w:p>
        </w:tc>
        <w:tc>
          <w:tcPr>
            <w:tcW w:w="3000" w:type="dxa"/>
            <w:vAlign w:val="bottom"/>
          </w:tcPr>
          <w:p>
            <w:pPr>
              <w:jc w:val="center"/>
              <w:ind w:right="119"/>
              <w:spacing w:after="0"/>
              <w:rPr>
                <w:sz w:val="20"/>
                <w:szCs w:val="20"/>
                <w:color w:val="auto"/>
              </w:rPr>
            </w:pPr>
            <w:r>
              <w:rPr>
                <w:rFonts w:ascii="Arial" w:cs="Arial" w:eastAsia="Arial" w:hAnsi="Arial"/>
                <w:sz w:val="16"/>
                <w:szCs w:val="16"/>
                <w:i w:val="1"/>
                <w:iCs w:val="1"/>
                <w:color w:val="auto"/>
              </w:rPr>
              <w:t>and CFO, and other senior</w:t>
            </w:r>
          </w:p>
        </w:tc>
        <w:tc>
          <w:tcPr>
            <w:tcW w:w="2480" w:type="dxa"/>
            <w:vAlign w:val="bottom"/>
          </w:tcPr>
          <w:p>
            <w:pPr>
              <w:jc w:val="center"/>
              <w:spacing w:after="0"/>
              <w:rPr>
                <w:sz w:val="20"/>
                <w:szCs w:val="20"/>
                <w:color w:val="auto"/>
              </w:rPr>
            </w:pPr>
            <w:r>
              <w:rPr>
                <w:rFonts w:ascii="Arial" w:cs="Arial" w:eastAsia="Arial" w:hAnsi="Arial"/>
                <w:sz w:val="16"/>
                <w:szCs w:val="16"/>
                <w:i w:val="1"/>
                <w:iCs w:val="1"/>
                <w:color w:val="auto"/>
              </w:rPr>
              <w:t>CFO and CHRO)</w:t>
            </w:r>
          </w:p>
        </w:tc>
      </w:tr>
      <w:tr>
        <w:trPr>
          <w:trHeight w:val="213"/>
        </w:trPr>
        <w:tc>
          <w:tcPr>
            <w:tcW w:w="2740" w:type="dxa"/>
            <w:vAlign w:val="bottom"/>
          </w:tcPr>
          <w:p>
            <w:pPr>
              <w:jc w:val="center"/>
              <w:ind w:right="59"/>
              <w:spacing w:after="0"/>
              <w:rPr>
                <w:sz w:val="20"/>
                <w:szCs w:val="20"/>
                <w:color w:val="auto"/>
              </w:rPr>
            </w:pPr>
            <w:r>
              <w:rPr>
                <w:rFonts w:ascii="Arial" w:cs="Arial" w:eastAsia="Arial" w:hAnsi="Arial"/>
                <w:sz w:val="16"/>
                <w:szCs w:val="16"/>
                <w:i w:val="1"/>
                <w:iCs w:val="1"/>
                <w:color w:val="auto"/>
              </w:rPr>
              <w:t>other senior executives)</w:t>
            </w:r>
          </w:p>
        </w:tc>
        <w:tc>
          <w:tcPr>
            <w:tcW w:w="3020" w:type="dxa"/>
            <w:vAlign w:val="bottom"/>
          </w:tcPr>
          <w:p>
            <w:pPr>
              <w:jc w:val="center"/>
              <w:spacing w:after="0"/>
              <w:rPr>
                <w:sz w:val="20"/>
                <w:szCs w:val="20"/>
                <w:color w:val="auto"/>
              </w:rPr>
            </w:pPr>
            <w:r>
              <w:rPr>
                <w:rFonts w:ascii="Arial" w:cs="Arial" w:eastAsia="Arial" w:hAnsi="Arial"/>
                <w:sz w:val="16"/>
                <w:szCs w:val="16"/>
                <w:i w:val="1"/>
                <w:iCs w:val="1"/>
                <w:color w:val="auto"/>
              </w:rPr>
              <w:t>CEO and CHRO)</w:t>
            </w:r>
          </w:p>
        </w:tc>
        <w:tc>
          <w:tcPr>
            <w:tcW w:w="3000" w:type="dxa"/>
            <w:vAlign w:val="bottom"/>
          </w:tcPr>
          <w:p>
            <w:pPr>
              <w:jc w:val="center"/>
              <w:ind w:right="139"/>
              <w:spacing w:after="0"/>
              <w:rPr>
                <w:sz w:val="20"/>
                <w:szCs w:val="20"/>
                <w:color w:val="auto"/>
              </w:rPr>
            </w:pPr>
            <w:r>
              <w:rPr>
                <w:rFonts w:ascii="Arial" w:cs="Arial" w:eastAsia="Arial" w:hAnsi="Arial"/>
                <w:sz w:val="16"/>
                <w:szCs w:val="16"/>
                <w:i w:val="1"/>
                <w:iCs w:val="1"/>
                <w:color w:val="auto"/>
              </w:rPr>
              <w:t>executives)</w:t>
            </w:r>
          </w:p>
        </w:tc>
        <w:tc>
          <w:tcPr>
            <w:tcW w:w="24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9525</wp:posOffset>
            </wp:positionV>
            <wp:extent cx="17145" cy="17145"/>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9525</wp:posOffset>
            </wp:positionV>
            <wp:extent cx="17145" cy="17145"/>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9525</wp:posOffset>
            </wp:positionV>
            <wp:extent cx="17145" cy="17145"/>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9525</wp:posOffset>
            </wp:positionV>
            <wp:extent cx="17145" cy="17145"/>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9525</wp:posOffset>
            </wp:positionV>
            <wp:extent cx="17145" cy="17145"/>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9525</wp:posOffset>
            </wp:positionV>
            <wp:extent cx="17145" cy="17145"/>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9525</wp:posOffset>
            </wp:positionV>
            <wp:extent cx="17145" cy="17145"/>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9525</wp:posOffset>
            </wp:positionV>
            <wp:extent cx="17145" cy="17145"/>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9525</wp:posOffset>
            </wp:positionV>
            <wp:extent cx="17145" cy="17145"/>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9525</wp:posOffset>
            </wp:positionV>
            <wp:extent cx="17145" cy="17145"/>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9525</wp:posOffset>
            </wp:positionV>
            <wp:extent cx="17145" cy="17145"/>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9525</wp:posOffset>
            </wp:positionV>
            <wp:extent cx="17145" cy="17145"/>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9525</wp:posOffset>
            </wp:positionV>
            <wp:extent cx="17145" cy="17145"/>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9525</wp:posOffset>
            </wp:positionV>
            <wp:extent cx="17145" cy="17145"/>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9525</wp:posOffset>
            </wp:positionV>
            <wp:extent cx="17145" cy="17145"/>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9525</wp:posOffset>
            </wp:positionV>
            <wp:extent cx="17145" cy="17145"/>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9525</wp:posOffset>
            </wp:positionV>
            <wp:extent cx="17145" cy="17145"/>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9525</wp:posOffset>
            </wp:positionV>
            <wp:extent cx="17145" cy="17145"/>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9525</wp:posOffset>
            </wp:positionV>
            <wp:extent cx="17145" cy="17145"/>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9525</wp:posOffset>
            </wp:positionV>
            <wp:extent cx="17145" cy="17145"/>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9525</wp:posOffset>
            </wp:positionV>
            <wp:extent cx="17145" cy="17145"/>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9525</wp:posOffset>
            </wp:positionV>
            <wp:extent cx="17145" cy="17145"/>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9525</wp:posOffset>
            </wp:positionV>
            <wp:extent cx="17145" cy="17145"/>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9525</wp:posOffset>
            </wp:positionV>
            <wp:extent cx="17145" cy="17145"/>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9525</wp:posOffset>
            </wp:positionV>
            <wp:extent cx="17145" cy="17145"/>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9525</wp:posOffset>
            </wp:positionV>
            <wp:extent cx="17145" cy="17145"/>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9525</wp:posOffset>
            </wp:positionV>
            <wp:extent cx="17145" cy="17145"/>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9525</wp:posOffset>
            </wp:positionV>
            <wp:extent cx="17145" cy="17145"/>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9525</wp:posOffset>
            </wp:positionV>
            <wp:extent cx="17145" cy="17145"/>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9525</wp:posOffset>
            </wp:positionV>
            <wp:extent cx="17145" cy="17145"/>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9525</wp:posOffset>
            </wp:positionV>
            <wp:extent cx="17145" cy="17145"/>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9525</wp:posOffset>
            </wp:positionV>
            <wp:extent cx="17145" cy="17145"/>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9525</wp:posOffset>
            </wp:positionV>
            <wp:extent cx="17145" cy="17145"/>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9525</wp:posOffset>
            </wp:positionV>
            <wp:extent cx="17145" cy="17145"/>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9525</wp:posOffset>
            </wp:positionV>
            <wp:extent cx="17145" cy="17145"/>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9525</wp:posOffset>
            </wp:positionV>
            <wp:extent cx="17145" cy="17145"/>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9525</wp:posOffset>
            </wp:positionV>
            <wp:extent cx="17145" cy="17145"/>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9525</wp:posOffset>
            </wp:positionV>
            <wp:extent cx="17145" cy="17145"/>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9525</wp:posOffset>
            </wp:positionV>
            <wp:extent cx="17145" cy="17145"/>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9525</wp:posOffset>
            </wp:positionV>
            <wp:extent cx="17145" cy="17145"/>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9525</wp:posOffset>
            </wp:positionV>
            <wp:extent cx="17145" cy="17145"/>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9525</wp:posOffset>
            </wp:positionV>
            <wp:extent cx="17145" cy="17145"/>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9525</wp:posOffset>
            </wp:positionV>
            <wp:extent cx="17145" cy="17145"/>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4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9525</wp:posOffset>
            </wp:positionV>
            <wp:extent cx="17145" cy="17145"/>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9525</wp:posOffset>
            </wp:positionV>
            <wp:extent cx="17145" cy="17145"/>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wp:posOffset>
            </wp:positionV>
            <wp:extent cx="5580380" cy="17145"/>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2">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gridSpan w:val="2"/>
            <w:shd w:val="clear" w:color="auto" w:fill="E0E2EA"/>
          </w:tcPr>
          <w:p>
            <w:pPr>
              <w:jc w:val="center"/>
              <w:spacing w:after="0"/>
              <w:rPr>
                <w:sz w:val="20"/>
                <w:szCs w:val="20"/>
                <w:color w:val="auto"/>
              </w:rPr>
            </w:pPr>
            <w:r>
              <w:rPr>
                <w:rFonts w:ascii="Arial" w:cs="Arial" w:eastAsia="Arial" w:hAnsi="Arial"/>
                <w:sz w:val="16"/>
                <w:szCs w:val="16"/>
                <w:b w:val="1"/>
                <w:bCs w:val="1"/>
                <w:color w:val="auto"/>
              </w:rPr>
              <w:t>Engie</w:t>
            </w:r>
          </w:p>
        </w:tc>
        <w:tc>
          <w:tcPr>
            <w:tcW w:w="680" w:type="dxa"/>
            <w:vAlign w:val="bottom"/>
            <w:shd w:val="clear" w:color="auto" w:fill="E0E2EA"/>
          </w:tcPr>
          <w:p>
            <w:pPr>
              <w:spacing w:after="0"/>
              <w:rPr>
                <w:sz w:val="19"/>
                <w:szCs w:val="19"/>
                <w:color w:val="auto"/>
              </w:rPr>
            </w:pPr>
          </w:p>
        </w:tc>
        <w:tc>
          <w:tcPr>
            <w:tcW w:w="2840" w:type="dxa"/>
            <w:vAlign w:val="bottom"/>
            <w:gridSpan w:val="4"/>
            <w:shd w:val="clear" w:color="auto" w:fill="E0E2EA"/>
          </w:tcPr>
          <w:p>
            <w:pPr>
              <w:jc w:val="center"/>
              <w:ind w:right="940"/>
              <w:spacing w:after="0"/>
              <w:rPr>
                <w:sz w:val="20"/>
                <w:szCs w:val="20"/>
                <w:color w:val="auto"/>
              </w:rPr>
            </w:pPr>
            <w:r>
              <w:rPr>
                <w:rFonts w:ascii="Arial" w:cs="Arial" w:eastAsia="Arial" w:hAnsi="Arial"/>
                <w:sz w:val="16"/>
                <w:szCs w:val="16"/>
                <w:b w:val="1"/>
                <w:bCs w:val="1"/>
                <w:color w:val="auto"/>
              </w:rPr>
              <w:t>Bureau Veritas</w:t>
            </w:r>
          </w:p>
        </w:tc>
        <w:tc>
          <w:tcPr>
            <w:tcW w:w="1700" w:type="dxa"/>
            <w:vAlign w:val="bottom"/>
            <w:shd w:val="clear" w:color="auto" w:fill="E0E2EA"/>
          </w:tcPr>
          <w:p>
            <w:pPr>
              <w:jc w:val="center"/>
              <w:ind w:left="299"/>
              <w:spacing w:after="0"/>
              <w:rPr>
                <w:sz w:val="20"/>
                <w:szCs w:val="20"/>
                <w:color w:val="auto"/>
              </w:rPr>
            </w:pPr>
            <w:r>
              <w:rPr>
                <w:rFonts w:ascii="Arial" w:cs="Arial" w:eastAsia="Arial" w:hAnsi="Arial"/>
                <w:sz w:val="16"/>
                <w:szCs w:val="16"/>
                <w:b w:val="1"/>
                <w:bCs w:val="1"/>
                <w:color w:val="auto"/>
                <w:w w:val="98"/>
              </w:rPr>
              <w:t>CGG</w:t>
            </w:r>
          </w:p>
        </w:tc>
        <w:tc>
          <w:tcPr>
            <w:tcW w:w="240" w:type="dxa"/>
            <w:vAlign w:val="bottom"/>
            <w:shd w:val="clear" w:color="auto" w:fill="E0E2EA"/>
          </w:tcPr>
          <w:p>
            <w:pPr>
              <w:spacing w:after="0"/>
              <w:rPr>
                <w:sz w:val="19"/>
                <w:szCs w:val="19"/>
                <w:color w:val="auto"/>
              </w:rPr>
            </w:pPr>
          </w:p>
        </w:tc>
        <w:tc>
          <w:tcPr>
            <w:tcW w:w="500" w:type="dxa"/>
            <w:vAlign w:val="bottom"/>
            <w:shd w:val="clear" w:color="auto" w:fill="E0E2EA"/>
          </w:tcPr>
          <w:p>
            <w:pPr>
              <w:spacing w:after="0"/>
              <w:rPr>
                <w:sz w:val="19"/>
                <w:szCs w:val="19"/>
                <w:color w:val="auto"/>
              </w:rPr>
            </w:pPr>
          </w:p>
        </w:tc>
        <w:tc>
          <w:tcPr>
            <w:tcW w:w="2680" w:type="dxa"/>
            <w:vAlign w:val="bottom"/>
            <w:gridSpan w:val="2"/>
            <w:shd w:val="clear" w:color="auto" w:fill="E0E2EA"/>
          </w:tcPr>
          <w:p>
            <w:pPr>
              <w:jc w:val="center"/>
              <w:ind w:left="139"/>
              <w:spacing w:after="0"/>
              <w:rPr>
                <w:sz w:val="20"/>
                <w:szCs w:val="20"/>
                <w:color w:val="auto"/>
              </w:rPr>
            </w:pPr>
            <w:r>
              <w:rPr>
                <w:rFonts w:ascii="Arial" w:cs="Arial" w:eastAsia="Arial" w:hAnsi="Arial"/>
                <w:sz w:val="16"/>
                <w:szCs w:val="16"/>
                <w:b w:val="1"/>
                <w:bCs w:val="1"/>
                <w:color w:val="auto"/>
              </w:rPr>
              <w:t>BG Group</w:t>
            </w: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E0E2EA"/>
          </w:tcPr>
          <w:p>
            <w:pPr>
              <w:jc w:val="center"/>
              <w:spacing w:after="0"/>
              <w:rPr>
                <w:sz w:val="20"/>
                <w:szCs w:val="20"/>
                <w:color w:val="auto"/>
              </w:rPr>
            </w:pPr>
            <w:r>
              <w:rPr>
                <w:rFonts w:ascii="Arial" w:cs="Arial" w:eastAsia="Arial" w:hAnsi="Arial"/>
                <w:sz w:val="16"/>
                <w:szCs w:val="16"/>
                <w:i w:val="1"/>
                <w:iCs w:val="1"/>
                <w:color w:val="auto"/>
              </w:rPr>
              <w:t>(current CEO)</w:t>
            </w:r>
          </w:p>
        </w:tc>
        <w:tc>
          <w:tcPr>
            <w:tcW w:w="680" w:type="dxa"/>
            <w:vAlign w:val="bottom"/>
            <w:shd w:val="clear" w:color="auto" w:fill="E0E2EA"/>
          </w:tcPr>
          <w:p>
            <w:pPr>
              <w:spacing w:after="0"/>
              <w:rPr>
                <w:sz w:val="18"/>
                <w:szCs w:val="18"/>
                <w:color w:val="auto"/>
              </w:rPr>
            </w:pPr>
          </w:p>
        </w:tc>
        <w:tc>
          <w:tcPr>
            <w:tcW w:w="2840" w:type="dxa"/>
            <w:vAlign w:val="bottom"/>
            <w:gridSpan w:val="4"/>
            <w:shd w:val="clear" w:color="auto" w:fill="E0E2EA"/>
          </w:tcPr>
          <w:p>
            <w:pPr>
              <w:jc w:val="center"/>
              <w:ind w:right="940"/>
              <w:spacing w:after="0"/>
              <w:rPr>
                <w:sz w:val="20"/>
                <w:szCs w:val="20"/>
                <w:color w:val="auto"/>
              </w:rPr>
            </w:pPr>
            <w:r>
              <w:rPr>
                <w:rFonts w:ascii="Arial" w:cs="Arial" w:eastAsia="Arial" w:hAnsi="Arial"/>
                <w:sz w:val="16"/>
                <w:szCs w:val="16"/>
                <w:i w:val="1"/>
                <w:iCs w:val="1"/>
                <w:color w:val="auto"/>
              </w:rPr>
              <w:t>(current CEO)</w:t>
            </w:r>
          </w:p>
        </w:tc>
        <w:tc>
          <w:tcPr>
            <w:tcW w:w="1940" w:type="dxa"/>
            <w:vAlign w:val="bottom"/>
            <w:gridSpan w:val="2"/>
            <w:shd w:val="clear" w:color="auto" w:fill="E0E2EA"/>
          </w:tcPr>
          <w:p>
            <w:pPr>
              <w:jc w:val="center"/>
              <w:ind w:left="59"/>
              <w:spacing w:after="0"/>
              <w:rPr>
                <w:sz w:val="20"/>
                <w:szCs w:val="20"/>
                <w:color w:val="auto"/>
              </w:rPr>
            </w:pPr>
            <w:r>
              <w:rPr>
                <w:rFonts w:ascii="Arial" w:cs="Arial" w:eastAsia="Arial" w:hAnsi="Arial"/>
                <w:sz w:val="16"/>
                <w:szCs w:val="16"/>
                <w:i w:val="1"/>
                <w:iCs w:val="1"/>
                <w:color w:val="auto"/>
              </w:rPr>
              <w:t>(current CEO and CFO)</w:t>
            </w:r>
          </w:p>
        </w:tc>
        <w:tc>
          <w:tcPr>
            <w:tcW w:w="500" w:type="dxa"/>
            <w:vAlign w:val="bottom"/>
            <w:shd w:val="clear" w:color="auto" w:fill="E0E2EA"/>
          </w:tcPr>
          <w:p>
            <w:pPr>
              <w:spacing w:after="0"/>
              <w:rPr>
                <w:sz w:val="18"/>
                <w:szCs w:val="18"/>
                <w:color w:val="auto"/>
              </w:rPr>
            </w:pPr>
          </w:p>
        </w:tc>
        <w:tc>
          <w:tcPr>
            <w:tcW w:w="2680" w:type="dxa"/>
            <w:vAlign w:val="bottom"/>
            <w:gridSpan w:val="2"/>
            <w:shd w:val="clear" w:color="auto" w:fill="E0E2EA"/>
          </w:tcPr>
          <w:p>
            <w:pPr>
              <w:jc w:val="center"/>
              <w:ind w:left="139"/>
              <w:spacing w:after="0"/>
              <w:rPr>
                <w:sz w:val="20"/>
                <w:szCs w:val="20"/>
                <w:color w:val="auto"/>
              </w:rPr>
            </w:pPr>
            <w:r>
              <w:rPr>
                <w:rFonts w:ascii="Arial" w:cs="Arial" w:eastAsia="Arial" w:hAnsi="Arial"/>
                <w:sz w:val="16"/>
                <w:szCs w:val="16"/>
                <w:i w:val="1"/>
                <w:iCs w:val="1"/>
                <w:color w:val="auto"/>
              </w:rPr>
              <w:t>(past Chairman and COO)</w:t>
            </w:r>
          </w:p>
        </w:tc>
        <w:tc>
          <w:tcPr>
            <w:tcW w:w="0" w:type="dxa"/>
            <w:vAlign w:val="bottom"/>
          </w:tcPr>
          <w:p>
            <w:pPr>
              <w:spacing w:after="0"/>
              <w:rPr>
                <w:sz w:val="1"/>
                <w:szCs w:val="1"/>
                <w:color w:val="auto"/>
              </w:rPr>
            </w:pPr>
          </w:p>
        </w:tc>
      </w:tr>
      <w:tr>
        <w:trPr>
          <w:trHeight w:val="244"/>
        </w:trPr>
        <w:tc>
          <w:tcPr>
            <w:tcW w:w="2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ConocoPhillips*</w:t>
            </w: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300" w:type="dxa"/>
            <w:vAlign w:val="bottom"/>
            <w:gridSpan w:val="3"/>
          </w:tcPr>
          <w:p>
            <w:pPr>
              <w:jc w:val="center"/>
              <w:ind w:right="1460"/>
              <w:spacing w:after="0"/>
              <w:rPr>
                <w:sz w:val="20"/>
                <w:szCs w:val="20"/>
                <w:color w:val="auto"/>
              </w:rPr>
            </w:pPr>
            <w:r>
              <w:rPr>
                <w:rFonts w:ascii="Arial" w:cs="Arial" w:eastAsia="Arial" w:hAnsi="Arial"/>
                <w:sz w:val="16"/>
                <w:szCs w:val="16"/>
                <w:b w:val="1"/>
                <w:bCs w:val="1"/>
                <w:color w:val="auto"/>
              </w:rPr>
              <w:t>YPF</w:t>
            </w:r>
          </w:p>
        </w:tc>
        <w:tc>
          <w:tcPr>
            <w:tcW w:w="1700" w:type="dxa"/>
            <w:vAlign w:val="bottom"/>
          </w:tcPr>
          <w:p>
            <w:pPr>
              <w:jc w:val="center"/>
              <w:ind w:left="299"/>
              <w:spacing w:after="0"/>
              <w:rPr>
                <w:sz w:val="20"/>
                <w:szCs w:val="20"/>
                <w:color w:val="auto"/>
              </w:rPr>
            </w:pPr>
            <w:r>
              <w:rPr>
                <w:rFonts w:ascii="Arial" w:cs="Arial" w:eastAsia="Arial" w:hAnsi="Arial"/>
                <w:sz w:val="16"/>
                <w:szCs w:val="16"/>
                <w:b w:val="1"/>
                <w:bCs w:val="1"/>
                <w:color w:val="auto"/>
              </w:rPr>
              <w:t>Kuwait Airlines</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80" w:type="dxa"/>
            <w:vAlign w:val="bottom"/>
            <w:gridSpan w:val="2"/>
          </w:tcPr>
          <w:p>
            <w:pPr>
              <w:jc w:val="center"/>
              <w:ind w:left="139"/>
              <w:spacing w:after="0"/>
              <w:rPr>
                <w:sz w:val="20"/>
                <w:szCs w:val="20"/>
                <w:color w:val="auto"/>
              </w:rPr>
            </w:pPr>
            <w:r>
              <w:rPr>
                <w:rFonts w:ascii="Arial" w:cs="Arial" w:eastAsia="Arial" w:hAnsi="Arial"/>
                <w:sz w:val="16"/>
                <w:szCs w:val="16"/>
                <w:b w:val="1"/>
                <w:bCs w:val="1"/>
                <w:color w:val="auto"/>
              </w:rPr>
              <w:t>Technip Energies</w:t>
            </w:r>
          </w:p>
        </w:tc>
        <w:tc>
          <w:tcPr>
            <w:tcW w:w="0" w:type="dxa"/>
            <w:vAlign w:val="bottom"/>
          </w:tcPr>
          <w:p>
            <w:pPr>
              <w:spacing w:after="0"/>
              <w:rPr>
                <w:sz w:val="1"/>
                <w:szCs w:val="1"/>
                <w:color w:val="auto"/>
              </w:rPr>
            </w:pPr>
          </w:p>
        </w:tc>
      </w:tr>
      <w:tr>
        <w:trPr>
          <w:trHeight w:val="189"/>
        </w:trPr>
        <w:tc>
          <w:tcPr>
            <w:tcW w:w="2600" w:type="dxa"/>
            <w:vAlign w:val="bottom"/>
            <w:gridSpan w:val="2"/>
          </w:tcPr>
          <w:p>
            <w:pPr>
              <w:jc w:val="center"/>
              <w:spacing w:after="0"/>
              <w:rPr>
                <w:sz w:val="20"/>
                <w:szCs w:val="20"/>
                <w:color w:val="auto"/>
              </w:rPr>
            </w:pPr>
            <w:r>
              <w:rPr>
                <w:rFonts w:ascii="Arial" w:cs="Arial" w:eastAsia="Arial" w:hAnsi="Arial"/>
                <w:sz w:val="16"/>
                <w:szCs w:val="16"/>
                <w:i w:val="1"/>
                <w:iCs w:val="1"/>
                <w:color w:val="auto"/>
              </w:rPr>
              <w:t>(past CTO)</w:t>
            </w:r>
          </w:p>
        </w:tc>
        <w:tc>
          <w:tcPr>
            <w:tcW w:w="680" w:type="dxa"/>
            <w:vAlign w:val="bottom"/>
          </w:tcPr>
          <w:p>
            <w:pPr>
              <w:spacing w:after="0"/>
              <w:rPr>
                <w:sz w:val="16"/>
                <w:szCs w:val="16"/>
                <w:color w:val="auto"/>
              </w:rPr>
            </w:pPr>
          </w:p>
        </w:tc>
        <w:tc>
          <w:tcPr>
            <w:tcW w:w="2840" w:type="dxa"/>
            <w:vAlign w:val="bottom"/>
            <w:gridSpan w:val="4"/>
          </w:tcPr>
          <w:p>
            <w:pPr>
              <w:jc w:val="center"/>
              <w:ind w:right="940"/>
              <w:spacing w:after="0"/>
              <w:rPr>
                <w:sz w:val="20"/>
                <w:szCs w:val="20"/>
                <w:color w:val="auto"/>
              </w:rPr>
            </w:pPr>
            <w:r>
              <w:rPr>
                <w:rFonts w:ascii="Arial" w:cs="Arial" w:eastAsia="Arial" w:hAnsi="Arial"/>
                <w:sz w:val="16"/>
                <w:szCs w:val="16"/>
                <w:i w:val="1"/>
                <w:iCs w:val="1"/>
                <w:color w:val="auto"/>
              </w:rPr>
              <w:t>(past CEO)</w:t>
            </w:r>
          </w:p>
        </w:tc>
        <w:tc>
          <w:tcPr>
            <w:tcW w:w="1700" w:type="dxa"/>
            <w:vAlign w:val="bottom"/>
          </w:tcPr>
          <w:p>
            <w:pPr>
              <w:jc w:val="center"/>
              <w:ind w:left="299"/>
              <w:spacing w:after="0"/>
              <w:rPr>
                <w:sz w:val="20"/>
                <w:szCs w:val="20"/>
                <w:color w:val="auto"/>
              </w:rPr>
            </w:pPr>
            <w:r>
              <w:rPr>
                <w:rFonts w:ascii="Arial" w:cs="Arial" w:eastAsia="Arial" w:hAnsi="Arial"/>
                <w:sz w:val="16"/>
                <w:szCs w:val="16"/>
                <w:i w:val="1"/>
                <w:iCs w:val="1"/>
                <w:color w:val="auto"/>
              </w:rPr>
              <w:t>(current CEO)</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80" w:type="dxa"/>
            <w:vAlign w:val="bottom"/>
            <w:gridSpan w:val="2"/>
          </w:tcPr>
          <w:p>
            <w:pPr>
              <w:jc w:val="center"/>
              <w:ind w:left="119"/>
              <w:spacing w:after="0"/>
              <w:rPr>
                <w:sz w:val="20"/>
                <w:szCs w:val="20"/>
                <w:color w:val="auto"/>
              </w:rPr>
            </w:pPr>
            <w:r>
              <w:rPr>
                <w:rFonts w:ascii="Arial" w:cs="Arial" w:eastAsia="Arial" w:hAnsi="Arial"/>
                <w:sz w:val="16"/>
                <w:szCs w:val="16"/>
                <w:i w:val="1"/>
                <w:iCs w:val="1"/>
                <w:color w:val="auto"/>
              </w:rPr>
              <w:t>(current CLO and other senior</w:t>
            </w: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80" w:type="dxa"/>
            <w:vAlign w:val="bottom"/>
            <w:gridSpan w:val="2"/>
          </w:tcPr>
          <w:p>
            <w:pPr>
              <w:jc w:val="center"/>
              <w:ind w:left="139"/>
              <w:spacing w:after="0"/>
              <w:rPr>
                <w:sz w:val="20"/>
                <w:szCs w:val="20"/>
                <w:color w:val="auto"/>
              </w:rPr>
            </w:pPr>
            <w:r>
              <w:rPr>
                <w:rFonts w:ascii="Arial" w:cs="Arial" w:eastAsia="Arial" w:hAnsi="Arial"/>
                <w:sz w:val="16"/>
                <w:szCs w:val="16"/>
                <w:i w:val="1"/>
                <w:iCs w:val="1"/>
                <w:color w:val="auto"/>
              </w:rPr>
              <w:t>executives)</w:t>
            </w:r>
          </w:p>
        </w:tc>
        <w:tc>
          <w:tcPr>
            <w:tcW w:w="0" w:type="dxa"/>
            <w:vAlign w:val="bottom"/>
          </w:tcPr>
          <w:p>
            <w:pPr>
              <w:spacing w:after="0"/>
              <w:rPr>
                <w:sz w:val="1"/>
                <w:szCs w:val="1"/>
                <w:color w:val="auto"/>
              </w:rPr>
            </w:pPr>
          </w:p>
        </w:tc>
      </w:tr>
      <w:tr>
        <w:trPr>
          <w:trHeight w:val="29"/>
        </w:trPr>
        <w:tc>
          <w:tcPr>
            <w:tcW w:w="1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00" w:type="dxa"/>
            <w:vAlign w:val="bottom"/>
            <w:gridSpan w:val="2"/>
            <w:shd w:val="clear" w:color="auto" w:fill="E0E2EA"/>
          </w:tcPr>
          <w:p>
            <w:pPr>
              <w:jc w:val="center"/>
              <w:spacing w:after="0"/>
              <w:rPr>
                <w:sz w:val="20"/>
                <w:szCs w:val="20"/>
                <w:color w:val="auto"/>
              </w:rPr>
            </w:pPr>
            <w:r>
              <w:rPr>
                <w:rFonts w:ascii="Arial" w:cs="Arial" w:eastAsia="Arial" w:hAnsi="Arial"/>
                <w:sz w:val="16"/>
                <w:szCs w:val="16"/>
                <w:b w:val="1"/>
                <w:bCs w:val="1"/>
                <w:color w:val="auto"/>
              </w:rPr>
              <w:t>Patterson-UTI Energy</w:t>
            </w:r>
          </w:p>
        </w:tc>
        <w:tc>
          <w:tcPr>
            <w:tcW w:w="680" w:type="dxa"/>
            <w:vAlign w:val="bottom"/>
            <w:shd w:val="clear" w:color="auto" w:fill="E0E2EA"/>
          </w:tcPr>
          <w:p>
            <w:pPr>
              <w:spacing w:after="0"/>
              <w:rPr>
                <w:sz w:val="19"/>
                <w:szCs w:val="19"/>
                <w:color w:val="auto"/>
              </w:rPr>
            </w:pPr>
          </w:p>
        </w:tc>
        <w:tc>
          <w:tcPr>
            <w:tcW w:w="540" w:type="dxa"/>
            <w:vAlign w:val="bottom"/>
            <w:shd w:val="clear" w:color="auto" w:fill="E0E2EA"/>
          </w:tcPr>
          <w:p>
            <w:pPr>
              <w:spacing w:after="0"/>
              <w:rPr>
                <w:sz w:val="19"/>
                <w:szCs w:val="19"/>
                <w:color w:val="auto"/>
              </w:rPr>
            </w:pPr>
          </w:p>
        </w:tc>
        <w:tc>
          <w:tcPr>
            <w:tcW w:w="2300" w:type="dxa"/>
            <w:vAlign w:val="bottom"/>
            <w:gridSpan w:val="3"/>
            <w:shd w:val="clear" w:color="auto" w:fill="E0E2EA"/>
          </w:tcPr>
          <w:p>
            <w:pPr>
              <w:jc w:val="center"/>
              <w:ind w:right="1480"/>
              <w:spacing w:after="0"/>
              <w:rPr>
                <w:sz w:val="20"/>
                <w:szCs w:val="20"/>
                <w:color w:val="auto"/>
              </w:rPr>
            </w:pPr>
            <w:r>
              <w:rPr>
                <w:rFonts w:ascii="Arial" w:cs="Arial" w:eastAsia="Arial" w:hAnsi="Arial"/>
                <w:sz w:val="16"/>
                <w:szCs w:val="16"/>
                <w:b w:val="1"/>
                <w:bCs w:val="1"/>
                <w:color w:val="auto"/>
              </w:rPr>
              <w:t>NESR</w:t>
            </w:r>
          </w:p>
        </w:tc>
        <w:tc>
          <w:tcPr>
            <w:tcW w:w="1700" w:type="dxa"/>
            <w:vAlign w:val="bottom"/>
            <w:shd w:val="clear" w:color="auto" w:fill="E0E2EA"/>
          </w:tcPr>
          <w:p>
            <w:pPr>
              <w:jc w:val="center"/>
              <w:ind w:left="279"/>
              <w:spacing w:after="0"/>
              <w:rPr>
                <w:sz w:val="20"/>
                <w:szCs w:val="20"/>
                <w:color w:val="auto"/>
              </w:rPr>
            </w:pPr>
            <w:r>
              <w:rPr>
                <w:rFonts w:ascii="Arial" w:cs="Arial" w:eastAsia="Arial" w:hAnsi="Arial"/>
                <w:sz w:val="16"/>
                <w:szCs w:val="16"/>
                <w:b w:val="1"/>
                <w:bCs w:val="1"/>
                <w:color w:val="auto"/>
              </w:rPr>
              <w:t>Lufkin Industries</w:t>
            </w:r>
          </w:p>
        </w:tc>
        <w:tc>
          <w:tcPr>
            <w:tcW w:w="240" w:type="dxa"/>
            <w:vAlign w:val="bottom"/>
            <w:shd w:val="clear" w:color="auto" w:fill="E0E2EA"/>
          </w:tcPr>
          <w:p>
            <w:pPr>
              <w:spacing w:after="0"/>
              <w:rPr>
                <w:sz w:val="19"/>
                <w:szCs w:val="19"/>
                <w:color w:val="auto"/>
              </w:rPr>
            </w:pPr>
          </w:p>
        </w:tc>
        <w:tc>
          <w:tcPr>
            <w:tcW w:w="500" w:type="dxa"/>
            <w:vAlign w:val="bottom"/>
            <w:shd w:val="clear" w:color="auto" w:fill="E0E2EA"/>
          </w:tcPr>
          <w:p>
            <w:pPr>
              <w:spacing w:after="0"/>
              <w:rPr>
                <w:sz w:val="19"/>
                <w:szCs w:val="19"/>
                <w:color w:val="auto"/>
              </w:rPr>
            </w:pPr>
          </w:p>
        </w:tc>
        <w:tc>
          <w:tcPr>
            <w:tcW w:w="2680" w:type="dxa"/>
            <w:vAlign w:val="bottom"/>
            <w:gridSpan w:val="2"/>
            <w:shd w:val="clear" w:color="auto" w:fill="E0E2EA"/>
          </w:tcPr>
          <w:p>
            <w:pPr>
              <w:jc w:val="center"/>
              <w:ind w:left="139"/>
              <w:spacing w:after="0"/>
              <w:rPr>
                <w:sz w:val="20"/>
                <w:szCs w:val="20"/>
                <w:color w:val="auto"/>
              </w:rPr>
            </w:pPr>
            <w:r>
              <w:rPr>
                <w:rFonts w:ascii="Arial" w:cs="Arial" w:eastAsia="Arial" w:hAnsi="Arial"/>
                <w:sz w:val="16"/>
                <w:szCs w:val="16"/>
                <w:b w:val="1"/>
                <w:bCs w:val="1"/>
                <w:color w:val="auto"/>
              </w:rPr>
              <w:t>Nexans</w:t>
            </w: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E0E2EA"/>
          </w:tcPr>
          <w:p>
            <w:pPr>
              <w:jc w:val="center"/>
              <w:spacing w:after="0"/>
              <w:rPr>
                <w:sz w:val="20"/>
                <w:szCs w:val="20"/>
                <w:color w:val="auto"/>
              </w:rPr>
            </w:pPr>
            <w:r>
              <w:rPr>
                <w:rFonts w:ascii="Arial" w:cs="Arial" w:eastAsia="Arial" w:hAnsi="Arial"/>
                <w:sz w:val="16"/>
                <w:szCs w:val="16"/>
                <w:i w:val="1"/>
                <w:iCs w:val="1"/>
                <w:color w:val="auto"/>
              </w:rPr>
              <w:t>(current CEO)</w:t>
            </w:r>
          </w:p>
        </w:tc>
        <w:tc>
          <w:tcPr>
            <w:tcW w:w="3520" w:type="dxa"/>
            <w:vAlign w:val="bottom"/>
            <w:gridSpan w:val="5"/>
            <w:shd w:val="clear" w:color="auto" w:fill="E0E2EA"/>
          </w:tcPr>
          <w:p>
            <w:pPr>
              <w:jc w:val="center"/>
              <w:ind w:right="260"/>
              <w:spacing w:after="0"/>
              <w:rPr>
                <w:sz w:val="20"/>
                <w:szCs w:val="20"/>
                <w:color w:val="auto"/>
              </w:rPr>
            </w:pPr>
            <w:r>
              <w:rPr>
                <w:rFonts w:ascii="Arial" w:cs="Arial" w:eastAsia="Arial" w:hAnsi="Arial"/>
                <w:sz w:val="16"/>
                <w:szCs w:val="16"/>
                <w:i w:val="1"/>
                <w:iCs w:val="1"/>
                <w:color w:val="auto"/>
              </w:rPr>
              <w:t>(current CEO, CFO and COO)</w:t>
            </w:r>
          </w:p>
        </w:tc>
        <w:tc>
          <w:tcPr>
            <w:tcW w:w="1700" w:type="dxa"/>
            <w:vAlign w:val="bottom"/>
            <w:shd w:val="clear" w:color="auto" w:fill="E0E2EA"/>
          </w:tcPr>
          <w:p>
            <w:pPr>
              <w:jc w:val="center"/>
              <w:ind w:left="299"/>
              <w:spacing w:after="0"/>
              <w:rPr>
                <w:sz w:val="20"/>
                <w:szCs w:val="20"/>
                <w:color w:val="auto"/>
              </w:rPr>
            </w:pPr>
            <w:r>
              <w:rPr>
                <w:rFonts w:ascii="Arial" w:cs="Arial" w:eastAsia="Arial" w:hAnsi="Arial"/>
                <w:sz w:val="16"/>
                <w:szCs w:val="16"/>
                <w:i w:val="1"/>
                <w:iCs w:val="1"/>
                <w:color w:val="auto"/>
              </w:rPr>
              <w:t>(current CEO)</w:t>
            </w:r>
          </w:p>
        </w:tc>
        <w:tc>
          <w:tcPr>
            <w:tcW w:w="240" w:type="dxa"/>
            <w:vAlign w:val="bottom"/>
            <w:shd w:val="clear" w:color="auto" w:fill="E0E2EA"/>
          </w:tcPr>
          <w:p>
            <w:pPr>
              <w:spacing w:after="0"/>
              <w:rPr>
                <w:sz w:val="18"/>
                <w:szCs w:val="18"/>
                <w:color w:val="auto"/>
              </w:rPr>
            </w:pPr>
          </w:p>
        </w:tc>
        <w:tc>
          <w:tcPr>
            <w:tcW w:w="500" w:type="dxa"/>
            <w:vAlign w:val="bottom"/>
            <w:shd w:val="clear" w:color="auto" w:fill="E0E2EA"/>
          </w:tcPr>
          <w:p>
            <w:pPr>
              <w:spacing w:after="0"/>
              <w:rPr>
                <w:sz w:val="18"/>
                <w:szCs w:val="18"/>
                <w:color w:val="auto"/>
              </w:rPr>
            </w:pPr>
          </w:p>
        </w:tc>
        <w:tc>
          <w:tcPr>
            <w:tcW w:w="2680" w:type="dxa"/>
            <w:vAlign w:val="bottom"/>
            <w:gridSpan w:val="2"/>
            <w:shd w:val="clear" w:color="auto" w:fill="E0E2EA"/>
          </w:tcPr>
          <w:p>
            <w:pPr>
              <w:jc w:val="center"/>
              <w:ind w:left="139"/>
              <w:spacing w:after="0"/>
              <w:rPr>
                <w:sz w:val="20"/>
                <w:szCs w:val="20"/>
                <w:color w:val="auto"/>
              </w:rPr>
            </w:pPr>
            <w:r>
              <w:rPr>
                <w:rFonts w:ascii="Arial" w:cs="Arial" w:eastAsia="Arial" w:hAnsi="Arial"/>
                <w:sz w:val="16"/>
                <w:szCs w:val="16"/>
                <w:i w:val="1"/>
                <w:iCs w:val="1"/>
                <w:color w:val="auto"/>
              </w:rPr>
              <w:t>(current CHRO)</w:t>
            </w:r>
          </w:p>
        </w:tc>
        <w:tc>
          <w:tcPr>
            <w:tcW w:w="0" w:type="dxa"/>
            <w:vAlign w:val="bottom"/>
          </w:tcPr>
          <w:p>
            <w:pPr>
              <w:spacing w:after="0"/>
              <w:rPr>
                <w:sz w:val="1"/>
                <w:szCs w:val="1"/>
                <w:color w:val="auto"/>
              </w:rPr>
            </w:pPr>
          </w:p>
        </w:tc>
      </w:tr>
      <w:tr>
        <w:trPr>
          <w:trHeight w:val="249"/>
        </w:trPr>
        <w:tc>
          <w:tcPr>
            <w:tcW w:w="2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Expro</w:t>
            </w: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300" w:type="dxa"/>
            <w:vAlign w:val="bottom"/>
            <w:gridSpan w:val="3"/>
          </w:tcPr>
          <w:p>
            <w:pPr>
              <w:jc w:val="center"/>
              <w:ind w:right="1460"/>
              <w:spacing w:after="0"/>
              <w:rPr>
                <w:sz w:val="20"/>
                <w:szCs w:val="20"/>
                <w:color w:val="auto"/>
              </w:rPr>
            </w:pPr>
            <w:r>
              <w:rPr>
                <w:rFonts w:ascii="Arial" w:cs="Arial" w:eastAsia="Arial" w:hAnsi="Arial"/>
                <w:sz w:val="16"/>
                <w:szCs w:val="16"/>
                <w:b w:val="1"/>
                <w:bCs w:val="1"/>
                <w:color w:val="auto"/>
              </w:rPr>
              <w:t>Nabors</w:t>
            </w:r>
          </w:p>
        </w:tc>
        <w:tc>
          <w:tcPr>
            <w:tcW w:w="1940" w:type="dxa"/>
            <w:vAlign w:val="bottom"/>
            <w:gridSpan w:val="2"/>
          </w:tcPr>
          <w:p>
            <w:pPr>
              <w:jc w:val="center"/>
              <w:ind w:left="39"/>
              <w:spacing w:after="0"/>
              <w:rPr>
                <w:sz w:val="20"/>
                <w:szCs w:val="20"/>
                <w:color w:val="auto"/>
              </w:rPr>
            </w:pPr>
            <w:r>
              <w:rPr>
                <w:rFonts w:ascii="Arial" w:cs="Arial" w:eastAsia="Arial" w:hAnsi="Arial"/>
                <w:sz w:val="16"/>
                <w:szCs w:val="16"/>
                <w:b w:val="1"/>
                <w:bCs w:val="1"/>
                <w:color w:val="auto"/>
              </w:rPr>
              <w:t>Noble Corporation</w:t>
            </w:r>
          </w:p>
        </w:tc>
        <w:tc>
          <w:tcPr>
            <w:tcW w:w="500" w:type="dxa"/>
            <w:vAlign w:val="bottom"/>
          </w:tcPr>
          <w:p>
            <w:pPr>
              <w:spacing w:after="0"/>
              <w:rPr>
                <w:sz w:val="21"/>
                <w:szCs w:val="21"/>
                <w:color w:val="auto"/>
              </w:rPr>
            </w:pPr>
          </w:p>
        </w:tc>
        <w:tc>
          <w:tcPr>
            <w:tcW w:w="2680" w:type="dxa"/>
            <w:vAlign w:val="bottom"/>
            <w:gridSpan w:val="2"/>
          </w:tcPr>
          <w:p>
            <w:pPr>
              <w:jc w:val="center"/>
              <w:ind w:left="119"/>
              <w:spacing w:after="0"/>
              <w:rPr>
                <w:sz w:val="20"/>
                <w:szCs w:val="20"/>
                <w:color w:val="auto"/>
              </w:rPr>
            </w:pPr>
            <w:r>
              <w:rPr>
                <w:rFonts w:ascii="Arial" w:cs="Arial" w:eastAsia="Arial" w:hAnsi="Arial"/>
                <w:sz w:val="16"/>
                <w:szCs w:val="16"/>
                <w:b w:val="1"/>
                <w:bCs w:val="1"/>
                <w:color w:val="auto"/>
              </w:rPr>
              <w:t>NexTier Oilfield Solutions</w:t>
            </w:r>
          </w:p>
        </w:tc>
        <w:tc>
          <w:tcPr>
            <w:tcW w:w="0" w:type="dxa"/>
            <w:vAlign w:val="bottom"/>
          </w:tcPr>
          <w:p>
            <w:pPr>
              <w:spacing w:after="0"/>
              <w:rPr>
                <w:sz w:val="1"/>
                <w:szCs w:val="1"/>
                <w:color w:val="auto"/>
              </w:rPr>
            </w:pPr>
          </w:p>
        </w:tc>
      </w:tr>
      <w:tr>
        <w:trPr>
          <w:trHeight w:val="198"/>
        </w:trPr>
        <w:tc>
          <w:tcPr>
            <w:tcW w:w="2600" w:type="dxa"/>
            <w:vAlign w:val="bottom"/>
            <w:gridSpan w:val="2"/>
          </w:tcPr>
          <w:p>
            <w:pPr>
              <w:jc w:val="center"/>
              <w:spacing w:after="0"/>
              <w:rPr>
                <w:sz w:val="20"/>
                <w:szCs w:val="20"/>
                <w:color w:val="auto"/>
              </w:rPr>
            </w:pPr>
            <w:r>
              <w:rPr>
                <w:rFonts w:ascii="Arial" w:cs="Arial" w:eastAsia="Arial" w:hAnsi="Arial"/>
                <w:sz w:val="16"/>
                <w:szCs w:val="16"/>
                <w:i w:val="1"/>
                <w:iCs w:val="1"/>
                <w:color w:val="auto"/>
              </w:rPr>
              <w:t>(current CEO, and</w:t>
            </w:r>
          </w:p>
        </w:tc>
        <w:tc>
          <w:tcPr>
            <w:tcW w:w="680" w:type="dxa"/>
            <w:vAlign w:val="bottom"/>
          </w:tcPr>
          <w:p>
            <w:pPr>
              <w:spacing w:after="0"/>
              <w:rPr>
                <w:sz w:val="17"/>
                <w:szCs w:val="17"/>
                <w:color w:val="auto"/>
              </w:rPr>
            </w:pPr>
          </w:p>
        </w:tc>
        <w:tc>
          <w:tcPr>
            <w:tcW w:w="2840" w:type="dxa"/>
            <w:vAlign w:val="bottom"/>
            <w:gridSpan w:val="4"/>
          </w:tcPr>
          <w:p>
            <w:pPr>
              <w:jc w:val="center"/>
              <w:ind w:right="940"/>
              <w:spacing w:after="0"/>
              <w:rPr>
                <w:sz w:val="20"/>
                <w:szCs w:val="20"/>
                <w:color w:val="auto"/>
              </w:rPr>
            </w:pPr>
            <w:r>
              <w:rPr>
                <w:rFonts w:ascii="Arial" w:cs="Arial" w:eastAsia="Arial" w:hAnsi="Arial"/>
                <w:sz w:val="16"/>
                <w:szCs w:val="16"/>
                <w:i w:val="1"/>
                <w:iCs w:val="1"/>
                <w:color w:val="auto"/>
              </w:rPr>
              <w:t>(current CFO and</w:t>
            </w:r>
          </w:p>
        </w:tc>
        <w:tc>
          <w:tcPr>
            <w:tcW w:w="1700" w:type="dxa"/>
            <w:vAlign w:val="bottom"/>
          </w:tcPr>
          <w:p>
            <w:pPr>
              <w:jc w:val="center"/>
              <w:ind w:left="299"/>
              <w:spacing w:after="0"/>
              <w:rPr>
                <w:sz w:val="20"/>
                <w:szCs w:val="20"/>
                <w:color w:val="auto"/>
              </w:rPr>
            </w:pPr>
            <w:r>
              <w:rPr>
                <w:rFonts w:ascii="Arial" w:cs="Arial" w:eastAsia="Arial" w:hAnsi="Arial"/>
                <w:sz w:val="16"/>
                <w:szCs w:val="16"/>
                <w:i w:val="1"/>
                <w:iCs w:val="1"/>
                <w:color w:val="auto"/>
              </w:rPr>
              <w:t>(current CLO)</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80" w:type="dxa"/>
            <w:vAlign w:val="bottom"/>
            <w:gridSpan w:val="2"/>
          </w:tcPr>
          <w:p>
            <w:pPr>
              <w:jc w:val="center"/>
              <w:ind w:left="119"/>
              <w:spacing w:after="0"/>
              <w:rPr>
                <w:sz w:val="20"/>
                <w:szCs w:val="20"/>
                <w:color w:val="auto"/>
              </w:rPr>
            </w:pPr>
            <w:r>
              <w:rPr>
                <w:rFonts w:ascii="Arial" w:cs="Arial" w:eastAsia="Arial" w:hAnsi="Arial"/>
                <w:sz w:val="16"/>
                <w:szCs w:val="16"/>
                <w:i w:val="1"/>
                <w:iCs w:val="1"/>
                <w:color w:val="auto"/>
              </w:rPr>
              <w:t>(current CEO, CFO, COO</w:t>
            </w:r>
          </w:p>
        </w:tc>
        <w:tc>
          <w:tcPr>
            <w:tcW w:w="0" w:type="dxa"/>
            <w:vAlign w:val="bottom"/>
          </w:tcPr>
          <w:p>
            <w:pPr>
              <w:spacing w:after="0"/>
              <w:rPr>
                <w:sz w:val="1"/>
                <w:szCs w:val="1"/>
                <w:color w:val="auto"/>
              </w:rPr>
            </w:pPr>
          </w:p>
        </w:tc>
      </w:tr>
      <w:tr>
        <w:trPr>
          <w:trHeight w:val="213"/>
        </w:trPr>
        <w:tc>
          <w:tcPr>
            <w:tcW w:w="2600" w:type="dxa"/>
            <w:vAlign w:val="bottom"/>
            <w:gridSpan w:val="2"/>
          </w:tcPr>
          <w:p>
            <w:pPr>
              <w:jc w:val="center"/>
              <w:spacing w:after="0"/>
              <w:rPr>
                <w:sz w:val="20"/>
                <w:szCs w:val="20"/>
                <w:color w:val="auto"/>
              </w:rPr>
            </w:pPr>
            <w:r>
              <w:rPr>
                <w:rFonts w:ascii="Arial" w:cs="Arial" w:eastAsia="Arial" w:hAnsi="Arial"/>
                <w:sz w:val="16"/>
                <w:szCs w:val="16"/>
                <w:i w:val="1"/>
                <w:iCs w:val="1"/>
                <w:color w:val="auto"/>
              </w:rPr>
              <w:t>past CEO and CFO)</w:t>
            </w:r>
          </w:p>
        </w:tc>
        <w:tc>
          <w:tcPr>
            <w:tcW w:w="680" w:type="dxa"/>
            <w:vAlign w:val="bottom"/>
          </w:tcPr>
          <w:p>
            <w:pPr>
              <w:spacing w:after="0"/>
              <w:rPr>
                <w:sz w:val="18"/>
                <w:szCs w:val="18"/>
                <w:color w:val="auto"/>
              </w:rPr>
            </w:pPr>
          </w:p>
        </w:tc>
        <w:tc>
          <w:tcPr>
            <w:tcW w:w="2840" w:type="dxa"/>
            <w:vAlign w:val="bottom"/>
            <w:gridSpan w:val="4"/>
          </w:tcPr>
          <w:p>
            <w:pPr>
              <w:jc w:val="center"/>
              <w:ind w:right="920"/>
              <w:spacing w:after="0"/>
              <w:rPr>
                <w:sz w:val="20"/>
                <w:szCs w:val="20"/>
                <w:color w:val="auto"/>
              </w:rPr>
            </w:pPr>
            <w:r>
              <w:rPr>
                <w:rFonts w:ascii="Arial" w:cs="Arial" w:eastAsia="Arial" w:hAnsi="Arial"/>
                <w:sz w:val="16"/>
                <w:szCs w:val="16"/>
                <w:i w:val="1"/>
                <w:iCs w:val="1"/>
                <w:color w:val="auto"/>
              </w:rPr>
              <w:t>other senior executives)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80" w:type="dxa"/>
            <w:vAlign w:val="bottom"/>
            <w:gridSpan w:val="2"/>
          </w:tcPr>
          <w:p>
            <w:pPr>
              <w:jc w:val="center"/>
              <w:ind w:left="119"/>
              <w:spacing w:after="0"/>
              <w:rPr>
                <w:sz w:val="20"/>
                <w:szCs w:val="20"/>
                <w:color w:val="auto"/>
              </w:rPr>
            </w:pPr>
            <w:r>
              <w:rPr>
                <w:rFonts w:ascii="Arial" w:cs="Arial" w:eastAsia="Arial" w:hAnsi="Arial"/>
                <w:sz w:val="16"/>
                <w:szCs w:val="16"/>
                <w:i w:val="1"/>
                <w:iCs w:val="1"/>
                <w:color w:val="auto"/>
              </w:rPr>
              <w:t>and other senior executives)</w:t>
            </w:r>
          </w:p>
        </w:tc>
        <w:tc>
          <w:tcPr>
            <w:tcW w:w="0" w:type="dxa"/>
            <w:vAlign w:val="bottom"/>
          </w:tcPr>
          <w:p>
            <w:pPr>
              <w:spacing w:after="0"/>
              <w:rPr>
                <w:sz w:val="1"/>
                <w:szCs w:val="1"/>
                <w:color w:val="auto"/>
              </w:rPr>
            </w:pPr>
          </w:p>
        </w:tc>
      </w:tr>
      <w:tr>
        <w:trPr>
          <w:trHeight w:val="29"/>
        </w:trPr>
        <w:tc>
          <w:tcPr>
            <w:tcW w:w="1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00" w:type="dxa"/>
            <w:vAlign w:val="bottom"/>
            <w:gridSpan w:val="2"/>
            <w:shd w:val="clear" w:color="auto" w:fill="E0E2EA"/>
          </w:tcPr>
          <w:p>
            <w:pPr>
              <w:jc w:val="center"/>
              <w:spacing w:after="0"/>
              <w:rPr>
                <w:sz w:val="20"/>
                <w:szCs w:val="20"/>
                <w:color w:val="auto"/>
              </w:rPr>
            </w:pPr>
            <w:r>
              <w:rPr>
                <w:rFonts w:ascii="Arial" w:cs="Arial" w:eastAsia="Arial" w:hAnsi="Arial"/>
                <w:sz w:val="16"/>
                <w:szCs w:val="16"/>
                <w:b w:val="1"/>
                <w:bCs w:val="1"/>
                <w:color w:val="auto"/>
                <w:w w:val="98"/>
              </w:rPr>
              <w:t>Valaris</w:t>
            </w:r>
          </w:p>
        </w:tc>
        <w:tc>
          <w:tcPr>
            <w:tcW w:w="680" w:type="dxa"/>
            <w:vAlign w:val="bottom"/>
            <w:shd w:val="clear" w:color="auto" w:fill="E0E2EA"/>
          </w:tcPr>
          <w:p>
            <w:pPr>
              <w:spacing w:after="0"/>
              <w:rPr>
                <w:sz w:val="19"/>
                <w:szCs w:val="19"/>
                <w:color w:val="auto"/>
              </w:rPr>
            </w:pPr>
          </w:p>
        </w:tc>
        <w:tc>
          <w:tcPr>
            <w:tcW w:w="540" w:type="dxa"/>
            <w:vAlign w:val="bottom"/>
            <w:shd w:val="clear" w:color="auto" w:fill="E0E2EA"/>
          </w:tcPr>
          <w:p>
            <w:pPr>
              <w:spacing w:after="0"/>
              <w:rPr>
                <w:sz w:val="19"/>
                <w:szCs w:val="19"/>
                <w:color w:val="auto"/>
              </w:rPr>
            </w:pPr>
          </w:p>
        </w:tc>
        <w:tc>
          <w:tcPr>
            <w:tcW w:w="2300" w:type="dxa"/>
            <w:vAlign w:val="bottom"/>
            <w:gridSpan w:val="3"/>
            <w:shd w:val="clear" w:color="auto" w:fill="E0E2EA"/>
          </w:tcPr>
          <w:p>
            <w:pPr>
              <w:jc w:val="center"/>
              <w:ind w:right="1480"/>
              <w:spacing w:after="0"/>
              <w:rPr>
                <w:sz w:val="20"/>
                <w:szCs w:val="20"/>
                <w:color w:val="auto"/>
              </w:rPr>
            </w:pPr>
            <w:r>
              <w:rPr>
                <w:rFonts w:ascii="Arial" w:cs="Arial" w:eastAsia="Arial" w:hAnsi="Arial"/>
                <w:sz w:val="16"/>
                <w:szCs w:val="16"/>
                <w:b w:val="1"/>
                <w:bCs w:val="1"/>
                <w:color w:val="auto"/>
                <w:w w:val="99"/>
              </w:rPr>
              <w:t>Flowserve</w:t>
            </w:r>
          </w:p>
        </w:tc>
        <w:tc>
          <w:tcPr>
            <w:tcW w:w="1700" w:type="dxa"/>
            <w:vAlign w:val="bottom"/>
            <w:shd w:val="clear" w:color="auto" w:fill="E0E2EA"/>
          </w:tcPr>
          <w:p>
            <w:pPr>
              <w:jc w:val="center"/>
              <w:ind w:left="279"/>
              <w:spacing w:after="0"/>
              <w:rPr>
                <w:sz w:val="20"/>
                <w:szCs w:val="20"/>
                <w:color w:val="auto"/>
              </w:rPr>
            </w:pPr>
            <w:r>
              <w:rPr>
                <w:rFonts w:ascii="Arial" w:cs="Arial" w:eastAsia="Arial" w:hAnsi="Arial"/>
                <w:sz w:val="16"/>
                <w:szCs w:val="16"/>
                <w:b w:val="1"/>
                <w:bCs w:val="1"/>
                <w:color w:val="auto"/>
              </w:rPr>
              <w:t>Borr Drilling</w:t>
            </w:r>
          </w:p>
        </w:tc>
        <w:tc>
          <w:tcPr>
            <w:tcW w:w="240" w:type="dxa"/>
            <w:vAlign w:val="bottom"/>
            <w:shd w:val="clear" w:color="auto" w:fill="E0E2EA"/>
          </w:tcPr>
          <w:p>
            <w:pPr>
              <w:spacing w:after="0"/>
              <w:rPr>
                <w:sz w:val="19"/>
                <w:szCs w:val="19"/>
                <w:color w:val="auto"/>
              </w:rPr>
            </w:pPr>
          </w:p>
        </w:tc>
        <w:tc>
          <w:tcPr>
            <w:tcW w:w="500" w:type="dxa"/>
            <w:vAlign w:val="bottom"/>
            <w:shd w:val="clear" w:color="auto" w:fill="E0E2EA"/>
          </w:tcPr>
          <w:p>
            <w:pPr>
              <w:spacing w:after="0"/>
              <w:rPr>
                <w:sz w:val="19"/>
                <w:szCs w:val="19"/>
                <w:color w:val="auto"/>
              </w:rPr>
            </w:pPr>
          </w:p>
        </w:tc>
        <w:tc>
          <w:tcPr>
            <w:tcW w:w="2680" w:type="dxa"/>
            <w:vAlign w:val="bottom"/>
            <w:gridSpan w:val="2"/>
            <w:shd w:val="clear" w:color="auto" w:fill="E0E2EA"/>
          </w:tcPr>
          <w:p>
            <w:pPr>
              <w:jc w:val="center"/>
              <w:ind w:left="119"/>
              <w:spacing w:after="0"/>
              <w:rPr>
                <w:sz w:val="20"/>
                <w:szCs w:val="20"/>
                <w:color w:val="auto"/>
              </w:rPr>
            </w:pPr>
            <w:r>
              <w:rPr>
                <w:rFonts w:ascii="Arial" w:cs="Arial" w:eastAsia="Arial" w:hAnsi="Arial"/>
                <w:sz w:val="16"/>
                <w:szCs w:val="16"/>
                <w:b w:val="1"/>
                <w:bCs w:val="1"/>
                <w:color w:val="auto"/>
              </w:rPr>
              <w:t>Archer</w:t>
            </w:r>
          </w:p>
        </w:tc>
        <w:tc>
          <w:tcPr>
            <w:tcW w:w="0" w:type="dxa"/>
            <w:vAlign w:val="bottom"/>
          </w:tcPr>
          <w:p>
            <w:pPr>
              <w:spacing w:after="0"/>
              <w:rPr>
                <w:sz w:val="1"/>
                <w:szCs w:val="1"/>
                <w:color w:val="auto"/>
              </w:rPr>
            </w:pPr>
          </w:p>
        </w:tc>
      </w:tr>
      <w:tr>
        <w:trPr>
          <w:trHeight w:val="230"/>
        </w:trPr>
        <w:tc>
          <w:tcPr>
            <w:tcW w:w="2600" w:type="dxa"/>
            <w:vAlign w:val="bottom"/>
            <w:gridSpan w:val="2"/>
            <w:shd w:val="clear" w:color="auto" w:fill="E0E2EA"/>
          </w:tcPr>
          <w:p>
            <w:pPr>
              <w:jc w:val="center"/>
              <w:spacing w:after="0"/>
              <w:rPr>
                <w:sz w:val="20"/>
                <w:szCs w:val="20"/>
                <w:color w:val="auto"/>
              </w:rPr>
            </w:pPr>
            <w:r>
              <w:rPr>
                <w:rFonts w:ascii="Arial" w:cs="Arial" w:eastAsia="Arial" w:hAnsi="Arial"/>
                <w:sz w:val="16"/>
                <w:szCs w:val="16"/>
                <w:i w:val="1"/>
                <w:iCs w:val="1"/>
                <w:color w:val="auto"/>
              </w:rPr>
              <w:t>(past CEO and CLO)</w:t>
            </w:r>
          </w:p>
        </w:tc>
        <w:tc>
          <w:tcPr>
            <w:tcW w:w="680" w:type="dxa"/>
            <w:vAlign w:val="bottom"/>
            <w:shd w:val="clear" w:color="auto" w:fill="E0E2EA"/>
          </w:tcPr>
          <w:p>
            <w:pPr>
              <w:spacing w:after="0"/>
              <w:rPr>
                <w:sz w:val="19"/>
                <w:szCs w:val="19"/>
                <w:color w:val="auto"/>
              </w:rPr>
            </w:pPr>
          </w:p>
        </w:tc>
        <w:tc>
          <w:tcPr>
            <w:tcW w:w="2840" w:type="dxa"/>
            <w:vAlign w:val="bottom"/>
            <w:gridSpan w:val="4"/>
            <w:shd w:val="clear" w:color="auto" w:fill="E0E2EA"/>
          </w:tcPr>
          <w:p>
            <w:pPr>
              <w:jc w:val="center"/>
              <w:ind w:right="940"/>
              <w:spacing w:after="0"/>
              <w:rPr>
                <w:sz w:val="20"/>
                <w:szCs w:val="20"/>
                <w:color w:val="auto"/>
              </w:rPr>
            </w:pPr>
            <w:r>
              <w:rPr>
                <w:rFonts w:ascii="Arial" w:cs="Arial" w:eastAsia="Arial" w:hAnsi="Arial"/>
                <w:sz w:val="16"/>
                <w:szCs w:val="16"/>
                <w:i w:val="1"/>
                <w:iCs w:val="1"/>
                <w:color w:val="auto"/>
              </w:rPr>
              <w:t>(current CEO)</w:t>
            </w:r>
          </w:p>
        </w:tc>
        <w:tc>
          <w:tcPr>
            <w:tcW w:w="2440" w:type="dxa"/>
            <w:vAlign w:val="bottom"/>
            <w:gridSpan w:val="3"/>
            <w:shd w:val="clear" w:color="auto" w:fill="E0E2EA"/>
          </w:tcPr>
          <w:p>
            <w:pPr>
              <w:jc w:val="center"/>
              <w:ind w:right="299"/>
              <w:spacing w:after="0"/>
              <w:rPr>
                <w:sz w:val="20"/>
                <w:szCs w:val="20"/>
                <w:color w:val="auto"/>
              </w:rPr>
            </w:pPr>
            <w:r>
              <w:rPr>
                <w:rFonts w:ascii="Arial" w:cs="Arial" w:eastAsia="Arial" w:hAnsi="Arial"/>
                <w:sz w:val="16"/>
                <w:szCs w:val="16"/>
                <w:i w:val="1"/>
                <w:iCs w:val="1"/>
                <w:color w:val="auto"/>
              </w:rPr>
              <w:t>(current CEO and past CFO)</w:t>
            </w:r>
          </w:p>
        </w:tc>
        <w:tc>
          <w:tcPr>
            <w:tcW w:w="2680" w:type="dxa"/>
            <w:vAlign w:val="bottom"/>
            <w:gridSpan w:val="2"/>
            <w:shd w:val="clear" w:color="auto" w:fill="E0E2EA"/>
          </w:tcPr>
          <w:p>
            <w:pPr>
              <w:jc w:val="center"/>
              <w:ind w:left="119"/>
              <w:spacing w:after="0"/>
              <w:rPr>
                <w:sz w:val="20"/>
                <w:szCs w:val="20"/>
                <w:color w:val="auto"/>
              </w:rPr>
            </w:pPr>
            <w:r>
              <w:rPr>
                <w:rFonts w:ascii="Arial" w:cs="Arial" w:eastAsia="Arial" w:hAnsi="Arial"/>
                <w:sz w:val="16"/>
                <w:szCs w:val="16"/>
                <w:i w:val="1"/>
                <w:iCs w:val="1"/>
                <w:color w:val="auto"/>
              </w:rPr>
              <w:t>(current CEO)</w:t>
            </w:r>
          </w:p>
        </w:tc>
        <w:tc>
          <w:tcPr>
            <w:tcW w:w="0" w:type="dxa"/>
            <w:vAlign w:val="bottom"/>
          </w:tcPr>
          <w:p>
            <w:pPr>
              <w:spacing w:after="0"/>
              <w:rPr>
                <w:sz w:val="1"/>
                <w:szCs w:val="1"/>
                <w:color w:val="auto"/>
              </w:rPr>
            </w:pPr>
          </w:p>
        </w:tc>
      </w:tr>
      <w:tr>
        <w:trPr>
          <w:trHeight w:val="235"/>
        </w:trPr>
        <w:tc>
          <w:tcPr>
            <w:tcW w:w="2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Seadrill</w:t>
            </w: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00" w:type="dxa"/>
            <w:vAlign w:val="bottom"/>
            <w:gridSpan w:val="3"/>
          </w:tcPr>
          <w:p>
            <w:pPr>
              <w:jc w:val="center"/>
              <w:ind w:right="1460"/>
              <w:spacing w:after="0"/>
              <w:rPr>
                <w:sz w:val="20"/>
                <w:szCs w:val="20"/>
                <w:color w:val="auto"/>
              </w:rPr>
            </w:pPr>
            <w:r>
              <w:rPr>
                <w:rFonts w:ascii="Arial" w:cs="Arial" w:eastAsia="Arial" w:hAnsi="Arial"/>
                <w:sz w:val="16"/>
                <w:szCs w:val="16"/>
                <w:b w:val="1"/>
                <w:bCs w:val="1"/>
                <w:color w:val="auto"/>
              </w:rPr>
              <w:t>Jacobs</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600" w:type="dxa"/>
            <w:vAlign w:val="bottom"/>
            <w:gridSpan w:val="2"/>
          </w:tcPr>
          <w:p>
            <w:pPr>
              <w:jc w:val="center"/>
              <w:spacing w:after="0"/>
              <w:rPr>
                <w:sz w:val="20"/>
                <w:szCs w:val="20"/>
                <w:color w:val="auto"/>
              </w:rPr>
            </w:pPr>
            <w:r>
              <w:rPr>
                <w:rFonts w:ascii="Arial" w:cs="Arial" w:eastAsia="Arial" w:hAnsi="Arial"/>
                <w:sz w:val="16"/>
                <w:szCs w:val="16"/>
                <w:i w:val="1"/>
                <w:iCs w:val="1"/>
                <w:color w:val="auto"/>
              </w:rPr>
              <w:t>(past COO)</w:t>
            </w:r>
          </w:p>
        </w:tc>
        <w:tc>
          <w:tcPr>
            <w:tcW w:w="680" w:type="dxa"/>
            <w:vAlign w:val="bottom"/>
          </w:tcPr>
          <w:p>
            <w:pPr>
              <w:spacing w:after="0"/>
              <w:rPr>
                <w:sz w:val="19"/>
                <w:szCs w:val="19"/>
                <w:color w:val="auto"/>
              </w:rPr>
            </w:pPr>
          </w:p>
        </w:tc>
        <w:tc>
          <w:tcPr>
            <w:tcW w:w="2840" w:type="dxa"/>
            <w:vAlign w:val="bottom"/>
            <w:gridSpan w:val="4"/>
          </w:tcPr>
          <w:p>
            <w:pPr>
              <w:jc w:val="center"/>
              <w:ind w:right="940"/>
              <w:spacing w:after="0"/>
              <w:rPr>
                <w:sz w:val="20"/>
                <w:szCs w:val="20"/>
                <w:color w:val="auto"/>
              </w:rPr>
            </w:pPr>
            <w:r>
              <w:rPr>
                <w:rFonts w:ascii="Arial" w:cs="Arial" w:eastAsia="Arial" w:hAnsi="Arial"/>
                <w:sz w:val="16"/>
                <w:szCs w:val="16"/>
                <w:i w:val="1"/>
                <w:iCs w:val="1"/>
                <w:color w:val="auto"/>
              </w:rPr>
              <w:t>(current senior executive)</w:t>
            </w: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1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E0E2EA"/>
          </w:tcPr>
          <w:p>
            <w:pPr>
              <w:ind w:left="40"/>
              <w:spacing w:after="0"/>
              <w:rPr>
                <w:sz w:val="20"/>
                <w:szCs w:val="20"/>
                <w:color w:val="auto"/>
              </w:rPr>
            </w:pPr>
            <w:r>
              <w:rPr>
                <w:rFonts w:ascii="Arial" w:cs="Arial" w:eastAsia="Arial" w:hAnsi="Arial"/>
                <w:sz w:val="16"/>
                <w:szCs w:val="16"/>
                <w:color w:val="auto"/>
              </w:rPr>
              <w:t>CEO = Chief Executive Officer</w:t>
            </w:r>
          </w:p>
        </w:tc>
        <w:tc>
          <w:tcPr>
            <w:tcW w:w="680" w:type="dxa"/>
            <w:vAlign w:val="bottom"/>
            <w:shd w:val="clear" w:color="auto" w:fill="E0E2EA"/>
          </w:tcPr>
          <w:p>
            <w:pPr>
              <w:spacing w:after="0"/>
              <w:rPr>
                <w:sz w:val="18"/>
                <w:szCs w:val="18"/>
                <w:color w:val="auto"/>
              </w:rPr>
            </w:pPr>
          </w:p>
        </w:tc>
        <w:tc>
          <w:tcPr>
            <w:tcW w:w="2840" w:type="dxa"/>
            <w:vAlign w:val="bottom"/>
            <w:gridSpan w:val="4"/>
            <w:shd w:val="clear" w:color="auto" w:fill="E0E2EA"/>
          </w:tcPr>
          <w:p>
            <w:pPr>
              <w:ind w:left="540"/>
              <w:spacing w:after="0"/>
              <w:rPr>
                <w:sz w:val="20"/>
                <w:szCs w:val="20"/>
                <w:color w:val="auto"/>
              </w:rPr>
            </w:pPr>
            <w:r>
              <w:rPr>
                <w:rFonts w:ascii="Arial" w:cs="Arial" w:eastAsia="Arial" w:hAnsi="Arial"/>
                <w:sz w:val="16"/>
                <w:szCs w:val="16"/>
                <w:color w:val="auto"/>
                <w:w w:val="99"/>
              </w:rPr>
              <w:t>CTO = Chief Technology Officer</w:t>
            </w:r>
          </w:p>
        </w:tc>
        <w:tc>
          <w:tcPr>
            <w:tcW w:w="1700" w:type="dxa"/>
            <w:vAlign w:val="bottom"/>
            <w:shd w:val="clear" w:color="auto" w:fill="E0E2EA"/>
          </w:tcPr>
          <w:p>
            <w:pPr>
              <w:spacing w:after="0"/>
              <w:rPr>
                <w:sz w:val="18"/>
                <w:szCs w:val="18"/>
                <w:color w:val="auto"/>
              </w:rPr>
            </w:pPr>
          </w:p>
        </w:tc>
        <w:tc>
          <w:tcPr>
            <w:tcW w:w="3420" w:type="dxa"/>
            <w:vAlign w:val="bottom"/>
            <w:gridSpan w:val="4"/>
            <w:vMerge w:val="restart"/>
            <w:shd w:val="clear" w:color="auto" w:fill="E0E2EA"/>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Included in our main executive</w:t>
            </w:r>
          </w:p>
        </w:tc>
        <w:tc>
          <w:tcPr>
            <w:tcW w:w="0" w:type="dxa"/>
            <w:vAlign w:val="bottom"/>
          </w:tcPr>
          <w:p>
            <w:pPr>
              <w:spacing w:after="0"/>
              <w:rPr>
                <w:sz w:val="1"/>
                <w:szCs w:val="1"/>
                <w:color w:val="auto"/>
              </w:rPr>
            </w:pPr>
          </w:p>
        </w:tc>
      </w:tr>
      <w:tr>
        <w:trPr>
          <w:trHeight w:val="177"/>
        </w:trPr>
        <w:tc>
          <w:tcPr>
            <w:tcW w:w="2600" w:type="dxa"/>
            <w:vAlign w:val="bottom"/>
            <w:gridSpan w:val="2"/>
            <w:vMerge w:val="restart"/>
            <w:shd w:val="clear" w:color="auto" w:fill="E0E2EA"/>
          </w:tcPr>
          <w:p>
            <w:pPr>
              <w:ind w:left="40"/>
              <w:spacing w:after="0"/>
              <w:rPr>
                <w:sz w:val="20"/>
                <w:szCs w:val="20"/>
                <w:color w:val="auto"/>
              </w:rPr>
            </w:pPr>
            <w:r>
              <w:rPr>
                <w:rFonts w:ascii="Arial" w:cs="Arial" w:eastAsia="Arial" w:hAnsi="Arial"/>
                <w:sz w:val="16"/>
                <w:szCs w:val="16"/>
                <w:color w:val="auto"/>
              </w:rPr>
              <w:t>CFO = Chief Financial Officer</w:t>
            </w:r>
          </w:p>
        </w:tc>
        <w:tc>
          <w:tcPr>
            <w:tcW w:w="680" w:type="dxa"/>
            <w:vAlign w:val="bottom"/>
            <w:shd w:val="clear" w:color="auto" w:fill="E0E2EA"/>
          </w:tcPr>
          <w:p>
            <w:pPr>
              <w:spacing w:after="0"/>
              <w:rPr>
                <w:sz w:val="15"/>
                <w:szCs w:val="15"/>
                <w:color w:val="auto"/>
              </w:rPr>
            </w:pPr>
          </w:p>
        </w:tc>
        <w:tc>
          <w:tcPr>
            <w:tcW w:w="540" w:type="dxa"/>
            <w:vAlign w:val="bottom"/>
            <w:shd w:val="clear" w:color="auto" w:fill="E0E2EA"/>
          </w:tcPr>
          <w:p>
            <w:pPr>
              <w:spacing w:after="0"/>
              <w:rPr>
                <w:sz w:val="15"/>
                <w:szCs w:val="15"/>
                <w:color w:val="auto"/>
              </w:rPr>
            </w:pPr>
          </w:p>
        </w:tc>
        <w:tc>
          <w:tcPr>
            <w:tcW w:w="4000" w:type="dxa"/>
            <w:vAlign w:val="bottom"/>
            <w:gridSpan w:val="4"/>
            <w:vMerge w:val="restart"/>
            <w:shd w:val="clear" w:color="auto" w:fill="E0E2EA"/>
          </w:tcPr>
          <w:p>
            <w:pPr>
              <w:spacing w:after="0"/>
              <w:rPr>
                <w:sz w:val="20"/>
                <w:szCs w:val="20"/>
                <w:color w:val="auto"/>
              </w:rPr>
            </w:pPr>
            <w:r>
              <w:rPr>
                <w:rFonts w:ascii="Arial" w:cs="Arial" w:eastAsia="Arial" w:hAnsi="Arial"/>
                <w:sz w:val="16"/>
                <w:szCs w:val="16"/>
                <w:color w:val="auto"/>
              </w:rPr>
              <w:t>CLO = Chief Legal Officer / General Counsel</w:t>
            </w:r>
          </w:p>
        </w:tc>
        <w:tc>
          <w:tcPr>
            <w:tcW w:w="3420" w:type="dxa"/>
            <w:vAlign w:val="bottom"/>
            <w:gridSpan w:val="4"/>
            <w:vMerge w:val="continue"/>
            <w:shd w:val="clear" w:color="auto" w:fill="E0E2EA"/>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600" w:type="dxa"/>
            <w:vAlign w:val="bottom"/>
            <w:gridSpan w:val="2"/>
            <w:vMerge w:val="continue"/>
            <w:shd w:val="clear" w:color="auto" w:fill="E0E2EA"/>
          </w:tcPr>
          <w:p>
            <w:pPr>
              <w:spacing w:after="0"/>
              <w:rPr>
                <w:sz w:val="10"/>
                <w:szCs w:val="10"/>
                <w:color w:val="auto"/>
              </w:rPr>
            </w:pPr>
          </w:p>
        </w:tc>
        <w:tc>
          <w:tcPr>
            <w:tcW w:w="680" w:type="dxa"/>
            <w:vAlign w:val="bottom"/>
            <w:shd w:val="clear" w:color="auto" w:fill="E0E2EA"/>
          </w:tcPr>
          <w:p>
            <w:pPr>
              <w:spacing w:after="0"/>
              <w:rPr>
                <w:sz w:val="10"/>
                <w:szCs w:val="10"/>
                <w:color w:val="auto"/>
              </w:rPr>
            </w:pPr>
          </w:p>
        </w:tc>
        <w:tc>
          <w:tcPr>
            <w:tcW w:w="540" w:type="dxa"/>
            <w:vAlign w:val="bottom"/>
            <w:shd w:val="clear" w:color="auto" w:fill="E0E2EA"/>
          </w:tcPr>
          <w:p>
            <w:pPr>
              <w:spacing w:after="0"/>
              <w:rPr>
                <w:sz w:val="10"/>
                <w:szCs w:val="10"/>
                <w:color w:val="auto"/>
              </w:rPr>
            </w:pPr>
          </w:p>
        </w:tc>
        <w:tc>
          <w:tcPr>
            <w:tcW w:w="4000" w:type="dxa"/>
            <w:vAlign w:val="bottom"/>
            <w:gridSpan w:val="4"/>
            <w:vMerge w:val="continue"/>
            <w:shd w:val="clear" w:color="auto" w:fill="E0E2EA"/>
          </w:tcPr>
          <w:p>
            <w:pPr>
              <w:spacing w:after="0"/>
              <w:rPr>
                <w:sz w:val="10"/>
                <w:szCs w:val="10"/>
                <w:color w:val="auto"/>
              </w:rPr>
            </w:pPr>
          </w:p>
        </w:tc>
        <w:tc>
          <w:tcPr>
            <w:tcW w:w="240" w:type="dxa"/>
            <w:vAlign w:val="bottom"/>
            <w:shd w:val="clear" w:color="auto" w:fill="E0E2EA"/>
          </w:tcPr>
          <w:p>
            <w:pPr>
              <w:spacing w:after="0"/>
              <w:rPr>
                <w:sz w:val="10"/>
                <w:szCs w:val="10"/>
                <w:color w:val="auto"/>
              </w:rPr>
            </w:pPr>
          </w:p>
        </w:tc>
        <w:tc>
          <w:tcPr>
            <w:tcW w:w="3180" w:type="dxa"/>
            <w:vAlign w:val="bottom"/>
            <w:gridSpan w:val="3"/>
            <w:vMerge w:val="restart"/>
            <w:shd w:val="clear" w:color="auto" w:fill="E0E2EA"/>
          </w:tcPr>
          <w:p>
            <w:pPr>
              <w:ind w:left="60"/>
              <w:spacing w:after="0"/>
              <w:rPr>
                <w:sz w:val="20"/>
                <w:szCs w:val="20"/>
                <w:color w:val="auto"/>
              </w:rPr>
            </w:pPr>
            <w:r>
              <w:rPr>
                <w:rFonts w:ascii="Arial" w:cs="Arial" w:eastAsia="Arial" w:hAnsi="Arial"/>
                <w:sz w:val="16"/>
                <w:szCs w:val="16"/>
                <w:i w:val="1"/>
                <w:iCs w:val="1"/>
                <w:color w:val="auto"/>
              </w:rPr>
              <w:t>compensation peer groups</w:t>
            </w:r>
          </w:p>
        </w:tc>
        <w:tc>
          <w:tcPr>
            <w:tcW w:w="0" w:type="dxa"/>
            <w:vAlign w:val="bottom"/>
          </w:tcPr>
          <w:p>
            <w:pPr>
              <w:spacing w:after="0"/>
              <w:rPr>
                <w:sz w:val="1"/>
                <w:szCs w:val="1"/>
                <w:color w:val="auto"/>
              </w:rPr>
            </w:pPr>
          </w:p>
        </w:tc>
      </w:tr>
      <w:tr>
        <w:trPr>
          <w:trHeight w:val="83"/>
        </w:trPr>
        <w:tc>
          <w:tcPr>
            <w:tcW w:w="3280" w:type="dxa"/>
            <w:vAlign w:val="bottom"/>
            <w:gridSpan w:val="3"/>
            <w:vMerge w:val="restart"/>
            <w:shd w:val="clear" w:color="auto" w:fill="E0E2EA"/>
          </w:tcPr>
          <w:p>
            <w:pPr>
              <w:ind w:left="40"/>
              <w:spacing w:after="0"/>
              <w:rPr>
                <w:sz w:val="20"/>
                <w:szCs w:val="20"/>
                <w:color w:val="auto"/>
              </w:rPr>
            </w:pPr>
            <w:r>
              <w:rPr>
                <w:rFonts w:ascii="Arial" w:cs="Arial" w:eastAsia="Arial" w:hAnsi="Arial"/>
                <w:sz w:val="16"/>
                <w:szCs w:val="16"/>
                <w:color w:val="auto"/>
              </w:rPr>
              <w:t>COO = Chief Operating / Commercial Officer</w:t>
            </w:r>
          </w:p>
        </w:tc>
        <w:tc>
          <w:tcPr>
            <w:tcW w:w="540" w:type="dxa"/>
            <w:vAlign w:val="bottom"/>
            <w:shd w:val="clear" w:color="auto" w:fill="E0E2EA"/>
          </w:tcPr>
          <w:p>
            <w:pPr>
              <w:spacing w:after="0"/>
              <w:rPr>
                <w:sz w:val="7"/>
                <w:szCs w:val="7"/>
                <w:color w:val="auto"/>
              </w:rPr>
            </w:pPr>
          </w:p>
        </w:tc>
        <w:tc>
          <w:tcPr>
            <w:tcW w:w="4000" w:type="dxa"/>
            <w:vAlign w:val="bottom"/>
            <w:gridSpan w:val="4"/>
            <w:vMerge w:val="restart"/>
            <w:shd w:val="clear" w:color="auto" w:fill="E0E2EA"/>
          </w:tcPr>
          <w:p>
            <w:pPr>
              <w:spacing w:after="0"/>
              <w:rPr>
                <w:sz w:val="20"/>
                <w:szCs w:val="20"/>
                <w:color w:val="auto"/>
              </w:rPr>
            </w:pPr>
            <w:r>
              <w:rPr>
                <w:rFonts w:ascii="Arial" w:cs="Arial" w:eastAsia="Arial" w:hAnsi="Arial"/>
                <w:sz w:val="16"/>
                <w:szCs w:val="16"/>
                <w:color w:val="auto"/>
              </w:rPr>
              <w:t>CHRO = Chief Human Resources Officer</w:t>
            </w:r>
          </w:p>
        </w:tc>
        <w:tc>
          <w:tcPr>
            <w:tcW w:w="240" w:type="dxa"/>
            <w:vAlign w:val="bottom"/>
            <w:shd w:val="clear" w:color="auto" w:fill="E0E2EA"/>
          </w:tcPr>
          <w:p>
            <w:pPr>
              <w:spacing w:after="0"/>
              <w:rPr>
                <w:sz w:val="7"/>
                <w:szCs w:val="7"/>
                <w:color w:val="auto"/>
              </w:rPr>
            </w:pPr>
          </w:p>
        </w:tc>
        <w:tc>
          <w:tcPr>
            <w:tcW w:w="3180" w:type="dxa"/>
            <w:vAlign w:val="bottom"/>
            <w:gridSpan w:val="3"/>
            <w:vMerge w:val="continue"/>
            <w:shd w:val="clear" w:color="auto" w:fill="E0E2EA"/>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0233A1"/>
            </w:tcBorders>
            <w:gridSpan w:val="3"/>
            <w:vMerge w:val="continue"/>
            <w:shd w:val="clear" w:color="auto" w:fill="E0E2EA"/>
          </w:tcPr>
          <w:p>
            <w:pPr>
              <w:spacing w:after="0"/>
              <w:rPr>
                <w:sz w:val="19"/>
                <w:szCs w:val="19"/>
                <w:color w:val="auto"/>
              </w:rPr>
            </w:pPr>
          </w:p>
        </w:tc>
        <w:tc>
          <w:tcPr>
            <w:tcW w:w="540" w:type="dxa"/>
            <w:vAlign w:val="bottom"/>
            <w:tcBorders>
              <w:bottom w:val="single" w:sz="8" w:color="0233A1"/>
            </w:tcBorders>
            <w:shd w:val="clear" w:color="auto" w:fill="E0E2EA"/>
          </w:tcPr>
          <w:p>
            <w:pPr>
              <w:spacing w:after="0"/>
              <w:rPr>
                <w:sz w:val="19"/>
                <w:szCs w:val="19"/>
                <w:color w:val="auto"/>
              </w:rPr>
            </w:pPr>
          </w:p>
        </w:tc>
        <w:tc>
          <w:tcPr>
            <w:tcW w:w="4000" w:type="dxa"/>
            <w:vAlign w:val="bottom"/>
            <w:tcBorders>
              <w:bottom w:val="single" w:sz="8" w:color="0233A1"/>
            </w:tcBorders>
            <w:gridSpan w:val="4"/>
            <w:vMerge w:val="continue"/>
            <w:shd w:val="clear" w:color="auto" w:fill="E0E2EA"/>
          </w:tcPr>
          <w:p>
            <w:pPr>
              <w:spacing w:after="0"/>
              <w:rPr>
                <w:sz w:val="19"/>
                <w:szCs w:val="19"/>
                <w:color w:val="auto"/>
              </w:rPr>
            </w:pPr>
          </w:p>
        </w:tc>
        <w:tc>
          <w:tcPr>
            <w:tcW w:w="240" w:type="dxa"/>
            <w:vAlign w:val="bottom"/>
            <w:tcBorders>
              <w:bottom w:val="single" w:sz="8" w:color="0233A1"/>
            </w:tcBorders>
            <w:shd w:val="clear" w:color="auto" w:fill="E0E2EA"/>
          </w:tcPr>
          <w:p>
            <w:pPr>
              <w:spacing w:after="0"/>
              <w:rPr>
                <w:sz w:val="19"/>
                <w:szCs w:val="19"/>
                <w:color w:val="auto"/>
              </w:rPr>
            </w:pPr>
          </w:p>
        </w:tc>
        <w:tc>
          <w:tcPr>
            <w:tcW w:w="500" w:type="dxa"/>
            <w:vAlign w:val="bottom"/>
            <w:tcBorders>
              <w:bottom w:val="single" w:sz="8" w:color="0233A1"/>
            </w:tcBorders>
            <w:shd w:val="clear" w:color="auto" w:fill="E0E2EA"/>
          </w:tcPr>
          <w:p>
            <w:pPr>
              <w:spacing w:after="0"/>
              <w:rPr>
                <w:sz w:val="19"/>
                <w:szCs w:val="19"/>
                <w:color w:val="auto"/>
              </w:rPr>
            </w:pPr>
          </w:p>
        </w:tc>
        <w:tc>
          <w:tcPr>
            <w:tcW w:w="1780" w:type="dxa"/>
            <w:vAlign w:val="bottom"/>
            <w:tcBorders>
              <w:bottom w:val="single" w:sz="8" w:color="0233A1"/>
            </w:tcBorders>
            <w:shd w:val="clear" w:color="auto" w:fill="E0E2EA"/>
          </w:tcPr>
          <w:p>
            <w:pPr>
              <w:spacing w:after="0"/>
              <w:rPr>
                <w:sz w:val="19"/>
                <w:szCs w:val="19"/>
                <w:color w:val="auto"/>
              </w:rPr>
            </w:pPr>
          </w:p>
        </w:tc>
        <w:tc>
          <w:tcPr>
            <w:tcW w:w="900" w:type="dxa"/>
            <w:vAlign w:val="bottom"/>
            <w:tcBorders>
              <w:bottom w:val="single" w:sz="8" w:color="0233A1"/>
            </w:tcBorders>
            <w:shd w:val="clear" w:color="auto" w:fill="E0E2EA"/>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20" w:type="dxa"/>
            <w:vAlign w:val="bottom"/>
            <w:gridSpan w:val="2"/>
          </w:tcPr>
          <w:p>
            <w:pPr>
              <w:spacing w:after="0"/>
              <w:rPr>
                <w:sz w:val="24"/>
                <w:szCs w:val="24"/>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45</w:t>
            </w: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120" w:type="dxa"/>
            <w:vAlign w:val="bottom"/>
            <w:gridSpan w:val="2"/>
          </w:tcPr>
          <w:p>
            <w:pPr>
              <w:spacing w:after="0"/>
              <w:rPr>
                <w:sz w:val="5"/>
                <w:szCs w:val="5"/>
                <w:color w:val="auto"/>
              </w:rPr>
            </w:pPr>
          </w:p>
        </w:tc>
        <w:tc>
          <w:tcPr>
            <w:tcW w:w="46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800" w:type="dxa"/>
            <w:vAlign w:val="bottom"/>
            <w:tcBorders>
              <w:bottom w:val="single" w:sz="8" w:color="C0C0C0"/>
            </w:tcBorders>
          </w:tcPr>
          <w:p>
            <w:pPr>
              <w:spacing w:after="0"/>
              <w:rPr>
                <w:sz w:val="24"/>
                <w:szCs w:val="24"/>
                <w:color w:val="auto"/>
              </w:rPr>
            </w:pPr>
          </w:p>
        </w:tc>
        <w:tc>
          <w:tcPr>
            <w:tcW w:w="680" w:type="dxa"/>
            <w:vAlign w:val="bottom"/>
            <w:tcBorders>
              <w:bottom w:val="single" w:sz="8" w:color="C0C0C0"/>
            </w:tcBorders>
          </w:tcPr>
          <w:p>
            <w:pPr>
              <w:spacing w:after="0"/>
              <w:rPr>
                <w:sz w:val="24"/>
                <w:szCs w:val="24"/>
                <w:color w:val="auto"/>
              </w:rPr>
            </w:pPr>
          </w:p>
        </w:tc>
        <w:tc>
          <w:tcPr>
            <w:tcW w:w="540" w:type="dxa"/>
            <w:vAlign w:val="bottom"/>
            <w:tcBorders>
              <w:bottom w:val="single" w:sz="8" w:color="C0C0C0"/>
            </w:tcBorders>
          </w:tcPr>
          <w:p>
            <w:pPr>
              <w:spacing w:after="0"/>
              <w:rPr>
                <w:sz w:val="24"/>
                <w:szCs w:val="24"/>
                <w:color w:val="auto"/>
              </w:rPr>
            </w:pPr>
          </w:p>
        </w:tc>
        <w:tc>
          <w:tcPr>
            <w:tcW w:w="158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tcBorders>
          </w:tcPr>
          <w:p>
            <w:pPr>
              <w:spacing w:after="0"/>
              <w:rPr>
                <w:sz w:val="24"/>
                <w:szCs w:val="24"/>
                <w:color w:val="auto"/>
              </w:rPr>
            </w:pPr>
          </w:p>
        </w:tc>
        <w:tc>
          <w:tcPr>
            <w:tcW w:w="1700" w:type="dxa"/>
            <w:vAlign w:val="bottom"/>
            <w:tcBorders>
              <w:bottom w:val="single" w:sz="8" w:color="C0C0C0"/>
            </w:tcBorders>
          </w:tcPr>
          <w:p>
            <w:pPr>
              <w:spacing w:after="0"/>
              <w:rPr>
                <w:sz w:val="24"/>
                <w:szCs w:val="24"/>
                <w:color w:val="auto"/>
              </w:rPr>
            </w:pPr>
          </w:p>
        </w:tc>
        <w:tc>
          <w:tcPr>
            <w:tcW w:w="24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tcBorders>
          </w:tcPr>
          <w:p>
            <w:pPr>
              <w:spacing w:after="0"/>
              <w:rPr>
                <w:sz w:val="24"/>
                <w:szCs w:val="24"/>
                <w:color w:val="auto"/>
              </w:rPr>
            </w:pPr>
          </w:p>
        </w:tc>
        <w:tc>
          <w:tcPr>
            <w:tcW w:w="17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-1165225</wp:posOffset>
            </wp:positionV>
            <wp:extent cx="17145" cy="17145"/>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-1165225</wp:posOffset>
            </wp:positionV>
            <wp:extent cx="17145" cy="17145"/>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-1165225</wp:posOffset>
            </wp:positionV>
            <wp:extent cx="17145" cy="17145"/>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-1165225</wp:posOffset>
            </wp:positionV>
            <wp:extent cx="17145" cy="17145"/>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-1165225</wp:posOffset>
            </wp:positionV>
            <wp:extent cx="17145" cy="17145"/>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-1165225</wp:posOffset>
            </wp:positionV>
            <wp:extent cx="17145" cy="17145"/>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-1165225</wp:posOffset>
            </wp:positionV>
            <wp:extent cx="17145" cy="17145"/>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-1165225</wp:posOffset>
            </wp:positionV>
            <wp:extent cx="17145" cy="17145"/>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-1165225</wp:posOffset>
            </wp:positionV>
            <wp:extent cx="17145" cy="17145"/>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-1165225</wp:posOffset>
            </wp:positionV>
            <wp:extent cx="17145" cy="17145"/>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-1165225</wp:posOffset>
            </wp:positionV>
            <wp:extent cx="17145" cy="17145"/>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-1165225</wp:posOffset>
            </wp:positionV>
            <wp:extent cx="17145" cy="17145"/>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-1165225</wp:posOffset>
            </wp:positionV>
            <wp:extent cx="17145" cy="17145"/>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-1165225</wp:posOffset>
            </wp:positionV>
            <wp:extent cx="17145" cy="17145"/>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-1165225</wp:posOffset>
            </wp:positionV>
            <wp:extent cx="17145" cy="17145"/>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-1165225</wp:posOffset>
            </wp:positionV>
            <wp:extent cx="17145" cy="17145"/>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-1165225</wp:posOffset>
            </wp:positionV>
            <wp:extent cx="17145" cy="17145"/>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-1165225</wp:posOffset>
            </wp:positionV>
            <wp:extent cx="17145" cy="17145"/>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-1165225</wp:posOffset>
            </wp:positionV>
            <wp:extent cx="17145" cy="17145"/>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-1165225</wp:posOffset>
            </wp:positionV>
            <wp:extent cx="17145" cy="17145"/>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-1165225</wp:posOffset>
            </wp:positionV>
            <wp:extent cx="17145" cy="17145"/>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-1165225</wp:posOffset>
            </wp:positionV>
            <wp:extent cx="17145" cy="17145"/>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-1165225</wp:posOffset>
            </wp:positionV>
            <wp:extent cx="17145" cy="17145"/>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-1165225</wp:posOffset>
            </wp:positionV>
            <wp:extent cx="17145" cy="17145"/>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-1165225</wp:posOffset>
            </wp:positionV>
            <wp:extent cx="17145" cy="17145"/>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-1165225</wp:posOffset>
            </wp:positionV>
            <wp:extent cx="17145" cy="17145"/>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-1165225</wp:posOffset>
            </wp:positionV>
            <wp:extent cx="17145" cy="17145"/>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-1165225</wp:posOffset>
            </wp:positionV>
            <wp:extent cx="17145" cy="17145"/>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-1165225</wp:posOffset>
            </wp:positionV>
            <wp:extent cx="17145" cy="17145"/>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-1165225</wp:posOffset>
            </wp:positionV>
            <wp:extent cx="17145" cy="17145"/>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-1165225</wp:posOffset>
            </wp:positionV>
            <wp:extent cx="17145" cy="17145"/>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-1165225</wp:posOffset>
            </wp:positionV>
            <wp:extent cx="17145" cy="17145"/>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-1165225</wp:posOffset>
            </wp:positionV>
            <wp:extent cx="17145" cy="17145"/>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-1165225</wp:posOffset>
            </wp:positionV>
            <wp:extent cx="17145" cy="17145"/>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-1165225</wp:posOffset>
            </wp:positionV>
            <wp:extent cx="17145" cy="17145"/>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-1165225</wp:posOffset>
            </wp:positionV>
            <wp:extent cx="17145" cy="17145"/>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-1165225</wp:posOffset>
            </wp:positionV>
            <wp:extent cx="17145" cy="17145"/>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-1165225</wp:posOffset>
            </wp:positionV>
            <wp:extent cx="17145" cy="17145"/>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-1165225</wp:posOffset>
            </wp:positionV>
            <wp:extent cx="17145" cy="17145"/>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-1165225</wp:posOffset>
            </wp:positionV>
            <wp:extent cx="17145" cy="17145"/>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-1165225</wp:posOffset>
            </wp:positionV>
            <wp:extent cx="17145" cy="17145"/>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-1165225</wp:posOffset>
            </wp:positionV>
            <wp:extent cx="17145" cy="17145"/>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-1165225</wp:posOffset>
            </wp:positionV>
            <wp:extent cx="17145" cy="17145"/>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-1165225</wp:posOffset>
            </wp:positionV>
            <wp:extent cx="17145" cy="17145"/>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-1165225</wp:posOffset>
            </wp:positionV>
            <wp:extent cx="17145" cy="17145"/>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-1165225</wp:posOffset>
            </wp:positionV>
            <wp:extent cx="5580380" cy="17145"/>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8">
                      <a:extLst>
                        <a:ext uri="{28A0092B-C50C-407E-A947-70E740481C1C}"/>
                      </a:extLst>
                    </a:blip>
                    <a:srcRect/>
                    <a:stretch>
                      <a:fillRect/>
                    </a:stretch>
                  </pic:blipFill>
                  <pic:spPr bwMode="auto">
                    <a:xfrm>
                      <a:off x="0" y="0"/>
                      <a:ext cx="5580380" cy="171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-1473835</wp:posOffset>
            </wp:positionV>
            <wp:extent cx="17145" cy="17145"/>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-1473835</wp:posOffset>
            </wp:positionV>
            <wp:extent cx="17145" cy="17145"/>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-1473835</wp:posOffset>
            </wp:positionV>
            <wp:extent cx="17145" cy="17145"/>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-1473835</wp:posOffset>
            </wp:positionV>
            <wp:extent cx="17145" cy="17145"/>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-1473835</wp:posOffset>
            </wp:positionV>
            <wp:extent cx="17145" cy="17145"/>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-1473835</wp:posOffset>
            </wp:positionV>
            <wp:extent cx="17145" cy="17145"/>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-1473835</wp:posOffset>
            </wp:positionV>
            <wp:extent cx="17145" cy="17145"/>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-1473835</wp:posOffset>
            </wp:positionV>
            <wp:extent cx="17145" cy="17145"/>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-1473835</wp:posOffset>
            </wp:positionV>
            <wp:extent cx="17145" cy="17145"/>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-1473835</wp:posOffset>
            </wp:positionV>
            <wp:extent cx="17145" cy="17145"/>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-1473835</wp:posOffset>
            </wp:positionV>
            <wp:extent cx="17145" cy="17145"/>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-1473835</wp:posOffset>
            </wp:positionV>
            <wp:extent cx="17145" cy="17145"/>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-1473835</wp:posOffset>
            </wp:positionV>
            <wp:extent cx="17145" cy="17145"/>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-1473835</wp:posOffset>
            </wp:positionV>
            <wp:extent cx="17145" cy="17145"/>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-1473835</wp:posOffset>
            </wp:positionV>
            <wp:extent cx="17145" cy="17145"/>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-1473835</wp:posOffset>
            </wp:positionV>
            <wp:extent cx="17145" cy="17145"/>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-1473835</wp:posOffset>
            </wp:positionV>
            <wp:extent cx="17145" cy="17145"/>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-1473835</wp:posOffset>
            </wp:positionV>
            <wp:extent cx="17145" cy="17145"/>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-1473835</wp:posOffset>
            </wp:positionV>
            <wp:extent cx="17145" cy="17145"/>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-1473835</wp:posOffset>
            </wp:positionV>
            <wp:extent cx="17145" cy="17145"/>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-1473835</wp:posOffset>
            </wp:positionV>
            <wp:extent cx="17145" cy="17145"/>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-1473835</wp:posOffset>
            </wp:positionV>
            <wp:extent cx="17145" cy="17145"/>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-1473835</wp:posOffset>
            </wp:positionV>
            <wp:extent cx="17145" cy="17145"/>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-1473835</wp:posOffset>
            </wp:positionV>
            <wp:extent cx="17145" cy="17145"/>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-1473835</wp:posOffset>
            </wp:positionV>
            <wp:extent cx="17145" cy="17145"/>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-1473835</wp:posOffset>
            </wp:positionV>
            <wp:extent cx="17145" cy="17145"/>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-1473835</wp:posOffset>
            </wp:positionV>
            <wp:extent cx="17145" cy="17145"/>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-1473835</wp:posOffset>
            </wp:positionV>
            <wp:extent cx="17145" cy="17145"/>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-1473835</wp:posOffset>
            </wp:positionV>
            <wp:extent cx="17145" cy="17145"/>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-1473835</wp:posOffset>
            </wp:positionV>
            <wp:extent cx="17145" cy="17145"/>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-1473835</wp:posOffset>
            </wp:positionV>
            <wp:extent cx="17145" cy="17145"/>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-1473835</wp:posOffset>
            </wp:positionV>
            <wp:extent cx="17145" cy="17145"/>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-1473835</wp:posOffset>
            </wp:positionV>
            <wp:extent cx="17145" cy="17145"/>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-1473835</wp:posOffset>
            </wp:positionV>
            <wp:extent cx="17145" cy="17145"/>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-1473835</wp:posOffset>
            </wp:positionV>
            <wp:extent cx="17145" cy="17145"/>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-1473835</wp:posOffset>
            </wp:positionV>
            <wp:extent cx="17145" cy="17145"/>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-1473835</wp:posOffset>
            </wp:positionV>
            <wp:extent cx="17145" cy="17145"/>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-1473835</wp:posOffset>
            </wp:positionV>
            <wp:extent cx="17145" cy="17145"/>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-1473835</wp:posOffset>
            </wp:positionV>
            <wp:extent cx="17145" cy="17145"/>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-1473835</wp:posOffset>
            </wp:positionV>
            <wp:extent cx="17145" cy="17145"/>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-1473835</wp:posOffset>
            </wp:positionV>
            <wp:extent cx="17145" cy="17145"/>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-1473835</wp:posOffset>
            </wp:positionV>
            <wp:extent cx="17145" cy="17145"/>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-1473835</wp:posOffset>
            </wp:positionV>
            <wp:extent cx="17145" cy="17145"/>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-1473835</wp:posOffset>
            </wp:positionV>
            <wp:extent cx="17145" cy="17145"/>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-1473835</wp:posOffset>
            </wp:positionV>
            <wp:extent cx="17145" cy="17145"/>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-1473835</wp:posOffset>
            </wp:positionV>
            <wp:extent cx="5580380" cy="17145"/>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4">
                      <a:extLst>
                        <a:ext uri="{28A0092B-C50C-407E-A947-70E740481C1C}"/>
                      </a:extLst>
                    </a:blip>
                    <a:srcRect/>
                    <a:stretch>
                      <a:fillRect/>
                    </a:stretch>
                  </pic:blipFill>
                  <pic:spPr bwMode="auto">
                    <a:xfrm>
                      <a:off x="0" y="0"/>
                      <a:ext cx="5580380" cy="171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-1765300</wp:posOffset>
            </wp:positionV>
            <wp:extent cx="17145" cy="17145"/>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-1765300</wp:posOffset>
            </wp:positionV>
            <wp:extent cx="17145" cy="17145"/>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-1765300</wp:posOffset>
            </wp:positionV>
            <wp:extent cx="17145" cy="17145"/>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-1765300</wp:posOffset>
            </wp:positionV>
            <wp:extent cx="17145" cy="17145"/>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-1765300</wp:posOffset>
            </wp:positionV>
            <wp:extent cx="17145" cy="17145"/>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5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-1765300</wp:posOffset>
            </wp:positionV>
            <wp:extent cx="17145" cy="17145"/>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-1765300</wp:posOffset>
            </wp:positionV>
            <wp:extent cx="17145" cy="17145"/>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-1765300</wp:posOffset>
            </wp:positionV>
            <wp:extent cx="17145" cy="17145"/>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-1765300</wp:posOffset>
            </wp:positionV>
            <wp:extent cx="17145" cy="17145"/>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-1765300</wp:posOffset>
            </wp:positionV>
            <wp:extent cx="17145" cy="17145"/>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-1765300</wp:posOffset>
            </wp:positionV>
            <wp:extent cx="17145" cy="17145"/>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-1765300</wp:posOffset>
            </wp:positionV>
            <wp:extent cx="17145" cy="17145"/>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-1765300</wp:posOffset>
            </wp:positionV>
            <wp:extent cx="17145" cy="17145"/>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-1765300</wp:posOffset>
            </wp:positionV>
            <wp:extent cx="17145" cy="17145"/>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-1765300</wp:posOffset>
            </wp:positionV>
            <wp:extent cx="17145" cy="17145"/>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-1765300</wp:posOffset>
            </wp:positionV>
            <wp:extent cx="17145" cy="17145"/>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-1765300</wp:posOffset>
            </wp:positionV>
            <wp:extent cx="17145" cy="17145"/>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-1765300</wp:posOffset>
            </wp:positionV>
            <wp:extent cx="17145" cy="17145"/>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-1765300</wp:posOffset>
            </wp:positionV>
            <wp:extent cx="17145" cy="17145"/>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-1765300</wp:posOffset>
            </wp:positionV>
            <wp:extent cx="17145" cy="17145"/>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-1765300</wp:posOffset>
            </wp:positionV>
            <wp:extent cx="17145" cy="17145"/>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-1765300</wp:posOffset>
            </wp:positionV>
            <wp:extent cx="17145" cy="17145"/>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-1765300</wp:posOffset>
            </wp:positionV>
            <wp:extent cx="17145" cy="17145"/>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-1765300</wp:posOffset>
            </wp:positionV>
            <wp:extent cx="17145" cy="17145"/>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-1765300</wp:posOffset>
            </wp:positionV>
            <wp:extent cx="17145" cy="17145"/>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-1765300</wp:posOffset>
            </wp:positionV>
            <wp:extent cx="17145" cy="17145"/>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-1765300</wp:posOffset>
            </wp:positionV>
            <wp:extent cx="17145" cy="17145"/>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-1765300</wp:posOffset>
            </wp:positionV>
            <wp:extent cx="17145" cy="17145"/>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-1765300</wp:posOffset>
            </wp:positionV>
            <wp:extent cx="17145" cy="17145"/>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-1765300</wp:posOffset>
            </wp:positionV>
            <wp:extent cx="17145" cy="17145"/>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-1765300</wp:posOffset>
            </wp:positionV>
            <wp:extent cx="17145" cy="17145"/>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-1765300</wp:posOffset>
            </wp:positionV>
            <wp:extent cx="17145" cy="17145"/>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-1765300</wp:posOffset>
            </wp:positionV>
            <wp:extent cx="17145" cy="17145"/>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-1765300</wp:posOffset>
            </wp:positionV>
            <wp:extent cx="17145" cy="17145"/>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-1765300</wp:posOffset>
            </wp:positionV>
            <wp:extent cx="17145" cy="17145"/>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-1765300</wp:posOffset>
            </wp:positionV>
            <wp:extent cx="17145" cy="17145"/>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-1765300</wp:posOffset>
            </wp:positionV>
            <wp:extent cx="17145" cy="17145"/>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-1765300</wp:posOffset>
            </wp:positionV>
            <wp:extent cx="17145" cy="17145"/>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-1765300</wp:posOffset>
            </wp:positionV>
            <wp:extent cx="17145" cy="17145"/>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-1765300</wp:posOffset>
            </wp:positionV>
            <wp:extent cx="17145" cy="17145"/>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-1765300</wp:posOffset>
            </wp:positionV>
            <wp:extent cx="17145" cy="17145"/>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-1765300</wp:posOffset>
            </wp:positionV>
            <wp:extent cx="17145" cy="17145"/>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-1765300</wp:posOffset>
            </wp:positionV>
            <wp:extent cx="17145" cy="17145"/>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-1765300</wp:posOffset>
            </wp:positionV>
            <wp:extent cx="17145" cy="17145"/>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-1765300</wp:posOffset>
            </wp:positionV>
            <wp:extent cx="17145" cy="17145"/>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-1765300</wp:posOffset>
            </wp:positionV>
            <wp:extent cx="5580380" cy="17145"/>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0">
                      <a:extLst>
                        <a:ext uri="{28A0092B-C50C-407E-A947-70E740481C1C}"/>
                      </a:extLst>
                    </a:blip>
                    <a:srcRect/>
                    <a:stretch>
                      <a:fillRect/>
                    </a:stretch>
                  </pic:blipFill>
                  <pic:spPr bwMode="auto">
                    <a:xfrm>
                      <a:off x="0" y="0"/>
                      <a:ext cx="5580380" cy="171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-2202180</wp:posOffset>
            </wp:positionV>
            <wp:extent cx="17145" cy="17145"/>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-2202180</wp:posOffset>
            </wp:positionV>
            <wp:extent cx="17145" cy="17145"/>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-2202180</wp:posOffset>
            </wp:positionV>
            <wp:extent cx="17145" cy="17145"/>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-2202180</wp:posOffset>
            </wp:positionV>
            <wp:extent cx="17145" cy="17145"/>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-2202180</wp:posOffset>
            </wp:positionV>
            <wp:extent cx="17145" cy="17145"/>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-2202180</wp:posOffset>
            </wp:positionV>
            <wp:extent cx="17145" cy="17145"/>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-2202180</wp:posOffset>
            </wp:positionV>
            <wp:extent cx="17145" cy="17145"/>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-2202180</wp:posOffset>
            </wp:positionV>
            <wp:extent cx="17145" cy="17145"/>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-2202180</wp:posOffset>
            </wp:positionV>
            <wp:extent cx="17145" cy="17145"/>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-2202180</wp:posOffset>
            </wp:positionV>
            <wp:extent cx="17145" cy="17145"/>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-2202180</wp:posOffset>
            </wp:positionV>
            <wp:extent cx="17145" cy="17145"/>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-2202180</wp:posOffset>
            </wp:positionV>
            <wp:extent cx="17145" cy="17145"/>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-2202180</wp:posOffset>
            </wp:positionV>
            <wp:extent cx="17145" cy="17145"/>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-2202180</wp:posOffset>
            </wp:positionV>
            <wp:extent cx="17145" cy="17145"/>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-2202180</wp:posOffset>
            </wp:positionV>
            <wp:extent cx="17145" cy="17145"/>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-2202180</wp:posOffset>
            </wp:positionV>
            <wp:extent cx="17145" cy="17145"/>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-2202180</wp:posOffset>
            </wp:positionV>
            <wp:extent cx="17145" cy="17145"/>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-2202180</wp:posOffset>
            </wp:positionV>
            <wp:extent cx="17145" cy="17145"/>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-2202180</wp:posOffset>
            </wp:positionV>
            <wp:extent cx="17145" cy="17145"/>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-2202180</wp:posOffset>
            </wp:positionV>
            <wp:extent cx="17145" cy="17145"/>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-2202180</wp:posOffset>
            </wp:positionV>
            <wp:extent cx="17145" cy="17145"/>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-2202180</wp:posOffset>
            </wp:positionV>
            <wp:extent cx="17145" cy="17145"/>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-2202180</wp:posOffset>
            </wp:positionV>
            <wp:extent cx="17145" cy="17145"/>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-2202180</wp:posOffset>
            </wp:positionV>
            <wp:extent cx="17145" cy="17145"/>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-2202180</wp:posOffset>
            </wp:positionV>
            <wp:extent cx="17145" cy="17145"/>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-2202180</wp:posOffset>
            </wp:positionV>
            <wp:extent cx="17145" cy="17145"/>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-2202180</wp:posOffset>
            </wp:positionV>
            <wp:extent cx="17145" cy="17145"/>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-2202180</wp:posOffset>
            </wp:positionV>
            <wp:extent cx="17145" cy="17145"/>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-2202180</wp:posOffset>
            </wp:positionV>
            <wp:extent cx="17145" cy="17145"/>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-2202180</wp:posOffset>
            </wp:positionV>
            <wp:extent cx="17145" cy="17145"/>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-2202180</wp:posOffset>
            </wp:positionV>
            <wp:extent cx="17145" cy="17145"/>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-2202180</wp:posOffset>
            </wp:positionV>
            <wp:extent cx="17145" cy="17145"/>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-2202180</wp:posOffset>
            </wp:positionV>
            <wp:extent cx="17145" cy="17145"/>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-2202180</wp:posOffset>
            </wp:positionV>
            <wp:extent cx="17145" cy="17145"/>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-2202180</wp:posOffset>
            </wp:positionV>
            <wp:extent cx="17145" cy="17145"/>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-2202180</wp:posOffset>
            </wp:positionV>
            <wp:extent cx="17145" cy="17145"/>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-2202180</wp:posOffset>
            </wp:positionV>
            <wp:extent cx="17145" cy="17145"/>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-2202180</wp:posOffset>
            </wp:positionV>
            <wp:extent cx="17145" cy="17145"/>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-2202180</wp:posOffset>
            </wp:positionV>
            <wp:extent cx="17145" cy="17145"/>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-2202180</wp:posOffset>
            </wp:positionV>
            <wp:extent cx="17145" cy="17145"/>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-2202180</wp:posOffset>
            </wp:positionV>
            <wp:extent cx="17145" cy="17145"/>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-2202180</wp:posOffset>
            </wp:positionV>
            <wp:extent cx="17145" cy="17145"/>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-2202180</wp:posOffset>
            </wp:positionV>
            <wp:extent cx="17145" cy="17145"/>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-2202180</wp:posOffset>
            </wp:positionV>
            <wp:extent cx="17145" cy="17145"/>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-2202180</wp:posOffset>
            </wp:positionV>
            <wp:extent cx="17145" cy="17145"/>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-2202180</wp:posOffset>
            </wp:positionV>
            <wp:extent cx="5580380" cy="17145"/>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6">
                      <a:extLst>
                        <a:ext uri="{28A0092B-C50C-407E-A947-70E740481C1C}"/>
                      </a:extLst>
                    </a:blip>
                    <a:srcRect/>
                    <a:stretch>
                      <a:fillRect/>
                    </a:stretch>
                  </pic:blipFill>
                  <pic:spPr bwMode="auto">
                    <a:xfrm>
                      <a:off x="0" y="0"/>
                      <a:ext cx="5580380" cy="171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-2485390</wp:posOffset>
            </wp:positionV>
            <wp:extent cx="17145" cy="17145"/>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-2485390</wp:posOffset>
            </wp:positionV>
            <wp:extent cx="17145" cy="17145"/>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-2485390</wp:posOffset>
            </wp:positionV>
            <wp:extent cx="17145" cy="17145"/>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-2485390</wp:posOffset>
            </wp:positionV>
            <wp:extent cx="17145" cy="17145"/>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-2485390</wp:posOffset>
            </wp:positionV>
            <wp:extent cx="17145" cy="17145"/>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-2485390</wp:posOffset>
            </wp:positionV>
            <wp:extent cx="17145" cy="17145"/>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-2485390</wp:posOffset>
            </wp:positionV>
            <wp:extent cx="17145" cy="17145"/>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-2485390</wp:posOffset>
            </wp:positionV>
            <wp:extent cx="17145" cy="17145"/>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-2485390</wp:posOffset>
            </wp:positionV>
            <wp:extent cx="17145" cy="17145"/>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-2485390</wp:posOffset>
            </wp:positionV>
            <wp:extent cx="17145" cy="17145"/>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-2485390</wp:posOffset>
            </wp:positionV>
            <wp:extent cx="17145" cy="17145"/>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6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-2485390</wp:posOffset>
            </wp:positionV>
            <wp:extent cx="17145" cy="17145"/>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6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-2485390</wp:posOffset>
            </wp:positionV>
            <wp:extent cx="17145" cy="17145"/>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6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-2485390</wp:posOffset>
            </wp:positionV>
            <wp:extent cx="17145" cy="17145"/>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-2485390</wp:posOffset>
            </wp:positionV>
            <wp:extent cx="17145" cy="17145"/>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-2485390</wp:posOffset>
            </wp:positionV>
            <wp:extent cx="17145" cy="17145"/>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-2485390</wp:posOffset>
            </wp:positionV>
            <wp:extent cx="17145" cy="17145"/>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-2485390</wp:posOffset>
            </wp:positionV>
            <wp:extent cx="17145" cy="17145"/>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-2485390</wp:posOffset>
            </wp:positionV>
            <wp:extent cx="17145" cy="17145"/>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-2485390</wp:posOffset>
            </wp:positionV>
            <wp:extent cx="17145" cy="17145"/>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-2485390</wp:posOffset>
            </wp:positionV>
            <wp:extent cx="17145" cy="17145"/>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-2485390</wp:posOffset>
            </wp:positionV>
            <wp:extent cx="17145" cy="17145"/>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-2485390</wp:posOffset>
            </wp:positionV>
            <wp:extent cx="17145" cy="17145"/>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-2485390</wp:posOffset>
            </wp:positionV>
            <wp:extent cx="17145" cy="17145"/>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-2485390</wp:posOffset>
            </wp:positionV>
            <wp:extent cx="17145" cy="17145"/>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-2485390</wp:posOffset>
            </wp:positionV>
            <wp:extent cx="17145" cy="17145"/>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-2485390</wp:posOffset>
            </wp:positionV>
            <wp:extent cx="17145" cy="17145"/>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-2485390</wp:posOffset>
            </wp:positionV>
            <wp:extent cx="17145" cy="17145"/>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-2485390</wp:posOffset>
            </wp:positionV>
            <wp:extent cx="17145" cy="17145"/>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-2485390</wp:posOffset>
            </wp:positionV>
            <wp:extent cx="17145" cy="17145"/>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-2485390</wp:posOffset>
            </wp:positionV>
            <wp:extent cx="17145" cy="17145"/>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-2485390</wp:posOffset>
            </wp:positionV>
            <wp:extent cx="17145" cy="17145"/>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-2485390</wp:posOffset>
            </wp:positionV>
            <wp:extent cx="17145" cy="17145"/>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-2485390</wp:posOffset>
            </wp:positionV>
            <wp:extent cx="17145" cy="17145"/>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-2485390</wp:posOffset>
            </wp:positionV>
            <wp:extent cx="17145" cy="17145"/>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-2485390</wp:posOffset>
            </wp:positionV>
            <wp:extent cx="17145" cy="17145"/>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-2485390</wp:posOffset>
            </wp:positionV>
            <wp:extent cx="17145" cy="17145"/>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-2485390</wp:posOffset>
            </wp:positionV>
            <wp:extent cx="17145" cy="17145"/>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-2485390</wp:posOffset>
            </wp:positionV>
            <wp:extent cx="17145" cy="17145"/>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-2485390</wp:posOffset>
            </wp:positionV>
            <wp:extent cx="17145" cy="17145"/>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-2485390</wp:posOffset>
            </wp:positionV>
            <wp:extent cx="17145" cy="17145"/>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-2485390</wp:posOffset>
            </wp:positionV>
            <wp:extent cx="17145" cy="17145"/>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-2485390</wp:posOffset>
            </wp:positionV>
            <wp:extent cx="17145" cy="17145"/>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-2485390</wp:posOffset>
            </wp:positionV>
            <wp:extent cx="17145" cy="17145"/>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-2485390</wp:posOffset>
            </wp:positionV>
            <wp:extent cx="17145" cy="17145"/>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-2485390</wp:posOffset>
            </wp:positionV>
            <wp:extent cx="5580380" cy="17145"/>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2">
                      <a:extLst>
                        <a:ext uri="{28A0092B-C50C-407E-A947-70E740481C1C}"/>
                      </a:extLst>
                    </a:blip>
                    <a:srcRect/>
                    <a:stretch>
                      <a:fillRect/>
                    </a:stretch>
                  </pic:blipFill>
                  <pic:spPr bwMode="auto">
                    <a:xfrm>
                      <a:off x="0" y="0"/>
                      <a:ext cx="5580380" cy="171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-2914015</wp:posOffset>
            </wp:positionV>
            <wp:extent cx="17145" cy="17145"/>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-2914015</wp:posOffset>
            </wp:positionV>
            <wp:extent cx="17145" cy="17145"/>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-2914015</wp:posOffset>
            </wp:positionV>
            <wp:extent cx="17145" cy="17145"/>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-2914015</wp:posOffset>
            </wp:positionV>
            <wp:extent cx="17145" cy="17145"/>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-2914015</wp:posOffset>
            </wp:positionV>
            <wp:extent cx="17145" cy="17145"/>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-2914015</wp:posOffset>
            </wp:positionV>
            <wp:extent cx="17145" cy="17145"/>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-2914015</wp:posOffset>
            </wp:positionV>
            <wp:extent cx="17145" cy="17145"/>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-2914015</wp:posOffset>
            </wp:positionV>
            <wp:extent cx="17145" cy="17145"/>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-2914015</wp:posOffset>
            </wp:positionV>
            <wp:extent cx="17145" cy="17145"/>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-2914015</wp:posOffset>
            </wp:positionV>
            <wp:extent cx="17145" cy="17145"/>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-2914015</wp:posOffset>
            </wp:positionV>
            <wp:extent cx="17145" cy="17145"/>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-2914015</wp:posOffset>
            </wp:positionV>
            <wp:extent cx="17145" cy="17145"/>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-2914015</wp:posOffset>
            </wp:positionV>
            <wp:extent cx="17145" cy="17145"/>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-2914015</wp:posOffset>
            </wp:positionV>
            <wp:extent cx="17145" cy="17145"/>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-2914015</wp:posOffset>
            </wp:positionV>
            <wp:extent cx="17145" cy="17145"/>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-2914015</wp:posOffset>
            </wp:positionV>
            <wp:extent cx="17145" cy="17145"/>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-2914015</wp:posOffset>
            </wp:positionV>
            <wp:extent cx="17145" cy="17145"/>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-2914015</wp:posOffset>
            </wp:positionV>
            <wp:extent cx="17145" cy="17145"/>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-2914015</wp:posOffset>
            </wp:positionV>
            <wp:extent cx="17145" cy="17145"/>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-2914015</wp:posOffset>
            </wp:positionV>
            <wp:extent cx="17145" cy="17145"/>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-2914015</wp:posOffset>
            </wp:positionV>
            <wp:extent cx="17145" cy="17145"/>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-2914015</wp:posOffset>
            </wp:positionV>
            <wp:extent cx="17145" cy="17145"/>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-2914015</wp:posOffset>
            </wp:positionV>
            <wp:extent cx="17145" cy="17145"/>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-2914015</wp:posOffset>
            </wp:positionV>
            <wp:extent cx="17145" cy="17145"/>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-2914015</wp:posOffset>
            </wp:positionV>
            <wp:extent cx="17145" cy="17145"/>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-2914015</wp:posOffset>
            </wp:positionV>
            <wp:extent cx="17145" cy="17145"/>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-2914015</wp:posOffset>
            </wp:positionV>
            <wp:extent cx="17145" cy="17145"/>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-2914015</wp:posOffset>
            </wp:positionV>
            <wp:extent cx="17145" cy="17145"/>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-2914015</wp:posOffset>
            </wp:positionV>
            <wp:extent cx="17145" cy="17145"/>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-2914015</wp:posOffset>
            </wp:positionV>
            <wp:extent cx="17145" cy="17145"/>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-2914015</wp:posOffset>
            </wp:positionV>
            <wp:extent cx="17145" cy="17145"/>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-2914015</wp:posOffset>
            </wp:positionV>
            <wp:extent cx="17145" cy="17145"/>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-2914015</wp:posOffset>
            </wp:positionV>
            <wp:extent cx="17145" cy="17145"/>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-2914015</wp:posOffset>
            </wp:positionV>
            <wp:extent cx="17145" cy="17145"/>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-2914015</wp:posOffset>
            </wp:positionV>
            <wp:extent cx="17145" cy="17145"/>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-2914015</wp:posOffset>
            </wp:positionV>
            <wp:extent cx="17145" cy="17145"/>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-2914015</wp:posOffset>
            </wp:positionV>
            <wp:extent cx="17145" cy="17145"/>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-2914015</wp:posOffset>
            </wp:positionV>
            <wp:extent cx="17145" cy="17145"/>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-2914015</wp:posOffset>
            </wp:positionV>
            <wp:extent cx="17145" cy="17145"/>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-2914015</wp:posOffset>
            </wp:positionV>
            <wp:extent cx="17145" cy="17145"/>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-2914015</wp:posOffset>
            </wp:positionV>
            <wp:extent cx="17145" cy="17145"/>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-2914015</wp:posOffset>
            </wp:positionV>
            <wp:extent cx="17145" cy="17145"/>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-2914015</wp:posOffset>
            </wp:positionV>
            <wp:extent cx="17145" cy="17145"/>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-2914015</wp:posOffset>
            </wp:positionV>
            <wp:extent cx="17145" cy="17145"/>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-2914015</wp:posOffset>
            </wp:positionV>
            <wp:extent cx="17145" cy="17145"/>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-2914015</wp:posOffset>
            </wp:positionV>
            <wp:extent cx="5580380" cy="17145"/>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78">
                      <a:extLst>
                        <a:ext uri="{28A0092B-C50C-407E-A947-70E740481C1C}"/>
                      </a:extLst>
                    </a:blip>
                    <a:srcRect/>
                    <a:stretch>
                      <a:fillRect/>
                    </a:stretch>
                  </pic:blipFill>
                  <pic:spPr bwMode="auto">
                    <a:xfrm>
                      <a:off x="0" y="0"/>
                      <a:ext cx="5580380" cy="1714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-454025</wp:posOffset>
            </wp:positionV>
            <wp:extent cx="471805" cy="282575"/>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79">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0233A1"/>
        </w:rPr>
        <w:t>Our Peer Group Companies</w:t>
      </w:r>
    </w:p>
    <w:p>
      <w:pPr>
        <w:spacing w:after="0" w:line="18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Our Compensation Committee considers formal executive compensation survey data prepared by Pay Governance when it reviews and determines executive compensation, and when considering changes to our executive compensation program. The Committee considers data for the companies comprising our two main executive compensation peer groups—our core industry peer group and our general industry peer group. The Committee believes these peer groups together provide the robust market data necessary to assess the current and future talent markets available to our executive officers, both in the oil and gas sector and in other advanced extractive, technology-driven manufacturing, and industrial engineering-focused sectors. General industry peer group comparisons are particularly relevant for non-operations positions, where skills and experience may be easily transferable to other industries. In addition, the evolving energy industry environment creates challenges in maintaining a robust peer group comprising solely oilfield services and upstream companies, given decreases in individual company scope, as well as bankruptcies and consolidations in recent cycles.</w:t>
      </w:r>
    </w:p>
    <w:p>
      <w:pPr>
        <w:spacing w:after="0" w:line="1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The Committee annually reviews the specific selection criteria for our main executive compensation peer groups, such as competition for business or executive talent, revenue, market capitalization, and scope of international operations. Pay Governance annually recommends for the Committee’s review the addition or removal of companies from these peer groups, based on the Committee’s selection criteria. As a general matter, the Committee selects suitable comparator companies such that the companies in these peer groups, at the median, approximate SLB’s estimated revenue in the then-current year and its then-current market capitalization. The Committee modifies its peer group criteria as appropriate while seeking a satisfactory degree of stability, to provide a consistent basis for comparison.</w:t>
      </w:r>
    </w:p>
    <w:p>
      <w:pPr>
        <w:spacing w:after="0" w:line="15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In July 2021, our Compensation Committee reviewed and approved the companies listed below to comprise our two main executive compensation peer groups, effective for 2022 executive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88595"/>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8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183" w:lineRule="exact"/>
        <w:rPr>
          <w:sz w:val="20"/>
          <w:szCs w:val="20"/>
          <w:color w:val="auto"/>
        </w:rPr>
      </w:pPr>
    </w:p>
    <w:p>
      <w:pPr>
        <w:ind w:left="4640"/>
        <w:spacing w:after="0"/>
        <w:rPr>
          <w:sz w:val="20"/>
          <w:szCs w:val="20"/>
          <w:color w:val="auto"/>
        </w:rPr>
      </w:pPr>
      <w:r>
        <w:rPr>
          <w:rFonts w:ascii="Arial" w:cs="Arial" w:eastAsia="Arial" w:hAnsi="Arial"/>
          <w:sz w:val="16"/>
          <w:szCs w:val="16"/>
          <w:b w:val="1"/>
          <w:bCs w:val="1"/>
          <w:color w:val="FFFFFF"/>
        </w:rPr>
        <w:t>Core Industry Peer Group</w:t>
      </w:r>
    </w:p>
    <w:p>
      <w:pPr>
        <w:spacing w:after="0" w:line="140" w:lineRule="exact"/>
        <w:rPr>
          <w:sz w:val="20"/>
          <w:szCs w:val="20"/>
          <w:color w:val="auto"/>
        </w:rPr>
      </w:pPr>
    </w:p>
    <w:p>
      <w:pPr>
        <w:jc w:val="both"/>
        <w:ind w:right="1320" w:firstLine="324"/>
        <w:spacing w:after="0" w:line="252" w:lineRule="auto"/>
        <w:rPr>
          <w:sz w:val="20"/>
          <w:szCs w:val="20"/>
          <w:color w:val="auto"/>
        </w:rPr>
      </w:pPr>
      <w:r>
        <w:rPr>
          <w:rFonts w:ascii="Arial" w:cs="Arial" w:eastAsia="Arial" w:hAnsi="Arial"/>
          <w:sz w:val="16"/>
          <w:szCs w:val="16"/>
          <w:color w:val="auto"/>
        </w:rPr>
        <w:t>This peer group comprises ten companies in the energy sector, primarily in the oilfield services and equipment and upstream oil and gas industries, with 2020 revenues between $6.1 billion and $42.9 billion. SLB was</w:t>
      </w:r>
    </w:p>
    <w:p>
      <w:pPr>
        <w:spacing w:after="0" w:line="184" w:lineRule="auto"/>
        <w:rPr>
          <w:sz w:val="20"/>
          <w:szCs w:val="20"/>
          <w:color w:val="auto"/>
        </w:rPr>
      </w:pPr>
      <w:r>
        <w:rPr>
          <w:rFonts w:ascii="Arial" w:cs="Arial" w:eastAsia="Arial" w:hAnsi="Arial"/>
          <w:sz w:val="16"/>
          <w:szCs w:val="16"/>
          <w:color w:val="auto"/>
        </w:rPr>
        <w:t>positioned at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this peer group in terms of 2020 revenue,</w:t>
      </w:r>
    </w:p>
    <w:p>
      <w:pPr>
        <w:spacing w:after="0" w:line="1" w:lineRule="exact"/>
        <w:rPr>
          <w:sz w:val="20"/>
          <w:szCs w:val="20"/>
          <w:color w:val="auto"/>
        </w:rPr>
      </w:pPr>
    </w:p>
    <w:p>
      <w:pPr>
        <w:jc w:val="both"/>
        <w:ind w:right="1320"/>
        <w:spacing w:after="0" w:line="214" w:lineRule="auto"/>
        <w:rPr>
          <w:sz w:val="20"/>
          <w:szCs w:val="20"/>
          <w:color w:val="auto"/>
        </w:rPr>
      </w:pPr>
      <w:r>
        <w:rPr>
          <w:rFonts w:ascii="Arial" w:cs="Arial" w:eastAsia="Arial" w:hAnsi="Arial"/>
          <w:sz w:val="16"/>
          <w:szCs w:val="16"/>
          <w:color w:val="auto"/>
        </w:rPr>
        <w:t>and at the 72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percentile of this peer group in terms of market capitalization as of April 2021.</w:t>
      </w:r>
    </w:p>
    <w:p>
      <w:pPr>
        <w:spacing w:after="0" w:line="163" w:lineRule="exact"/>
        <w:rPr>
          <w:sz w:val="20"/>
          <w:szCs w:val="20"/>
          <w:color w:val="auto"/>
        </w:rPr>
      </w:pPr>
    </w:p>
    <w:p>
      <w:pPr>
        <w:jc w:val="both"/>
        <w:ind w:right="1320" w:firstLine="324"/>
        <w:spacing w:after="0" w:line="253" w:lineRule="auto"/>
        <w:rPr>
          <w:sz w:val="20"/>
          <w:szCs w:val="20"/>
          <w:color w:val="auto"/>
        </w:rPr>
      </w:pPr>
      <w:r>
        <w:rPr>
          <w:rFonts w:ascii="Arial" w:cs="Arial" w:eastAsia="Arial" w:hAnsi="Arial"/>
          <w:sz w:val="16"/>
          <w:szCs w:val="16"/>
          <w:color w:val="auto"/>
        </w:rPr>
        <w:t>Our Compensation Committee made no changes to this peer group for 2022 compensation decisions, as compared to 2021. The Committee identified the companies in this peer group as being broadly comparable to SLB in terms of revenue and market value, and also competing with us for business or executive talent. Several members of this peer group frequently seek to recruit SLB executives for their senior executive roles. See “— Competition for Our Executive Talent” on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88595"/>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8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88" w:lineRule="exact"/>
        <w:rPr>
          <w:sz w:val="20"/>
          <w:szCs w:val="20"/>
          <w:color w:val="auto"/>
        </w:rPr>
      </w:pPr>
    </w:p>
    <w:p>
      <w:pPr>
        <w:jc w:val="right"/>
        <w:ind w:right="200"/>
        <w:spacing w:after="0"/>
        <w:rPr>
          <w:sz w:val="20"/>
          <w:szCs w:val="20"/>
          <w:color w:val="auto"/>
        </w:rPr>
      </w:pPr>
      <w:r>
        <w:rPr>
          <w:rFonts w:ascii="Arial" w:cs="Arial" w:eastAsia="Arial" w:hAnsi="Arial"/>
          <w:sz w:val="16"/>
          <w:szCs w:val="16"/>
          <w:b w:val="1"/>
          <w:bCs w:val="1"/>
          <w:color w:val="FFFFFF"/>
        </w:rPr>
        <w:t>General Industry Peer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Baker Hughes</w:t>
      </w:r>
    </w:p>
    <w:p>
      <w:pPr>
        <w:spacing w:after="0" w:line="100"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BHP Group</w:t>
      </w:r>
    </w:p>
    <w:p>
      <w:pPr>
        <w:spacing w:after="0" w:line="100"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ConocoPhillips</w:t>
      </w:r>
    </w:p>
    <w:p>
      <w:pPr>
        <w:spacing w:after="0" w:line="86"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EOG Resources</w:t>
      </w:r>
    </w:p>
    <w:p>
      <w:pPr>
        <w:spacing w:after="0" w:line="100"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Halliburton</w:t>
      </w:r>
    </w:p>
    <w:p>
      <w:pPr>
        <w:spacing w:after="0" w:line="100"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Imperial Oil</w:t>
      </w:r>
    </w:p>
    <w:p>
      <w:pPr>
        <w:spacing w:after="0" w:line="86"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NOV</w:t>
      </w:r>
    </w:p>
    <w:p>
      <w:pPr>
        <w:spacing w:after="0" w:line="100"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Occidental Petroleum</w:t>
      </w:r>
    </w:p>
    <w:p>
      <w:pPr>
        <w:spacing w:after="0" w:line="100"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Suncor Energy</w:t>
      </w:r>
    </w:p>
    <w:p>
      <w:pPr>
        <w:spacing w:after="0" w:line="86" w:lineRule="exact"/>
        <w:rPr>
          <w:sz w:val="20"/>
          <w:szCs w:val="20"/>
          <w:color w:val="auto"/>
        </w:rPr>
      </w:pPr>
    </w:p>
    <w:p>
      <w:pPr>
        <w:jc w:val="center"/>
        <w:ind w:right="2040"/>
        <w:spacing w:after="0"/>
        <w:rPr>
          <w:sz w:val="20"/>
          <w:szCs w:val="20"/>
          <w:color w:val="auto"/>
        </w:rPr>
      </w:pPr>
      <w:r>
        <w:rPr>
          <w:rFonts w:ascii="Arial" w:cs="Arial" w:eastAsia="Arial" w:hAnsi="Arial"/>
          <w:sz w:val="16"/>
          <w:szCs w:val="16"/>
          <w:color w:val="auto"/>
        </w:rPr>
        <w:t>TechnipFMC</w:t>
      </w:r>
    </w:p>
    <w:p>
      <w:pPr>
        <w:spacing w:after="0" w:line="599" w:lineRule="exact"/>
        <w:rPr>
          <w:sz w:val="20"/>
          <w:szCs w:val="20"/>
          <w:color w:val="auto"/>
        </w:rPr>
      </w:pPr>
    </w:p>
    <w:p>
      <w:pPr>
        <w:sectPr>
          <w:pgSz w:w="11900" w:h="16838" w:orient="portrait"/>
          <w:cols w:equalWidth="0" w:num="2">
            <w:col w:w="6940" w:space="720"/>
            <w:col w:w="3580"/>
          </w:cols>
          <w:pgMar w:left="320" w:top="238" w:right="339" w:bottom="1440" w:gutter="0" w:footer="0" w:header="0"/>
          <w:type w:val="continuous"/>
        </w:sectPr>
      </w:pPr>
    </w:p>
    <w:p>
      <w:pPr>
        <w:jc w:val="both"/>
        <w:ind w:firstLine="324"/>
        <w:spacing w:after="0" w:line="251" w:lineRule="auto"/>
        <w:rPr>
          <w:sz w:val="20"/>
          <w:szCs w:val="20"/>
          <w:color w:val="auto"/>
        </w:rPr>
      </w:pPr>
      <w:r>
        <w:rPr>
          <w:rFonts w:ascii="Arial" w:cs="Arial" w:eastAsia="Arial" w:hAnsi="Arial"/>
          <w:sz w:val="16"/>
          <w:szCs w:val="16"/>
          <w:color w:val="auto"/>
        </w:rPr>
        <w:t>This peer group comprises 25 mature, advanced extractive, technology-driven manufacturing, and industrial engineering-focused companies, including companies focused on the new energy economy, that have annual revenues, market valuations, and global scopes that are similar to SLB’s. The companies in this peer group had 2020 revenues between $8.9 billion and $44.6 billion, non-U.S. revenue generally greater than 20% of consolidated revenue, and market capitalization greater than $12 billion. This peer group focuses on SLB’s current and future executive talent markets beyond the oil and gas sector, given the competencies needed for SLB’s future success.</w:t>
      </w:r>
    </w:p>
    <w:p>
      <w:pPr>
        <w:spacing w:after="0" w:line="158" w:lineRule="exact"/>
        <w:rPr>
          <w:sz w:val="20"/>
          <w:szCs w:val="20"/>
          <w:color w:val="auto"/>
        </w:rPr>
      </w:pPr>
    </w:p>
    <w:p>
      <w:pPr>
        <w:jc w:val="both"/>
        <w:ind w:firstLine="416"/>
        <w:spacing w:after="0" w:line="250" w:lineRule="auto"/>
        <w:rPr>
          <w:sz w:val="20"/>
          <w:szCs w:val="20"/>
          <w:color w:val="auto"/>
        </w:rPr>
      </w:pPr>
      <w:r>
        <w:rPr>
          <w:rFonts w:ascii="Arial" w:cs="Arial" w:eastAsia="Arial" w:hAnsi="Arial"/>
          <w:sz w:val="16"/>
          <w:szCs w:val="16"/>
          <w:color w:val="auto"/>
        </w:rPr>
        <w:t>In July 2021, our Compensation Committee, applying the selection criteria above, removed two companies that did not meet the Committee’s revenue criteria (Lockheed Martin and HP Inc.), and added four new companies, as identified by asterisks at right. As a result of the foregoing, SLB</w:t>
      </w:r>
    </w:p>
    <w:p>
      <w:pPr>
        <w:spacing w:after="0" w:line="186" w:lineRule="auto"/>
        <w:rPr>
          <w:sz w:val="20"/>
          <w:szCs w:val="20"/>
          <w:color w:val="auto"/>
        </w:rPr>
      </w:pPr>
      <w:r>
        <w:rPr>
          <w:rFonts w:ascii="Arial" w:cs="Arial" w:eastAsia="Arial" w:hAnsi="Arial"/>
          <w:sz w:val="16"/>
          <w:szCs w:val="16"/>
          <w:color w:val="auto"/>
        </w:rPr>
        <w:t>was positioned at the 41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percentile of this peer group in terms of 2020</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6"/>
          <w:szCs w:val="16"/>
          <w:color w:val="auto"/>
        </w:rPr>
        <w:t>revenue, and at the 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this peer group in terms of market capitalization as of April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17145"/>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267335</wp:posOffset>
            </wp:positionV>
            <wp:extent cx="471170" cy="282575"/>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83">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400" w:type="dxa"/>
            <w:vAlign w:val="bottom"/>
          </w:tcPr>
          <w:p>
            <w:pPr>
              <w:jc w:val="center"/>
              <w:ind w:right="279"/>
              <w:spacing w:after="0"/>
              <w:rPr>
                <w:sz w:val="20"/>
                <w:szCs w:val="20"/>
                <w:color w:val="auto"/>
              </w:rPr>
            </w:pPr>
            <w:r>
              <w:rPr>
                <w:rFonts w:ascii="Arial" w:cs="Arial" w:eastAsia="Arial" w:hAnsi="Arial"/>
                <w:sz w:val="16"/>
                <w:szCs w:val="16"/>
                <w:color w:val="auto"/>
              </w:rPr>
              <w:t>3M Company</w:t>
            </w:r>
          </w:p>
        </w:tc>
        <w:tc>
          <w:tcPr>
            <w:tcW w:w="2540" w:type="dxa"/>
            <w:vAlign w:val="bottom"/>
          </w:tcPr>
          <w:p>
            <w:pPr>
              <w:jc w:val="center"/>
              <w:ind w:left="239"/>
              <w:spacing w:after="0"/>
              <w:rPr>
                <w:sz w:val="20"/>
                <w:szCs w:val="20"/>
                <w:color w:val="auto"/>
              </w:rPr>
            </w:pPr>
            <w:r>
              <w:rPr>
                <w:rFonts w:ascii="Arial" w:cs="Arial" w:eastAsia="Arial" w:hAnsi="Arial"/>
                <w:sz w:val="16"/>
                <w:szCs w:val="16"/>
                <w:color w:val="auto"/>
              </w:rPr>
              <w:t>Emerson Electric</w:t>
            </w:r>
          </w:p>
        </w:tc>
      </w:tr>
      <w:tr>
        <w:trPr>
          <w:trHeight w:val="283"/>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ABB</w:t>
            </w:r>
          </w:p>
        </w:tc>
        <w:tc>
          <w:tcPr>
            <w:tcW w:w="2540" w:type="dxa"/>
            <w:vAlign w:val="bottom"/>
          </w:tcPr>
          <w:p>
            <w:pPr>
              <w:jc w:val="center"/>
              <w:ind w:left="259"/>
              <w:spacing w:after="0"/>
              <w:rPr>
                <w:sz w:val="20"/>
                <w:szCs w:val="20"/>
                <w:color w:val="auto"/>
              </w:rPr>
            </w:pPr>
            <w:r>
              <w:rPr>
                <w:rFonts w:ascii="Arial" w:cs="Arial" w:eastAsia="Arial" w:hAnsi="Arial"/>
                <w:sz w:val="16"/>
                <w:szCs w:val="16"/>
                <w:color w:val="auto"/>
              </w:rPr>
              <w:t>Freeport-McMoRan</w:t>
            </w:r>
          </w:p>
        </w:tc>
      </w:tr>
      <w:tr>
        <w:trPr>
          <w:trHeight w:val="284"/>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Air Products and Chemicals*</w:t>
            </w:r>
          </w:p>
        </w:tc>
        <w:tc>
          <w:tcPr>
            <w:tcW w:w="2540" w:type="dxa"/>
            <w:vAlign w:val="bottom"/>
          </w:tcPr>
          <w:p>
            <w:pPr>
              <w:jc w:val="center"/>
              <w:ind w:left="239"/>
              <w:spacing w:after="0"/>
              <w:rPr>
                <w:sz w:val="20"/>
                <w:szCs w:val="20"/>
                <w:color w:val="auto"/>
              </w:rPr>
            </w:pPr>
            <w:r>
              <w:rPr>
                <w:rFonts w:ascii="Arial" w:cs="Arial" w:eastAsia="Arial" w:hAnsi="Arial"/>
                <w:sz w:val="16"/>
                <w:szCs w:val="16"/>
                <w:color w:val="auto"/>
              </w:rPr>
              <w:t>General Dynamics</w:t>
            </w:r>
          </w:p>
        </w:tc>
      </w:tr>
      <w:tr>
        <w:trPr>
          <w:trHeight w:val="270"/>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Anglo American</w:t>
            </w:r>
          </w:p>
        </w:tc>
        <w:tc>
          <w:tcPr>
            <w:tcW w:w="2540" w:type="dxa"/>
            <w:vAlign w:val="bottom"/>
          </w:tcPr>
          <w:p>
            <w:pPr>
              <w:jc w:val="center"/>
              <w:ind w:left="259"/>
              <w:spacing w:after="0"/>
              <w:rPr>
                <w:sz w:val="20"/>
                <w:szCs w:val="20"/>
                <w:color w:val="auto"/>
              </w:rPr>
            </w:pPr>
            <w:r>
              <w:rPr>
                <w:rFonts w:ascii="Arial" w:cs="Arial" w:eastAsia="Arial" w:hAnsi="Arial"/>
                <w:sz w:val="16"/>
                <w:szCs w:val="16"/>
                <w:color w:val="auto"/>
              </w:rPr>
              <w:t>Honeywell International</w:t>
            </w:r>
          </w:p>
        </w:tc>
      </w:tr>
      <w:tr>
        <w:trPr>
          <w:trHeight w:val="283"/>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BAE Systems</w:t>
            </w:r>
          </w:p>
        </w:tc>
        <w:tc>
          <w:tcPr>
            <w:tcW w:w="2540" w:type="dxa"/>
            <w:vAlign w:val="bottom"/>
          </w:tcPr>
          <w:p>
            <w:pPr>
              <w:jc w:val="center"/>
              <w:ind w:left="259"/>
              <w:spacing w:after="0"/>
              <w:rPr>
                <w:sz w:val="20"/>
                <w:szCs w:val="20"/>
                <w:color w:val="auto"/>
              </w:rPr>
            </w:pPr>
            <w:r>
              <w:rPr>
                <w:rFonts w:ascii="Arial" w:cs="Arial" w:eastAsia="Arial" w:hAnsi="Arial"/>
                <w:sz w:val="16"/>
                <w:szCs w:val="16"/>
                <w:color w:val="auto"/>
              </w:rPr>
              <w:t>Johnson Controls International</w:t>
            </w:r>
          </w:p>
        </w:tc>
      </w:tr>
      <w:tr>
        <w:trPr>
          <w:trHeight w:val="283"/>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Carrier Global*</w:t>
            </w:r>
          </w:p>
        </w:tc>
        <w:tc>
          <w:tcPr>
            <w:tcW w:w="2540" w:type="dxa"/>
            <w:vAlign w:val="bottom"/>
          </w:tcPr>
          <w:p>
            <w:pPr>
              <w:jc w:val="center"/>
              <w:ind w:left="239"/>
              <w:spacing w:after="0"/>
              <w:rPr>
                <w:sz w:val="20"/>
                <w:szCs w:val="20"/>
                <w:color w:val="auto"/>
              </w:rPr>
            </w:pPr>
            <w:r>
              <w:rPr>
                <w:rFonts w:ascii="Arial" w:cs="Arial" w:eastAsia="Arial" w:hAnsi="Arial"/>
                <w:sz w:val="16"/>
                <w:szCs w:val="16"/>
                <w:color w:val="auto"/>
              </w:rPr>
              <w:t>Koninklijke Philips</w:t>
            </w:r>
          </w:p>
        </w:tc>
      </w:tr>
      <w:tr>
        <w:trPr>
          <w:trHeight w:val="270"/>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Caterpillar</w:t>
            </w:r>
          </w:p>
        </w:tc>
        <w:tc>
          <w:tcPr>
            <w:tcW w:w="2540" w:type="dxa"/>
            <w:vAlign w:val="bottom"/>
          </w:tcPr>
          <w:p>
            <w:pPr>
              <w:jc w:val="center"/>
              <w:ind w:left="239"/>
              <w:spacing w:after="0"/>
              <w:rPr>
                <w:sz w:val="20"/>
                <w:szCs w:val="20"/>
                <w:color w:val="auto"/>
              </w:rPr>
            </w:pPr>
            <w:r>
              <w:rPr>
                <w:rFonts w:ascii="Arial" w:cs="Arial" w:eastAsia="Arial" w:hAnsi="Arial"/>
                <w:sz w:val="16"/>
                <w:szCs w:val="16"/>
                <w:color w:val="auto"/>
              </w:rPr>
              <w:t>Linde*</w:t>
            </w:r>
          </w:p>
        </w:tc>
      </w:tr>
      <w:tr>
        <w:trPr>
          <w:trHeight w:val="284"/>
        </w:trPr>
        <w:tc>
          <w:tcPr>
            <w:tcW w:w="2400" w:type="dxa"/>
            <w:vAlign w:val="bottom"/>
          </w:tcPr>
          <w:p>
            <w:pPr>
              <w:jc w:val="center"/>
              <w:ind w:right="279"/>
              <w:spacing w:after="0"/>
              <w:rPr>
                <w:sz w:val="20"/>
                <w:szCs w:val="20"/>
                <w:color w:val="auto"/>
              </w:rPr>
            </w:pPr>
            <w:r>
              <w:rPr>
                <w:rFonts w:ascii="Arial" w:cs="Arial" w:eastAsia="Arial" w:hAnsi="Arial"/>
                <w:sz w:val="16"/>
                <w:szCs w:val="16"/>
                <w:color w:val="auto"/>
              </w:rPr>
              <w:t>Compagnie de Saint-Gobain</w:t>
            </w:r>
          </w:p>
        </w:tc>
        <w:tc>
          <w:tcPr>
            <w:tcW w:w="2540" w:type="dxa"/>
            <w:vAlign w:val="bottom"/>
          </w:tcPr>
          <w:p>
            <w:pPr>
              <w:jc w:val="center"/>
              <w:ind w:left="239"/>
              <w:spacing w:after="0"/>
              <w:rPr>
                <w:sz w:val="20"/>
                <w:szCs w:val="20"/>
                <w:color w:val="auto"/>
              </w:rPr>
            </w:pPr>
            <w:r>
              <w:rPr>
                <w:rFonts w:ascii="Arial" w:cs="Arial" w:eastAsia="Arial" w:hAnsi="Arial"/>
                <w:sz w:val="16"/>
                <w:szCs w:val="16"/>
                <w:color w:val="auto"/>
              </w:rPr>
              <w:t>LyondellBasell Industries</w:t>
            </w:r>
          </w:p>
        </w:tc>
      </w:tr>
      <w:tr>
        <w:trPr>
          <w:trHeight w:val="283"/>
        </w:trPr>
        <w:tc>
          <w:tcPr>
            <w:tcW w:w="2400" w:type="dxa"/>
            <w:vAlign w:val="bottom"/>
          </w:tcPr>
          <w:p>
            <w:pPr>
              <w:jc w:val="center"/>
              <w:ind w:right="259"/>
              <w:spacing w:after="0"/>
              <w:rPr>
                <w:sz w:val="20"/>
                <w:szCs w:val="20"/>
                <w:color w:val="auto"/>
              </w:rPr>
            </w:pPr>
            <w:r>
              <w:rPr>
                <w:rFonts w:ascii="Arial" w:cs="Arial" w:eastAsia="Arial" w:hAnsi="Arial"/>
                <w:sz w:val="16"/>
                <w:szCs w:val="16"/>
                <w:color w:val="auto"/>
                <w:w w:val="99"/>
              </w:rPr>
              <w:t>Corning*</w:t>
            </w:r>
          </w:p>
        </w:tc>
        <w:tc>
          <w:tcPr>
            <w:tcW w:w="2540" w:type="dxa"/>
            <w:vAlign w:val="bottom"/>
          </w:tcPr>
          <w:p>
            <w:pPr>
              <w:jc w:val="center"/>
              <w:ind w:left="259"/>
              <w:spacing w:after="0"/>
              <w:rPr>
                <w:sz w:val="20"/>
                <w:szCs w:val="20"/>
                <w:color w:val="auto"/>
              </w:rPr>
            </w:pPr>
            <w:r>
              <w:rPr>
                <w:rFonts w:ascii="Arial" w:cs="Arial" w:eastAsia="Arial" w:hAnsi="Arial"/>
                <w:sz w:val="16"/>
                <w:szCs w:val="16"/>
                <w:color w:val="auto"/>
                <w:w w:val="99"/>
              </w:rPr>
              <w:t>Rio Tinto</w:t>
            </w:r>
          </w:p>
        </w:tc>
      </w:tr>
      <w:tr>
        <w:trPr>
          <w:trHeight w:val="270"/>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Deere &amp; Company</w:t>
            </w:r>
          </w:p>
        </w:tc>
        <w:tc>
          <w:tcPr>
            <w:tcW w:w="2540" w:type="dxa"/>
            <w:vAlign w:val="bottom"/>
          </w:tcPr>
          <w:p>
            <w:pPr>
              <w:jc w:val="center"/>
              <w:ind w:left="239"/>
              <w:spacing w:after="0"/>
              <w:rPr>
                <w:sz w:val="20"/>
                <w:szCs w:val="20"/>
                <w:color w:val="auto"/>
              </w:rPr>
            </w:pPr>
            <w:r>
              <w:rPr>
                <w:rFonts w:ascii="Arial" w:cs="Arial" w:eastAsia="Arial" w:hAnsi="Arial"/>
                <w:sz w:val="16"/>
                <w:szCs w:val="16"/>
                <w:color w:val="auto"/>
              </w:rPr>
              <w:t>Rolls-Royce Holdings</w:t>
            </w:r>
          </w:p>
        </w:tc>
      </w:tr>
      <w:tr>
        <w:trPr>
          <w:trHeight w:val="283"/>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Dow</w:t>
            </w:r>
          </w:p>
        </w:tc>
        <w:tc>
          <w:tcPr>
            <w:tcW w:w="2540" w:type="dxa"/>
            <w:vAlign w:val="bottom"/>
          </w:tcPr>
          <w:p>
            <w:pPr>
              <w:jc w:val="center"/>
              <w:ind w:left="239"/>
              <w:spacing w:after="0"/>
              <w:rPr>
                <w:sz w:val="20"/>
                <w:szCs w:val="20"/>
                <w:color w:val="auto"/>
              </w:rPr>
            </w:pPr>
            <w:r>
              <w:rPr>
                <w:rFonts w:ascii="Arial" w:cs="Arial" w:eastAsia="Arial" w:hAnsi="Arial"/>
                <w:sz w:val="16"/>
                <w:szCs w:val="16"/>
                <w:color w:val="auto"/>
              </w:rPr>
              <w:t>Schneider Electric</w:t>
            </w:r>
          </w:p>
        </w:tc>
      </w:tr>
      <w:tr>
        <w:trPr>
          <w:trHeight w:val="284"/>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DuPont de Nemours</w:t>
            </w:r>
          </w:p>
        </w:tc>
        <w:tc>
          <w:tcPr>
            <w:tcW w:w="2540" w:type="dxa"/>
            <w:vAlign w:val="bottom"/>
          </w:tcPr>
          <w:p>
            <w:pPr>
              <w:jc w:val="center"/>
              <w:ind w:left="259"/>
              <w:spacing w:after="0"/>
              <w:rPr>
                <w:sz w:val="20"/>
                <w:szCs w:val="20"/>
                <w:color w:val="auto"/>
              </w:rPr>
            </w:pPr>
            <w:r>
              <w:rPr>
                <w:rFonts w:ascii="Arial" w:cs="Arial" w:eastAsia="Arial" w:hAnsi="Arial"/>
                <w:sz w:val="16"/>
                <w:szCs w:val="16"/>
                <w:color w:val="auto"/>
                <w:w w:val="98"/>
              </w:rPr>
              <w:t>Trane Technologies</w:t>
            </w:r>
          </w:p>
        </w:tc>
      </w:tr>
      <w:tr>
        <w:trPr>
          <w:trHeight w:val="270"/>
        </w:trPr>
        <w:tc>
          <w:tcPr>
            <w:tcW w:w="2400" w:type="dxa"/>
            <w:vAlign w:val="bottom"/>
          </w:tcPr>
          <w:p>
            <w:pPr>
              <w:jc w:val="center"/>
              <w:ind w:right="259"/>
              <w:spacing w:after="0"/>
              <w:rPr>
                <w:sz w:val="20"/>
                <w:szCs w:val="20"/>
                <w:color w:val="auto"/>
              </w:rPr>
            </w:pPr>
            <w:r>
              <w:rPr>
                <w:rFonts w:ascii="Arial" w:cs="Arial" w:eastAsia="Arial" w:hAnsi="Arial"/>
                <w:sz w:val="16"/>
                <w:szCs w:val="16"/>
                <w:color w:val="auto"/>
              </w:rPr>
              <w:t>Eaton</w:t>
            </w:r>
          </w:p>
        </w:tc>
        <w:tc>
          <w:tcPr>
            <w:tcW w:w="254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2">
            <w:col w:w="5620" w:space="380"/>
            <w:col w:w="5240"/>
          </w:cols>
          <w:pgMar w:left="320" w:top="238" w:right="339" w:bottom="1440" w:gutter="0" w:footer="0" w:header="0"/>
          <w:type w:val="continuous"/>
        </w:sectPr>
      </w:pPr>
    </w:p>
    <w:p>
      <w:pPr>
        <w:spacing w:after="0" w:line="125" w:lineRule="exact"/>
        <w:rPr>
          <w:sz w:val="20"/>
          <w:szCs w:val="20"/>
          <w:color w:val="auto"/>
        </w:rPr>
      </w:pPr>
    </w:p>
    <w:p>
      <w:pPr>
        <w:ind w:left="5540"/>
        <w:spacing w:after="0"/>
        <w:tabs>
          <w:tab w:leader="none" w:pos="9540" w:val="left"/>
        </w:tabs>
        <w:rPr>
          <w:sz w:val="20"/>
          <w:szCs w:val="20"/>
          <w:color w:val="auto"/>
        </w:rPr>
      </w:pPr>
      <w:r>
        <w:rPr>
          <w:rFonts w:ascii="Arial" w:cs="Arial" w:eastAsia="Arial" w:hAnsi="Arial"/>
          <w:sz w:val="16"/>
          <w:szCs w:val="16"/>
          <w:b w:val="1"/>
          <w:bCs w:val="1"/>
          <w:color w:val="auto"/>
        </w:rPr>
        <w:t>46</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-46990</wp:posOffset>
            </wp:positionV>
            <wp:extent cx="5417820" cy="17145"/>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84">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16458B"/>
        </w:rPr>
        <w:t>Executive Compensation Governance</w:t>
      </w: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color w:val="0233A1"/>
        </w:rPr>
        <w:t>No Employment Agreements with Current NEOs</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Our currently serving NEOs do not have employment, severance or change-in-control agreements with SLB, and they serve at the will of the Board. This enables SLB to terminate their employment using judgment as to the necessity or terms of any severance arrangement and based on specific circumstances at the time they cease being executive officers. For details regarding our agreement with our former EVP New Energy, see “—Elements of 2022 Total Direct Compensation—Other Benefits—Agreement with Senior Strategic Advisor” on page 44.</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color w:val="0233A1"/>
        </w:rPr>
        <w:t>Stock Ownership and Holding Requirements</w:t>
      </w:r>
    </w:p>
    <w:p>
      <w:pPr>
        <w:spacing w:after="0" w:line="20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Board and Compensation Committee strongly believe in linking executive long-term rewards to shareholder value. Our executive stock ownership guidelines require our executives to hold a minimum dollar value of SLB shares based on the table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6080" w:type="dxa"/>
            <w:vAlign w:val="bottom"/>
            <w:shd w:val="clear" w:color="auto" w:fill="0233A1"/>
          </w:tcPr>
          <w:p>
            <w:pPr>
              <w:ind w:left="60"/>
              <w:spacing w:after="0"/>
              <w:rPr>
                <w:sz w:val="20"/>
                <w:szCs w:val="20"/>
                <w:color w:val="auto"/>
              </w:rPr>
            </w:pPr>
            <w:r>
              <w:rPr>
                <w:rFonts w:ascii="Arial" w:cs="Arial" w:eastAsia="Arial" w:hAnsi="Arial"/>
                <w:sz w:val="16"/>
                <w:szCs w:val="16"/>
                <w:b w:val="1"/>
                <w:bCs w:val="1"/>
                <w:color w:val="FFFFFF"/>
              </w:rPr>
              <w:t>Title</w:t>
            </w:r>
          </w:p>
        </w:tc>
        <w:tc>
          <w:tcPr>
            <w:tcW w:w="5160" w:type="dxa"/>
            <w:vAlign w:val="bottom"/>
            <w:shd w:val="clear" w:color="auto" w:fill="0233A1"/>
          </w:tcPr>
          <w:p>
            <w:pPr>
              <w:jc w:val="right"/>
              <w:spacing w:after="0"/>
              <w:rPr>
                <w:sz w:val="20"/>
                <w:szCs w:val="20"/>
                <w:color w:val="auto"/>
              </w:rPr>
            </w:pPr>
            <w:r>
              <w:rPr>
                <w:rFonts w:ascii="Arial" w:cs="Arial" w:eastAsia="Arial" w:hAnsi="Arial"/>
                <w:sz w:val="16"/>
                <w:szCs w:val="16"/>
                <w:b w:val="1"/>
                <w:bCs w:val="1"/>
                <w:color w:val="FFFFFF"/>
              </w:rPr>
              <w:t>Stock Ownership Multiple</w:t>
            </w:r>
          </w:p>
        </w:tc>
      </w:tr>
      <w:tr>
        <w:trPr>
          <w:trHeight w:val="215"/>
        </w:trPr>
        <w:tc>
          <w:tcPr>
            <w:tcW w:w="6080" w:type="dxa"/>
            <w:vAlign w:val="bottom"/>
          </w:tcPr>
          <w:p>
            <w:pPr>
              <w:ind w:left="60"/>
              <w:spacing w:after="0"/>
              <w:rPr>
                <w:sz w:val="20"/>
                <w:szCs w:val="20"/>
                <w:color w:val="auto"/>
              </w:rPr>
            </w:pPr>
            <w:r>
              <w:rPr>
                <w:rFonts w:ascii="Arial" w:cs="Arial" w:eastAsia="Arial" w:hAnsi="Arial"/>
                <w:sz w:val="16"/>
                <w:szCs w:val="16"/>
                <w:color w:val="auto"/>
              </w:rPr>
              <w:t>Chief Executive Officer</w:t>
            </w:r>
          </w:p>
        </w:tc>
        <w:tc>
          <w:tcPr>
            <w:tcW w:w="5160" w:type="dxa"/>
            <w:vAlign w:val="bottom"/>
          </w:tcPr>
          <w:p>
            <w:pPr>
              <w:jc w:val="right"/>
              <w:spacing w:after="0"/>
              <w:rPr>
                <w:sz w:val="20"/>
                <w:szCs w:val="20"/>
                <w:color w:val="auto"/>
              </w:rPr>
            </w:pPr>
            <w:r>
              <w:rPr>
                <w:rFonts w:ascii="Arial" w:cs="Arial" w:eastAsia="Arial" w:hAnsi="Arial"/>
                <w:sz w:val="16"/>
                <w:szCs w:val="16"/>
                <w:color w:val="auto"/>
              </w:rPr>
              <w:t>6x base salary</w:t>
            </w:r>
          </w:p>
        </w:tc>
      </w:tr>
      <w:tr>
        <w:trPr>
          <w:trHeight w:val="242"/>
        </w:trPr>
        <w:tc>
          <w:tcPr>
            <w:tcW w:w="6080" w:type="dxa"/>
            <w:vAlign w:val="bottom"/>
          </w:tcPr>
          <w:p>
            <w:pPr>
              <w:ind w:left="60"/>
              <w:spacing w:after="0"/>
              <w:rPr>
                <w:sz w:val="20"/>
                <w:szCs w:val="20"/>
                <w:color w:val="auto"/>
              </w:rPr>
            </w:pPr>
            <w:r>
              <w:rPr>
                <w:rFonts w:ascii="Arial" w:cs="Arial" w:eastAsia="Arial" w:hAnsi="Arial"/>
                <w:sz w:val="16"/>
                <w:szCs w:val="16"/>
                <w:color w:val="auto"/>
              </w:rPr>
              <w:t>Executive Vice Presidents</w:t>
            </w:r>
          </w:p>
        </w:tc>
        <w:tc>
          <w:tcPr>
            <w:tcW w:w="5160" w:type="dxa"/>
            <w:vAlign w:val="bottom"/>
          </w:tcPr>
          <w:p>
            <w:pPr>
              <w:jc w:val="right"/>
              <w:spacing w:after="0"/>
              <w:rPr>
                <w:sz w:val="20"/>
                <w:szCs w:val="20"/>
                <w:color w:val="auto"/>
              </w:rPr>
            </w:pPr>
            <w:r>
              <w:rPr>
                <w:rFonts w:ascii="Arial" w:cs="Arial" w:eastAsia="Arial" w:hAnsi="Arial"/>
                <w:sz w:val="16"/>
                <w:szCs w:val="16"/>
                <w:color w:val="auto"/>
              </w:rPr>
              <w:t>3x base salary</w:t>
            </w:r>
          </w:p>
        </w:tc>
      </w:tr>
      <w:tr>
        <w:trPr>
          <w:trHeight w:val="243"/>
        </w:trPr>
        <w:tc>
          <w:tcPr>
            <w:tcW w:w="6080" w:type="dxa"/>
            <w:vAlign w:val="bottom"/>
          </w:tcPr>
          <w:p>
            <w:pPr>
              <w:ind w:left="60"/>
              <w:spacing w:after="0"/>
              <w:rPr>
                <w:sz w:val="20"/>
                <w:szCs w:val="20"/>
                <w:color w:val="auto"/>
              </w:rPr>
            </w:pPr>
            <w:r>
              <w:rPr>
                <w:rFonts w:ascii="Arial" w:cs="Arial" w:eastAsia="Arial" w:hAnsi="Arial"/>
                <w:sz w:val="16"/>
                <w:szCs w:val="16"/>
                <w:color w:val="auto"/>
              </w:rPr>
              <w:t>Executive officers (non-EVP)</w:t>
            </w:r>
          </w:p>
        </w:tc>
        <w:tc>
          <w:tcPr>
            <w:tcW w:w="5160" w:type="dxa"/>
            <w:vAlign w:val="bottom"/>
          </w:tcPr>
          <w:p>
            <w:pPr>
              <w:jc w:val="right"/>
              <w:spacing w:after="0"/>
              <w:rPr>
                <w:sz w:val="20"/>
                <w:szCs w:val="20"/>
                <w:color w:val="auto"/>
              </w:rPr>
            </w:pPr>
            <w:r>
              <w:rPr>
                <w:rFonts w:ascii="Arial" w:cs="Arial" w:eastAsia="Arial" w:hAnsi="Arial"/>
                <w:sz w:val="16"/>
                <w:szCs w:val="16"/>
                <w:color w:val="auto"/>
              </w:rPr>
              <w:t>2x base salary</w:t>
            </w:r>
          </w:p>
        </w:tc>
      </w:tr>
      <w:tr>
        <w:trPr>
          <w:trHeight w:val="252"/>
        </w:trPr>
        <w:tc>
          <w:tcPr>
            <w:tcW w:w="608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Other EVP direct reports and Presidents</w:t>
            </w:r>
          </w:p>
        </w:tc>
        <w:tc>
          <w:tcPr>
            <w:tcW w:w="516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1x 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-479425</wp:posOffset>
            </wp:positionV>
            <wp:extent cx="17145" cy="17145"/>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-479425</wp:posOffset>
            </wp:positionV>
            <wp:extent cx="17145" cy="17145"/>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-479425</wp:posOffset>
            </wp:positionV>
            <wp:extent cx="17145" cy="17145"/>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-479425</wp:posOffset>
            </wp:positionV>
            <wp:extent cx="17145" cy="17145"/>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-479425</wp:posOffset>
            </wp:positionV>
            <wp:extent cx="17145" cy="17145"/>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-479425</wp:posOffset>
            </wp:positionV>
            <wp:extent cx="17145" cy="17145"/>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7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-479425</wp:posOffset>
            </wp:positionV>
            <wp:extent cx="17145" cy="17145"/>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7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-479425</wp:posOffset>
            </wp:positionV>
            <wp:extent cx="17145" cy="17145"/>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7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-479425</wp:posOffset>
            </wp:positionV>
            <wp:extent cx="17145" cy="17145"/>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7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-479425</wp:posOffset>
            </wp:positionV>
            <wp:extent cx="17145" cy="17145"/>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7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-479425</wp:posOffset>
            </wp:positionV>
            <wp:extent cx="17145" cy="17145"/>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7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-479425</wp:posOffset>
            </wp:positionV>
            <wp:extent cx="17145" cy="17145"/>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7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-479425</wp:posOffset>
            </wp:positionV>
            <wp:extent cx="17145" cy="17145"/>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7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-479425</wp:posOffset>
            </wp:positionV>
            <wp:extent cx="17145" cy="17145"/>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7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-479425</wp:posOffset>
            </wp:positionV>
            <wp:extent cx="17145" cy="17145"/>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-479425</wp:posOffset>
            </wp:positionV>
            <wp:extent cx="17145" cy="17145"/>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-479425</wp:posOffset>
            </wp:positionV>
            <wp:extent cx="17145" cy="17145"/>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-479425</wp:posOffset>
            </wp:positionV>
            <wp:extent cx="17145" cy="17145"/>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-479425</wp:posOffset>
            </wp:positionV>
            <wp:extent cx="17145" cy="17145"/>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-479425</wp:posOffset>
            </wp:positionV>
            <wp:extent cx="17145" cy="17145"/>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-479425</wp:posOffset>
            </wp:positionV>
            <wp:extent cx="17145" cy="17145"/>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-479425</wp:posOffset>
            </wp:positionV>
            <wp:extent cx="17145" cy="17145"/>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-479425</wp:posOffset>
            </wp:positionV>
            <wp:extent cx="17145" cy="17145"/>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-479425</wp:posOffset>
            </wp:positionV>
            <wp:extent cx="17145" cy="17145"/>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-479425</wp:posOffset>
            </wp:positionV>
            <wp:extent cx="17145" cy="17145"/>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-479425</wp:posOffset>
            </wp:positionV>
            <wp:extent cx="17145" cy="17145"/>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-479425</wp:posOffset>
            </wp:positionV>
            <wp:extent cx="17145" cy="17145"/>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-479425</wp:posOffset>
            </wp:positionV>
            <wp:extent cx="17145" cy="17145"/>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-479425</wp:posOffset>
            </wp:positionV>
            <wp:extent cx="17145" cy="17145"/>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-479425</wp:posOffset>
            </wp:positionV>
            <wp:extent cx="17145" cy="17145"/>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-479425</wp:posOffset>
            </wp:positionV>
            <wp:extent cx="17145" cy="17145"/>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-479425</wp:posOffset>
            </wp:positionV>
            <wp:extent cx="17145" cy="17145"/>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-479425</wp:posOffset>
            </wp:positionV>
            <wp:extent cx="17145" cy="17145"/>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1144905</wp:posOffset>
            </wp:positionH>
            <wp:positionV relativeFrom="paragraph">
              <wp:posOffset>-479425</wp:posOffset>
            </wp:positionV>
            <wp:extent cx="17145" cy="17145"/>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-479425</wp:posOffset>
            </wp:positionV>
            <wp:extent cx="17145" cy="17145"/>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-479425</wp:posOffset>
            </wp:positionV>
            <wp:extent cx="17145" cy="17145"/>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-479425</wp:posOffset>
            </wp:positionV>
            <wp:extent cx="17145" cy="17145"/>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-479425</wp:posOffset>
            </wp:positionV>
            <wp:extent cx="17145" cy="17145"/>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-479425</wp:posOffset>
            </wp:positionV>
            <wp:extent cx="17145" cy="17145"/>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-479425</wp:posOffset>
            </wp:positionV>
            <wp:extent cx="17145" cy="17145"/>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1384935</wp:posOffset>
            </wp:positionH>
            <wp:positionV relativeFrom="paragraph">
              <wp:posOffset>-479425</wp:posOffset>
            </wp:positionV>
            <wp:extent cx="17145" cy="17145"/>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-479425</wp:posOffset>
            </wp:positionV>
            <wp:extent cx="17145" cy="17145"/>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-479425</wp:posOffset>
            </wp:positionV>
            <wp:extent cx="17145" cy="17145"/>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-479425</wp:posOffset>
            </wp:positionV>
            <wp:extent cx="17145" cy="17145"/>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-479425</wp:posOffset>
            </wp:positionV>
            <wp:extent cx="17145" cy="17145"/>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-479425</wp:posOffset>
            </wp:positionV>
            <wp:extent cx="17145" cy="17145"/>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-479425</wp:posOffset>
            </wp:positionV>
            <wp:extent cx="17145" cy="17145"/>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-479425</wp:posOffset>
            </wp:positionV>
            <wp:extent cx="17145" cy="17145"/>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-479425</wp:posOffset>
            </wp:positionV>
            <wp:extent cx="17145" cy="17145"/>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1693545</wp:posOffset>
            </wp:positionH>
            <wp:positionV relativeFrom="paragraph">
              <wp:posOffset>-479425</wp:posOffset>
            </wp:positionV>
            <wp:extent cx="17145" cy="17145"/>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-479425</wp:posOffset>
            </wp:positionV>
            <wp:extent cx="17145" cy="17145"/>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-479425</wp:posOffset>
            </wp:positionV>
            <wp:extent cx="17145" cy="17145"/>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-479425</wp:posOffset>
            </wp:positionV>
            <wp:extent cx="17145" cy="17145"/>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-479425</wp:posOffset>
            </wp:positionV>
            <wp:extent cx="17145" cy="17145"/>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-479425</wp:posOffset>
            </wp:positionV>
            <wp:extent cx="17145" cy="17145"/>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-479425</wp:posOffset>
            </wp:positionV>
            <wp:extent cx="17145" cy="17145"/>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-479425</wp:posOffset>
            </wp:positionV>
            <wp:extent cx="17145" cy="17145"/>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-479425</wp:posOffset>
            </wp:positionV>
            <wp:extent cx="17145" cy="17145"/>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-479425</wp:posOffset>
            </wp:positionV>
            <wp:extent cx="17145" cy="17145"/>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-479425</wp:posOffset>
            </wp:positionV>
            <wp:extent cx="17145" cy="17145"/>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-479425</wp:posOffset>
            </wp:positionV>
            <wp:extent cx="17145" cy="17145"/>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-479425</wp:posOffset>
            </wp:positionV>
            <wp:extent cx="17145" cy="17145"/>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-479425</wp:posOffset>
            </wp:positionV>
            <wp:extent cx="17145" cy="17145"/>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-479425</wp:posOffset>
            </wp:positionV>
            <wp:extent cx="17145" cy="17145"/>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-479425</wp:posOffset>
            </wp:positionV>
            <wp:extent cx="17145" cy="17145"/>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-479425</wp:posOffset>
            </wp:positionV>
            <wp:extent cx="17145" cy="17145"/>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-479425</wp:posOffset>
            </wp:positionV>
            <wp:extent cx="17145" cy="17145"/>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-479425</wp:posOffset>
            </wp:positionV>
            <wp:extent cx="17145" cy="17145"/>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-479425</wp:posOffset>
            </wp:positionV>
            <wp:extent cx="17145" cy="17145"/>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-479425</wp:posOffset>
            </wp:positionV>
            <wp:extent cx="17145" cy="17145"/>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-479425</wp:posOffset>
            </wp:positionV>
            <wp:extent cx="17145" cy="17145"/>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-479425</wp:posOffset>
            </wp:positionV>
            <wp:extent cx="17145" cy="17145"/>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-479425</wp:posOffset>
            </wp:positionV>
            <wp:extent cx="17145" cy="17145"/>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-479425</wp:posOffset>
            </wp:positionV>
            <wp:extent cx="17145" cy="17145"/>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-479425</wp:posOffset>
            </wp:positionV>
            <wp:extent cx="17145" cy="17145"/>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-479425</wp:posOffset>
            </wp:positionV>
            <wp:extent cx="17145" cy="17145"/>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-479425</wp:posOffset>
            </wp:positionV>
            <wp:extent cx="17145" cy="17145"/>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-479425</wp:posOffset>
            </wp:positionV>
            <wp:extent cx="17145" cy="17145"/>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-479425</wp:posOffset>
            </wp:positionV>
            <wp:extent cx="17145" cy="17145"/>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-479425</wp:posOffset>
            </wp:positionV>
            <wp:extent cx="17145" cy="17145"/>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-479425</wp:posOffset>
            </wp:positionV>
            <wp:extent cx="17145" cy="17145"/>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-479425</wp:posOffset>
            </wp:positionV>
            <wp:extent cx="17145" cy="17145"/>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-479425</wp:posOffset>
            </wp:positionV>
            <wp:extent cx="17145" cy="17145"/>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-479425</wp:posOffset>
            </wp:positionV>
            <wp:extent cx="17145" cy="17145"/>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-479425</wp:posOffset>
            </wp:positionV>
            <wp:extent cx="17145" cy="17145"/>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-479425</wp:posOffset>
            </wp:positionV>
            <wp:extent cx="17145" cy="17145"/>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-479425</wp:posOffset>
            </wp:positionV>
            <wp:extent cx="17145" cy="17145"/>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-479425</wp:posOffset>
            </wp:positionV>
            <wp:extent cx="17145" cy="17145"/>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-479425</wp:posOffset>
            </wp:positionV>
            <wp:extent cx="17145" cy="17145"/>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-479425</wp:posOffset>
            </wp:positionV>
            <wp:extent cx="17145" cy="17145"/>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-479425</wp:posOffset>
            </wp:positionV>
            <wp:extent cx="17145" cy="17145"/>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-479425</wp:posOffset>
            </wp:positionV>
            <wp:extent cx="3985895" cy="17145"/>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77">
                      <a:extLst>
                        <a:ext uri="{28A0092B-C50C-407E-A947-70E740481C1C}"/>
                      </a:extLst>
                    </a:blip>
                    <a:srcRect/>
                    <a:stretch>
                      <a:fillRect/>
                    </a:stretch>
                  </pic:blipFill>
                  <pic:spPr bwMode="auto">
                    <a:xfrm>
                      <a:off x="0" y="0"/>
                      <a:ext cx="398589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17145" cy="17145"/>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-325120</wp:posOffset>
            </wp:positionV>
            <wp:extent cx="17145" cy="17145"/>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-325120</wp:posOffset>
            </wp:positionV>
            <wp:extent cx="17145" cy="17145"/>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-325120</wp:posOffset>
            </wp:positionV>
            <wp:extent cx="17145" cy="17145"/>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-325120</wp:posOffset>
            </wp:positionV>
            <wp:extent cx="17145" cy="17145"/>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-325120</wp:posOffset>
            </wp:positionV>
            <wp:extent cx="17145" cy="17145"/>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-325120</wp:posOffset>
            </wp:positionV>
            <wp:extent cx="17145" cy="17145"/>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-325120</wp:posOffset>
            </wp:positionV>
            <wp:extent cx="17145" cy="17145"/>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-325120</wp:posOffset>
            </wp:positionV>
            <wp:extent cx="17145" cy="17145"/>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-325120</wp:posOffset>
            </wp:positionV>
            <wp:extent cx="17145" cy="17145"/>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-325120</wp:posOffset>
            </wp:positionV>
            <wp:extent cx="17145" cy="17145"/>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-325120</wp:posOffset>
            </wp:positionV>
            <wp:extent cx="17145" cy="17145"/>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-325120</wp:posOffset>
            </wp:positionV>
            <wp:extent cx="17145" cy="17145"/>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-325120</wp:posOffset>
            </wp:positionV>
            <wp:extent cx="17145" cy="17145"/>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8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-325120</wp:posOffset>
            </wp:positionV>
            <wp:extent cx="17145" cy="17145"/>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8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-325120</wp:posOffset>
            </wp:positionV>
            <wp:extent cx="17145" cy="17145"/>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8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-325120</wp:posOffset>
            </wp:positionV>
            <wp:extent cx="17145" cy="17145"/>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8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-325120</wp:posOffset>
            </wp:positionV>
            <wp:extent cx="17145" cy="17145"/>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8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-325120</wp:posOffset>
            </wp:positionV>
            <wp:extent cx="17145" cy="17145"/>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8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-325120</wp:posOffset>
            </wp:positionV>
            <wp:extent cx="17145" cy="17145"/>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8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-325120</wp:posOffset>
            </wp:positionV>
            <wp:extent cx="17145" cy="17145"/>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8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-325120</wp:posOffset>
            </wp:positionV>
            <wp:extent cx="17145" cy="17145"/>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8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-325120</wp:posOffset>
            </wp:positionV>
            <wp:extent cx="17145" cy="17145"/>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-325120</wp:posOffset>
            </wp:positionV>
            <wp:extent cx="17145" cy="17145"/>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-325120</wp:posOffset>
            </wp:positionV>
            <wp:extent cx="17145" cy="17145"/>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-325120</wp:posOffset>
            </wp:positionV>
            <wp:extent cx="17145" cy="17145"/>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-325120</wp:posOffset>
            </wp:positionV>
            <wp:extent cx="17145" cy="17145"/>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-325120</wp:posOffset>
            </wp:positionV>
            <wp:extent cx="17145" cy="17145"/>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-325120</wp:posOffset>
            </wp:positionV>
            <wp:extent cx="17145" cy="17145"/>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-325120</wp:posOffset>
            </wp:positionV>
            <wp:extent cx="17145" cy="17145"/>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-325120</wp:posOffset>
            </wp:positionV>
            <wp:extent cx="17145" cy="17145"/>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-325120</wp:posOffset>
            </wp:positionV>
            <wp:extent cx="17145" cy="17145"/>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-325120</wp:posOffset>
            </wp:positionV>
            <wp:extent cx="17145" cy="17145"/>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1144905</wp:posOffset>
            </wp:positionH>
            <wp:positionV relativeFrom="paragraph">
              <wp:posOffset>-325120</wp:posOffset>
            </wp:positionV>
            <wp:extent cx="17145" cy="17145"/>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-325120</wp:posOffset>
            </wp:positionV>
            <wp:extent cx="17145" cy="17145"/>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-325120</wp:posOffset>
            </wp:positionV>
            <wp:extent cx="17145" cy="17145"/>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-325120</wp:posOffset>
            </wp:positionV>
            <wp:extent cx="17145" cy="17145"/>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-325120</wp:posOffset>
            </wp:positionV>
            <wp:extent cx="17145" cy="17145"/>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-325120</wp:posOffset>
            </wp:positionV>
            <wp:extent cx="17145" cy="17145"/>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-325120</wp:posOffset>
            </wp:positionV>
            <wp:extent cx="17145" cy="17145"/>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1384935</wp:posOffset>
            </wp:positionH>
            <wp:positionV relativeFrom="paragraph">
              <wp:posOffset>-325120</wp:posOffset>
            </wp:positionV>
            <wp:extent cx="17145" cy="17145"/>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-325120</wp:posOffset>
            </wp:positionV>
            <wp:extent cx="17145" cy="17145"/>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-325120</wp:posOffset>
            </wp:positionV>
            <wp:extent cx="17145" cy="17145"/>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-325120</wp:posOffset>
            </wp:positionV>
            <wp:extent cx="17145" cy="17145"/>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-325120</wp:posOffset>
            </wp:positionV>
            <wp:extent cx="17145" cy="17145"/>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-325120</wp:posOffset>
            </wp:positionV>
            <wp:extent cx="17145" cy="17145"/>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-325120</wp:posOffset>
            </wp:positionV>
            <wp:extent cx="17145" cy="17145"/>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-325120</wp:posOffset>
            </wp:positionV>
            <wp:extent cx="17145" cy="17145"/>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-325120</wp:posOffset>
            </wp:positionV>
            <wp:extent cx="17145" cy="17145"/>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1693545</wp:posOffset>
            </wp:positionH>
            <wp:positionV relativeFrom="paragraph">
              <wp:posOffset>-325120</wp:posOffset>
            </wp:positionV>
            <wp:extent cx="17145" cy="17145"/>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-325120</wp:posOffset>
            </wp:positionV>
            <wp:extent cx="17145" cy="17145"/>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-325120</wp:posOffset>
            </wp:positionV>
            <wp:extent cx="17145" cy="17145"/>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-325120</wp:posOffset>
            </wp:positionV>
            <wp:extent cx="17145" cy="17145"/>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-325120</wp:posOffset>
            </wp:positionV>
            <wp:extent cx="17145" cy="17145"/>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-325120</wp:posOffset>
            </wp:positionV>
            <wp:extent cx="17145" cy="17145"/>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-325120</wp:posOffset>
            </wp:positionV>
            <wp:extent cx="17145" cy="17145"/>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-325120</wp:posOffset>
            </wp:positionV>
            <wp:extent cx="17145" cy="17145"/>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-325120</wp:posOffset>
            </wp:positionV>
            <wp:extent cx="17145" cy="17145"/>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-325120</wp:posOffset>
            </wp:positionV>
            <wp:extent cx="17145" cy="17145"/>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-325120</wp:posOffset>
            </wp:positionV>
            <wp:extent cx="17145" cy="17145"/>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-325120</wp:posOffset>
            </wp:positionV>
            <wp:extent cx="17145" cy="17145"/>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-325120</wp:posOffset>
            </wp:positionV>
            <wp:extent cx="17145" cy="17145"/>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-325120</wp:posOffset>
            </wp:positionV>
            <wp:extent cx="17145" cy="17145"/>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-325120</wp:posOffset>
            </wp:positionV>
            <wp:extent cx="17145" cy="17145"/>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-325120</wp:posOffset>
            </wp:positionV>
            <wp:extent cx="17145" cy="17145"/>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-325120</wp:posOffset>
            </wp:positionV>
            <wp:extent cx="17145" cy="17145"/>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-325120</wp:posOffset>
            </wp:positionV>
            <wp:extent cx="17145" cy="17145"/>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-325120</wp:posOffset>
            </wp:positionV>
            <wp:extent cx="17145" cy="17145"/>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-325120</wp:posOffset>
            </wp:positionV>
            <wp:extent cx="17145" cy="17145"/>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-325120</wp:posOffset>
            </wp:positionV>
            <wp:extent cx="17145" cy="17145"/>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-325120</wp:posOffset>
            </wp:positionV>
            <wp:extent cx="17145" cy="17145"/>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-325120</wp:posOffset>
            </wp:positionV>
            <wp:extent cx="17145" cy="17145"/>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-325120</wp:posOffset>
            </wp:positionV>
            <wp:extent cx="17145" cy="17145"/>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-325120</wp:posOffset>
            </wp:positionV>
            <wp:extent cx="17145" cy="17145"/>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-325120</wp:posOffset>
            </wp:positionV>
            <wp:extent cx="17145" cy="17145"/>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-325120</wp:posOffset>
            </wp:positionV>
            <wp:extent cx="17145" cy="17145"/>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-325120</wp:posOffset>
            </wp:positionV>
            <wp:extent cx="17145" cy="17145"/>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-325120</wp:posOffset>
            </wp:positionV>
            <wp:extent cx="17145" cy="17145"/>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-325120</wp:posOffset>
            </wp:positionV>
            <wp:extent cx="17145" cy="17145"/>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-325120</wp:posOffset>
            </wp:positionV>
            <wp:extent cx="17145" cy="17145"/>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-325120</wp:posOffset>
            </wp:positionV>
            <wp:extent cx="17145" cy="17145"/>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-325120</wp:posOffset>
            </wp:positionV>
            <wp:extent cx="17145" cy="17145"/>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-325120</wp:posOffset>
            </wp:positionV>
            <wp:extent cx="17145" cy="17145"/>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-325120</wp:posOffset>
            </wp:positionV>
            <wp:extent cx="17145" cy="17145"/>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-325120</wp:posOffset>
            </wp:positionV>
            <wp:extent cx="17145" cy="17145"/>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-325120</wp:posOffset>
            </wp:positionV>
            <wp:extent cx="17145" cy="17145"/>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-325120</wp:posOffset>
            </wp:positionV>
            <wp:extent cx="17145" cy="17145"/>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-325120</wp:posOffset>
            </wp:positionV>
            <wp:extent cx="17145" cy="17145"/>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-325120</wp:posOffset>
            </wp:positionV>
            <wp:extent cx="17145" cy="17145"/>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-325120</wp:posOffset>
            </wp:positionV>
            <wp:extent cx="17145" cy="17145"/>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-325120</wp:posOffset>
            </wp:positionV>
            <wp:extent cx="17145" cy="17145"/>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-325120</wp:posOffset>
            </wp:positionV>
            <wp:extent cx="3985895" cy="17145"/>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69">
                      <a:extLst>
                        <a:ext uri="{28A0092B-C50C-407E-A947-70E740481C1C}"/>
                      </a:extLst>
                    </a:blip>
                    <a:srcRect/>
                    <a:stretch>
                      <a:fillRect/>
                    </a:stretch>
                  </pic:blipFill>
                  <pic:spPr bwMode="auto">
                    <a:xfrm>
                      <a:off x="0" y="0"/>
                      <a:ext cx="398589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17145" cy="17145"/>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-170815</wp:posOffset>
            </wp:positionV>
            <wp:extent cx="17145" cy="17145"/>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-170815</wp:posOffset>
            </wp:positionV>
            <wp:extent cx="17145" cy="17145"/>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-170815</wp:posOffset>
            </wp:positionV>
            <wp:extent cx="17145" cy="17145"/>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-170815</wp:posOffset>
            </wp:positionV>
            <wp:extent cx="17145" cy="17145"/>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-170815</wp:posOffset>
            </wp:positionV>
            <wp:extent cx="17145" cy="17145"/>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-170815</wp:posOffset>
            </wp:positionV>
            <wp:extent cx="17145" cy="17145"/>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-170815</wp:posOffset>
            </wp:positionV>
            <wp:extent cx="17145" cy="17145"/>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-170815</wp:posOffset>
            </wp:positionV>
            <wp:extent cx="17145" cy="17145"/>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-170815</wp:posOffset>
            </wp:positionV>
            <wp:extent cx="17145" cy="17145"/>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-170815</wp:posOffset>
            </wp:positionV>
            <wp:extent cx="17145" cy="17145"/>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-170815</wp:posOffset>
            </wp:positionV>
            <wp:extent cx="17145" cy="17145"/>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-170815</wp:posOffset>
            </wp:positionV>
            <wp:extent cx="17145" cy="17145"/>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-170815</wp:posOffset>
            </wp:positionV>
            <wp:extent cx="17145" cy="17145"/>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-170815</wp:posOffset>
            </wp:positionV>
            <wp:extent cx="17145" cy="17145"/>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-170815</wp:posOffset>
            </wp:positionV>
            <wp:extent cx="17145" cy="17145"/>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-170815</wp:posOffset>
            </wp:positionV>
            <wp:extent cx="17145" cy="17145"/>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-170815</wp:posOffset>
            </wp:positionV>
            <wp:extent cx="17145" cy="17145"/>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-170815</wp:posOffset>
            </wp:positionV>
            <wp:extent cx="17145" cy="17145"/>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-170815</wp:posOffset>
            </wp:positionV>
            <wp:extent cx="17145" cy="17145"/>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-170815</wp:posOffset>
            </wp:positionV>
            <wp:extent cx="17145" cy="17145"/>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-170815</wp:posOffset>
            </wp:positionV>
            <wp:extent cx="17145" cy="17145"/>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29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-170815</wp:posOffset>
            </wp:positionV>
            <wp:extent cx="17145" cy="17145"/>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29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-170815</wp:posOffset>
            </wp:positionV>
            <wp:extent cx="17145" cy="17145"/>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29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-170815</wp:posOffset>
            </wp:positionV>
            <wp:extent cx="17145" cy="17145"/>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29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-170815</wp:posOffset>
            </wp:positionV>
            <wp:extent cx="17145" cy="17145"/>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29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-170815</wp:posOffset>
            </wp:positionV>
            <wp:extent cx="17145" cy="17145"/>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29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-170815</wp:posOffset>
            </wp:positionV>
            <wp:extent cx="17145" cy="17145"/>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29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-170815</wp:posOffset>
            </wp:positionV>
            <wp:extent cx="17145" cy="17145"/>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29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-170815</wp:posOffset>
            </wp:positionV>
            <wp:extent cx="17145" cy="17145"/>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29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-170815</wp:posOffset>
            </wp:positionV>
            <wp:extent cx="17145" cy="17145"/>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-170815</wp:posOffset>
            </wp:positionV>
            <wp:extent cx="17145" cy="17145"/>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-170815</wp:posOffset>
            </wp:positionV>
            <wp:extent cx="17145" cy="17145"/>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1144905</wp:posOffset>
            </wp:positionH>
            <wp:positionV relativeFrom="paragraph">
              <wp:posOffset>-170815</wp:posOffset>
            </wp:positionV>
            <wp:extent cx="17145" cy="17145"/>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-170815</wp:posOffset>
            </wp:positionV>
            <wp:extent cx="17145" cy="17145"/>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-170815</wp:posOffset>
            </wp:positionV>
            <wp:extent cx="17145" cy="17145"/>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-170815</wp:posOffset>
            </wp:positionV>
            <wp:extent cx="17145" cy="17145"/>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-170815</wp:posOffset>
            </wp:positionV>
            <wp:extent cx="17145" cy="17145"/>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-170815</wp:posOffset>
            </wp:positionV>
            <wp:extent cx="17145" cy="17145"/>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-170815</wp:posOffset>
            </wp:positionV>
            <wp:extent cx="17145" cy="17145"/>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1384935</wp:posOffset>
            </wp:positionH>
            <wp:positionV relativeFrom="paragraph">
              <wp:posOffset>-170815</wp:posOffset>
            </wp:positionV>
            <wp:extent cx="17145" cy="17145"/>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-170815</wp:posOffset>
            </wp:positionV>
            <wp:extent cx="17145" cy="17145"/>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-170815</wp:posOffset>
            </wp:positionV>
            <wp:extent cx="17145" cy="17145"/>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-170815</wp:posOffset>
            </wp:positionV>
            <wp:extent cx="17145" cy="17145"/>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-170815</wp:posOffset>
            </wp:positionV>
            <wp:extent cx="17145" cy="17145"/>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-170815</wp:posOffset>
            </wp:positionV>
            <wp:extent cx="17145" cy="17145"/>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-170815</wp:posOffset>
            </wp:positionV>
            <wp:extent cx="17145" cy="17145"/>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-170815</wp:posOffset>
            </wp:positionV>
            <wp:extent cx="17145" cy="17145"/>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-170815</wp:posOffset>
            </wp:positionV>
            <wp:extent cx="17145" cy="17145"/>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1693545</wp:posOffset>
            </wp:positionH>
            <wp:positionV relativeFrom="paragraph">
              <wp:posOffset>-170815</wp:posOffset>
            </wp:positionV>
            <wp:extent cx="17145" cy="17145"/>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-170815</wp:posOffset>
            </wp:positionV>
            <wp:extent cx="17145" cy="17145"/>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-170815</wp:posOffset>
            </wp:positionV>
            <wp:extent cx="17145" cy="17145"/>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-170815</wp:posOffset>
            </wp:positionV>
            <wp:extent cx="17145" cy="17145"/>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-170815</wp:posOffset>
            </wp:positionV>
            <wp:extent cx="17145" cy="17145"/>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-170815</wp:posOffset>
            </wp:positionV>
            <wp:extent cx="17145" cy="17145"/>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-170815</wp:posOffset>
            </wp:positionV>
            <wp:extent cx="17145" cy="17145"/>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-170815</wp:posOffset>
            </wp:positionV>
            <wp:extent cx="17145" cy="17145"/>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-170815</wp:posOffset>
            </wp:positionV>
            <wp:extent cx="17145" cy="17145"/>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-170815</wp:posOffset>
            </wp:positionV>
            <wp:extent cx="17145" cy="17145"/>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-170815</wp:posOffset>
            </wp:positionV>
            <wp:extent cx="17145" cy="17145"/>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-170815</wp:posOffset>
            </wp:positionV>
            <wp:extent cx="17145" cy="17145"/>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-170815</wp:posOffset>
            </wp:positionV>
            <wp:extent cx="17145" cy="17145"/>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-170815</wp:posOffset>
            </wp:positionV>
            <wp:extent cx="17145" cy="17145"/>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-170815</wp:posOffset>
            </wp:positionV>
            <wp:extent cx="17145" cy="17145"/>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-170815</wp:posOffset>
            </wp:positionV>
            <wp:extent cx="17145" cy="17145"/>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-170815</wp:posOffset>
            </wp:positionV>
            <wp:extent cx="17145" cy="17145"/>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-170815</wp:posOffset>
            </wp:positionV>
            <wp:extent cx="17145" cy="17145"/>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-170815</wp:posOffset>
            </wp:positionV>
            <wp:extent cx="17145" cy="17145"/>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-170815</wp:posOffset>
            </wp:positionV>
            <wp:extent cx="17145" cy="17145"/>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-170815</wp:posOffset>
            </wp:positionV>
            <wp:extent cx="17145" cy="17145"/>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-170815</wp:posOffset>
            </wp:positionV>
            <wp:extent cx="17145" cy="17145"/>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-170815</wp:posOffset>
            </wp:positionV>
            <wp:extent cx="17145" cy="17145"/>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-170815</wp:posOffset>
            </wp:positionV>
            <wp:extent cx="17145" cy="17145"/>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-170815</wp:posOffset>
            </wp:positionV>
            <wp:extent cx="17145" cy="17145"/>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-170815</wp:posOffset>
            </wp:positionV>
            <wp:extent cx="17145" cy="17145"/>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-170815</wp:posOffset>
            </wp:positionV>
            <wp:extent cx="17145" cy="17145"/>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-170815</wp:posOffset>
            </wp:positionV>
            <wp:extent cx="17145" cy="17145"/>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-170815</wp:posOffset>
            </wp:positionV>
            <wp:extent cx="17145" cy="17145"/>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-170815</wp:posOffset>
            </wp:positionV>
            <wp:extent cx="17145" cy="17145"/>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-170815</wp:posOffset>
            </wp:positionV>
            <wp:extent cx="17145" cy="17145"/>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-170815</wp:posOffset>
            </wp:positionV>
            <wp:extent cx="17145" cy="17145"/>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-170815</wp:posOffset>
            </wp:positionV>
            <wp:extent cx="17145" cy="17145"/>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-170815</wp:posOffset>
            </wp:positionV>
            <wp:extent cx="17145" cy="17145"/>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-170815</wp:posOffset>
            </wp:positionV>
            <wp:extent cx="17145" cy="17145"/>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-170815</wp:posOffset>
            </wp:positionV>
            <wp:extent cx="17145" cy="17145"/>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-170815</wp:posOffset>
            </wp:positionV>
            <wp:extent cx="17145" cy="17145"/>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-170815</wp:posOffset>
            </wp:positionV>
            <wp:extent cx="17145" cy="17145"/>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-170815</wp:posOffset>
            </wp:positionV>
            <wp:extent cx="17145" cy="17145"/>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-170815</wp:posOffset>
            </wp:positionV>
            <wp:extent cx="17145" cy="17145"/>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-170815</wp:posOffset>
            </wp:positionV>
            <wp:extent cx="17145" cy="17145"/>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-170815</wp:posOffset>
            </wp:positionV>
            <wp:extent cx="17145" cy="17145"/>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-170815</wp:posOffset>
            </wp:positionV>
            <wp:extent cx="3985895" cy="17145"/>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61">
                      <a:extLst>
                        <a:ext uri="{28A0092B-C50C-407E-A947-70E740481C1C}"/>
                      </a:extLst>
                    </a:blip>
                    <a:srcRect/>
                    <a:stretch>
                      <a:fillRect/>
                    </a:stretch>
                  </pic:blipFill>
                  <pic:spPr bwMode="auto">
                    <a:xfrm>
                      <a:off x="0" y="0"/>
                      <a:ext cx="3985895" cy="17145"/>
                    </a:xfrm>
                    <a:prstGeom prst="rect">
                      <a:avLst/>
                    </a:prstGeom>
                    <a:noFill/>
                  </pic:spPr>
                </pic:pic>
              </a:graphicData>
            </a:graphic>
          </wp:anchor>
        </w:drawing>
      </w:r>
    </w:p>
    <w:p>
      <w:pPr>
        <w:spacing w:after="0" w:line="15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All executives subject to the guidelines must retain 50% of the net shares they acquire upon the exercise of stock options and after the vesting of PSUs and RSUs, after payment of applicable taxes, until they achieve the required ownership level.</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Under the guidelines, our executives have five years to satisfy the ownership requirements. After the five-year period, executives who have not met their minimum stock ownership requirement must retain 100% of the net shares they acquire upon stock option exercises and any vesting of PSUs and RSUs until they achieve their required ownership level. Stock ownership for the purpose of these guidelines does not include shares underlying vested or unvested stock options, unvested RSUs or unvested PSUs.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January 31, 2023, all of our NEOs were in compliance with our stock ownership guidelines.</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color w:val="0233A1"/>
        </w:rPr>
        <w:t>Anti-Hedging and Anti-Pledging</w:t>
      </w:r>
    </w:p>
    <w:p>
      <w:pPr>
        <w:spacing w:after="0" w:line="2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Our executive officers and directors are prohibited from using any strategies or products (such as derivative securities or short-selling techniques) to hedge, directly or indirectly, against potential changes in the value of SLB shares. In addition, our executive officers and directors, as well as certain other key employees, are prohibited from holding SLB securities in a margin account or pledging SLB securities as collateral for a loan. Our insider trading policy strongly discourages, but does not prohibit, other employees from engaging in speculative transactions, including hedging or other financial mechanisms, holding SLB securities in a margin account or pledging SLB securities.</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0233A1"/>
        </w:rPr>
        <w:t>10b5-1 Trading Plans</w:t>
      </w:r>
    </w:p>
    <w:p>
      <w:pPr>
        <w:spacing w:after="0" w:line="26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On November 17, 2022, Mr. Biguet entered into a 10b5-1 trading plan with his broker, to sell 75,000 shares of SLB common stock over a 12-month period beginning on March 20, 2023. The trading plan also contemplates the exercise (and subsequent sales) of up to 53,000 outstanding stock options.</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0233A1"/>
        </w:rPr>
        <w:t>Clawback Policy</w:t>
      </w:r>
    </w:p>
    <w:p>
      <w:pPr>
        <w:spacing w:after="0" w:line="26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Our Board has adopted a clawback policy to recoup performance-based incentive compensation, whether paid in the form of equity or cash, in the event of specified restatements of financial results. Under this policy, if financial results are restated due to fraud or other intentional misconduct, our Compensation Committee will review any performance-based or incentive compensation paid to executive officers who are found to be personally responsible for the fraud or other intentional misconduct that caused, in whole or in part, the need for the restatement. Based on that review, the Committee will take any actions it deems appropriate or necessary, including recoupment of any amounts paid in excess of the amounts that would have been paid based on the restated financial results. In addition, our PSU awards and any shares of stock issued upon the vesting of PSU awards are subject to recoupment under the terms of those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149860</wp:posOffset>
            </wp:positionV>
            <wp:extent cx="471805" cy="282575"/>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62">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Pr>
          <w:p>
            <w:pPr>
              <w:spacing w:after="0"/>
              <w:rPr>
                <w:sz w:val="9"/>
                <w:szCs w:val="9"/>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47</w:t>
            </w:r>
          </w:p>
        </w:tc>
        <w:tc>
          <w:tcPr>
            <w:tcW w:w="44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0233A1"/>
        </w:rPr>
        <w:t>Process for Setting Executive Compensation</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Compensation Committee Review</w:t>
      </w:r>
    </w:p>
    <w:p>
      <w:pPr>
        <w:spacing w:after="0" w:line="19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Our Compensation Committee reviews the elements of our NEOs’ total direct compensation throughout the year, to evaluate whether each element remains competitive with the companies in our two main executive compensation peer groups. In making compensation decisions, the Committee relies on its own judgment after reviewing external market data, and also considers the following factors:</w:t>
      </w:r>
    </w:p>
    <w:p>
      <w:pPr>
        <w:spacing w:after="0" w:line="144" w:lineRule="exact"/>
        <w:rPr>
          <w:sz w:val="20"/>
          <w:szCs w:val="20"/>
          <w:color w:val="auto"/>
        </w:rPr>
      </w:pPr>
    </w:p>
    <w:p>
      <w:pPr>
        <w:ind w:left="500" w:hanging="168"/>
        <w:spacing w:after="0" w:line="286" w:lineRule="auto"/>
        <w:tabs>
          <w:tab w:leader="none" w:pos="500" w:val="left"/>
        </w:tabs>
        <w:numPr>
          <w:ilvl w:val="0"/>
          <w:numId w:val="51"/>
        </w:numPr>
        <w:rPr>
          <w:rFonts w:ascii="Arial" w:cs="Arial" w:eastAsia="Arial" w:hAnsi="Arial"/>
          <w:sz w:val="16"/>
          <w:szCs w:val="16"/>
          <w:b w:val="1"/>
          <w:bCs w:val="1"/>
          <w:color w:val="0233A1"/>
        </w:rPr>
      </w:pPr>
      <w:r>
        <w:rPr>
          <w:rFonts w:ascii="Arial" w:cs="Arial" w:eastAsia="Arial" w:hAnsi="Arial"/>
          <w:sz w:val="16"/>
          <w:szCs w:val="16"/>
          <w:color w:val="auto"/>
        </w:rPr>
        <w:t>the executive’s scope of responsibilities, as well as leadership, management and technical expertise, growth potential, and position in our reporting structure,</w:t>
      </w:r>
    </w:p>
    <w:p>
      <w:pPr>
        <w:spacing w:after="0" w:line="20" w:lineRule="exact"/>
        <w:rPr>
          <w:rFonts w:ascii="Arial" w:cs="Arial" w:eastAsia="Arial" w:hAnsi="Arial"/>
          <w:sz w:val="16"/>
          <w:szCs w:val="16"/>
          <w:b w:val="1"/>
          <w:bCs w:val="1"/>
          <w:color w:val="0233A1"/>
        </w:rPr>
      </w:pPr>
    </w:p>
    <w:p>
      <w:pPr>
        <w:ind w:left="500" w:hanging="168"/>
        <w:spacing w:after="0"/>
        <w:tabs>
          <w:tab w:leader="none" w:pos="500" w:val="left"/>
        </w:tabs>
        <w:numPr>
          <w:ilvl w:val="0"/>
          <w:numId w:val="51"/>
        </w:numPr>
        <w:rPr>
          <w:rFonts w:ascii="Arial" w:cs="Arial" w:eastAsia="Arial" w:hAnsi="Arial"/>
          <w:sz w:val="16"/>
          <w:szCs w:val="16"/>
          <w:b w:val="1"/>
          <w:bCs w:val="1"/>
          <w:color w:val="0233A1"/>
        </w:rPr>
      </w:pPr>
      <w:r>
        <w:rPr>
          <w:rFonts w:ascii="Arial" w:cs="Arial" w:eastAsia="Arial" w:hAnsi="Arial"/>
          <w:sz w:val="16"/>
          <w:szCs w:val="16"/>
          <w:color w:val="auto"/>
        </w:rPr>
        <w:t>overall Company and individual performance,</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51"/>
        </w:numPr>
        <w:rPr>
          <w:rFonts w:ascii="Arial" w:cs="Arial" w:eastAsia="Arial" w:hAnsi="Arial"/>
          <w:sz w:val="16"/>
          <w:szCs w:val="16"/>
          <w:b w:val="1"/>
          <w:bCs w:val="1"/>
          <w:color w:val="0233A1"/>
        </w:rPr>
      </w:pPr>
      <w:r>
        <w:rPr>
          <w:rFonts w:ascii="Arial" w:cs="Arial" w:eastAsia="Arial" w:hAnsi="Arial"/>
          <w:sz w:val="16"/>
          <w:szCs w:val="16"/>
          <w:color w:val="auto"/>
        </w:rPr>
        <w:t>retention needs,</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51"/>
        </w:numPr>
        <w:rPr>
          <w:rFonts w:ascii="Arial" w:cs="Arial" w:eastAsia="Arial" w:hAnsi="Arial"/>
          <w:sz w:val="16"/>
          <w:szCs w:val="16"/>
          <w:b w:val="1"/>
          <w:bCs w:val="1"/>
          <w:color w:val="0233A1"/>
        </w:rPr>
      </w:pPr>
      <w:r>
        <w:rPr>
          <w:rFonts w:ascii="Arial" w:cs="Arial" w:eastAsia="Arial" w:hAnsi="Arial"/>
          <w:sz w:val="16"/>
          <w:szCs w:val="16"/>
          <w:color w:val="auto"/>
        </w:rPr>
        <w:t>the recommendations of our CEO (except with respect to his own compensation), and</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51"/>
        </w:numPr>
        <w:rPr>
          <w:rFonts w:ascii="Arial" w:cs="Arial" w:eastAsia="Arial" w:hAnsi="Arial"/>
          <w:sz w:val="16"/>
          <w:szCs w:val="16"/>
          <w:b w:val="1"/>
          <w:bCs w:val="1"/>
          <w:color w:val="0233A1"/>
        </w:rPr>
      </w:pPr>
      <w:r>
        <w:rPr>
          <w:rFonts w:ascii="Arial" w:cs="Arial" w:eastAsia="Arial" w:hAnsi="Arial"/>
          <w:sz w:val="16"/>
          <w:szCs w:val="16"/>
          <w:color w:val="auto"/>
        </w:rPr>
        <w:t>internal pay equity.</w:t>
      </w:r>
    </w:p>
    <w:p>
      <w:pPr>
        <w:spacing w:after="0" w:line="1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Each January, the Committee evaluates all elements of executive officer compensation, after reviewing the prior year’s results and the achievement of Company financial objectives and each officer’s strategic personal objectives. The purpose of this annual evaluation is to determine whether any changes in an officer’s compensation may be appropriate. The CEO does not participate in the Committee’s deliberations regarding his own compensation. At the Committee’s request, the CEO reviews with the Committee the performance of the other executive officers, but no other NEO has any input in executive compensation decisions. Our Compensation Committee gives substantial weight to the CEO’s evaluations and recommendations because he is particularly able to assess the other executive officers’ performance and contributions to SLB. Our Chief People Officer assists the CEO in developing the other executives’ performance reviews and reviewing external market data to determine the CEO’s executive compensation recommendations.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summarizes the approximate timing of significant annual executive compensation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54305"/>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21"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FFFFFF"/>
        </w:rPr>
        <w:t>Event</w:t>
      </w:r>
    </w:p>
    <w:p>
      <w:pPr>
        <w:spacing w:after="0" w:line="100" w:lineRule="exact"/>
        <w:rPr>
          <w:sz w:val="20"/>
          <w:szCs w:val="20"/>
          <w:color w:val="auto"/>
        </w:rPr>
      </w:pPr>
    </w:p>
    <w:p>
      <w:pPr>
        <w:ind w:left="60" w:right="280"/>
        <w:spacing w:after="0" w:line="286" w:lineRule="auto"/>
        <w:rPr>
          <w:sz w:val="20"/>
          <w:szCs w:val="20"/>
          <w:color w:val="auto"/>
        </w:rPr>
      </w:pPr>
      <w:r>
        <w:rPr>
          <w:rFonts w:ascii="Arial" w:cs="Arial" w:eastAsia="Arial" w:hAnsi="Arial"/>
          <w:sz w:val="16"/>
          <w:szCs w:val="16"/>
          <w:color w:val="auto"/>
        </w:rPr>
        <w:t>Establish Company financial objectives and CEO strategic personal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3429000" cy="17145"/>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64">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1" w:lineRule="exact"/>
        <w:rPr>
          <w:sz w:val="20"/>
          <w:szCs w:val="20"/>
          <w:color w:val="auto"/>
        </w:rPr>
      </w:pPr>
    </w:p>
    <w:p>
      <w:pPr>
        <w:ind w:left="60" w:right="40"/>
        <w:spacing w:after="0" w:line="286" w:lineRule="auto"/>
        <w:rPr>
          <w:sz w:val="20"/>
          <w:szCs w:val="20"/>
          <w:color w:val="auto"/>
        </w:rPr>
      </w:pPr>
      <w:r>
        <w:rPr>
          <w:rFonts w:ascii="Arial" w:cs="Arial" w:eastAsia="Arial" w:hAnsi="Arial"/>
          <w:sz w:val="16"/>
          <w:szCs w:val="16"/>
          <w:color w:val="auto"/>
        </w:rPr>
        <w:t>Review and approve the peer group companies used for compensation benchmarking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3429000" cy="17145"/>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65">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1" w:lineRule="exact"/>
        <w:rPr>
          <w:sz w:val="20"/>
          <w:szCs w:val="20"/>
          <w:color w:val="auto"/>
        </w:rPr>
      </w:pPr>
    </w:p>
    <w:p>
      <w:pPr>
        <w:ind w:left="60" w:right="20"/>
        <w:spacing w:after="0" w:line="259" w:lineRule="auto"/>
        <w:rPr>
          <w:sz w:val="20"/>
          <w:szCs w:val="20"/>
          <w:color w:val="auto"/>
        </w:rPr>
      </w:pPr>
      <w:r>
        <w:rPr>
          <w:rFonts w:ascii="Arial" w:cs="Arial" w:eastAsia="Arial" w:hAnsi="Arial"/>
          <w:sz w:val="16"/>
          <w:szCs w:val="16"/>
          <w:color w:val="auto"/>
        </w:rPr>
        <w:t>Pay Governance provides analysis for our Compensation Committee to evaluate year-to-date compensation decisions in light of year-to-date comparative data, and to prepare for the annual executive officer compensation review in January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429000" cy="17145"/>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66">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23" w:lineRule="exact"/>
        <w:rPr>
          <w:sz w:val="20"/>
          <w:szCs w:val="20"/>
          <w:color w:val="auto"/>
        </w:rPr>
      </w:pPr>
    </w:p>
    <w:p>
      <w:pPr>
        <w:ind w:left="60" w:right="160"/>
        <w:spacing w:after="0" w:line="266" w:lineRule="auto"/>
        <w:rPr>
          <w:sz w:val="20"/>
          <w:szCs w:val="20"/>
          <w:color w:val="auto"/>
        </w:rPr>
      </w:pPr>
      <w:r>
        <w:rPr>
          <w:rFonts w:ascii="Arial" w:cs="Arial" w:eastAsia="Arial" w:hAnsi="Arial"/>
          <w:sz w:val="16"/>
          <w:szCs w:val="16"/>
          <w:color w:val="auto"/>
        </w:rPr>
        <w:t>Evaluate Company and executive performance (achievement of objectives established in previous year) and recommend annual cash incentive payout based on those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429000" cy="17145"/>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67">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16" w:lineRule="exact"/>
        <w:rPr>
          <w:sz w:val="20"/>
          <w:szCs w:val="20"/>
          <w:color w:val="auto"/>
        </w:rPr>
      </w:pPr>
    </w:p>
    <w:p>
      <w:pPr>
        <w:ind w:left="60" w:right="40"/>
        <w:spacing w:after="0" w:line="286" w:lineRule="auto"/>
        <w:rPr>
          <w:sz w:val="20"/>
          <w:szCs w:val="20"/>
          <w:color w:val="auto"/>
        </w:rPr>
      </w:pPr>
      <w:r>
        <w:rPr>
          <w:rFonts w:ascii="Arial" w:cs="Arial" w:eastAsia="Arial" w:hAnsi="Arial"/>
          <w:sz w:val="16"/>
          <w:szCs w:val="16"/>
          <w:color w:val="auto"/>
        </w:rPr>
        <w:t>Review and recommend executive base salaries and determine equity-based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3429000" cy="17145"/>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68">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380"/>
        <w:spacing w:after="0"/>
        <w:rPr>
          <w:sz w:val="20"/>
          <w:szCs w:val="20"/>
          <w:color w:val="auto"/>
        </w:rPr>
      </w:pPr>
      <w:r>
        <w:rPr>
          <w:rFonts w:ascii="Arial" w:cs="Arial" w:eastAsia="Arial" w:hAnsi="Arial"/>
          <w:sz w:val="16"/>
          <w:szCs w:val="16"/>
          <w:b w:val="1"/>
          <w:bCs w:val="1"/>
          <w:color w:val="FFFFFF"/>
        </w:rPr>
        <w:t>Timing</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January of each year with respect to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149225</wp:posOffset>
            </wp:positionV>
            <wp:extent cx="17145" cy="17145"/>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149225</wp:posOffset>
            </wp:positionV>
            <wp:extent cx="17145" cy="17145"/>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149225</wp:posOffset>
            </wp:positionV>
            <wp:extent cx="17145" cy="17145"/>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149225</wp:posOffset>
            </wp:positionV>
            <wp:extent cx="17145" cy="17145"/>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149225</wp:posOffset>
            </wp:positionV>
            <wp:extent cx="17145" cy="17145"/>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149225</wp:posOffset>
            </wp:positionV>
            <wp:extent cx="17145" cy="17145"/>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149225</wp:posOffset>
            </wp:positionV>
            <wp:extent cx="17145" cy="17145"/>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149225</wp:posOffset>
            </wp:positionV>
            <wp:extent cx="17145" cy="17145"/>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149225</wp:posOffset>
            </wp:positionV>
            <wp:extent cx="17145" cy="17145"/>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149225</wp:posOffset>
            </wp:positionV>
            <wp:extent cx="17145" cy="17145"/>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149225</wp:posOffset>
            </wp:positionV>
            <wp:extent cx="17145" cy="17145"/>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149225</wp:posOffset>
            </wp:positionV>
            <wp:extent cx="17145" cy="17145"/>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149225</wp:posOffset>
            </wp:positionV>
            <wp:extent cx="17145" cy="17145"/>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149225</wp:posOffset>
            </wp:positionV>
            <wp:extent cx="17145" cy="17145"/>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149225</wp:posOffset>
            </wp:positionV>
            <wp:extent cx="17145" cy="17145"/>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149225</wp:posOffset>
            </wp:positionV>
            <wp:extent cx="17145" cy="17145"/>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149225</wp:posOffset>
            </wp:positionV>
            <wp:extent cx="17145" cy="17145"/>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149225</wp:posOffset>
            </wp:positionV>
            <wp:extent cx="17145" cy="17145"/>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149225</wp:posOffset>
            </wp:positionV>
            <wp:extent cx="17145" cy="17145"/>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149225</wp:posOffset>
            </wp:positionV>
            <wp:extent cx="17145" cy="17145"/>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149225</wp:posOffset>
            </wp:positionV>
            <wp:extent cx="17145" cy="17145"/>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149225</wp:posOffset>
            </wp:positionV>
            <wp:extent cx="17145" cy="17145"/>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149225</wp:posOffset>
            </wp:positionV>
            <wp:extent cx="17145" cy="17145"/>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0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149225</wp:posOffset>
            </wp:positionV>
            <wp:extent cx="17145" cy="17145"/>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0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149225</wp:posOffset>
            </wp:positionV>
            <wp:extent cx="17145" cy="17145"/>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0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149225</wp:posOffset>
            </wp:positionV>
            <wp:extent cx="17145" cy="17145"/>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0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149225</wp:posOffset>
            </wp:positionV>
            <wp:extent cx="17145" cy="17145"/>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0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149225</wp:posOffset>
            </wp:positionV>
            <wp:extent cx="17145" cy="17145"/>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0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149225</wp:posOffset>
            </wp:positionV>
            <wp:extent cx="17145" cy="17145"/>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0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149225</wp:posOffset>
            </wp:positionV>
            <wp:extent cx="17145" cy="17145"/>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0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149225</wp:posOffset>
            </wp:positionV>
            <wp:extent cx="17145" cy="17145"/>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0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149225</wp:posOffset>
            </wp:positionV>
            <wp:extent cx="17145" cy="17145"/>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149225</wp:posOffset>
            </wp:positionV>
            <wp:extent cx="17145" cy="17145"/>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149225</wp:posOffset>
            </wp:positionV>
            <wp:extent cx="17145" cy="17145"/>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1144905</wp:posOffset>
            </wp:positionH>
            <wp:positionV relativeFrom="paragraph">
              <wp:posOffset>149225</wp:posOffset>
            </wp:positionV>
            <wp:extent cx="17145" cy="17145"/>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149225</wp:posOffset>
            </wp:positionV>
            <wp:extent cx="17145" cy="17145"/>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149225</wp:posOffset>
            </wp:positionV>
            <wp:extent cx="17145" cy="17145"/>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149225</wp:posOffset>
            </wp:positionV>
            <wp:extent cx="17145" cy="17145"/>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149225</wp:posOffset>
            </wp:positionV>
            <wp:extent cx="17145" cy="17145"/>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149225</wp:posOffset>
            </wp:positionV>
            <wp:extent cx="17145" cy="17145"/>
            <wp:wrapNone/>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149225</wp:posOffset>
            </wp:positionV>
            <wp:extent cx="17145" cy="17145"/>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1384935</wp:posOffset>
            </wp:positionH>
            <wp:positionV relativeFrom="paragraph">
              <wp:posOffset>149225</wp:posOffset>
            </wp:positionV>
            <wp:extent cx="17145" cy="17145"/>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149225</wp:posOffset>
            </wp:positionV>
            <wp:extent cx="17145" cy="17145"/>
            <wp:wrapNone/>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149225</wp:posOffset>
            </wp:positionV>
            <wp:extent cx="17145" cy="17145"/>
            <wp:wrapNone/>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149225</wp:posOffset>
            </wp:positionV>
            <wp:extent cx="17145" cy="17145"/>
            <wp:wrapNone/>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149225</wp:posOffset>
            </wp:positionV>
            <wp:extent cx="17145" cy="17145"/>
            <wp:wrapNone/>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149225</wp:posOffset>
            </wp:positionV>
            <wp:extent cx="17145" cy="17145"/>
            <wp:wrapNone/>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149225</wp:posOffset>
            </wp:positionV>
            <wp:extent cx="17145" cy="17145"/>
            <wp:wrapNone/>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149225</wp:posOffset>
            </wp:positionV>
            <wp:extent cx="17145" cy="17145"/>
            <wp:wrapNone/>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149225</wp:posOffset>
            </wp:positionV>
            <wp:extent cx="17145" cy="17145"/>
            <wp:wrapNone/>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1693545</wp:posOffset>
            </wp:positionH>
            <wp:positionV relativeFrom="paragraph">
              <wp:posOffset>149225</wp:posOffset>
            </wp:positionV>
            <wp:extent cx="17145" cy="17145"/>
            <wp:wrapNone/>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149225</wp:posOffset>
            </wp:positionV>
            <wp:extent cx="17145" cy="17145"/>
            <wp:wrapNone/>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149225</wp:posOffset>
            </wp:positionV>
            <wp:extent cx="17145" cy="17145"/>
            <wp:wrapNone/>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149225</wp:posOffset>
            </wp:positionV>
            <wp:extent cx="17145" cy="17145"/>
            <wp:wrapNone/>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149225</wp:posOffset>
            </wp:positionV>
            <wp:extent cx="17145" cy="17145"/>
            <wp:wrapNone/>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149225</wp:posOffset>
            </wp:positionV>
            <wp:extent cx="17145" cy="17145"/>
            <wp:wrapNone/>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149225</wp:posOffset>
            </wp:positionV>
            <wp:extent cx="17145" cy="17145"/>
            <wp:wrapNone/>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149225</wp:posOffset>
            </wp:positionV>
            <wp:extent cx="17145" cy="17145"/>
            <wp:wrapNone/>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149225</wp:posOffset>
            </wp:positionV>
            <wp:extent cx="17145" cy="17145"/>
            <wp:wrapNone/>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149225</wp:posOffset>
            </wp:positionV>
            <wp:extent cx="17145" cy="17145"/>
            <wp:wrapNone/>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149225</wp:posOffset>
            </wp:positionV>
            <wp:extent cx="17145" cy="17145"/>
            <wp:wrapNone/>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149225</wp:posOffset>
            </wp:positionV>
            <wp:extent cx="17145" cy="17145"/>
            <wp:wrapNone/>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149225</wp:posOffset>
            </wp:positionV>
            <wp:extent cx="17145" cy="17145"/>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149225</wp:posOffset>
            </wp:positionV>
            <wp:extent cx="17145" cy="17145"/>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149225</wp:posOffset>
            </wp:positionV>
            <wp:extent cx="17145" cy="17145"/>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149225</wp:posOffset>
            </wp:positionV>
            <wp:extent cx="17145" cy="17145"/>
            <wp:wrapNone/>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149225</wp:posOffset>
            </wp:positionV>
            <wp:extent cx="17145" cy="17145"/>
            <wp:wrapNone/>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149225</wp:posOffset>
            </wp:positionV>
            <wp:extent cx="17145" cy="17145"/>
            <wp:wrapNone/>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149225</wp:posOffset>
            </wp:positionV>
            <wp:extent cx="17145" cy="17145"/>
            <wp:wrapNone/>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149225</wp:posOffset>
            </wp:positionV>
            <wp:extent cx="17145" cy="17145"/>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149225</wp:posOffset>
            </wp:positionV>
            <wp:extent cx="17145" cy="17145"/>
            <wp:wrapNone/>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149225</wp:posOffset>
            </wp:positionV>
            <wp:extent cx="17145" cy="17145"/>
            <wp:wrapNone/>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149225</wp:posOffset>
            </wp:positionV>
            <wp:extent cx="17145" cy="17145"/>
            <wp:wrapNone/>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149225</wp:posOffset>
            </wp:positionV>
            <wp:extent cx="17145" cy="17145"/>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149225</wp:posOffset>
            </wp:positionV>
            <wp:extent cx="17145" cy="17145"/>
            <wp:wrapNone/>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149225</wp:posOffset>
            </wp:positionV>
            <wp:extent cx="17145" cy="17145"/>
            <wp:wrapNone/>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149225</wp:posOffset>
            </wp:positionV>
            <wp:extent cx="17145" cy="17145"/>
            <wp:wrapNone/>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149225</wp:posOffset>
            </wp:positionV>
            <wp:extent cx="17145" cy="17145"/>
            <wp:wrapNone/>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149225</wp:posOffset>
            </wp:positionV>
            <wp:extent cx="17145" cy="17145"/>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149225</wp:posOffset>
            </wp:positionV>
            <wp:extent cx="17145" cy="17145"/>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149225</wp:posOffset>
            </wp:positionV>
            <wp:extent cx="17145" cy="17145"/>
            <wp:wrapNone/>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149225</wp:posOffset>
            </wp:positionV>
            <wp:extent cx="17145" cy="17145"/>
            <wp:wrapNone/>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149225</wp:posOffset>
            </wp:positionV>
            <wp:extent cx="17145" cy="17145"/>
            <wp:wrapNone/>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149225</wp:posOffset>
            </wp:positionV>
            <wp:extent cx="17145" cy="17145"/>
            <wp:wrapNone/>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149225</wp:posOffset>
            </wp:positionV>
            <wp:extent cx="17145" cy="17145"/>
            <wp:wrapNone/>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149225</wp:posOffset>
            </wp:positionV>
            <wp:extent cx="17145" cy="17145"/>
            <wp:wrapNone/>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149225</wp:posOffset>
            </wp:positionV>
            <wp:extent cx="17145" cy="17145"/>
            <wp:wrapNone/>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149225</wp:posOffset>
            </wp:positionV>
            <wp:extent cx="17145" cy="17145"/>
            <wp:wrapNone/>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149225</wp:posOffset>
            </wp:positionV>
            <wp:extent cx="17145" cy="17145"/>
            <wp:wrapNone/>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149225</wp:posOffset>
            </wp:positionV>
            <wp:extent cx="17145" cy="17145"/>
            <wp:wrapNone/>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149225</wp:posOffset>
            </wp:positionV>
            <wp:extent cx="17145" cy="17145"/>
            <wp:wrapNone/>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149225</wp:posOffset>
            </wp:positionV>
            <wp:extent cx="17145" cy="17145"/>
            <wp:wrapNone/>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149225</wp:posOffset>
            </wp:positionV>
            <wp:extent cx="17145" cy="17145"/>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149225</wp:posOffset>
            </wp:positionV>
            <wp:extent cx="17145" cy="17145"/>
            <wp:wrapNone/>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149225</wp:posOffset>
            </wp:positionV>
            <wp:extent cx="17145" cy="17145"/>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149225</wp:posOffset>
            </wp:positionV>
            <wp:extent cx="17145" cy="17145"/>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149225</wp:posOffset>
            </wp:positionV>
            <wp:extent cx="17145" cy="17145"/>
            <wp:wrapNone/>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149225</wp:posOffset>
            </wp:positionV>
            <wp:extent cx="17145" cy="17145"/>
            <wp:wrapNone/>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149225</wp:posOffset>
            </wp:positionV>
            <wp:extent cx="17145" cy="17145"/>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149225</wp:posOffset>
            </wp:positionV>
            <wp:extent cx="17145" cy="17145"/>
            <wp:wrapNone/>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68">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July of each year for compensation in the following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149225</wp:posOffset>
            </wp:positionV>
            <wp:extent cx="17145" cy="17145"/>
            <wp:wrapNone/>
            <wp:docPr id="3162" name="Picture 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1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149225</wp:posOffset>
            </wp:positionV>
            <wp:extent cx="17145" cy="17145"/>
            <wp:wrapNone/>
            <wp:docPr id="3163" name="Picture 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3"/>
                    <pic:cNvPicPr>
                      <a:picLocks noChangeAspect="1" noChangeArrowheads="1"/>
                    </pic:cNvPicPr>
                  </pic:nvPicPr>
                  <pic:blipFill>
                    <a:blip r:embed="rId31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149225</wp:posOffset>
            </wp:positionV>
            <wp:extent cx="17145" cy="17145"/>
            <wp:wrapNone/>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4"/>
                    <pic:cNvPicPr>
                      <a:picLocks noChangeAspect="1" noChangeArrowheads="1"/>
                    </pic:cNvPicPr>
                  </pic:nvPicPr>
                  <pic:blipFill>
                    <a:blip r:embed="rId31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149225</wp:posOffset>
            </wp:positionV>
            <wp:extent cx="17145" cy="17145"/>
            <wp:wrapNone/>
            <wp:docPr id="3165" name="Picture 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5"/>
                    <pic:cNvPicPr>
                      <a:picLocks noChangeAspect="1" noChangeArrowheads="1"/>
                    </pic:cNvPicPr>
                  </pic:nvPicPr>
                  <pic:blipFill>
                    <a:blip r:embed="rId31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149225</wp:posOffset>
            </wp:positionV>
            <wp:extent cx="17145" cy="17145"/>
            <wp:wrapNone/>
            <wp:docPr id="3166" name="Picture 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
                    <pic:cNvPicPr>
                      <a:picLocks noChangeAspect="1" noChangeArrowheads="1"/>
                    </pic:cNvPicPr>
                  </pic:nvPicPr>
                  <pic:blipFill>
                    <a:blip r:embed="rId31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149225</wp:posOffset>
            </wp:positionV>
            <wp:extent cx="17145" cy="17145"/>
            <wp:wrapNone/>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7"/>
                    <pic:cNvPicPr>
                      <a:picLocks noChangeAspect="1" noChangeArrowheads="1"/>
                    </pic:cNvPicPr>
                  </pic:nvPicPr>
                  <pic:blipFill>
                    <a:blip r:embed="rId31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149225</wp:posOffset>
            </wp:positionV>
            <wp:extent cx="17145" cy="17145"/>
            <wp:wrapNone/>
            <wp:docPr id="3168" name="Picture 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8"/>
                    <pic:cNvPicPr>
                      <a:picLocks noChangeAspect="1" noChangeArrowheads="1"/>
                    </pic:cNvPicPr>
                  </pic:nvPicPr>
                  <pic:blipFill>
                    <a:blip r:embed="rId31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149225</wp:posOffset>
            </wp:positionV>
            <wp:extent cx="17145" cy="17145"/>
            <wp:wrapNone/>
            <wp:docPr id="3169" name="Picture 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9"/>
                    <pic:cNvPicPr>
                      <a:picLocks noChangeAspect="1" noChangeArrowheads="1"/>
                    </pic:cNvPicPr>
                  </pic:nvPicPr>
                  <pic:blipFill>
                    <a:blip r:embed="rId31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149225</wp:posOffset>
            </wp:positionV>
            <wp:extent cx="17145" cy="17145"/>
            <wp:wrapNone/>
            <wp:docPr id="3170" name="Picture 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pic:cNvPicPr>
                      <a:picLocks noChangeAspect="1" noChangeArrowheads="1"/>
                    </pic:cNvPicPr>
                  </pic:nvPicPr>
                  <pic:blipFill>
                    <a:blip r:embed="rId31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149225</wp:posOffset>
            </wp:positionV>
            <wp:extent cx="17145" cy="17145"/>
            <wp:wrapNone/>
            <wp:docPr id="3171" name="Picture 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1"/>
                    <pic:cNvPicPr>
                      <a:picLocks noChangeAspect="1" noChangeArrowheads="1"/>
                    </pic:cNvPicPr>
                  </pic:nvPicPr>
                  <pic:blipFill>
                    <a:blip r:embed="rId31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149225</wp:posOffset>
            </wp:positionV>
            <wp:extent cx="17145" cy="17145"/>
            <wp:wrapNone/>
            <wp:docPr id="3172" name="Picture 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2"/>
                    <pic:cNvPicPr>
                      <a:picLocks noChangeAspect="1" noChangeArrowheads="1"/>
                    </pic:cNvPicPr>
                  </pic:nvPicPr>
                  <pic:blipFill>
                    <a:blip r:embed="rId31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149225</wp:posOffset>
            </wp:positionV>
            <wp:extent cx="17145" cy="17145"/>
            <wp:wrapNone/>
            <wp:docPr id="3173" name="Picture 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3"/>
                    <pic:cNvPicPr>
                      <a:picLocks noChangeAspect="1" noChangeArrowheads="1"/>
                    </pic:cNvPicPr>
                  </pic:nvPicPr>
                  <pic:blipFill>
                    <a:blip r:embed="rId31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149225</wp:posOffset>
            </wp:positionV>
            <wp:extent cx="17145" cy="17145"/>
            <wp:wrapNone/>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4"/>
                    <pic:cNvPicPr>
                      <a:picLocks noChangeAspect="1" noChangeArrowheads="1"/>
                    </pic:cNvPicPr>
                  </pic:nvPicPr>
                  <pic:blipFill>
                    <a:blip r:embed="rId31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149225</wp:posOffset>
            </wp:positionV>
            <wp:extent cx="17145" cy="17145"/>
            <wp:wrapNone/>
            <wp:docPr id="3175" name="Picture 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5"/>
                    <pic:cNvPicPr>
                      <a:picLocks noChangeAspect="1" noChangeArrowheads="1"/>
                    </pic:cNvPicPr>
                  </pic:nvPicPr>
                  <pic:blipFill>
                    <a:blip r:embed="rId31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149225</wp:posOffset>
            </wp:positionV>
            <wp:extent cx="17145" cy="17145"/>
            <wp:wrapNone/>
            <wp:docPr id="3176" name="Picture 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6"/>
                    <pic:cNvPicPr>
                      <a:picLocks noChangeAspect="1" noChangeArrowheads="1"/>
                    </pic:cNvPicPr>
                  </pic:nvPicPr>
                  <pic:blipFill>
                    <a:blip r:embed="rId31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149225</wp:posOffset>
            </wp:positionV>
            <wp:extent cx="17145" cy="17145"/>
            <wp:wrapNone/>
            <wp:docPr id="3177" name="Picture 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7"/>
                    <pic:cNvPicPr>
                      <a:picLocks noChangeAspect="1" noChangeArrowheads="1"/>
                    </pic:cNvPicPr>
                  </pic:nvPicPr>
                  <pic:blipFill>
                    <a:blip r:embed="rId31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149225</wp:posOffset>
            </wp:positionV>
            <wp:extent cx="17145" cy="17145"/>
            <wp:wrapNone/>
            <wp:docPr id="3178" name="Picture 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pic:cNvPicPr>
                      <a:picLocks noChangeAspect="1" noChangeArrowheads="1"/>
                    </pic:cNvPicPr>
                  </pic:nvPicPr>
                  <pic:blipFill>
                    <a:blip r:embed="rId31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149225</wp:posOffset>
            </wp:positionV>
            <wp:extent cx="17145" cy="17145"/>
            <wp:wrapNone/>
            <wp:docPr id="3179" name="Picture 3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1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149225</wp:posOffset>
            </wp:positionV>
            <wp:extent cx="17145" cy="17145"/>
            <wp:wrapNone/>
            <wp:docPr id="3180" name="Picture 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pic:cNvPicPr>
                      <a:picLocks noChangeAspect="1" noChangeArrowheads="1"/>
                    </pic:cNvPicPr>
                  </pic:nvPicPr>
                  <pic:blipFill>
                    <a:blip r:embed="rId31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149225</wp:posOffset>
            </wp:positionV>
            <wp:extent cx="17145" cy="17145"/>
            <wp:wrapNone/>
            <wp:docPr id="3181" name="Picture 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pic:cNvPicPr>
                      <a:picLocks noChangeAspect="1" noChangeArrowheads="1"/>
                    </pic:cNvPicPr>
                  </pic:nvPicPr>
                  <pic:blipFill>
                    <a:blip r:embed="rId31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149225</wp:posOffset>
            </wp:positionV>
            <wp:extent cx="17145" cy="17145"/>
            <wp:wrapNone/>
            <wp:docPr id="3182" name="Picture 3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2"/>
                    <pic:cNvPicPr>
                      <a:picLocks noChangeAspect="1" noChangeArrowheads="1"/>
                    </pic:cNvPicPr>
                  </pic:nvPicPr>
                  <pic:blipFill>
                    <a:blip r:embed="rId31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149225</wp:posOffset>
            </wp:positionV>
            <wp:extent cx="17145" cy="17145"/>
            <wp:wrapNone/>
            <wp:docPr id="3183" name="Picture 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3"/>
                    <pic:cNvPicPr>
                      <a:picLocks noChangeAspect="1" noChangeArrowheads="1"/>
                    </pic:cNvPicPr>
                  </pic:nvPicPr>
                  <pic:blipFill>
                    <a:blip r:embed="rId31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149225</wp:posOffset>
            </wp:positionV>
            <wp:extent cx="17145" cy="17145"/>
            <wp:wrapNone/>
            <wp:docPr id="3184" name="Picture 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4"/>
                    <pic:cNvPicPr>
                      <a:picLocks noChangeAspect="1" noChangeArrowheads="1"/>
                    </pic:cNvPicPr>
                  </pic:nvPicPr>
                  <pic:blipFill>
                    <a:blip r:embed="rId31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149225</wp:posOffset>
            </wp:positionV>
            <wp:extent cx="17145" cy="17145"/>
            <wp:wrapNone/>
            <wp:docPr id="3185" name="Picture 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5"/>
                    <pic:cNvPicPr>
                      <a:picLocks noChangeAspect="1" noChangeArrowheads="1"/>
                    </pic:cNvPicPr>
                  </pic:nvPicPr>
                  <pic:blipFill>
                    <a:blip r:embed="rId31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149225</wp:posOffset>
            </wp:positionV>
            <wp:extent cx="17145" cy="17145"/>
            <wp:wrapNone/>
            <wp:docPr id="3186" name="Picture 3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
                    <pic:cNvPicPr>
                      <a:picLocks noChangeAspect="1" noChangeArrowheads="1"/>
                    </pic:cNvPicPr>
                  </pic:nvPicPr>
                  <pic:blipFill>
                    <a:blip r:embed="rId31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149225</wp:posOffset>
            </wp:positionV>
            <wp:extent cx="17145" cy="17145"/>
            <wp:wrapNone/>
            <wp:docPr id="3187" name="Picture 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7"/>
                    <pic:cNvPicPr>
                      <a:picLocks noChangeAspect="1" noChangeArrowheads="1"/>
                    </pic:cNvPicPr>
                  </pic:nvPicPr>
                  <pic:blipFill>
                    <a:blip r:embed="rId31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149225</wp:posOffset>
            </wp:positionV>
            <wp:extent cx="17145" cy="17145"/>
            <wp:wrapNone/>
            <wp:docPr id="3188" name="Picture 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1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149225</wp:posOffset>
            </wp:positionV>
            <wp:extent cx="17145" cy="17145"/>
            <wp:wrapNone/>
            <wp:docPr id="3189" name="Picture 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9"/>
                    <pic:cNvPicPr>
                      <a:picLocks noChangeAspect="1" noChangeArrowheads="1"/>
                    </pic:cNvPicPr>
                  </pic:nvPicPr>
                  <pic:blipFill>
                    <a:blip r:embed="rId31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149225</wp:posOffset>
            </wp:positionV>
            <wp:extent cx="17145" cy="17145"/>
            <wp:wrapNone/>
            <wp:docPr id="3190" name="Picture 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
                    <pic:cNvPicPr>
                      <a:picLocks noChangeAspect="1" noChangeArrowheads="1"/>
                    </pic:cNvPicPr>
                  </pic:nvPicPr>
                  <pic:blipFill>
                    <a:blip r:embed="rId31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149225</wp:posOffset>
            </wp:positionV>
            <wp:extent cx="17145" cy="17145"/>
            <wp:wrapNone/>
            <wp:docPr id="3191" name="Picture 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1"/>
                    <pic:cNvPicPr>
                      <a:picLocks noChangeAspect="1" noChangeArrowheads="1"/>
                    </pic:cNvPicPr>
                  </pic:nvPicPr>
                  <pic:blipFill>
                    <a:blip r:embed="rId31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149225</wp:posOffset>
            </wp:positionV>
            <wp:extent cx="17145" cy="17145"/>
            <wp:wrapNone/>
            <wp:docPr id="3192" name="Picture 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2"/>
                    <pic:cNvPicPr>
                      <a:picLocks noChangeAspect="1" noChangeArrowheads="1"/>
                    </pic:cNvPicPr>
                  </pic:nvPicPr>
                  <pic:blipFill>
                    <a:blip r:embed="rId31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149225</wp:posOffset>
            </wp:positionV>
            <wp:extent cx="17145" cy="17145"/>
            <wp:wrapNone/>
            <wp:docPr id="3193" name="Picture 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3"/>
                    <pic:cNvPicPr>
                      <a:picLocks noChangeAspect="1" noChangeArrowheads="1"/>
                    </pic:cNvPicPr>
                  </pic:nvPicPr>
                  <pic:blipFill>
                    <a:blip r:embed="rId32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149225</wp:posOffset>
            </wp:positionV>
            <wp:extent cx="17145" cy="17145"/>
            <wp:wrapNone/>
            <wp:docPr id="3194" name="Picture 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4"/>
                    <pic:cNvPicPr>
                      <a:picLocks noChangeAspect="1" noChangeArrowheads="1"/>
                    </pic:cNvPicPr>
                  </pic:nvPicPr>
                  <pic:blipFill>
                    <a:blip r:embed="rId32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149225</wp:posOffset>
            </wp:positionV>
            <wp:extent cx="17145" cy="17145"/>
            <wp:wrapNone/>
            <wp:docPr id="3195" name="Picture 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
                    <pic:cNvPicPr>
                      <a:picLocks noChangeAspect="1" noChangeArrowheads="1"/>
                    </pic:cNvPicPr>
                  </pic:nvPicPr>
                  <pic:blipFill>
                    <a:blip r:embed="rId32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1144905</wp:posOffset>
            </wp:positionH>
            <wp:positionV relativeFrom="paragraph">
              <wp:posOffset>149225</wp:posOffset>
            </wp:positionV>
            <wp:extent cx="17145" cy="17145"/>
            <wp:wrapNone/>
            <wp:docPr id="3196" name="Picture 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6"/>
                    <pic:cNvPicPr>
                      <a:picLocks noChangeAspect="1" noChangeArrowheads="1"/>
                    </pic:cNvPicPr>
                  </pic:nvPicPr>
                  <pic:blipFill>
                    <a:blip r:embed="rId32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149225</wp:posOffset>
            </wp:positionV>
            <wp:extent cx="17145" cy="17145"/>
            <wp:wrapNone/>
            <wp:docPr id="3197" name="Picture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32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149225</wp:posOffset>
            </wp:positionV>
            <wp:extent cx="17145" cy="17145"/>
            <wp:wrapNone/>
            <wp:docPr id="3198" name="Picture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32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149225</wp:posOffset>
            </wp:positionV>
            <wp:extent cx="17145" cy="17145"/>
            <wp:wrapNone/>
            <wp:docPr id="3199" name="Picture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32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149225</wp:posOffset>
            </wp:positionV>
            <wp:extent cx="17145" cy="17145"/>
            <wp:wrapNone/>
            <wp:docPr id="3200" name="Pictur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32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149225</wp:posOffset>
            </wp:positionV>
            <wp:extent cx="17145" cy="17145"/>
            <wp:wrapNone/>
            <wp:docPr id="3201" name="Picture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32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149225</wp:posOffset>
            </wp:positionV>
            <wp:extent cx="17145" cy="17145"/>
            <wp:wrapNone/>
            <wp:docPr id="3202" name="Picture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32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1384935</wp:posOffset>
            </wp:positionH>
            <wp:positionV relativeFrom="paragraph">
              <wp:posOffset>149225</wp:posOffset>
            </wp:positionV>
            <wp:extent cx="17145" cy="17145"/>
            <wp:wrapNone/>
            <wp:docPr id="3203" name="Picture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32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149225</wp:posOffset>
            </wp:positionV>
            <wp:extent cx="17145" cy="17145"/>
            <wp:wrapNone/>
            <wp:docPr id="3204" name="Picture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32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149225</wp:posOffset>
            </wp:positionV>
            <wp:extent cx="17145" cy="17145"/>
            <wp:wrapNone/>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32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149225</wp:posOffset>
            </wp:positionV>
            <wp:extent cx="17145" cy="17145"/>
            <wp:wrapNone/>
            <wp:docPr id="3206" name="Picture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32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149225</wp:posOffset>
            </wp:positionV>
            <wp:extent cx="17145" cy="17145"/>
            <wp:wrapNone/>
            <wp:docPr id="3207" name="Picture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32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149225</wp:posOffset>
            </wp:positionV>
            <wp:extent cx="17145" cy="17145"/>
            <wp:wrapNone/>
            <wp:docPr id="3208" name="Picture 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
                    <pic:cNvPicPr>
                      <a:picLocks noChangeAspect="1" noChangeArrowheads="1"/>
                    </pic:cNvPicPr>
                  </pic:nvPicPr>
                  <pic:blipFill>
                    <a:blip r:embed="rId32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149225</wp:posOffset>
            </wp:positionV>
            <wp:extent cx="17145" cy="17145"/>
            <wp:wrapNone/>
            <wp:docPr id="3209" name="Picture 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9"/>
                    <pic:cNvPicPr>
                      <a:picLocks noChangeAspect="1" noChangeArrowheads="1"/>
                    </pic:cNvPicPr>
                  </pic:nvPicPr>
                  <pic:blipFill>
                    <a:blip r:embed="rId32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149225</wp:posOffset>
            </wp:positionV>
            <wp:extent cx="17145" cy="17145"/>
            <wp:wrapNone/>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0"/>
                    <pic:cNvPicPr>
                      <a:picLocks noChangeAspect="1" noChangeArrowheads="1"/>
                    </pic:cNvPicPr>
                  </pic:nvPicPr>
                  <pic:blipFill>
                    <a:blip r:embed="rId32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149225</wp:posOffset>
            </wp:positionV>
            <wp:extent cx="17145" cy="17145"/>
            <wp:wrapNone/>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
                    <pic:cNvPicPr>
                      <a:picLocks noChangeAspect="1" noChangeArrowheads="1"/>
                    </pic:cNvPicPr>
                  </pic:nvPicPr>
                  <pic:blipFill>
                    <a:blip r:embed="rId32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1693545</wp:posOffset>
            </wp:positionH>
            <wp:positionV relativeFrom="paragraph">
              <wp:posOffset>149225</wp:posOffset>
            </wp:positionV>
            <wp:extent cx="17145" cy="17145"/>
            <wp:wrapNone/>
            <wp:docPr id="3212" name="Picture 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
                    <pic:cNvPicPr>
                      <a:picLocks noChangeAspect="1" noChangeArrowheads="1"/>
                    </pic:cNvPicPr>
                  </pic:nvPicPr>
                  <pic:blipFill>
                    <a:blip r:embed="rId32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149225</wp:posOffset>
            </wp:positionV>
            <wp:extent cx="17145" cy="17145"/>
            <wp:wrapNone/>
            <wp:docPr id="3213" name="Picture 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
                    <pic:cNvPicPr>
                      <a:picLocks noChangeAspect="1" noChangeArrowheads="1"/>
                    </pic:cNvPicPr>
                  </pic:nvPicPr>
                  <pic:blipFill>
                    <a:blip r:embed="rId32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149225</wp:posOffset>
            </wp:positionV>
            <wp:extent cx="17145" cy="17145"/>
            <wp:wrapNone/>
            <wp:docPr id="3214" name="Picture 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4"/>
                    <pic:cNvPicPr>
                      <a:picLocks noChangeAspect="1" noChangeArrowheads="1"/>
                    </pic:cNvPicPr>
                  </pic:nvPicPr>
                  <pic:blipFill>
                    <a:blip r:embed="rId32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149225</wp:posOffset>
            </wp:positionV>
            <wp:extent cx="17145" cy="17145"/>
            <wp:wrapNone/>
            <wp:docPr id="3215" name="Picture 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
                    <pic:cNvPicPr>
                      <a:picLocks noChangeAspect="1" noChangeArrowheads="1"/>
                    </pic:cNvPicPr>
                  </pic:nvPicPr>
                  <pic:blipFill>
                    <a:blip r:embed="rId32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149225</wp:posOffset>
            </wp:positionV>
            <wp:extent cx="17145" cy="17145"/>
            <wp:wrapNone/>
            <wp:docPr id="3216" name="Picture 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6"/>
                    <pic:cNvPicPr>
                      <a:picLocks noChangeAspect="1" noChangeArrowheads="1"/>
                    </pic:cNvPicPr>
                  </pic:nvPicPr>
                  <pic:blipFill>
                    <a:blip r:embed="rId32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149225</wp:posOffset>
            </wp:positionV>
            <wp:extent cx="17145" cy="17145"/>
            <wp:wrapNone/>
            <wp:docPr id="3217" name="Picture 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7"/>
                    <pic:cNvPicPr>
                      <a:picLocks noChangeAspect="1" noChangeArrowheads="1"/>
                    </pic:cNvPicPr>
                  </pic:nvPicPr>
                  <pic:blipFill>
                    <a:blip r:embed="rId32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149225</wp:posOffset>
            </wp:positionV>
            <wp:extent cx="17145" cy="17145"/>
            <wp:wrapNone/>
            <wp:docPr id="3218" name="Picture 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8"/>
                    <pic:cNvPicPr>
                      <a:picLocks noChangeAspect="1" noChangeArrowheads="1"/>
                    </pic:cNvPicPr>
                  </pic:nvPicPr>
                  <pic:blipFill>
                    <a:blip r:embed="rId32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149225</wp:posOffset>
            </wp:positionV>
            <wp:extent cx="17145" cy="17145"/>
            <wp:wrapNone/>
            <wp:docPr id="3219" name="Picture 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9"/>
                    <pic:cNvPicPr>
                      <a:picLocks noChangeAspect="1" noChangeArrowheads="1"/>
                    </pic:cNvPicPr>
                  </pic:nvPicPr>
                  <pic:blipFill>
                    <a:blip r:embed="rId32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149225</wp:posOffset>
            </wp:positionV>
            <wp:extent cx="17145" cy="17145"/>
            <wp:wrapNone/>
            <wp:docPr id="3220" name="Picture 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0"/>
                    <pic:cNvPicPr>
                      <a:picLocks noChangeAspect="1" noChangeArrowheads="1"/>
                    </pic:cNvPicPr>
                  </pic:nvPicPr>
                  <pic:blipFill>
                    <a:blip r:embed="rId32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149225</wp:posOffset>
            </wp:positionV>
            <wp:extent cx="17145" cy="17145"/>
            <wp:wrapNone/>
            <wp:docPr id="3221" name="Picture 3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1"/>
                    <pic:cNvPicPr>
                      <a:picLocks noChangeAspect="1" noChangeArrowheads="1"/>
                    </pic:cNvPicPr>
                  </pic:nvPicPr>
                  <pic:blipFill>
                    <a:blip r:embed="rId32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149225</wp:posOffset>
            </wp:positionV>
            <wp:extent cx="17145" cy="17145"/>
            <wp:wrapNone/>
            <wp:docPr id="3222" name="Picture 3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2"/>
                    <pic:cNvPicPr>
                      <a:picLocks noChangeAspect="1" noChangeArrowheads="1"/>
                    </pic:cNvPicPr>
                  </pic:nvPicPr>
                  <pic:blipFill>
                    <a:blip r:embed="rId32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149225</wp:posOffset>
            </wp:positionV>
            <wp:extent cx="17145" cy="17145"/>
            <wp:wrapNone/>
            <wp:docPr id="3223" name="Picture 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3"/>
                    <pic:cNvPicPr>
                      <a:picLocks noChangeAspect="1" noChangeArrowheads="1"/>
                    </pic:cNvPicPr>
                  </pic:nvPicPr>
                  <pic:blipFill>
                    <a:blip r:embed="rId32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149225</wp:posOffset>
            </wp:positionV>
            <wp:extent cx="17145" cy="17145"/>
            <wp:wrapNone/>
            <wp:docPr id="3224" name="Picture 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4"/>
                    <pic:cNvPicPr>
                      <a:picLocks noChangeAspect="1" noChangeArrowheads="1"/>
                    </pic:cNvPicPr>
                  </pic:nvPicPr>
                  <pic:blipFill>
                    <a:blip r:embed="rId32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149225</wp:posOffset>
            </wp:positionV>
            <wp:extent cx="17145" cy="17145"/>
            <wp:wrapNone/>
            <wp:docPr id="3225" name="Picture 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5"/>
                    <pic:cNvPicPr>
                      <a:picLocks noChangeAspect="1" noChangeArrowheads="1"/>
                    </pic:cNvPicPr>
                  </pic:nvPicPr>
                  <pic:blipFill>
                    <a:blip r:embed="rId32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149225</wp:posOffset>
            </wp:positionV>
            <wp:extent cx="17145" cy="17145"/>
            <wp:wrapNone/>
            <wp:docPr id="3226" name="Picture 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6"/>
                    <pic:cNvPicPr>
                      <a:picLocks noChangeAspect="1" noChangeArrowheads="1"/>
                    </pic:cNvPicPr>
                  </pic:nvPicPr>
                  <pic:blipFill>
                    <a:blip r:embed="rId32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149225</wp:posOffset>
            </wp:positionV>
            <wp:extent cx="17145" cy="17145"/>
            <wp:wrapNone/>
            <wp:docPr id="3227" name="Picture 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7"/>
                    <pic:cNvPicPr>
                      <a:picLocks noChangeAspect="1" noChangeArrowheads="1"/>
                    </pic:cNvPicPr>
                  </pic:nvPicPr>
                  <pic:blipFill>
                    <a:blip r:embed="rId32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149225</wp:posOffset>
            </wp:positionV>
            <wp:extent cx="17145" cy="17145"/>
            <wp:wrapNone/>
            <wp:docPr id="3228" name="Picture 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8"/>
                    <pic:cNvPicPr>
                      <a:picLocks noChangeAspect="1" noChangeArrowheads="1"/>
                    </pic:cNvPicPr>
                  </pic:nvPicPr>
                  <pic:blipFill>
                    <a:blip r:embed="rId32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149225</wp:posOffset>
            </wp:positionV>
            <wp:extent cx="17145" cy="17145"/>
            <wp:wrapNone/>
            <wp:docPr id="3229" name="Picture 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9"/>
                    <pic:cNvPicPr>
                      <a:picLocks noChangeAspect="1" noChangeArrowheads="1"/>
                    </pic:cNvPicPr>
                  </pic:nvPicPr>
                  <pic:blipFill>
                    <a:blip r:embed="rId32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149225</wp:posOffset>
            </wp:positionV>
            <wp:extent cx="17145" cy="17145"/>
            <wp:wrapNone/>
            <wp:docPr id="3230" name="Picture 3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0"/>
                    <pic:cNvPicPr>
                      <a:picLocks noChangeAspect="1" noChangeArrowheads="1"/>
                    </pic:cNvPicPr>
                  </pic:nvPicPr>
                  <pic:blipFill>
                    <a:blip r:embed="rId32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149225</wp:posOffset>
            </wp:positionV>
            <wp:extent cx="17145" cy="17145"/>
            <wp:wrapNone/>
            <wp:docPr id="3231" name="Picture 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1"/>
                    <pic:cNvPicPr>
                      <a:picLocks noChangeAspect="1" noChangeArrowheads="1"/>
                    </pic:cNvPicPr>
                  </pic:nvPicPr>
                  <pic:blipFill>
                    <a:blip r:embed="rId32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149225</wp:posOffset>
            </wp:positionV>
            <wp:extent cx="17145" cy="17145"/>
            <wp:wrapNone/>
            <wp:docPr id="3232" name="Picture 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2"/>
                    <pic:cNvPicPr>
                      <a:picLocks noChangeAspect="1" noChangeArrowheads="1"/>
                    </pic:cNvPicPr>
                  </pic:nvPicPr>
                  <pic:blipFill>
                    <a:blip r:embed="rId32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149225</wp:posOffset>
            </wp:positionV>
            <wp:extent cx="17145" cy="17145"/>
            <wp:wrapNone/>
            <wp:docPr id="3233" name="Picture 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3"/>
                    <pic:cNvPicPr>
                      <a:picLocks noChangeAspect="1" noChangeArrowheads="1"/>
                    </pic:cNvPicPr>
                  </pic:nvPicPr>
                  <pic:blipFill>
                    <a:blip r:embed="rId32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149225</wp:posOffset>
            </wp:positionV>
            <wp:extent cx="17145" cy="17145"/>
            <wp:wrapNone/>
            <wp:docPr id="3234" name="Picture 3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4"/>
                    <pic:cNvPicPr>
                      <a:picLocks noChangeAspect="1" noChangeArrowheads="1"/>
                    </pic:cNvPicPr>
                  </pic:nvPicPr>
                  <pic:blipFill>
                    <a:blip r:embed="rId32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149225</wp:posOffset>
            </wp:positionV>
            <wp:extent cx="17145" cy="17145"/>
            <wp:wrapNone/>
            <wp:docPr id="3235" name="Picture 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5"/>
                    <pic:cNvPicPr>
                      <a:picLocks noChangeAspect="1" noChangeArrowheads="1"/>
                    </pic:cNvPicPr>
                  </pic:nvPicPr>
                  <pic:blipFill>
                    <a:blip r:embed="rId32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149225</wp:posOffset>
            </wp:positionV>
            <wp:extent cx="17145" cy="17145"/>
            <wp:wrapNone/>
            <wp:docPr id="3236" name="Picture 3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6"/>
                    <pic:cNvPicPr>
                      <a:picLocks noChangeAspect="1" noChangeArrowheads="1"/>
                    </pic:cNvPicPr>
                  </pic:nvPicPr>
                  <pic:blipFill>
                    <a:blip r:embed="rId32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149225</wp:posOffset>
            </wp:positionV>
            <wp:extent cx="17145" cy="17145"/>
            <wp:wrapNone/>
            <wp:docPr id="3237" name="Picture 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7"/>
                    <pic:cNvPicPr>
                      <a:picLocks noChangeAspect="1" noChangeArrowheads="1"/>
                    </pic:cNvPicPr>
                  </pic:nvPicPr>
                  <pic:blipFill>
                    <a:blip r:embed="rId32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149225</wp:posOffset>
            </wp:positionV>
            <wp:extent cx="17145" cy="17145"/>
            <wp:wrapNone/>
            <wp:docPr id="3238" name="Picture 3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8"/>
                    <pic:cNvPicPr>
                      <a:picLocks noChangeAspect="1" noChangeArrowheads="1"/>
                    </pic:cNvPicPr>
                  </pic:nvPicPr>
                  <pic:blipFill>
                    <a:blip r:embed="rId32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149225</wp:posOffset>
            </wp:positionV>
            <wp:extent cx="17145" cy="17145"/>
            <wp:wrapNone/>
            <wp:docPr id="3239" name="Picture 3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9"/>
                    <pic:cNvPicPr>
                      <a:picLocks noChangeAspect="1" noChangeArrowheads="1"/>
                    </pic:cNvPicPr>
                  </pic:nvPicPr>
                  <pic:blipFill>
                    <a:blip r:embed="rId32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149225</wp:posOffset>
            </wp:positionV>
            <wp:extent cx="17145" cy="17145"/>
            <wp:wrapNone/>
            <wp:docPr id="3240" name="Picture 3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0"/>
                    <pic:cNvPicPr>
                      <a:picLocks noChangeAspect="1" noChangeArrowheads="1"/>
                    </pic:cNvPicPr>
                  </pic:nvPicPr>
                  <pic:blipFill>
                    <a:blip r:embed="rId32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149225</wp:posOffset>
            </wp:positionV>
            <wp:extent cx="17145" cy="17145"/>
            <wp:wrapNone/>
            <wp:docPr id="3241" name="Picture 3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1"/>
                    <pic:cNvPicPr>
                      <a:picLocks noChangeAspect="1" noChangeArrowheads="1"/>
                    </pic:cNvPicPr>
                  </pic:nvPicPr>
                  <pic:blipFill>
                    <a:blip r:embed="rId32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149225</wp:posOffset>
            </wp:positionV>
            <wp:extent cx="17145" cy="17145"/>
            <wp:wrapNone/>
            <wp:docPr id="3242" name="Picture 3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2"/>
                    <pic:cNvPicPr>
                      <a:picLocks noChangeAspect="1" noChangeArrowheads="1"/>
                    </pic:cNvPicPr>
                  </pic:nvPicPr>
                  <pic:blipFill>
                    <a:blip r:embed="rId32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149225</wp:posOffset>
            </wp:positionV>
            <wp:extent cx="17145" cy="17145"/>
            <wp:wrapNone/>
            <wp:docPr id="3243" name="Picture 3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3"/>
                    <pic:cNvPicPr>
                      <a:picLocks noChangeAspect="1" noChangeArrowheads="1"/>
                    </pic:cNvPicPr>
                  </pic:nvPicPr>
                  <pic:blipFill>
                    <a:blip r:embed="rId32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149225</wp:posOffset>
            </wp:positionV>
            <wp:extent cx="17145" cy="17145"/>
            <wp:wrapNone/>
            <wp:docPr id="3244" name="Picture 3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4"/>
                    <pic:cNvPicPr>
                      <a:picLocks noChangeAspect="1" noChangeArrowheads="1"/>
                    </pic:cNvPicPr>
                  </pic:nvPicPr>
                  <pic:blipFill>
                    <a:blip r:embed="rId32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149225</wp:posOffset>
            </wp:positionV>
            <wp:extent cx="17145" cy="17145"/>
            <wp:wrapNone/>
            <wp:docPr id="3245" name="Picture 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5"/>
                    <pic:cNvPicPr>
                      <a:picLocks noChangeAspect="1" noChangeArrowheads="1"/>
                    </pic:cNvPicPr>
                  </pic:nvPicPr>
                  <pic:blipFill>
                    <a:blip r:embed="rId32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149225</wp:posOffset>
            </wp:positionV>
            <wp:extent cx="17145" cy="17145"/>
            <wp:wrapNone/>
            <wp:docPr id="3246" name="Picture 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6"/>
                    <pic:cNvPicPr>
                      <a:picLocks noChangeAspect="1" noChangeArrowheads="1"/>
                    </pic:cNvPicPr>
                  </pic:nvPicPr>
                  <pic:blipFill>
                    <a:blip r:embed="rId32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149225</wp:posOffset>
            </wp:positionV>
            <wp:extent cx="17145" cy="17145"/>
            <wp:wrapNone/>
            <wp:docPr id="3247" name="Picture 3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7"/>
                    <pic:cNvPicPr>
                      <a:picLocks noChangeAspect="1" noChangeArrowheads="1"/>
                    </pic:cNvPicPr>
                  </pic:nvPicPr>
                  <pic:blipFill>
                    <a:blip r:embed="rId32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149225</wp:posOffset>
            </wp:positionV>
            <wp:extent cx="17145" cy="17145"/>
            <wp:wrapNone/>
            <wp:docPr id="3248" name="Picture 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8"/>
                    <pic:cNvPicPr>
                      <a:picLocks noChangeAspect="1" noChangeArrowheads="1"/>
                    </pic:cNvPicPr>
                  </pic:nvPicPr>
                  <pic:blipFill>
                    <a:blip r:embed="rId32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149225</wp:posOffset>
            </wp:positionV>
            <wp:extent cx="17145" cy="17145"/>
            <wp:wrapNone/>
            <wp:docPr id="3249" name="Picture 3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9"/>
                    <pic:cNvPicPr>
                      <a:picLocks noChangeAspect="1" noChangeArrowheads="1"/>
                    </pic:cNvPicPr>
                  </pic:nvPicPr>
                  <pic:blipFill>
                    <a:blip r:embed="rId32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149225</wp:posOffset>
            </wp:positionV>
            <wp:extent cx="17145" cy="17145"/>
            <wp:wrapNone/>
            <wp:docPr id="3250" name="Picture 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0"/>
                    <pic:cNvPicPr>
                      <a:picLocks noChangeAspect="1" noChangeArrowheads="1"/>
                    </pic:cNvPicPr>
                  </pic:nvPicPr>
                  <pic:blipFill>
                    <a:blip r:embed="rId32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149225</wp:posOffset>
            </wp:positionV>
            <wp:extent cx="17145" cy="17145"/>
            <wp:wrapNone/>
            <wp:docPr id="3251" name="Picture 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1"/>
                    <pic:cNvPicPr>
                      <a:picLocks noChangeAspect="1" noChangeArrowheads="1"/>
                    </pic:cNvPicPr>
                  </pic:nvPicPr>
                  <pic:blipFill>
                    <a:blip r:embed="rId32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149225</wp:posOffset>
            </wp:positionV>
            <wp:extent cx="17145" cy="17145"/>
            <wp:wrapNone/>
            <wp:docPr id="3252" name="Picture 3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2"/>
                    <pic:cNvPicPr>
                      <a:picLocks noChangeAspect="1" noChangeArrowheads="1"/>
                    </pic:cNvPicPr>
                  </pic:nvPicPr>
                  <pic:blipFill>
                    <a:blip r:embed="rId32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149225</wp:posOffset>
            </wp:positionV>
            <wp:extent cx="17145" cy="17145"/>
            <wp:wrapNone/>
            <wp:docPr id="3253" name="Picture 3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3"/>
                    <pic:cNvPicPr>
                      <a:picLocks noChangeAspect="1" noChangeArrowheads="1"/>
                    </pic:cNvPicPr>
                  </pic:nvPicPr>
                  <pic:blipFill>
                    <a:blip r:embed="rId32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149225</wp:posOffset>
            </wp:positionV>
            <wp:extent cx="17145" cy="17145"/>
            <wp:wrapNone/>
            <wp:docPr id="3254" name="Picture 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4"/>
                    <pic:cNvPicPr>
                      <a:picLocks noChangeAspect="1" noChangeArrowheads="1"/>
                    </pic:cNvPicPr>
                  </pic:nvPicPr>
                  <pic:blipFill>
                    <a:blip r:embed="rId32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149225</wp:posOffset>
            </wp:positionV>
            <wp:extent cx="17145" cy="17145"/>
            <wp:wrapNone/>
            <wp:docPr id="3255" name="Picture 3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5"/>
                    <pic:cNvPicPr>
                      <a:picLocks noChangeAspect="1" noChangeArrowheads="1"/>
                    </pic:cNvPicPr>
                  </pic:nvPicPr>
                  <pic:blipFill>
                    <a:blip r:embed="rId32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149225</wp:posOffset>
            </wp:positionV>
            <wp:extent cx="17145" cy="17145"/>
            <wp:wrapNone/>
            <wp:docPr id="3256" name="Picture 3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6"/>
                    <pic:cNvPicPr>
                      <a:picLocks noChangeAspect="1" noChangeArrowheads="1"/>
                    </pic:cNvPicPr>
                  </pic:nvPicPr>
                  <pic:blipFill>
                    <a:blip r:embed="rId32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149225</wp:posOffset>
            </wp:positionV>
            <wp:extent cx="17145" cy="17145"/>
            <wp:wrapNone/>
            <wp:docPr id="3257" name="Picture 3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7"/>
                    <pic:cNvPicPr>
                      <a:picLocks noChangeAspect="1" noChangeArrowheads="1"/>
                    </pic:cNvPicPr>
                  </pic:nvPicPr>
                  <pic:blipFill>
                    <a:blip r:embed="rId32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149225</wp:posOffset>
            </wp:positionV>
            <wp:extent cx="17145" cy="17145"/>
            <wp:wrapNone/>
            <wp:docPr id="3258" name="Picture 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8"/>
                    <pic:cNvPicPr>
                      <a:picLocks noChangeAspect="1" noChangeArrowheads="1"/>
                    </pic:cNvPicPr>
                  </pic:nvPicPr>
                  <pic:blipFill>
                    <a:blip r:embed="rId32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149225</wp:posOffset>
            </wp:positionV>
            <wp:extent cx="17145" cy="17145"/>
            <wp:wrapNone/>
            <wp:docPr id="3259" name="Picture 3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9"/>
                    <pic:cNvPicPr>
                      <a:picLocks noChangeAspect="1" noChangeArrowheads="1"/>
                    </pic:cNvPicPr>
                  </pic:nvPicPr>
                  <pic:blipFill>
                    <a:blip r:embed="rId32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149225</wp:posOffset>
            </wp:positionV>
            <wp:extent cx="17145" cy="17145"/>
            <wp:wrapNone/>
            <wp:docPr id="3260" name="Picture 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0"/>
                    <pic:cNvPicPr>
                      <a:picLocks noChangeAspect="1" noChangeArrowheads="1"/>
                    </pic:cNvPicPr>
                  </pic:nvPicPr>
                  <pic:blipFill>
                    <a:blip r:embed="rId32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149225</wp:posOffset>
            </wp:positionV>
            <wp:extent cx="17145" cy="17145"/>
            <wp:wrapNone/>
            <wp:docPr id="3261" name="Picture 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1"/>
                    <pic:cNvPicPr>
                      <a:picLocks noChangeAspect="1" noChangeArrowheads="1"/>
                    </pic:cNvPicPr>
                  </pic:nvPicPr>
                  <pic:blipFill>
                    <a:blip r:embed="rId3268">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October of each year for compensation in the following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389255</wp:posOffset>
            </wp:positionV>
            <wp:extent cx="17145" cy="17145"/>
            <wp:wrapNone/>
            <wp:docPr id="3262" name="Picture 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2"/>
                    <pic:cNvPicPr>
                      <a:picLocks noChangeAspect="1" noChangeArrowheads="1"/>
                    </pic:cNvPicPr>
                  </pic:nvPicPr>
                  <pic:blipFill>
                    <a:blip r:embed="rId32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389255</wp:posOffset>
            </wp:positionV>
            <wp:extent cx="17145" cy="17145"/>
            <wp:wrapNone/>
            <wp:docPr id="3263" name="Picture 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3"/>
                    <pic:cNvPicPr>
                      <a:picLocks noChangeAspect="1" noChangeArrowheads="1"/>
                    </pic:cNvPicPr>
                  </pic:nvPicPr>
                  <pic:blipFill>
                    <a:blip r:embed="rId32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389255</wp:posOffset>
            </wp:positionV>
            <wp:extent cx="17145" cy="17145"/>
            <wp:wrapNone/>
            <wp:docPr id="3264" name="Picture 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4"/>
                    <pic:cNvPicPr>
                      <a:picLocks noChangeAspect="1" noChangeArrowheads="1"/>
                    </pic:cNvPicPr>
                  </pic:nvPicPr>
                  <pic:blipFill>
                    <a:blip r:embed="rId32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389255</wp:posOffset>
            </wp:positionV>
            <wp:extent cx="17145" cy="17145"/>
            <wp:wrapNone/>
            <wp:docPr id="3265" name="Picture 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pic:cNvPicPr>
                      <a:picLocks noChangeAspect="1" noChangeArrowheads="1"/>
                    </pic:cNvPicPr>
                  </pic:nvPicPr>
                  <pic:blipFill>
                    <a:blip r:embed="rId32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389255</wp:posOffset>
            </wp:positionV>
            <wp:extent cx="17145" cy="17145"/>
            <wp:wrapNone/>
            <wp:docPr id="3266" name="Picture 3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6"/>
                    <pic:cNvPicPr>
                      <a:picLocks noChangeAspect="1" noChangeArrowheads="1"/>
                    </pic:cNvPicPr>
                  </pic:nvPicPr>
                  <pic:blipFill>
                    <a:blip r:embed="rId32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389255</wp:posOffset>
            </wp:positionV>
            <wp:extent cx="17145" cy="17145"/>
            <wp:wrapNone/>
            <wp:docPr id="3267" name="Picture 3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7"/>
                    <pic:cNvPicPr>
                      <a:picLocks noChangeAspect="1" noChangeArrowheads="1"/>
                    </pic:cNvPicPr>
                  </pic:nvPicPr>
                  <pic:blipFill>
                    <a:blip r:embed="rId32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389255</wp:posOffset>
            </wp:positionV>
            <wp:extent cx="17145" cy="17145"/>
            <wp:wrapNone/>
            <wp:docPr id="3268" name="Picture 3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8"/>
                    <pic:cNvPicPr>
                      <a:picLocks noChangeAspect="1" noChangeArrowheads="1"/>
                    </pic:cNvPicPr>
                  </pic:nvPicPr>
                  <pic:blipFill>
                    <a:blip r:embed="rId32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389255</wp:posOffset>
            </wp:positionV>
            <wp:extent cx="17145" cy="17145"/>
            <wp:wrapNone/>
            <wp:docPr id="3269" name="Picture 3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9"/>
                    <pic:cNvPicPr>
                      <a:picLocks noChangeAspect="1" noChangeArrowheads="1"/>
                    </pic:cNvPicPr>
                  </pic:nvPicPr>
                  <pic:blipFill>
                    <a:blip r:embed="rId32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389255</wp:posOffset>
            </wp:positionV>
            <wp:extent cx="17145" cy="17145"/>
            <wp:wrapNone/>
            <wp:docPr id="3270" name="Picture 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pic:cNvPicPr>
                      <a:picLocks noChangeAspect="1" noChangeArrowheads="1"/>
                    </pic:cNvPicPr>
                  </pic:nvPicPr>
                  <pic:blipFill>
                    <a:blip r:embed="rId32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389255</wp:posOffset>
            </wp:positionV>
            <wp:extent cx="17145" cy="17145"/>
            <wp:wrapNone/>
            <wp:docPr id="3271" name="Picture 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1"/>
                    <pic:cNvPicPr>
                      <a:picLocks noChangeAspect="1" noChangeArrowheads="1"/>
                    </pic:cNvPicPr>
                  </pic:nvPicPr>
                  <pic:blipFill>
                    <a:blip r:embed="rId32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389255</wp:posOffset>
            </wp:positionV>
            <wp:extent cx="17145" cy="17145"/>
            <wp:wrapNone/>
            <wp:docPr id="3272" name="Picture 3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pic:cNvPicPr>
                      <a:picLocks noChangeAspect="1" noChangeArrowheads="1"/>
                    </pic:cNvPicPr>
                  </pic:nvPicPr>
                  <pic:blipFill>
                    <a:blip r:embed="rId32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389255</wp:posOffset>
            </wp:positionV>
            <wp:extent cx="17145" cy="17145"/>
            <wp:wrapNone/>
            <wp:docPr id="3273" name="Picture 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3"/>
                    <pic:cNvPicPr>
                      <a:picLocks noChangeAspect="1" noChangeArrowheads="1"/>
                    </pic:cNvPicPr>
                  </pic:nvPicPr>
                  <pic:blipFill>
                    <a:blip r:embed="rId32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389255</wp:posOffset>
            </wp:positionV>
            <wp:extent cx="17145" cy="17145"/>
            <wp:wrapNone/>
            <wp:docPr id="3274" name="Picture 3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pic:cNvPicPr>
                      <a:picLocks noChangeAspect="1" noChangeArrowheads="1"/>
                    </pic:cNvPicPr>
                  </pic:nvPicPr>
                  <pic:blipFill>
                    <a:blip r:embed="rId32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389255</wp:posOffset>
            </wp:positionV>
            <wp:extent cx="17145" cy="17145"/>
            <wp:wrapNone/>
            <wp:docPr id="3275" name="Picture 3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5"/>
                    <pic:cNvPicPr>
                      <a:picLocks noChangeAspect="1" noChangeArrowheads="1"/>
                    </pic:cNvPicPr>
                  </pic:nvPicPr>
                  <pic:blipFill>
                    <a:blip r:embed="rId32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389255</wp:posOffset>
            </wp:positionV>
            <wp:extent cx="17145" cy="17145"/>
            <wp:wrapNone/>
            <wp:docPr id="3276" name="Picture 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pic:cNvPicPr>
                      <a:picLocks noChangeAspect="1" noChangeArrowheads="1"/>
                    </pic:cNvPicPr>
                  </pic:nvPicPr>
                  <pic:blipFill>
                    <a:blip r:embed="rId32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389255</wp:posOffset>
            </wp:positionV>
            <wp:extent cx="17145" cy="17145"/>
            <wp:wrapNone/>
            <wp:docPr id="3277" name="Picture 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7"/>
                    <pic:cNvPicPr>
                      <a:picLocks noChangeAspect="1" noChangeArrowheads="1"/>
                    </pic:cNvPicPr>
                  </pic:nvPicPr>
                  <pic:blipFill>
                    <a:blip r:embed="rId32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389255</wp:posOffset>
            </wp:positionV>
            <wp:extent cx="17145" cy="17145"/>
            <wp:wrapNone/>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32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389255</wp:posOffset>
            </wp:positionV>
            <wp:extent cx="17145" cy="17145"/>
            <wp:wrapNone/>
            <wp:docPr id="3279" name="Picture 3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9"/>
                    <pic:cNvPicPr>
                      <a:picLocks noChangeAspect="1" noChangeArrowheads="1"/>
                    </pic:cNvPicPr>
                  </pic:nvPicPr>
                  <pic:blipFill>
                    <a:blip r:embed="rId32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389255</wp:posOffset>
            </wp:positionV>
            <wp:extent cx="17145" cy="17145"/>
            <wp:wrapNone/>
            <wp:docPr id="3280" name="Picture 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0"/>
                    <pic:cNvPicPr>
                      <a:picLocks noChangeAspect="1" noChangeArrowheads="1"/>
                    </pic:cNvPicPr>
                  </pic:nvPicPr>
                  <pic:blipFill>
                    <a:blip r:embed="rId32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389255</wp:posOffset>
            </wp:positionV>
            <wp:extent cx="17145" cy="17145"/>
            <wp:wrapNone/>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32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389255</wp:posOffset>
            </wp:positionV>
            <wp:extent cx="17145" cy="17145"/>
            <wp:wrapNone/>
            <wp:docPr id="3282" name="Picture 3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2"/>
                    <pic:cNvPicPr>
                      <a:picLocks noChangeAspect="1" noChangeArrowheads="1"/>
                    </pic:cNvPicPr>
                  </pic:nvPicPr>
                  <pic:blipFill>
                    <a:blip r:embed="rId32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389255</wp:posOffset>
            </wp:positionV>
            <wp:extent cx="17145" cy="17145"/>
            <wp:wrapNone/>
            <wp:docPr id="3283" name="Picture 3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3"/>
                    <pic:cNvPicPr>
                      <a:picLocks noChangeAspect="1" noChangeArrowheads="1"/>
                    </pic:cNvPicPr>
                  </pic:nvPicPr>
                  <pic:blipFill>
                    <a:blip r:embed="rId32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389255</wp:posOffset>
            </wp:positionV>
            <wp:extent cx="17145" cy="17145"/>
            <wp:wrapNone/>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32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389255</wp:posOffset>
            </wp:positionV>
            <wp:extent cx="17145" cy="17145"/>
            <wp:wrapNone/>
            <wp:docPr id="3285" name="Picture 3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5"/>
                    <pic:cNvPicPr>
                      <a:picLocks noChangeAspect="1" noChangeArrowheads="1"/>
                    </pic:cNvPicPr>
                  </pic:nvPicPr>
                  <pic:blipFill>
                    <a:blip r:embed="rId32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389255</wp:posOffset>
            </wp:positionV>
            <wp:extent cx="17145" cy="17145"/>
            <wp:wrapNone/>
            <wp:docPr id="3286" name="Picture 3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6"/>
                    <pic:cNvPicPr>
                      <a:picLocks noChangeAspect="1" noChangeArrowheads="1"/>
                    </pic:cNvPicPr>
                  </pic:nvPicPr>
                  <pic:blipFill>
                    <a:blip r:embed="rId32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389255</wp:posOffset>
            </wp:positionV>
            <wp:extent cx="17145" cy="17145"/>
            <wp:wrapNone/>
            <wp:docPr id="3287" name="Picture 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7"/>
                    <pic:cNvPicPr>
                      <a:picLocks noChangeAspect="1" noChangeArrowheads="1"/>
                    </pic:cNvPicPr>
                  </pic:nvPicPr>
                  <pic:blipFill>
                    <a:blip r:embed="rId32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389255</wp:posOffset>
            </wp:positionV>
            <wp:extent cx="17145" cy="17145"/>
            <wp:wrapNone/>
            <wp:docPr id="3288" name="Picture 3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8"/>
                    <pic:cNvPicPr>
                      <a:picLocks noChangeAspect="1" noChangeArrowheads="1"/>
                    </pic:cNvPicPr>
                  </pic:nvPicPr>
                  <pic:blipFill>
                    <a:blip r:embed="rId32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389255</wp:posOffset>
            </wp:positionV>
            <wp:extent cx="17145" cy="17145"/>
            <wp:wrapNone/>
            <wp:docPr id="3289" name="Picture 3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9"/>
                    <pic:cNvPicPr>
                      <a:picLocks noChangeAspect="1" noChangeArrowheads="1"/>
                    </pic:cNvPicPr>
                  </pic:nvPicPr>
                  <pic:blipFill>
                    <a:blip r:embed="rId32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389255</wp:posOffset>
            </wp:positionV>
            <wp:extent cx="17145" cy="17145"/>
            <wp:wrapNone/>
            <wp:docPr id="3290" name="Picture 3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pic:cNvPicPr>
                      <a:picLocks noChangeAspect="1" noChangeArrowheads="1"/>
                    </pic:cNvPicPr>
                  </pic:nvPicPr>
                  <pic:blipFill>
                    <a:blip r:embed="rId32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389255</wp:posOffset>
            </wp:positionV>
            <wp:extent cx="17145" cy="17145"/>
            <wp:wrapNone/>
            <wp:docPr id="3291" name="Picture 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1"/>
                    <pic:cNvPicPr>
                      <a:picLocks noChangeAspect="1" noChangeArrowheads="1"/>
                    </pic:cNvPicPr>
                  </pic:nvPicPr>
                  <pic:blipFill>
                    <a:blip r:embed="rId32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389255</wp:posOffset>
            </wp:positionV>
            <wp:extent cx="17145" cy="17145"/>
            <wp:wrapNone/>
            <wp:docPr id="3292" name="Picture 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2"/>
                    <pic:cNvPicPr>
                      <a:picLocks noChangeAspect="1" noChangeArrowheads="1"/>
                    </pic:cNvPicPr>
                  </pic:nvPicPr>
                  <pic:blipFill>
                    <a:blip r:embed="rId32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389255</wp:posOffset>
            </wp:positionV>
            <wp:extent cx="17145" cy="17145"/>
            <wp:wrapNone/>
            <wp:docPr id="3293" name="Picture 3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3"/>
                    <pic:cNvPicPr>
                      <a:picLocks noChangeAspect="1" noChangeArrowheads="1"/>
                    </pic:cNvPicPr>
                  </pic:nvPicPr>
                  <pic:blipFill>
                    <a:blip r:embed="rId33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389255</wp:posOffset>
            </wp:positionV>
            <wp:extent cx="17145" cy="17145"/>
            <wp:wrapNone/>
            <wp:docPr id="3294" name="Picture 3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4"/>
                    <pic:cNvPicPr>
                      <a:picLocks noChangeAspect="1" noChangeArrowheads="1"/>
                    </pic:cNvPicPr>
                  </pic:nvPicPr>
                  <pic:blipFill>
                    <a:blip r:embed="rId33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389255</wp:posOffset>
            </wp:positionV>
            <wp:extent cx="17145" cy="17145"/>
            <wp:wrapNone/>
            <wp:docPr id="3295" name="Picture 3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5"/>
                    <pic:cNvPicPr>
                      <a:picLocks noChangeAspect="1" noChangeArrowheads="1"/>
                    </pic:cNvPicPr>
                  </pic:nvPicPr>
                  <pic:blipFill>
                    <a:blip r:embed="rId33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1144905</wp:posOffset>
            </wp:positionH>
            <wp:positionV relativeFrom="paragraph">
              <wp:posOffset>389255</wp:posOffset>
            </wp:positionV>
            <wp:extent cx="17145" cy="17145"/>
            <wp:wrapNone/>
            <wp:docPr id="3296" name="Picture 3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6"/>
                    <pic:cNvPicPr>
                      <a:picLocks noChangeAspect="1" noChangeArrowheads="1"/>
                    </pic:cNvPicPr>
                  </pic:nvPicPr>
                  <pic:blipFill>
                    <a:blip r:embed="rId33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389255</wp:posOffset>
            </wp:positionV>
            <wp:extent cx="17145" cy="17145"/>
            <wp:wrapNone/>
            <wp:docPr id="3297" name="Picture 3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7"/>
                    <pic:cNvPicPr>
                      <a:picLocks noChangeAspect="1" noChangeArrowheads="1"/>
                    </pic:cNvPicPr>
                  </pic:nvPicPr>
                  <pic:blipFill>
                    <a:blip r:embed="rId33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389255</wp:posOffset>
            </wp:positionV>
            <wp:extent cx="17145" cy="17145"/>
            <wp:wrapNone/>
            <wp:docPr id="3298" name="Picture 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8"/>
                    <pic:cNvPicPr>
                      <a:picLocks noChangeAspect="1" noChangeArrowheads="1"/>
                    </pic:cNvPicPr>
                  </pic:nvPicPr>
                  <pic:blipFill>
                    <a:blip r:embed="rId33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389255</wp:posOffset>
            </wp:positionV>
            <wp:extent cx="17145" cy="17145"/>
            <wp:wrapNone/>
            <wp:docPr id="3299" name="Picture 3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9"/>
                    <pic:cNvPicPr>
                      <a:picLocks noChangeAspect="1" noChangeArrowheads="1"/>
                    </pic:cNvPicPr>
                  </pic:nvPicPr>
                  <pic:blipFill>
                    <a:blip r:embed="rId33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389255</wp:posOffset>
            </wp:positionV>
            <wp:extent cx="17145" cy="17145"/>
            <wp:wrapNone/>
            <wp:docPr id="3300" name="Picture 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0"/>
                    <pic:cNvPicPr>
                      <a:picLocks noChangeAspect="1" noChangeArrowheads="1"/>
                    </pic:cNvPicPr>
                  </pic:nvPicPr>
                  <pic:blipFill>
                    <a:blip r:embed="rId33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389255</wp:posOffset>
            </wp:positionV>
            <wp:extent cx="17145" cy="17145"/>
            <wp:wrapNone/>
            <wp:docPr id="3301" name="Picture 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pic:cNvPicPr>
                      <a:picLocks noChangeAspect="1" noChangeArrowheads="1"/>
                    </pic:cNvPicPr>
                  </pic:nvPicPr>
                  <pic:blipFill>
                    <a:blip r:embed="rId33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389255</wp:posOffset>
            </wp:positionV>
            <wp:extent cx="17145" cy="17145"/>
            <wp:wrapNone/>
            <wp:docPr id="3302" name="Picture 3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2"/>
                    <pic:cNvPicPr>
                      <a:picLocks noChangeAspect="1" noChangeArrowheads="1"/>
                    </pic:cNvPicPr>
                  </pic:nvPicPr>
                  <pic:blipFill>
                    <a:blip r:embed="rId33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1384935</wp:posOffset>
            </wp:positionH>
            <wp:positionV relativeFrom="paragraph">
              <wp:posOffset>389255</wp:posOffset>
            </wp:positionV>
            <wp:extent cx="17145" cy="17145"/>
            <wp:wrapNone/>
            <wp:docPr id="3303" name="Picture 3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3"/>
                    <pic:cNvPicPr>
                      <a:picLocks noChangeAspect="1" noChangeArrowheads="1"/>
                    </pic:cNvPicPr>
                  </pic:nvPicPr>
                  <pic:blipFill>
                    <a:blip r:embed="rId33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389255</wp:posOffset>
            </wp:positionV>
            <wp:extent cx="17145" cy="17145"/>
            <wp:wrapNone/>
            <wp:docPr id="3304" name="Picture 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4"/>
                    <pic:cNvPicPr>
                      <a:picLocks noChangeAspect="1" noChangeArrowheads="1"/>
                    </pic:cNvPicPr>
                  </pic:nvPicPr>
                  <pic:blipFill>
                    <a:blip r:embed="rId33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389255</wp:posOffset>
            </wp:positionV>
            <wp:extent cx="17145" cy="17145"/>
            <wp:wrapNone/>
            <wp:docPr id="3305" name="Picture 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5"/>
                    <pic:cNvPicPr>
                      <a:picLocks noChangeAspect="1" noChangeArrowheads="1"/>
                    </pic:cNvPicPr>
                  </pic:nvPicPr>
                  <pic:blipFill>
                    <a:blip r:embed="rId33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389255</wp:posOffset>
            </wp:positionV>
            <wp:extent cx="17145" cy="17145"/>
            <wp:wrapNone/>
            <wp:docPr id="3306" name="Picture 3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6"/>
                    <pic:cNvPicPr>
                      <a:picLocks noChangeAspect="1" noChangeArrowheads="1"/>
                    </pic:cNvPicPr>
                  </pic:nvPicPr>
                  <pic:blipFill>
                    <a:blip r:embed="rId33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389255</wp:posOffset>
            </wp:positionV>
            <wp:extent cx="17145" cy="17145"/>
            <wp:wrapNone/>
            <wp:docPr id="3307" name="Picture 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7"/>
                    <pic:cNvPicPr>
                      <a:picLocks noChangeAspect="1" noChangeArrowheads="1"/>
                    </pic:cNvPicPr>
                  </pic:nvPicPr>
                  <pic:blipFill>
                    <a:blip r:embed="rId33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389255</wp:posOffset>
            </wp:positionV>
            <wp:extent cx="17145" cy="17145"/>
            <wp:wrapNone/>
            <wp:docPr id="3308" name="Picture 3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8"/>
                    <pic:cNvPicPr>
                      <a:picLocks noChangeAspect="1" noChangeArrowheads="1"/>
                    </pic:cNvPicPr>
                  </pic:nvPicPr>
                  <pic:blipFill>
                    <a:blip r:embed="rId33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389255</wp:posOffset>
            </wp:positionV>
            <wp:extent cx="17145" cy="17145"/>
            <wp:wrapNone/>
            <wp:docPr id="3309" name="Picture 3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9"/>
                    <pic:cNvPicPr>
                      <a:picLocks noChangeAspect="1" noChangeArrowheads="1"/>
                    </pic:cNvPicPr>
                  </pic:nvPicPr>
                  <pic:blipFill>
                    <a:blip r:embed="rId33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389255</wp:posOffset>
            </wp:positionV>
            <wp:extent cx="17145" cy="17145"/>
            <wp:wrapNone/>
            <wp:docPr id="3310" name="Picture 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0"/>
                    <pic:cNvPicPr>
                      <a:picLocks noChangeAspect="1" noChangeArrowheads="1"/>
                    </pic:cNvPicPr>
                  </pic:nvPicPr>
                  <pic:blipFill>
                    <a:blip r:embed="rId33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389255</wp:posOffset>
            </wp:positionV>
            <wp:extent cx="17145" cy="17145"/>
            <wp:wrapNone/>
            <wp:docPr id="3311" name="Picture 3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1"/>
                    <pic:cNvPicPr>
                      <a:picLocks noChangeAspect="1" noChangeArrowheads="1"/>
                    </pic:cNvPicPr>
                  </pic:nvPicPr>
                  <pic:blipFill>
                    <a:blip r:embed="rId33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1693545</wp:posOffset>
            </wp:positionH>
            <wp:positionV relativeFrom="paragraph">
              <wp:posOffset>389255</wp:posOffset>
            </wp:positionV>
            <wp:extent cx="17145" cy="17145"/>
            <wp:wrapNone/>
            <wp:docPr id="3312" name="Picture 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2"/>
                    <pic:cNvPicPr>
                      <a:picLocks noChangeAspect="1" noChangeArrowheads="1"/>
                    </pic:cNvPicPr>
                  </pic:nvPicPr>
                  <pic:blipFill>
                    <a:blip r:embed="rId33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389255</wp:posOffset>
            </wp:positionV>
            <wp:extent cx="17145" cy="17145"/>
            <wp:wrapNone/>
            <wp:docPr id="3313" name="Picture 3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3"/>
                    <pic:cNvPicPr>
                      <a:picLocks noChangeAspect="1" noChangeArrowheads="1"/>
                    </pic:cNvPicPr>
                  </pic:nvPicPr>
                  <pic:blipFill>
                    <a:blip r:embed="rId33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389255</wp:posOffset>
            </wp:positionV>
            <wp:extent cx="17145" cy="17145"/>
            <wp:wrapNone/>
            <wp:docPr id="3314" name="Picture 3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4"/>
                    <pic:cNvPicPr>
                      <a:picLocks noChangeAspect="1" noChangeArrowheads="1"/>
                    </pic:cNvPicPr>
                  </pic:nvPicPr>
                  <pic:blipFill>
                    <a:blip r:embed="rId33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389255</wp:posOffset>
            </wp:positionV>
            <wp:extent cx="17145" cy="17145"/>
            <wp:wrapNone/>
            <wp:docPr id="3315" name="Picture 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5"/>
                    <pic:cNvPicPr>
                      <a:picLocks noChangeAspect="1" noChangeArrowheads="1"/>
                    </pic:cNvPicPr>
                  </pic:nvPicPr>
                  <pic:blipFill>
                    <a:blip r:embed="rId33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389255</wp:posOffset>
            </wp:positionV>
            <wp:extent cx="17145" cy="17145"/>
            <wp:wrapNone/>
            <wp:docPr id="3316" name="Picture 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6"/>
                    <pic:cNvPicPr>
                      <a:picLocks noChangeAspect="1" noChangeArrowheads="1"/>
                    </pic:cNvPicPr>
                  </pic:nvPicPr>
                  <pic:blipFill>
                    <a:blip r:embed="rId33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389255</wp:posOffset>
            </wp:positionV>
            <wp:extent cx="17145" cy="17145"/>
            <wp:wrapNone/>
            <wp:docPr id="3317" name="Picture 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7"/>
                    <pic:cNvPicPr>
                      <a:picLocks noChangeAspect="1" noChangeArrowheads="1"/>
                    </pic:cNvPicPr>
                  </pic:nvPicPr>
                  <pic:blipFill>
                    <a:blip r:embed="rId33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389255</wp:posOffset>
            </wp:positionV>
            <wp:extent cx="17145" cy="17145"/>
            <wp:wrapNone/>
            <wp:docPr id="3318" name="Picture 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8"/>
                    <pic:cNvPicPr>
                      <a:picLocks noChangeAspect="1" noChangeArrowheads="1"/>
                    </pic:cNvPicPr>
                  </pic:nvPicPr>
                  <pic:blipFill>
                    <a:blip r:embed="rId33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389255</wp:posOffset>
            </wp:positionV>
            <wp:extent cx="17145" cy="17145"/>
            <wp:wrapNone/>
            <wp:docPr id="3319" name="Picture 3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9"/>
                    <pic:cNvPicPr>
                      <a:picLocks noChangeAspect="1" noChangeArrowheads="1"/>
                    </pic:cNvPicPr>
                  </pic:nvPicPr>
                  <pic:blipFill>
                    <a:blip r:embed="rId33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389255</wp:posOffset>
            </wp:positionV>
            <wp:extent cx="17145" cy="17145"/>
            <wp:wrapNone/>
            <wp:docPr id="3320" name="Picture 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0"/>
                    <pic:cNvPicPr>
                      <a:picLocks noChangeAspect="1" noChangeArrowheads="1"/>
                    </pic:cNvPicPr>
                  </pic:nvPicPr>
                  <pic:blipFill>
                    <a:blip r:embed="rId33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389255</wp:posOffset>
            </wp:positionV>
            <wp:extent cx="17145" cy="17145"/>
            <wp:wrapNone/>
            <wp:docPr id="3321" name="Picture 3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1"/>
                    <pic:cNvPicPr>
                      <a:picLocks noChangeAspect="1" noChangeArrowheads="1"/>
                    </pic:cNvPicPr>
                  </pic:nvPicPr>
                  <pic:blipFill>
                    <a:blip r:embed="rId33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389255</wp:posOffset>
            </wp:positionV>
            <wp:extent cx="17145" cy="17145"/>
            <wp:wrapNone/>
            <wp:docPr id="3322" name="Picture 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2"/>
                    <pic:cNvPicPr>
                      <a:picLocks noChangeAspect="1" noChangeArrowheads="1"/>
                    </pic:cNvPicPr>
                  </pic:nvPicPr>
                  <pic:blipFill>
                    <a:blip r:embed="rId33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389255</wp:posOffset>
            </wp:positionV>
            <wp:extent cx="17145" cy="17145"/>
            <wp:wrapNone/>
            <wp:docPr id="3323" name="Picture 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3"/>
                    <pic:cNvPicPr>
                      <a:picLocks noChangeAspect="1" noChangeArrowheads="1"/>
                    </pic:cNvPicPr>
                  </pic:nvPicPr>
                  <pic:blipFill>
                    <a:blip r:embed="rId33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389255</wp:posOffset>
            </wp:positionV>
            <wp:extent cx="17145" cy="17145"/>
            <wp:wrapNone/>
            <wp:docPr id="3324" name="Picture 3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4"/>
                    <pic:cNvPicPr>
                      <a:picLocks noChangeAspect="1" noChangeArrowheads="1"/>
                    </pic:cNvPicPr>
                  </pic:nvPicPr>
                  <pic:blipFill>
                    <a:blip r:embed="rId33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389255</wp:posOffset>
            </wp:positionV>
            <wp:extent cx="17145" cy="17145"/>
            <wp:wrapNone/>
            <wp:docPr id="3325" name="Picture 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5"/>
                    <pic:cNvPicPr>
                      <a:picLocks noChangeAspect="1" noChangeArrowheads="1"/>
                    </pic:cNvPicPr>
                  </pic:nvPicPr>
                  <pic:blipFill>
                    <a:blip r:embed="rId33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389255</wp:posOffset>
            </wp:positionV>
            <wp:extent cx="17145" cy="17145"/>
            <wp:wrapNone/>
            <wp:docPr id="3326" name="Picture 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
                    <pic:cNvPicPr>
                      <a:picLocks noChangeAspect="1" noChangeArrowheads="1"/>
                    </pic:cNvPicPr>
                  </pic:nvPicPr>
                  <pic:blipFill>
                    <a:blip r:embed="rId33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389255</wp:posOffset>
            </wp:positionV>
            <wp:extent cx="17145" cy="17145"/>
            <wp:wrapNone/>
            <wp:docPr id="3327" name="Picture 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7"/>
                    <pic:cNvPicPr>
                      <a:picLocks noChangeAspect="1" noChangeArrowheads="1"/>
                    </pic:cNvPicPr>
                  </pic:nvPicPr>
                  <pic:blipFill>
                    <a:blip r:embed="rId33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389255</wp:posOffset>
            </wp:positionV>
            <wp:extent cx="17145" cy="17145"/>
            <wp:wrapNone/>
            <wp:docPr id="3328" name="Picture 3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8"/>
                    <pic:cNvPicPr>
                      <a:picLocks noChangeAspect="1" noChangeArrowheads="1"/>
                    </pic:cNvPicPr>
                  </pic:nvPicPr>
                  <pic:blipFill>
                    <a:blip r:embed="rId33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389255</wp:posOffset>
            </wp:positionV>
            <wp:extent cx="17145" cy="17145"/>
            <wp:wrapNone/>
            <wp:docPr id="3329" name="Picture 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9"/>
                    <pic:cNvPicPr>
                      <a:picLocks noChangeAspect="1" noChangeArrowheads="1"/>
                    </pic:cNvPicPr>
                  </pic:nvPicPr>
                  <pic:blipFill>
                    <a:blip r:embed="rId33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389255</wp:posOffset>
            </wp:positionV>
            <wp:extent cx="17145" cy="17145"/>
            <wp:wrapNone/>
            <wp:docPr id="3330" name="Picture 3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0"/>
                    <pic:cNvPicPr>
                      <a:picLocks noChangeAspect="1" noChangeArrowheads="1"/>
                    </pic:cNvPicPr>
                  </pic:nvPicPr>
                  <pic:blipFill>
                    <a:blip r:embed="rId33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389255</wp:posOffset>
            </wp:positionV>
            <wp:extent cx="17145" cy="17145"/>
            <wp:wrapNone/>
            <wp:docPr id="3331" name="Picture 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1"/>
                    <pic:cNvPicPr>
                      <a:picLocks noChangeAspect="1" noChangeArrowheads="1"/>
                    </pic:cNvPicPr>
                  </pic:nvPicPr>
                  <pic:blipFill>
                    <a:blip r:embed="rId33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389255</wp:posOffset>
            </wp:positionV>
            <wp:extent cx="17145" cy="17145"/>
            <wp:wrapNone/>
            <wp:docPr id="3332" name="Picture 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2"/>
                    <pic:cNvPicPr>
                      <a:picLocks noChangeAspect="1" noChangeArrowheads="1"/>
                    </pic:cNvPicPr>
                  </pic:nvPicPr>
                  <pic:blipFill>
                    <a:blip r:embed="rId33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389255</wp:posOffset>
            </wp:positionV>
            <wp:extent cx="17145" cy="17145"/>
            <wp:wrapNone/>
            <wp:docPr id="3333" name="Picture 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3"/>
                    <pic:cNvPicPr>
                      <a:picLocks noChangeAspect="1" noChangeArrowheads="1"/>
                    </pic:cNvPicPr>
                  </pic:nvPicPr>
                  <pic:blipFill>
                    <a:blip r:embed="rId33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389255</wp:posOffset>
            </wp:positionV>
            <wp:extent cx="17145" cy="17145"/>
            <wp:wrapNone/>
            <wp:docPr id="3334" name="Picture 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4"/>
                    <pic:cNvPicPr>
                      <a:picLocks noChangeAspect="1" noChangeArrowheads="1"/>
                    </pic:cNvPicPr>
                  </pic:nvPicPr>
                  <pic:blipFill>
                    <a:blip r:embed="rId33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389255</wp:posOffset>
            </wp:positionV>
            <wp:extent cx="17145" cy="17145"/>
            <wp:wrapNone/>
            <wp:docPr id="3335" name="Picture 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pic:cNvPicPr>
                      <a:picLocks noChangeAspect="1" noChangeArrowheads="1"/>
                    </pic:cNvPicPr>
                  </pic:nvPicPr>
                  <pic:blipFill>
                    <a:blip r:embed="rId33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389255</wp:posOffset>
            </wp:positionV>
            <wp:extent cx="17145" cy="17145"/>
            <wp:wrapNone/>
            <wp:docPr id="3336" name="Picture 3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6"/>
                    <pic:cNvPicPr>
                      <a:picLocks noChangeAspect="1" noChangeArrowheads="1"/>
                    </pic:cNvPicPr>
                  </pic:nvPicPr>
                  <pic:blipFill>
                    <a:blip r:embed="rId33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389255</wp:posOffset>
            </wp:positionV>
            <wp:extent cx="17145" cy="17145"/>
            <wp:wrapNone/>
            <wp:docPr id="3337" name="Picture 3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7"/>
                    <pic:cNvPicPr>
                      <a:picLocks noChangeAspect="1" noChangeArrowheads="1"/>
                    </pic:cNvPicPr>
                  </pic:nvPicPr>
                  <pic:blipFill>
                    <a:blip r:embed="rId33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389255</wp:posOffset>
            </wp:positionV>
            <wp:extent cx="17145" cy="17145"/>
            <wp:wrapNone/>
            <wp:docPr id="3338" name="Picture 3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8"/>
                    <pic:cNvPicPr>
                      <a:picLocks noChangeAspect="1" noChangeArrowheads="1"/>
                    </pic:cNvPicPr>
                  </pic:nvPicPr>
                  <pic:blipFill>
                    <a:blip r:embed="rId33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389255</wp:posOffset>
            </wp:positionV>
            <wp:extent cx="17145" cy="17145"/>
            <wp:wrapNone/>
            <wp:docPr id="3339" name="Picture 3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33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389255</wp:posOffset>
            </wp:positionV>
            <wp:extent cx="17145" cy="17145"/>
            <wp:wrapNone/>
            <wp:docPr id="3340" name="Picture 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0"/>
                    <pic:cNvPicPr>
                      <a:picLocks noChangeAspect="1" noChangeArrowheads="1"/>
                    </pic:cNvPicPr>
                  </pic:nvPicPr>
                  <pic:blipFill>
                    <a:blip r:embed="rId33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389255</wp:posOffset>
            </wp:positionV>
            <wp:extent cx="17145" cy="17145"/>
            <wp:wrapNone/>
            <wp:docPr id="3341" name="Picture 3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33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389255</wp:posOffset>
            </wp:positionV>
            <wp:extent cx="17145" cy="17145"/>
            <wp:wrapNone/>
            <wp:docPr id="3342" name="Picture 3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2"/>
                    <pic:cNvPicPr>
                      <a:picLocks noChangeAspect="1" noChangeArrowheads="1"/>
                    </pic:cNvPicPr>
                  </pic:nvPicPr>
                  <pic:blipFill>
                    <a:blip r:embed="rId33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389255</wp:posOffset>
            </wp:positionV>
            <wp:extent cx="17145" cy="17145"/>
            <wp:wrapNone/>
            <wp:docPr id="3343" name="Picture 3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3"/>
                    <pic:cNvPicPr>
                      <a:picLocks noChangeAspect="1" noChangeArrowheads="1"/>
                    </pic:cNvPicPr>
                  </pic:nvPicPr>
                  <pic:blipFill>
                    <a:blip r:embed="rId33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389255</wp:posOffset>
            </wp:positionV>
            <wp:extent cx="17145" cy="17145"/>
            <wp:wrapNone/>
            <wp:docPr id="3344" name="Picture 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4"/>
                    <pic:cNvPicPr>
                      <a:picLocks noChangeAspect="1" noChangeArrowheads="1"/>
                    </pic:cNvPicPr>
                  </pic:nvPicPr>
                  <pic:blipFill>
                    <a:blip r:embed="rId33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389255</wp:posOffset>
            </wp:positionV>
            <wp:extent cx="17145" cy="17145"/>
            <wp:wrapNone/>
            <wp:docPr id="3345" name="Picture 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pic:cNvPicPr>
                      <a:picLocks noChangeAspect="1" noChangeArrowheads="1"/>
                    </pic:cNvPicPr>
                  </pic:nvPicPr>
                  <pic:blipFill>
                    <a:blip r:embed="rId33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389255</wp:posOffset>
            </wp:positionV>
            <wp:extent cx="17145" cy="17145"/>
            <wp:wrapNone/>
            <wp:docPr id="3346" name="Picture 3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6"/>
                    <pic:cNvPicPr>
                      <a:picLocks noChangeAspect="1" noChangeArrowheads="1"/>
                    </pic:cNvPicPr>
                  </pic:nvPicPr>
                  <pic:blipFill>
                    <a:blip r:embed="rId33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389255</wp:posOffset>
            </wp:positionV>
            <wp:extent cx="17145" cy="17145"/>
            <wp:wrapNone/>
            <wp:docPr id="3347" name="Picture 3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pic:cNvPicPr>
                      <a:picLocks noChangeAspect="1" noChangeArrowheads="1"/>
                    </pic:cNvPicPr>
                  </pic:nvPicPr>
                  <pic:blipFill>
                    <a:blip r:embed="rId33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389255</wp:posOffset>
            </wp:positionV>
            <wp:extent cx="17145" cy="17145"/>
            <wp:wrapNone/>
            <wp:docPr id="3348" name="Picture 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
                    <pic:cNvPicPr>
                      <a:picLocks noChangeAspect="1" noChangeArrowheads="1"/>
                    </pic:cNvPicPr>
                  </pic:nvPicPr>
                  <pic:blipFill>
                    <a:blip r:embed="rId33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389255</wp:posOffset>
            </wp:positionV>
            <wp:extent cx="17145" cy="17145"/>
            <wp:wrapNone/>
            <wp:docPr id="3349" name="Picture 3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pic:cNvPicPr>
                      <a:picLocks noChangeAspect="1" noChangeArrowheads="1"/>
                    </pic:cNvPicPr>
                  </pic:nvPicPr>
                  <pic:blipFill>
                    <a:blip r:embed="rId33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389255</wp:posOffset>
            </wp:positionV>
            <wp:extent cx="17145" cy="17145"/>
            <wp:wrapNone/>
            <wp:docPr id="3350" name="Picture 3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0"/>
                    <pic:cNvPicPr>
                      <a:picLocks noChangeAspect="1" noChangeArrowheads="1"/>
                    </pic:cNvPicPr>
                  </pic:nvPicPr>
                  <pic:blipFill>
                    <a:blip r:embed="rId33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389255</wp:posOffset>
            </wp:positionV>
            <wp:extent cx="17145" cy="17145"/>
            <wp:wrapNone/>
            <wp:docPr id="3351" name="Picture 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pic:cNvPicPr>
                      <a:picLocks noChangeAspect="1" noChangeArrowheads="1"/>
                    </pic:cNvPicPr>
                  </pic:nvPicPr>
                  <pic:blipFill>
                    <a:blip r:embed="rId33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389255</wp:posOffset>
            </wp:positionV>
            <wp:extent cx="17145" cy="17145"/>
            <wp:wrapNone/>
            <wp:docPr id="3352" name="Picture 3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2"/>
                    <pic:cNvPicPr>
                      <a:picLocks noChangeAspect="1" noChangeArrowheads="1"/>
                    </pic:cNvPicPr>
                  </pic:nvPicPr>
                  <pic:blipFill>
                    <a:blip r:embed="rId33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389255</wp:posOffset>
            </wp:positionV>
            <wp:extent cx="17145" cy="17145"/>
            <wp:wrapNone/>
            <wp:docPr id="3353" name="Picture 3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3"/>
                    <pic:cNvPicPr>
                      <a:picLocks noChangeAspect="1" noChangeArrowheads="1"/>
                    </pic:cNvPicPr>
                  </pic:nvPicPr>
                  <pic:blipFill>
                    <a:blip r:embed="rId33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389255</wp:posOffset>
            </wp:positionV>
            <wp:extent cx="17145" cy="17145"/>
            <wp:wrapNone/>
            <wp:docPr id="3354" name="Picture 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4"/>
                    <pic:cNvPicPr>
                      <a:picLocks noChangeAspect="1" noChangeArrowheads="1"/>
                    </pic:cNvPicPr>
                  </pic:nvPicPr>
                  <pic:blipFill>
                    <a:blip r:embed="rId33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389255</wp:posOffset>
            </wp:positionV>
            <wp:extent cx="17145" cy="17145"/>
            <wp:wrapNone/>
            <wp:docPr id="3355" name="Picture 3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5"/>
                    <pic:cNvPicPr>
                      <a:picLocks noChangeAspect="1" noChangeArrowheads="1"/>
                    </pic:cNvPicPr>
                  </pic:nvPicPr>
                  <pic:blipFill>
                    <a:blip r:embed="rId33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389255</wp:posOffset>
            </wp:positionV>
            <wp:extent cx="17145" cy="17145"/>
            <wp:wrapNone/>
            <wp:docPr id="3356" name="Picture 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6"/>
                    <pic:cNvPicPr>
                      <a:picLocks noChangeAspect="1" noChangeArrowheads="1"/>
                    </pic:cNvPicPr>
                  </pic:nvPicPr>
                  <pic:blipFill>
                    <a:blip r:embed="rId33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389255</wp:posOffset>
            </wp:positionV>
            <wp:extent cx="17145" cy="17145"/>
            <wp:wrapNone/>
            <wp:docPr id="3357" name="Picture 3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7"/>
                    <pic:cNvPicPr>
                      <a:picLocks noChangeAspect="1" noChangeArrowheads="1"/>
                    </pic:cNvPicPr>
                  </pic:nvPicPr>
                  <pic:blipFill>
                    <a:blip r:embed="rId33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389255</wp:posOffset>
            </wp:positionV>
            <wp:extent cx="17145" cy="17145"/>
            <wp:wrapNone/>
            <wp:docPr id="3358" name="Picture 3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8"/>
                    <pic:cNvPicPr>
                      <a:picLocks noChangeAspect="1" noChangeArrowheads="1"/>
                    </pic:cNvPicPr>
                  </pic:nvPicPr>
                  <pic:blipFill>
                    <a:blip r:embed="rId33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389255</wp:posOffset>
            </wp:positionV>
            <wp:extent cx="17145" cy="17145"/>
            <wp:wrapNone/>
            <wp:docPr id="3359" name="Picture 3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9"/>
                    <pic:cNvPicPr>
                      <a:picLocks noChangeAspect="1" noChangeArrowheads="1"/>
                    </pic:cNvPicPr>
                  </pic:nvPicPr>
                  <pic:blipFill>
                    <a:blip r:embed="rId33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389255</wp:posOffset>
            </wp:positionV>
            <wp:extent cx="17145" cy="17145"/>
            <wp:wrapNone/>
            <wp:docPr id="3360" name="Picture 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0"/>
                    <pic:cNvPicPr>
                      <a:picLocks noChangeAspect="1" noChangeArrowheads="1"/>
                    </pic:cNvPicPr>
                  </pic:nvPicPr>
                  <pic:blipFill>
                    <a:blip r:embed="rId33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389255</wp:posOffset>
            </wp:positionV>
            <wp:extent cx="17145" cy="17145"/>
            <wp:wrapNone/>
            <wp:docPr id="3361" name="Picture 3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1"/>
                    <pic:cNvPicPr>
                      <a:picLocks noChangeAspect="1" noChangeArrowheads="1"/>
                    </pic:cNvPicPr>
                  </pic:nvPicPr>
                  <pic:blipFill>
                    <a:blip r:embed="rId3368">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Results approved in January of each year for annual cash incentive compensation with respect to the prior year. The annual cash incentive earned for the prior year is paid in February of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-1905</wp:posOffset>
            </wp:positionV>
            <wp:extent cx="17145" cy="17145"/>
            <wp:wrapNone/>
            <wp:docPr id="3362" name="Picture 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2"/>
                    <pic:cNvPicPr>
                      <a:picLocks noChangeAspect="1" noChangeArrowheads="1"/>
                    </pic:cNvPicPr>
                  </pic:nvPicPr>
                  <pic:blipFill>
                    <a:blip r:embed="rId33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-1905</wp:posOffset>
            </wp:positionV>
            <wp:extent cx="17145" cy="17145"/>
            <wp:wrapNone/>
            <wp:docPr id="3363" name="Picture 3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
                    <pic:cNvPicPr>
                      <a:picLocks noChangeAspect="1" noChangeArrowheads="1"/>
                    </pic:cNvPicPr>
                  </pic:nvPicPr>
                  <pic:blipFill>
                    <a:blip r:embed="rId33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-1905</wp:posOffset>
            </wp:positionV>
            <wp:extent cx="17145" cy="17145"/>
            <wp:wrapNone/>
            <wp:docPr id="3364" name="Picture 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4"/>
                    <pic:cNvPicPr>
                      <a:picLocks noChangeAspect="1" noChangeArrowheads="1"/>
                    </pic:cNvPicPr>
                  </pic:nvPicPr>
                  <pic:blipFill>
                    <a:blip r:embed="rId33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-1905</wp:posOffset>
            </wp:positionV>
            <wp:extent cx="17145" cy="17145"/>
            <wp:wrapNone/>
            <wp:docPr id="3365" name="Picture 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5"/>
                    <pic:cNvPicPr>
                      <a:picLocks noChangeAspect="1" noChangeArrowheads="1"/>
                    </pic:cNvPicPr>
                  </pic:nvPicPr>
                  <pic:blipFill>
                    <a:blip r:embed="rId33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-1905</wp:posOffset>
            </wp:positionV>
            <wp:extent cx="17145" cy="17145"/>
            <wp:wrapNone/>
            <wp:docPr id="3366" name="Picture 3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6"/>
                    <pic:cNvPicPr>
                      <a:picLocks noChangeAspect="1" noChangeArrowheads="1"/>
                    </pic:cNvPicPr>
                  </pic:nvPicPr>
                  <pic:blipFill>
                    <a:blip r:embed="rId33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-1905</wp:posOffset>
            </wp:positionV>
            <wp:extent cx="17145" cy="17145"/>
            <wp:wrapNone/>
            <wp:docPr id="3367" name="Picture 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7"/>
                    <pic:cNvPicPr>
                      <a:picLocks noChangeAspect="1" noChangeArrowheads="1"/>
                    </pic:cNvPicPr>
                  </pic:nvPicPr>
                  <pic:blipFill>
                    <a:blip r:embed="rId33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-1905</wp:posOffset>
            </wp:positionV>
            <wp:extent cx="17145" cy="17145"/>
            <wp:wrapNone/>
            <wp:docPr id="3368" name="Picture 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8"/>
                    <pic:cNvPicPr>
                      <a:picLocks noChangeAspect="1" noChangeArrowheads="1"/>
                    </pic:cNvPicPr>
                  </pic:nvPicPr>
                  <pic:blipFill>
                    <a:blip r:embed="rId33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-1905</wp:posOffset>
            </wp:positionV>
            <wp:extent cx="17145" cy="17145"/>
            <wp:wrapNone/>
            <wp:docPr id="3369" name="Picture 3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pic:cNvPicPr>
                      <a:picLocks noChangeAspect="1" noChangeArrowheads="1"/>
                    </pic:cNvPicPr>
                  </pic:nvPicPr>
                  <pic:blipFill>
                    <a:blip r:embed="rId33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-1905</wp:posOffset>
            </wp:positionV>
            <wp:extent cx="17145" cy="17145"/>
            <wp:wrapNone/>
            <wp:docPr id="3370" name="Picture 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0"/>
                    <pic:cNvPicPr>
                      <a:picLocks noChangeAspect="1" noChangeArrowheads="1"/>
                    </pic:cNvPicPr>
                  </pic:nvPicPr>
                  <pic:blipFill>
                    <a:blip r:embed="rId33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-1905</wp:posOffset>
            </wp:positionV>
            <wp:extent cx="17145" cy="17145"/>
            <wp:wrapNone/>
            <wp:docPr id="3371" name="Picture 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1"/>
                    <pic:cNvPicPr>
                      <a:picLocks noChangeAspect="1" noChangeArrowheads="1"/>
                    </pic:cNvPicPr>
                  </pic:nvPicPr>
                  <pic:blipFill>
                    <a:blip r:embed="rId33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-1905</wp:posOffset>
            </wp:positionV>
            <wp:extent cx="17145" cy="17145"/>
            <wp:wrapNone/>
            <wp:docPr id="3372" name="Picture 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2"/>
                    <pic:cNvPicPr>
                      <a:picLocks noChangeAspect="1" noChangeArrowheads="1"/>
                    </pic:cNvPicPr>
                  </pic:nvPicPr>
                  <pic:blipFill>
                    <a:blip r:embed="rId33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-1905</wp:posOffset>
            </wp:positionV>
            <wp:extent cx="17145" cy="17145"/>
            <wp:wrapNone/>
            <wp:docPr id="3373" name="Picture 3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3"/>
                    <pic:cNvPicPr>
                      <a:picLocks noChangeAspect="1" noChangeArrowheads="1"/>
                    </pic:cNvPicPr>
                  </pic:nvPicPr>
                  <pic:blipFill>
                    <a:blip r:embed="rId33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-1905</wp:posOffset>
            </wp:positionV>
            <wp:extent cx="17145" cy="17145"/>
            <wp:wrapNone/>
            <wp:docPr id="3374" name="Picture 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4"/>
                    <pic:cNvPicPr>
                      <a:picLocks noChangeAspect="1" noChangeArrowheads="1"/>
                    </pic:cNvPicPr>
                  </pic:nvPicPr>
                  <pic:blipFill>
                    <a:blip r:embed="rId33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-1905</wp:posOffset>
            </wp:positionV>
            <wp:extent cx="17145" cy="17145"/>
            <wp:wrapNone/>
            <wp:docPr id="3375" name="Picture 3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5"/>
                    <pic:cNvPicPr>
                      <a:picLocks noChangeAspect="1" noChangeArrowheads="1"/>
                    </pic:cNvPicPr>
                  </pic:nvPicPr>
                  <pic:blipFill>
                    <a:blip r:embed="rId33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-1905</wp:posOffset>
            </wp:positionV>
            <wp:extent cx="17145" cy="17145"/>
            <wp:wrapNone/>
            <wp:docPr id="3376" name="Picture 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6"/>
                    <pic:cNvPicPr>
                      <a:picLocks noChangeAspect="1" noChangeArrowheads="1"/>
                    </pic:cNvPicPr>
                  </pic:nvPicPr>
                  <pic:blipFill>
                    <a:blip r:embed="rId33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-1905</wp:posOffset>
            </wp:positionV>
            <wp:extent cx="17145" cy="17145"/>
            <wp:wrapNone/>
            <wp:docPr id="3377" name="Picture 3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7"/>
                    <pic:cNvPicPr>
                      <a:picLocks noChangeAspect="1" noChangeArrowheads="1"/>
                    </pic:cNvPicPr>
                  </pic:nvPicPr>
                  <pic:blipFill>
                    <a:blip r:embed="rId33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-1905</wp:posOffset>
            </wp:positionV>
            <wp:extent cx="17145" cy="17145"/>
            <wp:wrapNone/>
            <wp:docPr id="3378" name="Picture 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8"/>
                    <pic:cNvPicPr>
                      <a:picLocks noChangeAspect="1" noChangeArrowheads="1"/>
                    </pic:cNvPicPr>
                  </pic:nvPicPr>
                  <pic:blipFill>
                    <a:blip r:embed="rId33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-1905</wp:posOffset>
            </wp:positionV>
            <wp:extent cx="17145" cy="17145"/>
            <wp:wrapNone/>
            <wp:docPr id="3379" name="Picture 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9"/>
                    <pic:cNvPicPr>
                      <a:picLocks noChangeAspect="1" noChangeArrowheads="1"/>
                    </pic:cNvPicPr>
                  </pic:nvPicPr>
                  <pic:blipFill>
                    <a:blip r:embed="rId33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-1905</wp:posOffset>
            </wp:positionV>
            <wp:extent cx="17145" cy="17145"/>
            <wp:wrapNone/>
            <wp:docPr id="3380" name="Picture 3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0"/>
                    <pic:cNvPicPr>
                      <a:picLocks noChangeAspect="1" noChangeArrowheads="1"/>
                    </pic:cNvPicPr>
                  </pic:nvPicPr>
                  <pic:blipFill>
                    <a:blip r:embed="rId33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-1905</wp:posOffset>
            </wp:positionV>
            <wp:extent cx="17145" cy="17145"/>
            <wp:wrapNone/>
            <wp:docPr id="3381" name="Picture 3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1"/>
                    <pic:cNvPicPr>
                      <a:picLocks noChangeAspect="1" noChangeArrowheads="1"/>
                    </pic:cNvPicPr>
                  </pic:nvPicPr>
                  <pic:blipFill>
                    <a:blip r:embed="rId33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-1905</wp:posOffset>
            </wp:positionV>
            <wp:extent cx="17145" cy="17145"/>
            <wp:wrapNone/>
            <wp:docPr id="3382" name="Picture 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2"/>
                    <pic:cNvPicPr>
                      <a:picLocks noChangeAspect="1" noChangeArrowheads="1"/>
                    </pic:cNvPicPr>
                  </pic:nvPicPr>
                  <pic:blipFill>
                    <a:blip r:embed="rId33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-1905</wp:posOffset>
            </wp:positionV>
            <wp:extent cx="17145" cy="17145"/>
            <wp:wrapNone/>
            <wp:docPr id="3383" name="Picture 3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3"/>
                    <pic:cNvPicPr>
                      <a:picLocks noChangeAspect="1" noChangeArrowheads="1"/>
                    </pic:cNvPicPr>
                  </pic:nvPicPr>
                  <pic:blipFill>
                    <a:blip r:embed="rId33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-1905</wp:posOffset>
            </wp:positionV>
            <wp:extent cx="17145" cy="17145"/>
            <wp:wrapNone/>
            <wp:docPr id="3384" name="Picture 3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4"/>
                    <pic:cNvPicPr>
                      <a:picLocks noChangeAspect="1" noChangeArrowheads="1"/>
                    </pic:cNvPicPr>
                  </pic:nvPicPr>
                  <pic:blipFill>
                    <a:blip r:embed="rId33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-1905</wp:posOffset>
            </wp:positionV>
            <wp:extent cx="17145" cy="17145"/>
            <wp:wrapNone/>
            <wp:docPr id="3385" name="Picture 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5"/>
                    <pic:cNvPicPr>
                      <a:picLocks noChangeAspect="1" noChangeArrowheads="1"/>
                    </pic:cNvPicPr>
                  </pic:nvPicPr>
                  <pic:blipFill>
                    <a:blip r:embed="rId33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-1905</wp:posOffset>
            </wp:positionV>
            <wp:extent cx="17145" cy="17145"/>
            <wp:wrapNone/>
            <wp:docPr id="3386" name="Picture 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6"/>
                    <pic:cNvPicPr>
                      <a:picLocks noChangeAspect="1" noChangeArrowheads="1"/>
                    </pic:cNvPicPr>
                  </pic:nvPicPr>
                  <pic:blipFill>
                    <a:blip r:embed="rId33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-1905</wp:posOffset>
            </wp:positionV>
            <wp:extent cx="17145" cy="17145"/>
            <wp:wrapNone/>
            <wp:docPr id="3387" name="Picture 3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7"/>
                    <pic:cNvPicPr>
                      <a:picLocks noChangeAspect="1" noChangeArrowheads="1"/>
                    </pic:cNvPicPr>
                  </pic:nvPicPr>
                  <pic:blipFill>
                    <a:blip r:embed="rId33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-1905</wp:posOffset>
            </wp:positionV>
            <wp:extent cx="17145" cy="17145"/>
            <wp:wrapNone/>
            <wp:docPr id="3388" name="Picture 3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8"/>
                    <pic:cNvPicPr>
                      <a:picLocks noChangeAspect="1" noChangeArrowheads="1"/>
                    </pic:cNvPicPr>
                  </pic:nvPicPr>
                  <pic:blipFill>
                    <a:blip r:embed="rId33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-1905</wp:posOffset>
            </wp:positionV>
            <wp:extent cx="17145" cy="17145"/>
            <wp:wrapNone/>
            <wp:docPr id="3389" name="Picture 3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9"/>
                    <pic:cNvPicPr>
                      <a:picLocks noChangeAspect="1" noChangeArrowheads="1"/>
                    </pic:cNvPicPr>
                  </pic:nvPicPr>
                  <pic:blipFill>
                    <a:blip r:embed="rId33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-1905</wp:posOffset>
            </wp:positionV>
            <wp:extent cx="17145" cy="17145"/>
            <wp:wrapNone/>
            <wp:docPr id="3390" name="Picture 3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0"/>
                    <pic:cNvPicPr>
                      <a:picLocks noChangeAspect="1" noChangeArrowheads="1"/>
                    </pic:cNvPicPr>
                  </pic:nvPicPr>
                  <pic:blipFill>
                    <a:blip r:embed="rId33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-1905</wp:posOffset>
            </wp:positionV>
            <wp:extent cx="17145" cy="17145"/>
            <wp:wrapNone/>
            <wp:docPr id="3391" name="Picture 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1"/>
                    <pic:cNvPicPr>
                      <a:picLocks noChangeAspect="1" noChangeArrowheads="1"/>
                    </pic:cNvPicPr>
                  </pic:nvPicPr>
                  <pic:blipFill>
                    <a:blip r:embed="rId33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-1905</wp:posOffset>
            </wp:positionV>
            <wp:extent cx="17145" cy="17145"/>
            <wp:wrapNone/>
            <wp:docPr id="3392" name="Picture 3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2"/>
                    <pic:cNvPicPr>
                      <a:picLocks noChangeAspect="1" noChangeArrowheads="1"/>
                    </pic:cNvPicPr>
                  </pic:nvPicPr>
                  <pic:blipFill>
                    <a:blip r:embed="rId33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-1905</wp:posOffset>
            </wp:positionV>
            <wp:extent cx="17145" cy="17145"/>
            <wp:wrapNone/>
            <wp:docPr id="3393" name="Picture 3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3"/>
                    <pic:cNvPicPr>
                      <a:picLocks noChangeAspect="1" noChangeArrowheads="1"/>
                    </pic:cNvPicPr>
                  </pic:nvPicPr>
                  <pic:blipFill>
                    <a:blip r:embed="rId34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-1905</wp:posOffset>
            </wp:positionV>
            <wp:extent cx="17145" cy="17145"/>
            <wp:wrapNone/>
            <wp:docPr id="3394" name="Picture 3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4"/>
                    <pic:cNvPicPr>
                      <a:picLocks noChangeAspect="1" noChangeArrowheads="1"/>
                    </pic:cNvPicPr>
                  </pic:nvPicPr>
                  <pic:blipFill>
                    <a:blip r:embed="rId34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-1905</wp:posOffset>
            </wp:positionV>
            <wp:extent cx="17145" cy="17145"/>
            <wp:wrapNone/>
            <wp:docPr id="3395" name="Picture 3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5"/>
                    <pic:cNvPicPr>
                      <a:picLocks noChangeAspect="1" noChangeArrowheads="1"/>
                    </pic:cNvPicPr>
                  </pic:nvPicPr>
                  <pic:blipFill>
                    <a:blip r:embed="rId34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1144905</wp:posOffset>
            </wp:positionH>
            <wp:positionV relativeFrom="paragraph">
              <wp:posOffset>-1905</wp:posOffset>
            </wp:positionV>
            <wp:extent cx="17145" cy="17145"/>
            <wp:wrapNone/>
            <wp:docPr id="3396" name="Picture 3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6"/>
                    <pic:cNvPicPr>
                      <a:picLocks noChangeAspect="1" noChangeArrowheads="1"/>
                    </pic:cNvPicPr>
                  </pic:nvPicPr>
                  <pic:blipFill>
                    <a:blip r:embed="rId34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-1905</wp:posOffset>
            </wp:positionV>
            <wp:extent cx="17145" cy="17145"/>
            <wp:wrapNone/>
            <wp:docPr id="3397" name="Picture 3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7"/>
                    <pic:cNvPicPr>
                      <a:picLocks noChangeAspect="1" noChangeArrowheads="1"/>
                    </pic:cNvPicPr>
                  </pic:nvPicPr>
                  <pic:blipFill>
                    <a:blip r:embed="rId34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-1905</wp:posOffset>
            </wp:positionV>
            <wp:extent cx="17145" cy="17145"/>
            <wp:wrapNone/>
            <wp:docPr id="3398" name="Picture 3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8"/>
                    <pic:cNvPicPr>
                      <a:picLocks noChangeAspect="1" noChangeArrowheads="1"/>
                    </pic:cNvPicPr>
                  </pic:nvPicPr>
                  <pic:blipFill>
                    <a:blip r:embed="rId34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-1905</wp:posOffset>
            </wp:positionV>
            <wp:extent cx="17145" cy="17145"/>
            <wp:wrapNone/>
            <wp:docPr id="3399" name="Picture 3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9"/>
                    <pic:cNvPicPr>
                      <a:picLocks noChangeAspect="1" noChangeArrowheads="1"/>
                    </pic:cNvPicPr>
                  </pic:nvPicPr>
                  <pic:blipFill>
                    <a:blip r:embed="rId34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-1905</wp:posOffset>
            </wp:positionV>
            <wp:extent cx="17145" cy="17145"/>
            <wp:wrapNone/>
            <wp:docPr id="3400" name="Picture 3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0"/>
                    <pic:cNvPicPr>
                      <a:picLocks noChangeAspect="1" noChangeArrowheads="1"/>
                    </pic:cNvPicPr>
                  </pic:nvPicPr>
                  <pic:blipFill>
                    <a:blip r:embed="rId34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-1905</wp:posOffset>
            </wp:positionV>
            <wp:extent cx="17145" cy="17145"/>
            <wp:wrapNone/>
            <wp:docPr id="3401" name="Picture 3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1"/>
                    <pic:cNvPicPr>
                      <a:picLocks noChangeAspect="1" noChangeArrowheads="1"/>
                    </pic:cNvPicPr>
                  </pic:nvPicPr>
                  <pic:blipFill>
                    <a:blip r:embed="rId34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-1905</wp:posOffset>
            </wp:positionV>
            <wp:extent cx="17145" cy="17145"/>
            <wp:wrapNone/>
            <wp:docPr id="3402" name="Picture 3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2"/>
                    <pic:cNvPicPr>
                      <a:picLocks noChangeAspect="1" noChangeArrowheads="1"/>
                    </pic:cNvPicPr>
                  </pic:nvPicPr>
                  <pic:blipFill>
                    <a:blip r:embed="rId34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1384935</wp:posOffset>
            </wp:positionH>
            <wp:positionV relativeFrom="paragraph">
              <wp:posOffset>-1905</wp:posOffset>
            </wp:positionV>
            <wp:extent cx="17145" cy="17145"/>
            <wp:wrapNone/>
            <wp:docPr id="3403" name="Picture 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pic:cNvPicPr>
                      <a:picLocks noChangeAspect="1" noChangeArrowheads="1"/>
                    </pic:cNvPicPr>
                  </pic:nvPicPr>
                  <pic:blipFill>
                    <a:blip r:embed="rId34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-1905</wp:posOffset>
            </wp:positionV>
            <wp:extent cx="17145" cy="17145"/>
            <wp:wrapNone/>
            <wp:docPr id="3404" name="Picture 3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4"/>
                    <pic:cNvPicPr>
                      <a:picLocks noChangeAspect="1" noChangeArrowheads="1"/>
                    </pic:cNvPicPr>
                  </pic:nvPicPr>
                  <pic:blipFill>
                    <a:blip r:embed="rId34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-1905</wp:posOffset>
            </wp:positionV>
            <wp:extent cx="17145" cy="17145"/>
            <wp:wrapNone/>
            <wp:docPr id="3405" name="Picture 3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5"/>
                    <pic:cNvPicPr>
                      <a:picLocks noChangeAspect="1" noChangeArrowheads="1"/>
                    </pic:cNvPicPr>
                  </pic:nvPicPr>
                  <pic:blipFill>
                    <a:blip r:embed="rId34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-1905</wp:posOffset>
            </wp:positionV>
            <wp:extent cx="17145" cy="17145"/>
            <wp:wrapNone/>
            <wp:docPr id="3406" name="Picture 3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6"/>
                    <pic:cNvPicPr>
                      <a:picLocks noChangeAspect="1" noChangeArrowheads="1"/>
                    </pic:cNvPicPr>
                  </pic:nvPicPr>
                  <pic:blipFill>
                    <a:blip r:embed="rId34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-1905</wp:posOffset>
            </wp:positionV>
            <wp:extent cx="17145" cy="17145"/>
            <wp:wrapNone/>
            <wp:docPr id="3407" name="Picture 3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7"/>
                    <pic:cNvPicPr>
                      <a:picLocks noChangeAspect="1" noChangeArrowheads="1"/>
                    </pic:cNvPicPr>
                  </pic:nvPicPr>
                  <pic:blipFill>
                    <a:blip r:embed="rId34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-1905</wp:posOffset>
            </wp:positionV>
            <wp:extent cx="17145" cy="17145"/>
            <wp:wrapNone/>
            <wp:docPr id="3408" name="Picture 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8"/>
                    <pic:cNvPicPr>
                      <a:picLocks noChangeAspect="1" noChangeArrowheads="1"/>
                    </pic:cNvPicPr>
                  </pic:nvPicPr>
                  <pic:blipFill>
                    <a:blip r:embed="rId34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-1905</wp:posOffset>
            </wp:positionV>
            <wp:extent cx="17145" cy="17145"/>
            <wp:wrapNone/>
            <wp:docPr id="3409" name="Picture 3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9"/>
                    <pic:cNvPicPr>
                      <a:picLocks noChangeAspect="1" noChangeArrowheads="1"/>
                    </pic:cNvPicPr>
                  </pic:nvPicPr>
                  <pic:blipFill>
                    <a:blip r:embed="rId34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-1905</wp:posOffset>
            </wp:positionV>
            <wp:extent cx="17145" cy="17145"/>
            <wp:wrapNone/>
            <wp:docPr id="3410" name="Picture 3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0"/>
                    <pic:cNvPicPr>
                      <a:picLocks noChangeAspect="1" noChangeArrowheads="1"/>
                    </pic:cNvPicPr>
                  </pic:nvPicPr>
                  <pic:blipFill>
                    <a:blip r:embed="rId34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-1905</wp:posOffset>
            </wp:positionV>
            <wp:extent cx="17145" cy="17145"/>
            <wp:wrapNone/>
            <wp:docPr id="3411" name="Picture 3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1"/>
                    <pic:cNvPicPr>
                      <a:picLocks noChangeAspect="1" noChangeArrowheads="1"/>
                    </pic:cNvPicPr>
                  </pic:nvPicPr>
                  <pic:blipFill>
                    <a:blip r:embed="rId34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1693545</wp:posOffset>
            </wp:positionH>
            <wp:positionV relativeFrom="paragraph">
              <wp:posOffset>-1905</wp:posOffset>
            </wp:positionV>
            <wp:extent cx="17145" cy="17145"/>
            <wp:wrapNone/>
            <wp:docPr id="3412" name="Picture 3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2"/>
                    <pic:cNvPicPr>
                      <a:picLocks noChangeAspect="1" noChangeArrowheads="1"/>
                    </pic:cNvPicPr>
                  </pic:nvPicPr>
                  <pic:blipFill>
                    <a:blip r:embed="rId34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-1905</wp:posOffset>
            </wp:positionV>
            <wp:extent cx="17145" cy="17145"/>
            <wp:wrapNone/>
            <wp:docPr id="3413" name="Picture 3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3"/>
                    <pic:cNvPicPr>
                      <a:picLocks noChangeAspect="1" noChangeArrowheads="1"/>
                    </pic:cNvPicPr>
                  </pic:nvPicPr>
                  <pic:blipFill>
                    <a:blip r:embed="rId34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-1905</wp:posOffset>
            </wp:positionV>
            <wp:extent cx="17145" cy="17145"/>
            <wp:wrapNone/>
            <wp:docPr id="3414" name="Picture 3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4"/>
                    <pic:cNvPicPr>
                      <a:picLocks noChangeAspect="1" noChangeArrowheads="1"/>
                    </pic:cNvPicPr>
                  </pic:nvPicPr>
                  <pic:blipFill>
                    <a:blip r:embed="rId34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-1905</wp:posOffset>
            </wp:positionV>
            <wp:extent cx="17145" cy="17145"/>
            <wp:wrapNone/>
            <wp:docPr id="3415" name="Picture 3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5"/>
                    <pic:cNvPicPr>
                      <a:picLocks noChangeAspect="1" noChangeArrowheads="1"/>
                    </pic:cNvPicPr>
                  </pic:nvPicPr>
                  <pic:blipFill>
                    <a:blip r:embed="rId34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-1905</wp:posOffset>
            </wp:positionV>
            <wp:extent cx="17145" cy="17145"/>
            <wp:wrapNone/>
            <wp:docPr id="3416" name="Picture 3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6"/>
                    <pic:cNvPicPr>
                      <a:picLocks noChangeAspect="1" noChangeArrowheads="1"/>
                    </pic:cNvPicPr>
                  </pic:nvPicPr>
                  <pic:blipFill>
                    <a:blip r:embed="rId34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-1905</wp:posOffset>
            </wp:positionV>
            <wp:extent cx="17145" cy="17145"/>
            <wp:wrapNone/>
            <wp:docPr id="3417" name="Picture 3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7"/>
                    <pic:cNvPicPr>
                      <a:picLocks noChangeAspect="1" noChangeArrowheads="1"/>
                    </pic:cNvPicPr>
                  </pic:nvPicPr>
                  <pic:blipFill>
                    <a:blip r:embed="rId34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-1905</wp:posOffset>
            </wp:positionV>
            <wp:extent cx="17145" cy="17145"/>
            <wp:wrapNone/>
            <wp:docPr id="3418" name="Picture 3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8"/>
                    <pic:cNvPicPr>
                      <a:picLocks noChangeAspect="1" noChangeArrowheads="1"/>
                    </pic:cNvPicPr>
                  </pic:nvPicPr>
                  <pic:blipFill>
                    <a:blip r:embed="rId34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-1905</wp:posOffset>
            </wp:positionV>
            <wp:extent cx="17145" cy="17145"/>
            <wp:wrapNone/>
            <wp:docPr id="3419" name="Picture 3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9"/>
                    <pic:cNvPicPr>
                      <a:picLocks noChangeAspect="1" noChangeArrowheads="1"/>
                    </pic:cNvPicPr>
                  </pic:nvPicPr>
                  <pic:blipFill>
                    <a:blip r:embed="rId34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-1905</wp:posOffset>
            </wp:positionV>
            <wp:extent cx="17145" cy="17145"/>
            <wp:wrapNone/>
            <wp:docPr id="3420" name="Picture 3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0"/>
                    <pic:cNvPicPr>
                      <a:picLocks noChangeAspect="1" noChangeArrowheads="1"/>
                    </pic:cNvPicPr>
                  </pic:nvPicPr>
                  <pic:blipFill>
                    <a:blip r:embed="rId34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-1905</wp:posOffset>
            </wp:positionV>
            <wp:extent cx="17145" cy="17145"/>
            <wp:wrapNone/>
            <wp:docPr id="3421" name="Picture 3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1"/>
                    <pic:cNvPicPr>
                      <a:picLocks noChangeAspect="1" noChangeArrowheads="1"/>
                    </pic:cNvPicPr>
                  </pic:nvPicPr>
                  <pic:blipFill>
                    <a:blip r:embed="rId34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-1905</wp:posOffset>
            </wp:positionV>
            <wp:extent cx="17145" cy="17145"/>
            <wp:wrapNone/>
            <wp:docPr id="3422" name="Picture 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2"/>
                    <pic:cNvPicPr>
                      <a:picLocks noChangeAspect="1" noChangeArrowheads="1"/>
                    </pic:cNvPicPr>
                  </pic:nvPicPr>
                  <pic:blipFill>
                    <a:blip r:embed="rId34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-1905</wp:posOffset>
            </wp:positionV>
            <wp:extent cx="17145" cy="17145"/>
            <wp:wrapNone/>
            <wp:docPr id="3423" name="Picture 3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3"/>
                    <pic:cNvPicPr>
                      <a:picLocks noChangeAspect="1" noChangeArrowheads="1"/>
                    </pic:cNvPicPr>
                  </pic:nvPicPr>
                  <pic:blipFill>
                    <a:blip r:embed="rId34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-1905</wp:posOffset>
            </wp:positionV>
            <wp:extent cx="17145" cy="17145"/>
            <wp:wrapNone/>
            <wp:docPr id="3424" name="Picture 3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4"/>
                    <pic:cNvPicPr>
                      <a:picLocks noChangeAspect="1" noChangeArrowheads="1"/>
                    </pic:cNvPicPr>
                  </pic:nvPicPr>
                  <pic:blipFill>
                    <a:blip r:embed="rId34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-1905</wp:posOffset>
            </wp:positionV>
            <wp:extent cx="17145" cy="17145"/>
            <wp:wrapNone/>
            <wp:docPr id="3425" name="Picture 3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5"/>
                    <pic:cNvPicPr>
                      <a:picLocks noChangeAspect="1" noChangeArrowheads="1"/>
                    </pic:cNvPicPr>
                  </pic:nvPicPr>
                  <pic:blipFill>
                    <a:blip r:embed="rId34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-1905</wp:posOffset>
            </wp:positionV>
            <wp:extent cx="17145" cy="17145"/>
            <wp:wrapNone/>
            <wp:docPr id="3426" name="Picture 3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6"/>
                    <pic:cNvPicPr>
                      <a:picLocks noChangeAspect="1" noChangeArrowheads="1"/>
                    </pic:cNvPicPr>
                  </pic:nvPicPr>
                  <pic:blipFill>
                    <a:blip r:embed="rId34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-1905</wp:posOffset>
            </wp:positionV>
            <wp:extent cx="17145" cy="17145"/>
            <wp:wrapNone/>
            <wp:docPr id="3427" name="Picture 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7"/>
                    <pic:cNvPicPr>
                      <a:picLocks noChangeAspect="1" noChangeArrowheads="1"/>
                    </pic:cNvPicPr>
                  </pic:nvPicPr>
                  <pic:blipFill>
                    <a:blip r:embed="rId34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-1905</wp:posOffset>
            </wp:positionV>
            <wp:extent cx="17145" cy="17145"/>
            <wp:wrapNone/>
            <wp:docPr id="3428" name="Picture 3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8"/>
                    <pic:cNvPicPr>
                      <a:picLocks noChangeAspect="1" noChangeArrowheads="1"/>
                    </pic:cNvPicPr>
                  </pic:nvPicPr>
                  <pic:blipFill>
                    <a:blip r:embed="rId34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-1905</wp:posOffset>
            </wp:positionV>
            <wp:extent cx="17145" cy="17145"/>
            <wp:wrapNone/>
            <wp:docPr id="3429" name="Picture 3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9"/>
                    <pic:cNvPicPr>
                      <a:picLocks noChangeAspect="1" noChangeArrowheads="1"/>
                    </pic:cNvPicPr>
                  </pic:nvPicPr>
                  <pic:blipFill>
                    <a:blip r:embed="rId34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-1905</wp:posOffset>
            </wp:positionV>
            <wp:extent cx="17145" cy="17145"/>
            <wp:wrapNone/>
            <wp:docPr id="3430" name="Picture 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0"/>
                    <pic:cNvPicPr>
                      <a:picLocks noChangeAspect="1" noChangeArrowheads="1"/>
                    </pic:cNvPicPr>
                  </pic:nvPicPr>
                  <pic:blipFill>
                    <a:blip r:embed="rId34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-1905</wp:posOffset>
            </wp:positionV>
            <wp:extent cx="17145" cy="17145"/>
            <wp:wrapNone/>
            <wp:docPr id="3431" name="Picture 3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1"/>
                    <pic:cNvPicPr>
                      <a:picLocks noChangeAspect="1" noChangeArrowheads="1"/>
                    </pic:cNvPicPr>
                  </pic:nvPicPr>
                  <pic:blipFill>
                    <a:blip r:embed="rId34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-1905</wp:posOffset>
            </wp:positionV>
            <wp:extent cx="17145" cy="17145"/>
            <wp:wrapNone/>
            <wp:docPr id="3432" name="Picture 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2"/>
                    <pic:cNvPicPr>
                      <a:picLocks noChangeAspect="1" noChangeArrowheads="1"/>
                    </pic:cNvPicPr>
                  </pic:nvPicPr>
                  <pic:blipFill>
                    <a:blip r:embed="rId34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-1905</wp:posOffset>
            </wp:positionV>
            <wp:extent cx="17145" cy="17145"/>
            <wp:wrapNone/>
            <wp:docPr id="3433" name="Picture 3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3"/>
                    <pic:cNvPicPr>
                      <a:picLocks noChangeAspect="1" noChangeArrowheads="1"/>
                    </pic:cNvPicPr>
                  </pic:nvPicPr>
                  <pic:blipFill>
                    <a:blip r:embed="rId34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-1905</wp:posOffset>
            </wp:positionV>
            <wp:extent cx="17145" cy="17145"/>
            <wp:wrapNone/>
            <wp:docPr id="3434" name="Picture 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4"/>
                    <pic:cNvPicPr>
                      <a:picLocks noChangeAspect="1" noChangeArrowheads="1"/>
                    </pic:cNvPicPr>
                  </pic:nvPicPr>
                  <pic:blipFill>
                    <a:blip r:embed="rId34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-1905</wp:posOffset>
            </wp:positionV>
            <wp:extent cx="17145" cy="17145"/>
            <wp:wrapNone/>
            <wp:docPr id="3435" name="Picture 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
                    <pic:cNvPicPr>
                      <a:picLocks noChangeAspect="1" noChangeArrowheads="1"/>
                    </pic:cNvPicPr>
                  </pic:nvPicPr>
                  <pic:blipFill>
                    <a:blip r:embed="rId34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-1905</wp:posOffset>
            </wp:positionV>
            <wp:extent cx="17145" cy="17145"/>
            <wp:wrapNone/>
            <wp:docPr id="3436" name="Picture 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6"/>
                    <pic:cNvPicPr>
                      <a:picLocks noChangeAspect="1" noChangeArrowheads="1"/>
                    </pic:cNvPicPr>
                  </pic:nvPicPr>
                  <pic:blipFill>
                    <a:blip r:embed="rId34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-1905</wp:posOffset>
            </wp:positionV>
            <wp:extent cx="17145" cy="17145"/>
            <wp:wrapNone/>
            <wp:docPr id="3437" name="Picture 3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pic:cNvPicPr>
                      <a:picLocks noChangeAspect="1" noChangeArrowheads="1"/>
                    </pic:cNvPicPr>
                  </pic:nvPicPr>
                  <pic:blipFill>
                    <a:blip r:embed="rId34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-1905</wp:posOffset>
            </wp:positionV>
            <wp:extent cx="17145" cy="17145"/>
            <wp:wrapNone/>
            <wp:docPr id="3438" name="Picture 3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8"/>
                    <pic:cNvPicPr>
                      <a:picLocks noChangeAspect="1" noChangeArrowheads="1"/>
                    </pic:cNvPicPr>
                  </pic:nvPicPr>
                  <pic:blipFill>
                    <a:blip r:embed="rId34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-1905</wp:posOffset>
            </wp:positionV>
            <wp:extent cx="17145" cy="17145"/>
            <wp:wrapNone/>
            <wp:docPr id="3439" name="Picture 3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9"/>
                    <pic:cNvPicPr>
                      <a:picLocks noChangeAspect="1" noChangeArrowheads="1"/>
                    </pic:cNvPicPr>
                  </pic:nvPicPr>
                  <pic:blipFill>
                    <a:blip r:embed="rId34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-1905</wp:posOffset>
            </wp:positionV>
            <wp:extent cx="17145" cy="17145"/>
            <wp:wrapNone/>
            <wp:docPr id="3440" name="Picture 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0"/>
                    <pic:cNvPicPr>
                      <a:picLocks noChangeAspect="1" noChangeArrowheads="1"/>
                    </pic:cNvPicPr>
                  </pic:nvPicPr>
                  <pic:blipFill>
                    <a:blip r:embed="rId34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-1905</wp:posOffset>
            </wp:positionV>
            <wp:extent cx="17145" cy="17145"/>
            <wp:wrapNone/>
            <wp:docPr id="3441" name="Picture 3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1"/>
                    <pic:cNvPicPr>
                      <a:picLocks noChangeAspect="1" noChangeArrowheads="1"/>
                    </pic:cNvPicPr>
                  </pic:nvPicPr>
                  <pic:blipFill>
                    <a:blip r:embed="rId34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-1905</wp:posOffset>
            </wp:positionV>
            <wp:extent cx="17145" cy="17145"/>
            <wp:wrapNone/>
            <wp:docPr id="3442" name="Picture 3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2"/>
                    <pic:cNvPicPr>
                      <a:picLocks noChangeAspect="1" noChangeArrowheads="1"/>
                    </pic:cNvPicPr>
                  </pic:nvPicPr>
                  <pic:blipFill>
                    <a:blip r:embed="rId34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-1905</wp:posOffset>
            </wp:positionV>
            <wp:extent cx="17145" cy="17145"/>
            <wp:wrapNone/>
            <wp:docPr id="3443" name="Picture 3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3"/>
                    <pic:cNvPicPr>
                      <a:picLocks noChangeAspect="1" noChangeArrowheads="1"/>
                    </pic:cNvPicPr>
                  </pic:nvPicPr>
                  <pic:blipFill>
                    <a:blip r:embed="rId34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-1905</wp:posOffset>
            </wp:positionV>
            <wp:extent cx="17145" cy="17145"/>
            <wp:wrapNone/>
            <wp:docPr id="3444" name="Picture 3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4"/>
                    <pic:cNvPicPr>
                      <a:picLocks noChangeAspect="1" noChangeArrowheads="1"/>
                    </pic:cNvPicPr>
                  </pic:nvPicPr>
                  <pic:blipFill>
                    <a:blip r:embed="rId34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-1905</wp:posOffset>
            </wp:positionV>
            <wp:extent cx="17145" cy="17145"/>
            <wp:wrapNone/>
            <wp:docPr id="3445" name="Picture 3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5"/>
                    <pic:cNvPicPr>
                      <a:picLocks noChangeAspect="1" noChangeArrowheads="1"/>
                    </pic:cNvPicPr>
                  </pic:nvPicPr>
                  <pic:blipFill>
                    <a:blip r:embed="rId34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-1905</wp:posOffset>
            </wp:positionV>
            <wp:extent cx="17145" cy="17145"/>
            <wp:wrapNone/>
            <wp:docPr id="3446" name="Picture 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6"/>
                    <pic:cNvPicPr>
                      <a:picLocks noChangeAspect="1" noChangeArrowheads="1"/>
                    </pic:cNvPicPr>
                  </pic:nvPicPr>
                  <pic:blipFill>
                    <a:blip r:embed="rId34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-1905</wp:posOffset>
            </wp:positionV>
            <wp:extent cx="17145" cy="17145"/>
            <wp:wrapNone/>
            <wp:docPr id="3447" name="Picture 3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7"/>
                    <pic:cNvPicPr>
                      <a:picLocks noChangeAspect="1" noChangeArrowheads="1"/>
                    </pic:cNvPicPr>
                  </pic:nvPicPr>
                  <pic:blipFill>
                    <a:blip r:embed="rId34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-1905</wp:posOffset>
            </wp:positionV>
            <wp:extent cx="17145" cy="17145"/>
            <wp:wrapNone/>
            <wp:docPr id="3448" name="Picture 3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8"/>
                    <pic:cNvPicPr>
                      <a:picLocks noChangeAspect="1" noChangeArrowheads="1"/>
                    </pic:cNvPicPr>
                  </pic:nvPicPr>
                  <pic:blipFill>
                    <a:blip r:embed="rId34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-1905</wp:posOffset>
            </wp:positionV>
            <wp:extent cx="17145" cy="17145"/>
            <wp:wrapNone/>
            <wp:docPr id="3449" name="Picture 3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9"/>
                    <pic:cNvPicPr>
                      <a:picLocks noChangeAspect="1" noChangeArrowheads="1"/>
                    </pic:cNvPicPr>
                  </pic:nvPicPr>
                  <pic:blipFill>
                    <a:blip r:embed="rId34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-1905</wp:posOffset>
            </wp:positionV>
            <wp:extent cx="17145" cy="17145"/>
            <wp:wrapNone/>
            <wp:docPr id="3450" name="Picture 3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0"/>
                    <pic:cNvPicPr>
                      <a:picLocks noChangeAspect="1" noChangeArrowheads="1"/>
                    </pic:cNvPicPr>
                  </pic:nvPicPr>
                  <pic:blipFill>
                    <a:blip r:embed="rId34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-1905</wp:posOffset>
            </wp:positionV>
            <wp:extent cx="17145" cy="17145"/>
            <wp:wrapNone/>
            <wp:docPr id="3451" name="Picture 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1"/>
                    <pic:cNvPicPr>
                      <a:picLocks noChangeAspect="1" noChangeArrowheads="1"/>
                    </pic:cNvPicPr>
                  </pic:nvPicPr>
                  <pic:blipFill>
                    <a:blip r:embed="rId34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-1905</wp:posOffset>
            </wp:positionV>
            <wp:extent cx="17145" cy="17145"/>
            <wp:wrapNone/>
            <wp:docPr id="3452" name="Picture 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2"/>
                    <pic:cNvPicPr>
                      <a:picLocks noChangeAspect="1" noChangeArrowheads="1"/>
                    </pic:cNvPicPr>
                  </pic:nvPicPr>
                  <pic:blipFill>
                    <a:blip r:embed="rId34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-1905</wp:posOffset>
            </wp:positionV>
            <wp:extent cx="17145" cy="17145"/>
            <wp:wrapNone/>
            <wp:docPr id="3453" name="Picture 3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3"/>
                    <pic:cNvPicPr>
                      <a:picLocks noChangeAspect="1" noChangeArrowheads="1"/>
                    </pic:cNvPicPr>
                  </pic:nvPicPr>
                  <pic:blipFill>
                    <a:blip r:embed="rId34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-1905</wp:posOffset>
            </wp:positionV>
            <wp:extent cx="17145" cy="17145"/>
            <wp:wrapNone/>
            <wp:docPr id="3454" name="Picture 3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4"/>
                    <pic:cNvPicPr>
                      <a:picLocks noChangeAspect="1" noChangeArrowheads="1"/>
                    </pic:cNvPicPr>
                  </pic:nvPicPr>
                  <pic:blipFill>
                    <a:blip r:embed="rId34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-1905</wp:posOffset>
            </wp:positionV>
            <wp:extent cx="17145" cy="17145"/>
            <wp:wrapNone/>
            <wp:docPr id="3455" name="Picture 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5"/>
                    <pic:cNvPicPr>
                      <a:picLocks noChangeAspect="1" noChangeArrowheads="1"/>
                    </pic:cNvPicPr>
                  </pic:nvPicPr>
                  <pic:blipFill>
                    <a:blip r:embed="rId34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-1905</wp:posOffset>
            </wp:positionV>
            <wp:extent cx="17145" cy="17145"/>
            <wp:wrapNone/>
            <wp:docPr id="3456" name="Picture 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6"/>
                    <pic:cNvPicPr>
                      <a:picLocks noChangeAspect="1" noChangeArrowheads="1"/>
                    </pic:cNvPicPr>
                  </pic:nvPicPr>
                  <pic:blipFill>
                    <a:blip r:embed="rId34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-1905</wp:posOffset>
            </wp:positionV>
            <wp:extent cx="17145" cy="17145"/>
            <wp:wrapNone/>
            <wp:docPr id="3457" name="Picture 3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7"/>
                    <pic:cNvPicPr>
                      <a:picLocks noChangeAspect="1" noChangeArrowheads="1"/>
                    </pic:cNvPicPr>
                  </pic:nvPicPr>
                  <pic:blipFill>
                    <a:blip r:embed="rId34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-1905</wp:posOffset>
            </wp:positionV>
            <wp:extent cx="17145" cy="17145"/>
            <wp:wrapNone/>
            <wp:docPr id="3458" name="Picture 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8"/>
                    <pic:cNvPicPr>
                      <a:picLocks noChangeAspect="1" noChangeArrowheads="1"/>
                    </pic:cNvPicPr>
                  </pic:nvPicPr>
                  <pic:blipFill>
                    <a:blip r:embed="rId34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-1905</wp:posOffset>
            </wp:positionV>
            <wp:extent cx="17145" cy="17145"/>
            <wp:wrapNone/>
            <wp:docPr id="3459" name="Picture 3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9"/>
                    <pic:cNvPicPr>
                      <a:picLocks noChangeAspect="1" noChangeArrowheads="1"/>
                    </pic:cNvPicPr>
                  </pic:nvPicPr>
                  <pic:blipFill>
                    <a:blip r:embed="rId34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-1905</wp:posOffset>
            </wp:positionV>
            <wp:extent cx="17145" cy="17145"/>
            <wp:wrapNone/>
            <wp:docPr id="3460" name="Picture 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0"/>
                    <pic:cNvPicPr>
                      <a:picLocks noChangeAspect="1" noChangeArrowheads="1"/>
                    </pic:cNvPicPr>
                  </pic:nvPicPr>
                  <pic:blipFill>
                    <a:blip r:embed="rId34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-1905</wp:posOffset>
            </wp:positionV>
            <wp:extent cx="17145" cy="17145"/>
            <wp:wrapNone/>
            <wp:docPr id="3461" name="Picture 3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1"/>
                    <pic:cNvPicPr>
                      <a:picLocks noChangeAspect="1" noChangeArrowheads="1"/>
                    </pic:cNvPicPr>
                  </pic:nvPicPr>
                  <pic:blipFill>
                    <a:blip r:embed="rId3468">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January of each year for base salaries for that year and for equity-based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-11430</wp:posOffset>
            </wp:positionV>
            <wp:extent cx="3420110" cy="17145"/>
            <wp:wrapNone/>
            <wp:docPr id="3462" name="Picture 3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2"/>
                    <pic:cNvPicPr>
                      <a:picLocks noChangeAspect="1" noChangeArrowheads="1"/>
                    </pic:cNvPicPr>
                  </pic:nvPicPr>
                  <pic:blipFill>
                    <a:blip r:embed="rId3469">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720"/>
            <w:col w:w="5340"/>
          </w:cols>
          <w:pgMar w:left="320" w:top="238" w:right="3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Equity Grant Practices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Our Compensation Committee is responsible for granting long-term equity-based compensation under our omnibus stock incentive plans. The Committee approves a preliminary budget for equity-based grants for the following year at each October meeting. Awards for the CEO are granted by the Committee following approval by the independent members of the Board. Awards for executive officers other than the CEO are granted by the Committee and discussed with the Board. Management determines the allocation of equity-based grants for other groups within the Company and individual recommendations are made by the heads of the groups and approved by the CEO. In addition to considering the value of each equity-based award, management and the Committee also consider, as an additional factor in approving long-term equity awards, the overall potential shareholder dilution impact and burn rate, which is the rate at which awards are granted as a percentage of SLB shares outstanding.</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regular Board and Compensation Committee meeting schedule is set at least a year in advance, with meetings held quarterly in mid-January, mid-April, mid-July, and mid-October. Annual grants of equity-based awards to our NEOs and other executives, as well as to other eligible employees, are made at the Committee’s January meeting. Additionally, specific grants may be made at other Committee meetings to recognize an employee’s promotion, change in responsibility or specific achievement, or to achieve other key compensation objectives, such as retention. Generally, the Committee sets the grant date for equity awards as the Committee meeting date, which is usually two days in advance of the Company’s announcement of earnings. The Company does not time the release of material non-public information for the purpose of affecting the values of equity grants. At the time equity grant decisions are made, our Compensation Committee is aware of the earnings results, but it does not adjust the size or the mix of grants to reflect possible market reaction.</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PSUs and RSUs do not accrue or pay dividends or dividend equivalents prior to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471170" cy="282575"/>
            <wp:wrapNone/>
            <wp:docPr id="3463" name="Picture 3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3"/>
                    <pic:cNvPicPr>
                      <a:picLocks noChangeAspect="1" noChangeArrowheads="1"/>
                    </pic:cNvPicPr>
                  </pic:nvPicPr>
                  <pic:blipFill>
                    <a:blip r:embed="rId3470">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82"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48</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-46990</wp:posOffset>
            </wp:positionV>
            <wp:extent cx="5417820" cy="17145"/>
            <wp:wrapNone/>
            <wp:docPr id="3464" name="Picture 3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4"/>
                    <pic:cNvPicPr>
                      <a:picLocks noChangeAspect="1" noChangeArrowheads="1"/>
                    </pic:cNvPicPr>
                  </pic:nvPicPr>
                  <pic:blipFill>
                    <a:blip r:embed="rId3471">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3465" name="Picture 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5"/>
                    <pic:cNvPicPr>
                      <a:picLocks noChangeAspect="1" noChangeArrowheads="1"/>
                    </pic:cNvPicPr>
                  </pic:nvPicPr>
                  <pic:blipFill>
                    <a:blip r:embed="rId34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Independent Compensation Consultant</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Our Compensation Committee has retained Pay Governance as its independent consultant with respect to executive compensation matters, as well as non-employee director compensation matters. Pay Governance works with SLB’s Total Rewards team to compile annual compensation data for each executive officer, and to compare the compensation opportunities of our executive officers with those at comparable roles at companies in our main executive compensation peer groups. Pay Governance also annually prepares an analysis of competitive non-employee director compensation levels and market trends using the same two main peer groups as are used for the annual executive officer compensation review.</w:t>
      </w:r>
    </w:p>
    <w:p>
      <w:pPr>
        <w:spacing w:after="0" w:line="15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Pay Governance reports only to, and acts solely at the direction of, our Compensation Committee. The Committee has assessed the independence of Pay Governance pursuant to SEC rules and has concluded that its work did not raise any conflict of interest that would prevent Pay Governance from independently representing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143510</wp:posOffset>
            </wp:positionV>
            <wp:extent cx="471805" cy="283210"/>
            <wp:wrapNone/>
            <wp:docPr id="3466" name="Picture 3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6"/>
                    <pic:cNvPicPr>
                      <a:picLocks noChangeAspect="1" noChangeArrowheads="1"/>
                    </pic:cNvPicPr>
                  </pic:nvPicPr>
                  <pic:blipFill>
                    <a:blip r:embed="rId3473">
                      <a:extLst>
                        <a:ext uri="{28A0092B-C50C-407E-A947-70E740481C1C}"/>
                      </a:extLst>
                    </a:blip>
                    <a:srcRect/>
                    <a:stretch>
                      <a:fillRect/>
                    </a:stretch>
                  </pic:blipFill>
                  <pic:spPr bwMode="auto">
                    <a:xfrm>
                      <a:off x="0" y="0"/>
                      <a:ext cx="471805" cy="28321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Pr>
          <w:p>
            <w:pPr>
              <w:spacing w:after="0"/>
              <w:rPr>
                <w:sz w:val="9"/>
                <w:szCs w:val="9"/>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49</w:t>
            </w:r>
          </w:p>
        </w:tc>
        <w:tc>
          <w:tcPr>
            <w:tcW w:w="44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9" w:lineRule="exact"/>
        <w:rPr>
          <w:sz w:val="20"/>
          <w:szCs w:val="20"/>
          <w:color w:val="auto"/>
        </w:rPr>
      </w:pPr>
    </w:p>
    <w:p>
      <w:pPr>
        <w:spacing w:after="0"/>
        <w:rPr>
          <w:sz w:val="20"/>
          <w:szCs w:val="20"/>
          <w:color w:val="auto"/>
        </w:rPr>
      </w:pPr>
      <w:r>
        <w:rPr>
          <w:rFonts w:ascii="Arial" w:cs="Arial" w:eastAsia="Arial" w:hAnsi="Arial"/>
          <w:sz w:val="50"/>
          <w:szCs w:val="50"/>
          <w:color w:val="0233A1"/>
        </w:rPr>
        <w:t>Executive Compensation Tables</w:t>
      </w:r>
    </w:p>
    <w:p>
      <w:pPr>
        <w:spacing w:after="0" w:line="399" w:lineRule="exact"/>
        <w:rPr>
          <w:sz w:val="20"/>
          <w:szCs w:val="20"/>
          <w:color w:val="auto"/>
        </w:rPr>
      </w:pPr>
    </w:p>
    <w:p>
      <w:pPr>
        <w:spacing w:after="0"/>
        <w:rPr>
          <w:sz w:val="20"/>
          <w:szCs w:val="20"/>
          <w:color w:val="auto"/>
        </w:rPr>
      </w:pPr>
      <w:r>
        <w:rPr>
          <w:rFonts w:ascii="Arial" w:cs="Arial" w:eastAsia="Arial" w:hAnsi="Arial"/>
          <w:sz w:val="29"/>
          <w:szCs w:val="29"/>
          <w:color w:val="16458B"/>
        </w:rPr>
        <w:t>Summary Compensation Table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information regarding the total compensation paid to our NEOs for fiscal years 2022, 2021 and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color w:val="0233A1"/>
              </w:rPr>
              <w:t>Change</w:t>
            </w: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3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color w:val="0233A1"/>
              </w:rPr>
              <w:t>in Pension</w:t>
            </w: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3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color w:val="0233A1"/>
              </w:rPr>
              <w:t>Value &amp;</w:t>
            </w: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3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color w:val="0233A1"/>
              </w:rPr>
              <w:t>Nonqualified</w:t>
            </w: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3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0233A1"/>
              </w:rPr>
              <w:t>Non-Equity</w:t>
            </w: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color w:val="0233A1"/>
              </w:rPr>
              <w:t>Deferred</w:t>
            </w: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3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0233A1"/>
              </w:rPr>
              <w:t>Stock</w:t>
            </w: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0233A1"/>
              </w:rPr>
              <w:t>Incentive Plan</w:t>
            </w: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color w:val="0233A1"/>
              </w:rPr>
              <w:t>Compensation</w:t>
            </w: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0233A1"/>
              </w:rPr>
              <w:t>All Other</w:t>
            </w:r>
          </w:p>
        </w:tc>
        <w:tc>
          <w:tcPr>
            <w:tcW w:w="880" w:type="dxa"/>
            <w:vAlign w:val="bottom"/>
          </w:tcPr>
          <w:p>
            <w:pPr>
              <w:spacing w:after="0"/>
              <w:rPr>
                <w:sz w:val="16"/>
                <w:szCs w:val="16"/>
                <w:color w:val="auto"/>
              </w:rPr>
            </w:pPr>
          </w:p>
        </w:tc>
      </w:tr>
      <w:tr>
        <w:trPr>
          <w:trHeight w:val="163"/>
        </w:trPr>
        <w:tc>
          <w:tcPr>
            <w:tcW w:w="3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jc w:val="right"/>
              <w:spacing w:after="0" w:line="163" w:lineRule="exact"/>
              <w:rPr>
                <w:sz w:val="20"/>
                <w:szCs w:val="20"/>
                <w:color w:val="auto"/>
              </w:rPr>
            </w:pPr>
            <w:r>
              <w:rPr>
                <w:rFonts w:ascii="Arial" w:cs="Arial" w:eastAsia="Arial" w:hAnsi="Arial"/>
                <w:sz w:val="16"/>
                <w:szCs w:val="16"/>
                <w:b w:val="1"/>
                <w:bCs w:val="1"/>
                <w:color w:val="0233A1"/>
              </w:rPr>
              <w:t>Salary</w:t>
            </w:r>
          </w:p>
        </w:tc>
        <w:tc>
          <w:tcPr>
            <w:tcW w:w="1060" w:type="dxa"/>
            <w:vAlign w:val="bottom"/>
          </w:tcPr>
          <w:p>
            <w:pPr>
              <w:jc w:val="right"/>
              <w:ind w:right="119"/>
              <w:spacing w:after="0" w:line="163" w:lineRule="exact"/>
              <w:rPr>
                <w:sz w:val="20"/>
                <w:szCs w:val="20"/>
                <w:color w:val="auto"/>
              </w:rPr>
            </w:pPr>
            <w:r>
              <w:rPr>
                <w:rFonts w:ascii="Arial" w:cs="Arial" w:eastAsia="Arial" w:hAnsi="Arial"/>
                <w:sz w:val="16"/>
                <w:szCs w:val="16"/>
                <w:b w:val="1"/>
                <w:bCs w:val="1"/>
                <w:color w:val="0233A1"/>
              </w:rPr>
              <w:t>Awards</w:t>
            </w:r>
          </w:p>
        </w:tc>
        <w:tc>
          <w:tcPr>
            <w:tcW w:w="1340" w:type="dxa"/>
            <w:vAlign w:val="bottom"/>
          </w:tcPr>
          <w:p>
            <w:pPr>
              <w:jc w:val="right"/>
              <w:ind w:right="119"/>
              <w:spacing w:after="0" w:line="163" w:lineRule="exact"/>
              <w:rPr>
                <w:sz w:val="20"/>
                <w:szCs w:val="20"/>
                <w:color w:val="auto"/>
              </w:rPr>
            </w:pPr>
            <w:r>
              <w:rPr>
                <w:rFonts w:ascii="Arial" w:cs="Arial" w:eastAsia="Arial" w:hAnsi="Arial"/>
                <w:sz w:val="16"/>
                <w:szCs w:val="16"/>
                <w:b w:val="1"/>
                <w:bCs w:val="1"/>
                <w:color w:val="0233A1"/>
              </w:rPr>
              <w:t>Compensation</w:t>
            </w:r>
          </w:p>
        </w:tc>
        <w:tc>
          <w:tcPr>
            <w:tcW w:w="1360" w:type="dxa"/>
            <w:vAlign w:val="bottom"/>
          </w:tcPr>
          <w:p>
            <w:pPr>
              <w:jc w:val="right"/>
              <w:ind w:right="119"/>
              <w:spacing w:after="0" w:line="163" w:lineRule="exact"/>
              <w:rPr>
                <w:sz w:val="20"/>
                <w:szCs w:val="20"/>
                <w:color w:val="auto"/>
              </w:rPr>
            </w:pPr>
            <w:r>
              <w:rPr>
                <w:rFonts w:ascii="Arial" w:cs="Arial" w:eastAsia="Arial" w:hAnsi="Arial"/>
                <w:sz w:val="16"/>
                <w:szCs w:val="16"/>
                <w:b w:val="1"/>
                <w:bCs w:val="1"/>
                <w:color w:val="0233A1"/>
              </w:rPr>
              <w:t>Earnings</w:t>
            </w:r>
          </w:p>
        </w:tc>
        <w:tc>
          <w:tcPr>
            <w:tcW w:w="1360" w:type="dxa"/>
            <w:vAlign w:val="bottom"/>
          </w:tcPr>
          <w:p>
            <w:pPr>
              <w:jc w:val="right"/>
              <w:ind w:right="139"/>
              <w:spacing w:after="0" w:line="163" w:lineRule="exact"/>
              <w:rPr>
                <w:sz w:val="20"/>
                <w:szCs w:val="20"/>
                <w:color w:val="auto"/>
              </w:rPr>
            </w:pPr>
            <w:r>
              <w:rPr>
                <w:rFonts w:ascii="Arial" w:cs="Arial" w:eastAsia="Arial" w:hAnsi="Arial"/>
                <w:sz w:val="16"/>
                <w:szCs w:val="16"/>
                <w:b w:val="1"/>
                <w:bCs w:val="1"/>
                <w:color w:val="0233A1"/>
              </w:rPr>
              <w:t>Compensation</w:t>
            </w:r>
          </w:p>
        </w:tc>
        <w:tc>
          <w:tcPr>
            <w:tcW w:w="880" w:type="dxa"/>
            <w:vAlign w:val="bottom"/>
          </w:tcPr>
          <w:p>
            <w:pPr>
              <w:jc w:val="right"/>
              <w:spacing w:after="0" w:line="163" w:lineRule="exact"/>
              <w:rPr>
                <w:sz w:val="20"/>
                <w:szCs w:val="20"/>
                <w:color w:val="auto"/>
              </w:rPr>
            </w:pPr>
            <w:r>
              <w:rPr>
                <w:rFonts w:ascii="Arial" w:cs="Arial" w:eastAsia="Arial" w:hAnsi="Arial"/>
                <w:sz w:val="16"/>
                <w:szCs w:val="16"/>
                <w:b w:val="1"/>
                <w:bCs w:val="1"/>
                <w:color w:val="0233A1"/>
              </w:rPr>
              <w:t>Total</w:t>
            </w:r>
          </w:p>
        </w:tc>
      </w:tr>
      <w:tr>
        <w:trPr>
          <w:trHeight w:val="230"/>
        </w:trPr>
        <w:tc>
          <w:tcPr>
            <w:tcW w:w="372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Name</w:t>
            </w:r>
          </w:p>
        </w:tc>
        <w:tc>
          <w:tcPr>
            <w:tcW w:w="68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Year</w:t>
            </w:r>
          </w:p>
        </w:tc>
        <w:tc>
          <w:tcPr>
            <w:tcW w:w="84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106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(2)</w:t>
            </w:r>
          </w:p>
        </w:tc>
        <w:tc>
          <w:tcPr>
            <w:tcW w:w="134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(3)</w:t>
            </w:r>
          </w:p>
        </w:tc>
        <w:tc>
          <w:tcPr>
            <w:tcW w:w="136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(4)</w:t>
            </w:r>
          </w:p>
        </w:tc>
        <w:tc>
          <w:tcPr>
            <w:tcW w:w="136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(5)</w:t>
            </w:r>
          </w:p>
        </w:tc>
        <w:tc>
          <w:tcPr>
            <w:tcW w:w="88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r>
      <w:tr>
        <w:trPr>
          <w:trHeight w:val="168"/>
        </w:trPr>
        <w:tc>
          <w:tcPr>
            <w:tcW w:w="3720" w:type="dxa"/>
            <w:vAlign w:val="bottom"/>
          </w:tcPr>
          <w:p>
            <w:pPr>
              <w:ind w:left="60"/>
              <w:spacing w:after="0" w:line="168" w:lineRule="exact"/>
              <w:rPr>
                <w:sz w:val="20"/>
                <w:szCs w:val="20"/>
                <w:color w:val="auto"/>
              </w:rPr>
            </w:pPr>
            <w:r>
              <w:rPr>
                <w:rFonts w:ascii="Arial" w:cs="Arial" w:eastAsia="Arial" w:hAnsi="Arial"/>
                <w:sz w:val="16"/>
                <w:szCs w:val="16"/>
                <w:color w:val="auto"/>
              </w:rPr>
              <w:t>Olivier Le Peuch</w:t>
            </w:r>
          </w:p>
        </w:tc>
        <w:tc>
          <w:tcPr>
            <w:tcW w:w="680" w:type="dxa"/>
            <w:vAlign w:val="bottom"/>
          </w:tcPr>
          <w:p>
            <w:pPr>
              <w:jc w:val="right"/>
              <w:spacing w:after="0" w:line="168" w:lineRule="exact"/>
              <w:rPr>
                <w:sz w:val="20"/>
                <w:szCs w:val="20"/>
                <w:color w:val="auto"/>
              </w:rPr>
            </w:pPr>
            <w:r>
              <w:rPr>
                <w:rFonts w:ascii="Arial" w:cs="Arial" w:eastAsia="Arial" w:hAnsi="Arial"/>
                <w:sz w:val="16"/>
                <w:szCs w:val="16"/>
                <w:color w:val="auto"/>
              </w:rPr>
              <w:t>2022</w:t>
            </w:r>
          </w:p>
        </w:tc>
        <w:tc>
          <w:tcPr>
            <w:tcW w:w="840" w:type="dxa"/>
            <w:vAlign w:val="bottom"/>
          </w:tcPr>
          <w:p>
            <w:pPr>
              <w:jc w:val="right"/>
              <w:spacing w:after="0" w:line="168" w:lineRule="exact"/>
              <w:rPr>
                <w:sz w:val="20"/>
                <w:szCs w:val="20"/>
                <w:color w:val="auto"/>
              </w:rPr>
            </w:pPr>
            <w:r>
              <w:rPr>
                <w:rFonts w:ascii="Arial" w:cs="Arial" w:eastAsia="Arial" w:hAnsi="Arial"/>
                <w:sz w:val="16"/>
                <w:szCs w:val="16"/>
                <w:color w:val="auto"/>
              </w:rPr>
              <w:t>1,550,000</w:t>
            </w:r>
          </w:p>
        </w:tc>
        <w:tc>
          <w:tcPr>
            <w:tcW w:w="1060" w:type="dxa"/>
            <w:vAlign w:val="bottom"/>
          </w:tcPr>
          <w:p>
            <w:pPr>
              <w:jc w:val="right"/>
              <w:ind w:right="119"/>
              <w:spacing w:after="0" w:line="168" w:lineRule="exact"/>
              <w:rPr>
                <w:sz w:val="20"/>
                <w:szCs w:val="20"/>
                <w:color w:val="auto"/>
              </w:rPr>
            </w:pPr>
            <w:r>
              <w:rPr>
                <w:rFonts w:ascii="Arial" w:cs="Arial" w:eastAsia="Arial" w:hAnsi="Arial"/>
                <w:sz w:val="16"/>
                <w:szCs w:val="16"/>
                <w:color w:val="auto"/>
              </w:rPr>
              <w:t>11,999,949</w:t>
            </w:r>
          </w:p>
        </w:tc>
        <w:tc>
          <w:tcPr>
            <w:tcW w:w="1340" w:type="dxa"/>
            <w:vAlign w:val="bottom"/>
          </w:tcPr>
          <w:p>
            <w:pPr>
              <w:jc w:val="right"/>
              <w:ind w:right="119"/>
              <w:spacing w:after="0" w:line="168" w:lineRule="exact"/>
              <w:rPr>
                <w:sz w:val="20"/>
                <w:szCs w:val="20"/>
                <w:color w:val="auto"/>
              </w:rPr>
            </w:pPr>
            <w:r>
              <w:rPr>
                <w:rFonts w:ascii="Arial" w:cs="Arial" w:eastAsia="Arial" w:hAnsi="Arial"/>
                <w:sz w:val="16"/>
                <w:szCs w:val="16"/>
                <w:color w:val="auto"/>
              </w:rPr>
              <w:t>1,929,750</w:t>
            </w:r>
          </w:p>
        </w:tc>
        <w:tc>
          <w:tcPr>
            <w:tcW w:w="1360" w:type="dxa"/>
            <w:vAlign w:val="bottom"/>
          </w:tcPr>
          <w:p>
            <w:pPr>
              <w:jc w:val="right"/>
              <w:ind w:right="119"/>
              <w:spacing w:after="0" w:line="168" w:lineRule="exact"/>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line="168" w:lineRule="exact"/>
              <w:rPr>
                <w:sz w:val="20"/>
                <w:szCs w:val="20"/>
                <w:color w:val="auto"/>
              </w:rPr>
            </w:pPr>
            <w:r>
              <w:rPr>
                <w:rFonts w:ascii="Arial" w:cs="Arial" w:eastAsia="Arial" w:hAnsi="Arial"/>
                <w:sz w:val="16"/>
                <w:szCs w:val="16"/>
                <w:color w:val="auto"/>
              </w:rPr>
              <w:t>234,058</w:t>
            </w:r>
          </w:p>
        </w:tc>
        <w:tc>
          <w:tcPr>
            <w:tcW w:w="880" w:type="dxa"/>
            <w:vAlign w:val="bottom"/>
            <w:shd w:val="clear" w:color="auto" w:fill="EBECEE"/>
          </w:tcPr>
          <w:p>
            <w:pPr>
              <w:jc w:val="right"/>
              <w:spacing w:after="0" w:line="168" w:lineRule="exact"/>
              <w:rPr>
                <w:sz w:val="20"/>
                <w:szCs w:val="20"/>
                <w:color w:val="auto"/>
              </w:rPr>
            </w:pPr>
            <w:r>
              <w:rPr>
                <w:rFonts w:ascii="Arial" w:cs="Arial" w:eastAsia="Arial" w:hAnsi="Arial"/>
                <w:sz w:val="16"/>
                <w:szCs w:val="16"/>
                <w:color w:val="auto"/>
                <w:w w:val="99"/>
              </w:rPr>
              <w:t>15,713,757</w:t>
            </w:r>
          </w:p>
        </w:tc>
      </w:tr>
      <w:tr>
        <w:trPr>
          <w:trHeight w:val="216"/>
        </w:trPr>
        <w:tc>
          <w:tcPr>
            <w:tcW w:w="3720" w:type="dxa"/>
            <w:vAlign w:val="bottom"/>
          </w:tcPr>
          <w:p>
            <w:pPr>
              <w:ind w:left="240"/>
              <w:spacing w:after="0"/>
              <w:rPr>
                <w:sz w:val="20"/>
                <w:szCs w:val="20"/>
                <w:color w:val="auto"/>
              </w:rPr>
            </w:pPr>
            <w:r>
              <w:rPr>
                <w:rFonts w:ascii="Arial" w:cs="Arial" w:eastAsia="Arial" w:hAnsi="Arial"/>
                <w:sz w:val="16"/>
                <w:szCs w:val="16"/>
                <w:color w:val="auto"/>
              </w:rPr>
              <w:t>Chief Executive Officer</w:t>
            </w:r>
          </w:p>
        </w:tc>
        <w:tc>
          <w:tcPr>
            <w:tcW w:w="680" w:type="dxa"/>
            <w:vAlign w:val="bottom"/>
          </w:tcPr>
          <w:p>
            <w:pPr>
              <w:jc w:val="right"/>
              <w:spacing w:after="0"/>
              <w:rPr>
                <w:sz w:val="20"/>
                <w:szCs w:val="20"/>
                <w:color w:val="auto"/>
              </w:rPr>
            </w:pPr>
            <w:r>
              <w:rPr>
                <w:rFonts w:ascii="Arial" w:cs="Arial" w:eastAsia="Arial" w:hAnsi="Arial"/>
                <w:sz w:val="16"/>
                <w:szCs w:val="16"/>
                <w:color w:val="auto"/>
              </w:rPr>
              <w:t>2021</w:t>
            </w:r>
          </w:p>
        </w:tc>
        <w:tc>
          <w:tcPr>
            <w:tcW w:w="840" w:type="dxa"/>
            <w:vAlign w:val="bottom"/>
          </w:tcPr>
          <w:p>
            <w:pPr>
              <w:jc w:val="right"/>
              <w:spacing w:after="0"/>
              <w:rPr>
                <w:sz w:val="20"/>
                <w:szCs w:val="20"/>
                <w:color w:val="auto"/>
              </w:rPr>
            </w:pPr>
            <w:r>
              <w:rPr>
                <w:rFonts w:ascii="Arial" w:cs="Arial" w:eastAsia="Arial" w:hAnsi="Arial"/>
                <w:sz w:val="16"/>
                <w:szCs w:val="16"/>
                <w:color w:val="auto"/>
              </w:rPr>
              <w:t>1,400,000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10,499,803</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3,916,100</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802,703</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176,896</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w w:val="99"/>
              </w:rPr>
              <w:t>16,795,502</w:t>
            </w:r>
          </w:p>
        </w:tc>
      </w:tr>
      <w:tr>
        <w:trPr>
          <w:trHeight w:val="203"/>
        </w:trPr>
        <w:tc>
          <w:tcPr>
            <w:tcW w:w="37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2020</w:t>
            </w:r>
          </w:p>
        </w:tc>
        <w:tc>
          <w:tcPr>
            <w:tcW w:w="840" w:type="dxa"/>
            <w:vAlign w:val="bottom"/>
          </w:tcPr>
          <w:p>
            <w:pPr>
              <w:jc w:val="right"/>
              <w:spacing w:after="0"/>
              <w:rPr>
                <w:sz w:val="20"/>
                <w:szCs w:val="20"/>
                <w:color w:val="auto"/>
              </w:rPr>
            </w:pPr>
            <w:r>
              <w:rPr>
                <w:rFonts w:ascii="Arial" w:cs="Arial" w:eastAsia="Arial" w:hAnsi="Arial"/>
                <w:sz w:val="16"/>
                <w:szCs w:val="16"/>
                <w:color w:val="auto"/>
              </w:rPr>
              <w:t>1,383,846</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2,251,200</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1,844,619</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170,419</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5,650,084</w:t>
            </w:r>
          </w:p>
        </w:tc>
      </w:tr>
      <w:tr>
        <w:trPr>
          <w:trHeight w:val="189"/>
        </w:trPr>
        <w:tc>
          <w:tcPr>
            <w:tcW w:w="3720" w:type="dxa"/>
            <w:vAlign w:val="bottom"/>
          </w:tcPr>
          <w:p>
            <w:pPr>
              <w:ind w:left="60"/>
              <w:spacing w:after="0"/>
              <w:rPr>
                <w:sz w:val="20"/>
                <w:szCs w:val="20"/>
                <w:color w:val="auto"/>
              </w:rPr>
            </w:pPr>
            <w:r>
              <w:rPr>
                <w:rFonts w:ascii="Arial" w:cs="Arial" w:eastAsia="Arial" w:hAnsi="Arial"/>
                <w:sz w:val="16"/>
                <w:szCs w:val="16"/>
                <w:color w:val="auto"/>
              </w:rPr>
              <w:t>Stephane Biguet</w:t>
            </w:r>
          </w:p>
        </w:tc>
        <w:tc>
          <w:tcPr>
            <w:tcW w:w="680" w:type="dxa"/>
            <w:vAlign w:val="bottom"/>
          </w:tcPr>
          <w:p>
            <w:pPr>
              <w:jc w:val="right"/>
              <w:spacing w:after="0"/>
              <w:rPr>
                <w:sz w:val="20"/>
                <w:szCs w:val="20"/>
                <w:color w:val="auto"/>
              </w:rPr>
            </w:pPr>
            <w:r>
              <w:rPr>
                <w:rFonts w:ascii="Arial" w:cs="Arial" w:eastAsia="Arial" w:hAnsi="Arial"/>
                <w:sz w:val="16"/>
                <w:szCs w:val="16"/>
                <w:color w:val="auto"/>
              </w:rPr>
              <w:t>2022</w:t>
            </w:r>
          </w:p>
        </w:tc>
        <w:tc>
          <w:tcPr>
            <w:tcW w:w="840" w:type="dxa"/>
            <w:vAlign w:val="bottom"/>
          </w:tcPr>
          <w:p>
            <w:pPr>
              <w:jc w:val="right"/>
              <w:spacing w:after="0"/>
              <w:rPr>
                <w:sz w:val="20"/>
                <w:szCs w:val="20"/>
                <w:color w:val="auto"/>
              </w:rPr>
            </w:pPr>
            <w:r>
              <w:rPr>
                <w:rFonts w:ascii="Arial" w:cs="Arial" w:eastAsia="Arial" w:hAnsi="Arial"/>
                <w:sz w:val="16"/>
                <w:szCs w:val="16"/>
                <w:color w:val="auto"/>
              </w:rPr>
              <w:t>850,000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3,499,993</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690,650</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139,327</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5,179,970</w:t>
            </w:r>
          </w:p>
        </w:tc>
      </w:tr>
      <w:tr>
        <w:trPr>
          <w:trHeight w:val="189"/>
        </w:trPr>
        <w:tc>
          <w:tcPr>
            <w:tcW w:w="3720" w:type="dxa"/>
            <w:vAlign w:val="bottom"/>
          </w:tcPr>
          <w:p>
            <w:pPr>
              <w:ind w:left="240"/>
              <w:spacing w:after="0"/>
              <w:rPr>
                <w:sz w:val="20"/>
                <w:szCs w:val="20"/>
                <w:color w:val="auto"/>
              </w:rPr>
            </w:pPr>
            <w:r>
              <w:rPr>
                <w:rFonts w:ascii="Arial" w:cs="Arial" w:eastAsia="Arial" w:hAnsi="Arial"/>
                <w:sz w:val="16"/>
                <w:szCs w:val="16"/>
                <w:color w:val="auto"/>
              </w:rPr>
              <w:t>Executive Vice President and Chief Financial</w:t>
            </w:r>
          </w:p>
        </w:tc>
        <w:tc>
          <w:tcPr>
            <w:tcW w:w="680" w:type="dxa"/>
            <w:vAlign w:val="bottom"/>
          </w:tcPr>
          <w:p>
            <w:pPr>
              <w:jc w:val="right"/>
              <w:spacing w:after="0"/>
              <w:rPr>
                <w:sz w:val="20"/>
                <w:szCs w:val="20"/>
                <w:color w:val="auto"/>
              </w:rPr>
            </w:pPr>
            <w:r>
              <w:rPr>
                <w:rFonts w:ascii="Arial" w:cs="Arial" w:eastAsia="Arial" w:hAnsi="Arial"/>
                <w:sz w:val="16"/>
                <w:szCs w:val="16"/>
                <w:color w:val="auto"/>
              </w:rPr>
              <w:t>2021</w:t>
            </w:r>
          </w:p>
        </w:tc>
        <w:tc>
          <w:tcPr>
            <w:tcW w:w="840" w:type="dxa"/>
            <w:vAlign w:val="bottom"/>
          </w:tcPr>
          <w:p>
            <w:pPr>
              <w:jc w:val="right"/>
              <w:spacing w:after="0"/>
              <w:rPr>
                <w:sz w:val="20"/>
                <w:szCs w:val="20"/>
                <w:color w:val="auto"/>
              </w:rPr>
            </w:pPr>
            <w:r>
              <w:rPr>
                <w:rFonts w:ascii="Arial" w:cs="Arial" w:eastAsia="Arial" w:hAnsi="Arial"/>
                <w:sz w:val="16"/>
                <w:szCs w:val="16"/>
                <w:color w:val="auto"/>
              </w:rPr>
              <w:t>770,000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3,199,750</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1,458,400</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462,189</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127,749</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6,018,088</w:t>
            </w:r>
          </w:p>
        </w:tc>
      </w:tr>
      <w:tr>
        <w:trPr>
          <w:trHeight w:val="229"/>
        </w:trPr>
        <w:tc>
          <w:tcPr>
            <w:tcW w:w="3720" w:type="dxa"/>
            <w:vAlign w:val="bottom"/>
          </w:tcPr>
          <w:p>
            <w:pPr>
              <w:ind w:left="240"/>
              <w:spacing w:after="0"/>
              <w:rPr>
                <w:sz w:val="20"/>
                <w:szCs w:val="20"/>
                <w:color w:val="auto"/>
              </w:rPr>
            </w:pPr>
            <w:r>
              <w:rPr>
                <w:rFonts w:ascii="Arial" w:cs="Arial" w:eastAsia="Arial" w:hAnsi="Arial"/>
                <w:sz w:val="16"/>
                <w:szCs w:val="16"/>
                <w:color w:val="auto"/>
              </w:rPr>
              <w:t>Officer</w:t>
            </w:r>
          </w:p>
        </w:tc>
        <w:tc>
          <w:tcPr>
            <w:tcW w:w="680" w:type="dxa"/>
            <w:vAlign w:val="bottom"/>
          </w:tcPr>
          <w:p>
            <w:pPr>
              <w:jc w:val="right"/>
              <w:spacing w:after="0"/>
              <w:rPr>
                <w:sz w:val="20"/>
                <w:szCs w:val="20"/>
                <w:color w:val="auto"/>
              </w:rPr>
            </w:pPr>
            <w:r>
              <w:rPr>
                <w:rFonts w:ascii="Arial" w:cs="Arial" w:eastAsia="Arial" w:hAnsi="Arial"/>
                <w:sz w:val="16"/>
                <w:szCs w:val="16"/>
                <w:color w:val="auto"/>
              </w:rPr>
              <w:t>2020</w:t>
            </w:r>
          </w:p>
        </w:tc>
        <w:tc>
          <w:tcPr>
            <w:tcW w:w="840" w:type="dxa"/>
            <w:vAlign w:val="bottom"/>
          </w:tcPr>
          <w:p>
            <w:pPr>
              <w:jc w:val="right"/>
              <w:spacing w:after="0"/>
              <w:rPr>
                <w:sz w:val="20"/>
                <w:szCs w:val="20"/>
                <w:color w:val="auto"/>
              </w:rPr>
            </w:pPr>
            <w:r>
              <w:rPr>
                <w:rFonts w:ascii="Arial" w:cs="Arial" w:eastAsia="Arial" w:hAnsi="Arial"/>
                <w:sz w:val="16"/>
                <w:szCs w:val="16"/>
                <w:color w:val="auto"/>
              </w:rPr>
              <w:t>755,193</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2,499,742</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837,000</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767,587</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119,081</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4,978,603</w:t>
            </w:r>
          </w:p>
        </w:tc>
      </w:tr>
      <w:tr>
        <w:trPr>
          <w:trHeight w:val="189"/>
        </w:trPr>
        <w:tc>
          <w:tcPr>
            <w:tcW w:w="3720" w:type="dxa"/>
            <w:vAlign w:val="bottom"/>
          </w:tcPr>
          <w:p>
            <w:pPr>
              <w:ind w:left="60"/>
              <w:spacing w:after="0"/>
              <w:rPr>
                <w:sz w:val="20"/>
                <w:szCs w:val="20"/>
                <w:color w:val="auto"/>
              </w:rPr>
            </w:pPr>
            <w:r>
              <w:rPr>
                <w:rFonts w:ascii="Arial" w:cs="Arial" w:eastAsia="Arial" w:hAnsi="Arial"/>
                <w:sz w:val="16"/>
                <w:szCs w:val="16"/>
                <w:color w:val="auto"/>
              </w:rPr>
              <w:t>Khaled Al Mogharbel</w:t>
            </w:r>
          </w:p>
        </w:tc>
        <w:tc>
          <w:tcPr>
            <w:tcW w:w="680" w:type="dxa"/>
            <w:vAlign w:val="bottom"/>
          </w:tcPr>
          <w:p>
            <w:pPr>
              <w:jc w:val="right"/>
              <w:spacing w:after="0"/>
              <w:rPr>
                <w:sz w:val="20"/>
                <w:szCs w:val="20"/>
                <w:color w:val="auto"/>
              </w:rPr>
            </w:pPr>
            <w:r>
              <w:rPr>
                <w:rFonts w:ascii="Arial" w:cs="Arial" w:eastAsia="Arial" w:hAnsi="Arial"/>
                <w:sz w:val="16"/>
                <w:szCs w:val="16"/>
                <w:color w:val="auto"/>
              </w:rPr>
              <w:t>2022</w:t>
            </w:r>
          </w:p>
        </w:tc>
        <w:tc>
          <w:tcPr>
            <w:tcW w:w="840" w:type="dxa"/>
            <w:vAlign w:val="bottom"/>
          </w:tcPr>
          <w:p>
            <w:pPr>
              <w:jc w:val="right"/>
              <w:spacing w:after="0"/>
              <w:rPr>
                <w:sz w:val="20"/>
                <w:szCs w:val="20"/>
                <w:color w:val="auto"/>
              </w:rPr>
            </w:pPr>
            <w:r>
              <w:rPr>
                <w:rFonts w:ascii="Arial" w:cs="Arial" w:eastAsia="Arial" w:hAnsi="Arial"/>
                <w:sz w:val="16"/>
                <w:szCs w:val="16"/>
                <w:color w:val="auto"/>
              </w:rPr>
              <w:t>900,000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3,499,993</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731,250</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169,951</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5,301,194</w:t>
            </w:r>
          </w:p>
        </w:tc>
      </w:tr>
      <w:tr>
        <w:trPr>
          <w:trHeight w:val="216"/>
        </w:trPr>
        <w:tc>
          <w:tcPr>
            <w:tcW w:w="3720" w:type="dxa"/>
            <w:vAlign w:val="bottom"/>
          </w:tcPr>
          <w:p>
            <w:pPr>
              <w:ind w:left="240"/>
              <w:spacing w:after="0"/>
              <w:rPr>
                <w:sz w:val="20"/>
                <w:szCs w:val="20"/>
                <w:color w:val="auto"/>
              </w:rPr>
            </w:pPr>
            <w:r>
              <w:rPr>
                <w:rFonts w:ascii="Arial" w:cs="Arial" w:eastAsia="Arial" w:hAnsi="Arial"/>
                <w:sz w:val="16"/>
                <w:szCs w:val="16"/>
                <w:color w:val="auto"/>
              </w:rPr>
              <w:t>Executive Vice President, Geographies</w:t>
            </w:r>
          </w:p>
        </w:tc>
        <w:tc>
          <w:tcPr>
            <w:tcW w:w="680" w:type="dxa"/>
            <w:vAlign w:val="bottom"/>
          </w:tcPr>
          <w:p>
            <w:pPr>
              <w:jc w:val="right"/>
              <w:spacing w:after="0"/>
              <w:rPr>
                <w:sz w:val="20"/>
                <w:szCs w:val="20"/>
                <w:color w:val="auto"/>
              </w:rPr>
            </w:pPr>
            <w:r>
              <w:rPr>
                <w:rFonts w:ascii="Arial" w:cs="Arial" w:eastAsia="Arial" w:hAnsi="Arial"/>
                <w:sz w:val="16"/>
                <w:szCs w:val="16"/>
                <w:color w:val="auto"/>
              </w:rPr>
              <w:t>2021</w:t>
            </w:r>
          </w:p>
        </w:tc>
        <w:tc>
          <w:tcPr>
            <w:tcW w:w="840" w:type="dxa"/>
            <w:vAlign w:val="bottom"/>
          </w:tcPr>
          <w:p>
            <w:pPr>
              <w:jc w:val="right"/>
              <w:spacing w:after="0"/>
              <w:rPr>
                <w:sz w:val="20"/>
                <w:szCs w:val="20"/>
                <w:color w:val="auto"/>
              </w:rPr>
            </w:pPr>
            <w:r>
              <w:rPr>
                <w:rFonts w:ascii="Arial" w:cs="Arial" w:eastAsia="Arial" w:hAnsi="Arial"/>
                <w:sz w:val="16"/>
                <w:szCs w:val="16"/>
                <w:color w:val="auto"/>
              </w:rPr>
              <w:t>900,000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3,499,787</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1,715,850</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244,569</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6,360,206</w:t>
            </w:r>
          </w:p>
        </w:tc>
      </w:tr>
      <w:tr>
        <w:trPr>
          <w:trHeight w:val="203"/>
        </w:trPr>
        <w:tc>
          <w:tcPr>
            <w:tcW w:w="37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2020</w:t>
            </w:r>
          </w:p>
        </w:tc>
        <w:tc>
          <w:tcPr>
            <w:tcW w:w="840" w:type="dxa"/>
            <w:vAlign w:val="bottom"/>
          </w:tcPr>
          <w:p>
            <w:pPr>
              <w:jc w:val="right"/>
              <w:spacing w:after="0"/>
              <w:rPr>
                <w:sz w:val="20"/>
                <w:szCs w:val="20"/>
                <w:color w:val="auto"/>
              </w:rPr>
            </w:pPr>
            <w:r>
              <w:rPr>
                <w:rFonts w:ascii="Arial" w:cs="Arial" w:eastAsia="Arial" w:hAnsi="Arial"/>
                <w:sz w:val="16"/>
                <w:szCs w:val="16"/>
                <w:color w:val="auto"/>
              </w:rPr>
              <w:t>889,615</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3,719,674</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1,045,800</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297,898</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262,956</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6,215,943</w:t>
            </w:r>
          </w:p>
        </w:tc>
      </w:tr>
      <w:tr>
        <w:trPr>
          <w:trHeight w:val="189"/>
        </w:trPr>
        <w:tc>
          <w:tcPr>
            <w:tcW w:w="3720" w:type="dxa"/>
            <w:vAlign w:val="bottom"/>
          </w:tcPr>
          <w:p>
            <w:pPr>
              <w:ind w:left="60"/>
              <w:spacing w:after="0"/>
              <w:rPr>
                <w:sz w:val="20"/>
                <w:szCs w:val="20"/>
                <w:color w:val="auto"/>
              </w:rPr>
            </w:pPr>
            <w:r>
              <w:rPr>
                <w:rFonts w:ascii="Arial" w:cs="Arial" w:eastAsia="Arial" w:hAnsi="Arial"/>
                <w:sz w:val="16"/>
                <w:szCs w:val="16"/>
                <w:color w:val="auto"/>
              </w:rPr>
              <w:t>Abdellah Merad</w:t>
            </w:r>
          </w:p>
        </w:tc>
        <w:tc>
          <w:tcPr>
            <w:tcW w:w="680" w:type="dxa"/>
            <w:vAlign w:val="bottom"/>
          </w:tcPr>
          <w:p>
            <w:pPr>
              <w:jc w:val="right"/>
              <w:spacing w:after="0"/>
              <w:rPr>
                <w:sz w:val="20"/>
                <w:szCs w:val="20"/>
                <w:color w:val="auto"/>
              </w:rPr>
            </w:pPr>
            <w:r>
              <w:rPr>
                <w:rFonts w:ascii="Arial" w:cs="Arial" w:eastAsia="Arial" w:hAnsi="Arial"/>
                <w:sz w:val="16"/>
                <w:szCs w:val="16"/>
                <w:color w:val="auto"/>
              </w:rPr>
              <w:t>2022</w:t>
            </w:r>
          </w:p>
        </w:tc>
        <w:tc>
          <w:tcPr>
            <w:tcW w:w="840" w:type="dxa"/>
            <w:vAlign w:val="bottom"/>
          </w:tcPr>
          <w:p>
            <w:pPr>
              <w:jc w:val="right"/>
              <w:spacing w:after="0"/>
              <w:rPr>
                <w:sz w:val="20"/>
                <w:szCs w:val="20"/>
                <w:color w:val="auto"/>
              </w:rPr>
            </w:pPr>
            <w:r>
              <w:rPr>
                <w:rFonts w:ascii="Arial" w:cs="Arial" w:eastAsia="Arial" w:hAnsi="Arial"/>
                <w:sz w:val="16"/>
                <w:szCs w:val="16"/>
                <w:color w:val="auto"/>
              </w:rPr>
              <w:t>787,500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3,499,995</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620,150</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290,716</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5,198,361</w:t>
            </w:r>
          </w:p>
        </w:tc>
      </w:tr>
      <w:tr>
        <w:trPr>
          <w:trHeight w:val="189"/>
        </w:trPr>
        <w:tc>
          <w:tcPr>
            <w:tcW w:w="3720" w:type="dxa"/>
            <w:vAlign w:val="bottom"/>
          </w:tcPr>
          <w:p>
            <w:pPr>
              <w:ind w:left="240"/>
              <w:spacing w:after="0"/>
              <w:rPr>
                <w:sz w:val="20"/>
                <w:szCs w:val="20"/>
                <w:color w:val="auto"/>
              </w:rPr>
            </w:pPr>
            <w:r>
              <w:rPr>
                <w:rFonts w:ascii="Arial" w:cs="Arial" w:eastAsia="Arial" w:hAnsi="Arial"/>
                <w:sz w:val="16"/>
                <w:szCs w:val="16"/>
                <w:color w:val="auto"/>
              </w:rPr>
              <w:t>Executive Vice President, Core Services and</w:t>
            </w: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shd w:val="clear" w:color="auto" w:fill="EBECEE"/>
          </w:tcPr>
          <w:p>
            <w:pPr>
              <w:spacing w:after="0"/>
              <w:rPr>
                <w:sz w:val="16"/>
                <w:szCs w:val="16"/>
                <w:color w:val="auto"/>
              </w:rPr>
            </w:pPr>
          </w:p>
        </w:tc>
      </w:tr>
      <w:tr>
        <w:trPr>
          <w:trHeight w:val="215"/>
        </w:trPr>
        <w:tc>
          <w:tcPr>
            <w:tcW w:w="3720" w:type="dxa"/>
            <w:vAlign w:val="bottom"/>
          </w:tcPr>
          <w:p>
            <w:pPr>
              <w:ind w:left="240"/>
              <w:spacing w:after="0"/>
              <w:rPr>
                <w:sz w:val="20"/>
                <w:szCs w:val="20"/>
                <w:color w:val="auto"/>
              </w:rPr>
            </w:pPr>
            <w:r>
              <w:rPr>
                <w:rFonts w:ascii="Arial" w:cs="Arial" w:eastAsia="Arial" w:hAnsi="Arial"/>
                <w:sz w:val="16"/>
                <w:szCs w:val="16"/>
                <w:color w:val="auto"/>
              </w:rPr>
              <w:t>Equipment</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80" w:type="dxa"/>
            <w:vAlign w:val="bottom"/>
            <w:shd w:val="clear" w:color="auto" w:fill="EBECEE"/>
          </w:tcPr>
          <w:p>
            <w:pPr>
              <w:spacing w:after="0"/>
              <w:rPr>
                <w:sz w:val="18"/>
                <w:szCs w:val="18"/>
                <w:color w:val="auto"/>
              </w:rPr>
            </w:pPr>
          </w:p>
        </w:tc>
      </w:tr>
      <w:tr>
        <w:trPr>
          <w:trHeight w:val="204"/>
        </w:trPr>
        <w:tc>
          <w:tcPr>
            <w:tcW w:w="3720" w:type="dxa"/>
            <w:vAlign w:val="bottom"/>
          </w:tcPr>
          <w:p>
            <w:pPr>
              <w:ind w:left="60"/>
              <w:spacing w:after="0"/>
              <w:rPr>
                <w:sz w:val="20"/>
                <w:szCs w:val="20"/>
                <w:color w:val="auto"/>
              </w:rPr>
            </w:pPr>
            <w:r>
              <w:rPr>
                <w:rFonts w:ascii="Arial" w:cs="Arial" w:eastAsia="Arial" w:hAnsi="Arial"/>
                <w:sz w:val="16"/>
                <w:szCs w:val="16"/>
                <w:color w:val="auto"/>
              </w:rPr>
              <w:t>Dianne Ralston</w:t>
            </w:r>
          </w:p>
        </w:tc>
        <w:tc>
          <w:tcPr>
            <w:tcW w:w="680" w:type="dxa"/>
            <w:vAlign w:val="bottom"/>
          </w:tcPr>
          <w:p>
            <w:pPr>
              <w:jc w:val="right"/>
              <w:spacing w:after="0"/>
              <w:rPr>
                <w:sz w:val="20"/>
                <w:szCs w:val="20"/>
                <w:color w:val="auto"/>
              </w:rPr>
            </w:pPr>
            <w:r>
              <w:rPr>
                <w:rFonts w:ascii="Arial" w:cs="Arial" w:eastAsia="Arial" w:hAnsi="Arial"/>
                <w:sz w:val="16"/>
                <w:szCs w:val="16"/>
                <w:color w:val="auto"/>
              </w:rPr>
              <w:t>2022</w:t>
            </w:r>
          </w:p>
        </w:tc>
        <w:tc>
          <w:tcPr>
            <w:tcW w:w="840" w:type="dxa"/>
            <w:vAlign w:val="bottom"/>
          </w:tcPr>
          <w:p>
            <w:pPr>
              <w:jc w:val="right"/>
              <w:spacing w:after="0"/>
              <w:rPr>
                <w:sz w:val="20"/>
                <w:szCs w:val="20"/>
                <w:color w:val="auto"/>
              </w:rPr>
            </w:pPr>
            <w:r>
              <w:rPr>
                <w:rFonts w:ascii="Arial" w:cs="Arial" w:eastAsia="Arial" w:hAnsi="Arial"/>
                <w:sz w:val="16"/>
                <w:szCs w:val="16"/>
                <w:color w:val="auto"/>
              </w:rPr>
              <w:t>750,022</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3,199,948</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581,250</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361,028</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94,160</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4,986,408</w:t>
            </w:r>
          </w:p>
        </w:tc>
      </w:tr>
      <w:tr>
        <w:trPr>
          <w:trHeight w:val="215"/>
        </w:trPr>
        <w:tc>
          <w:tcPr>
            <w:tcW w:w="3720" w:type="dxa"/>
            <w:vAlign w:val="bottom"/>
          </w:tcPr>
          <w:p>
            <w:pPr>
              <w:ind w:left="240"/>
              <w:spacing w:after="0"/>
              <w:rPr>
                <w:sz w:val="20"/>
                <w:szCs w:val="20"/>
                <w:color w:val="auto"/>
              </w:rPr>
            </w:pPr>
            <w:r>
              <w:rPr>
                <w:rFonts w:ascii="Arial" w:cs="Arial" w:eastAsia="Arial" w:hAnsi="Arial"/>
                <w:sz w:val="16"/>
                <w:szCs w:val="16"/>
                <w:color w:val="auto"/>
              </w:rPr>
              <w:t>Chief Legal Officer and Secretary</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80" w:type="dxa"/>
            <w:vAlign w:val="bottom"/>
            <w:shd w:val="clear" w:color="auto" w:fill="EBECEE"/>
          </w:tcPr>
          <w:p>
            <w:pPr>
              <w:spacing w:after="0"/>
              <w:rPr>
                <w:sz w:val="18"/>
                <w:szCs w:val="18"/>
                <w:color w:val="auto"/>
              </w:rPr>
            </w:pPr>
          </w:p>
        </w:tc>
      </w:tr>
      <w:tr>
        <w:trPr>
          <w:trHeight w:val="407"/>
        </w:trPr>
        <w:tc>
          <w:tcPr>
            <w:tcW w:w="3720" w:type="dxa"/>
            <w:vAlign w:val="bottom"/>
          </w:tcPr>
          <w:p>
            <w:pPr>
              <w:ind w:left="60"/>
              <w:spacing w:after="0"/>
              <w:rPr>
                <w:sz w:val="20"/>
                <w:szCs w:val="20"/>
                <w:color w:val="auto"/>
              </w:rPr>
            </w:pPr>
            <w:r>
              <w:rPr>
                <w:rFonts w:ascii="Arial" w:cs="Arial" w:eastAsia="Arial" w:hAnsi="Arial"/>
                <w:sz w:val="16"/>
                <w:szCs w:val="16"/>
                <w:color w:val="auto"/>
              </w:rPr>
              <w:t>Ashok Belani</w:t>
            </w:r>
            <w:r>
              <w:rPr>
                <w:rFonts w:ascii="Arial" w:cs="Arial" w:eastAsia="Arial" w:hAnsi="Arial"/>
                <w:sz w:val="26"/>
                <w:szCs w:val="26"/>
                <w:color w:val="auto"/>
                <w:vertAlign w:val="superscript"/>
              </w:rPr>
              <w:t>(1)</w:t>
            </w:r>
          </w:p>
        </w:tc>
        <w:tc>
          <w:tcPr>
            <w:tcW w:w="680" w:type="dxa"/>
            <w:vAlign w:val="bottom"/>
          </w:tcPr>
          <w:p>
            <w:pPr>
              <w:jc w:val="right"/>
              <w:spacing w:after="0"/>
              <w:rPr>
                <w:sz w:val="20"/>
                <w:szCs w:val="20"/>
                <w:color w:val="auto"/>
              </w:rPr>
            </w:pPr>
            <w:r>
              <w:rPr>
                <w:rFonts w:ascii="Arial" w:cs="Arial" w:eastAsia="Arial" w:hAnsi="Arial"/>
                <w:sz w:val="16"/>
                <w:szCs w:val="16"/>
                <w:color w:val="auto"/>
              </w:rPr>
              <w:t>2022</w:t>
            </w:r>
          </w:p>
        </w:tc>
        <w:tc>
          <w:tcPr>
            <w:tcW w:w="840" w:type="dxa"/>
            <w:vAlign w:val="bottom"/>
          </w:tcPr>
          <w:p>
            <w:pPr>
              <w:jc w:val="right"/>
              <w:spacing w:after="0"/>
              <w:rPr>
                <w:sz w:val="20"/>
                <w:szCs w:val="20"/>
                <w:color w:val="auto"/>
              </w:rPr>
            </w:pPr>
            <w:r>
              <w:rPr>
                <w:rFonts w:ascii="Arial" w:cs="Arial" w:eastAsia="Arial" w:hAnsi="Arial"/>
                <w:sz w:val="16"/>
                <w:szCs w:val="16"/>
                <w:color w:val="auto"/>
              </w:rPr>
              <w:t>900,000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3,600,030</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174,950</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98,544</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4,773,524</w:t>
            </w:r>
          </w:p>
        </w:tc>
      </w:tr>
      <w:tr>
        <w:trPr>
          <w:trHeight w:val="215"/>
        </w:trPr>
        <w:tc>
          <w:tcPr>
            <w:tcW w:w="3720" w:type="dxa"/>
            <w:vAlign w:val="bottom"/>
          </w:tcPr>
          <w:p>
            <w:pPr>
              <w:ind w:left="240"/>
              <w:spacing w:after="0"/>
              <w:rPr>
                <w:sz w:val="20"/>
                <w:szCs w:val="20"/>
                <w:color w:val="auto"/>
              </w:rPr>
            </w:pPr>
            <w:r>
              <w:rPr>
                <w:rFonts w:ascii="Arial" w:cs="Arial" w:eastAsia="Arial" w:hAnsi="Arial"/>
                <w:sz w:val="16"/>
                <w:szCs w:val="16"/>
                <w:color w:val="auto"/>
              </w:rPr>
              <w:t>Senior Strategic Advisor to the CEO; Former</w:t>
            </w:r>
          </w:p>
        </w:tc>
        <w:tc>
          <w:tcPr>
            <w:tcW w:w="680" w:type="dxa"/>
            <w:vAlign w:val="bottom"/>
          </w:tcPr>
          <w:p>
            <w:pPr>
              <w:jc w:val="right"/>
              <w:spacing w:after="0"/>
              <w:rPr>
                <w:sz w:val="20"/>
                <w:szCs w:val="20"/>
                <w:color w:val="auto"/>
              </w:rPr>
            </w:pPr>
            <w:r>
              <w:rPr>
                <w:rFonts w:ascii="Arial" w:cs="Arial" w:eastAsia="Arial" w:hAnsi="Arial"/>
                <w:sz w:val="16"/>
                <w:szCs w:val="16"/>
                <w:color w:val="auto"/>
              </w:rPr>
              <w:t>2021</w:t>
            </w:r>
          </w:p>
        </w:tc>
        <w:tc>
          <w:tcPr>
            <w:tcW w:w="840" w:type="dxa"/>
            <w:vAlign w:val="bottom"/>
          </w:tcPr>
          <w:p>
            <w:pPr>
              <w:jc w:val="right"/>
              <w:spacing w:after="0"/>
              <w:rPr>
                <w:sz w:val="20"/>
                <w:szCs w:val="20"/>
                <w:color w:val="auto"/>
              </w:rPr>
            </w:pPr>
            <w:r>
              <w:rPr>
                <w:rFonts w:ascii="Arial" w:cs="Arial" w:eastAsia="Arial" w:hAnsi="Arial"/>
                <w:sz w:val="16"/>
                <w:szCs w:val="16"/>
                <w:color w:val="auto"/>
              </w:rPr>
              <w:t>900,000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3,600,241</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1,670,850</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11,685</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58,374</w:t>
            </w:r>
          </w:p>
        </w:tc>
        <w:tc>
          <w:tcPr>
            <w:tcW w:w="880" w:type="dxa"/>
            <w:vAlign w:val="bottom"/>
            <w:shd w:val="clear" w:color="auto" w:fill="EBECEE"/>
          </w:tcPr>
          <w:p>
            <w:pPr>
              <w:jc w:val="right"/>
              <w:spacing w:after="0"/>
              <w:rPr>
                <w:sz w:val="20"/>
                <w:szCs w:val="20"/>
                <w:color w:val="auto"/>
              </w:rPr>
            </w:pPr>
            <w:r>
              <w:rPr>
                <w:rFonts w:ascii="Arial" w:cs="Arial" w:eastAsia="Arial" w:hAnsi="Arial"/>
                <w:sz w:val="16"/>
                <w:szCs w:val="16"/>
                <w:color w:val="auto"/>
              </w:rPr>
              <w:t>6,241,150</w:t>
            </w:r>
          </w:p>
        </w:tc>
      </w:tr>
      <w:tr>
        <w:trPr>
          <w:trHeight w:val="210"/>
        </w:trPr>
        <w:tc>
          <w:tcPr>
            <w:tcW w:w="3720" w:type="dxa"/>
            <w:vAlign w:val="bottom"/>
            <w:tcBorders>
              <w:bottom w:val="single" w:sz="8" w:color="0233A1"/>
            </w:tcBorders>
          </w:tcPr>
          <w:p>
            <w:pPr>
              <w:ind w:left="240"/>
              <w:spacing w:after="0"/>
              <w:rPr>
                <w:sz w:val="20"/>
                <w:szCs w:val="20"/>
                <w:color w:val="auto"/>
              </w:rPr>
            </w:pPr>
            <w:r>
              <w:rPr>
                <w:rFonts w:ascii="Arial" w:cs="Arial" w:eastAsia="Arial" w:hAnsi="Arial"/>
                <w:sz w:val="16"/>
                <w:szCs w:val="16"/>
                <w:color w:val="auto"/>
              </w:rPr>
              <w:t>EVP, New Energy</w:t>
            </w:r>
          </w:p>
        </w:tc>
        <w:tc>
          <w:tcPr>
            <w:tcW w:w="68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2020</w:t>
            </w:r>
          </w:p>
        </w:tc>
        <w:tc>
          <w:tcPr>
            <w:tcW w:w="84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889,615</w:t>
            </w:r>
          </w:p>
        </w:tc>
        <w:tc>
          <w:tcPr>
            <w:tcW w:w="1060" w:type="dxa"/>
            <w:vAlign w:val="bottom"/>
            <w:tcBorders>
              <w:bottom w:val="single" w:sz="8" w:color="0233A1"/>
            </w:tcBorders>
          </w:tcPr>
          <w:p>
            <w:pPr>
              <w:jc w:val="right"/>
              <w:ind w:right="119"/>
              <w:spacing w:after="0"/>
              <w:rPr>
                <w:sz w:val="20"/>
                <w:szCs w:val="20"/>
                <w:color w:val="auto"/>
              </w:rPr>
            </w:pPr>
            <w:r>
              <w:rPr>
                <w:rFonts w:ascii="Arial" w:cs="Arial" w:eastAsia="Arial" w:hAnsi="Arial"/>
                <w:sz w:val="16"/>
                <w:szCs w:val="16"/>
                <w:color w:val="auto"/>
              </w:rPr>
              <w:t>3,599,918</w:t>
            </w:r>
          </w:p>
        </w:tc>
        <w:tc>
          <w:tcPr>
            <w:tcW w:w="1340" w:type="dxa"/>
            <w:vAlign w:val="bottom"/>
            <w:tcBorders>
              <w:bottom w:val="single" w:sz="8" w:color="0233A1"/>
            </w:tcBorders>
          </w:tcPr>
          <w:p>
            <w:pPr>
              <w:jc w:val="right"/>
              <w:ind w:right="119"/>
              <w:spacing w:after="0"/>
              <w:rPr>
                <w:sz w:val="20"/>
                <w:szCs w:val="20"/>
                <w:color w:val="auto"/>
              </w:rPr>
            </w:pPr>
            <w:r>
              <w:rPr>
                <w:rFonts w:ascii="Arial" w:cs="Arial" w:eastAsia="Arial" w:hAnsi="Arial"/>
                <w:sz w:val="16"/>
                <w:szCs w:val="16"/>
                <w:color w:val="auto"/>
              </w:rPr>
              <w:t>1,045,800</w:t>
            </w:r>
          </w:p>
        </w:tc>
        <w:tc>
          <w:tcPr>
            <w:tcW w:w="1360" w:type="dxa"/>
            <w:vAlign w:val="bottom"/>
            <w:tcBorders>
              <w:bottom w:val="single" w:sz="8" w:color="0233A1"/>
            </w:tcBorders>
          </w:tcPr>
          <w:p>
            <w:pPr>
              <w:jc w:val="right"/>
              <w:ind w:right="119"/>
              <w:spacing w:after="0"/>
              <w:rPr>
                <w:sz w:val="20"/>
                <w:szCs w:val="20"/>
                <w:color w:val="auto"/>
              </w:rPr>
            </w:pPr>
            <w:r>
              <w:rPr>
                <w:rFonts w:ascii="Arial" w:cs="Arial" w:eastAsia="Arial" w:hAnsi="Arial"/>
                <w:sz w:val="16"/>
                <w:szCs w:val="16"/>
                <w:color w:val="auto"/>
              </w:rPr>
              <w:t>1,205,590</w:t>
            </w:r>
          </w:p>
        </w:tc>
        <w:tc>
          <w:tcPr>
            <w:tcW w:w="1360" w:type="dxa"/>
            <w:vAlign w:val="bottom"/>
            <w:tcBorders>
              <w:bottom w:val="single" w:sz="8" w:color="0233A1"/>
            </w:tcBorders>
          </w:tcPr>
          <w:p>
            <w:pPr>
              <w:jc w:val="right"/>
              <w:ind w:right="139"/>
              <w:spacing w:after="0"/>
              <w:rPr>
                <w:sz w:val="20"/>
                <w:szCs w:val="20"/>
                <w:color w:val="auto"/>
              </w:rPr>
            </w:pPr>
            <w:r>
              <w:rPr>
                <w:rFonts w:ascii="Arial" w:cs="Arial" w:eastAsia="Arial" w:hAnsi="Arial"/>
                <w:sz w:val="16"/>
                <w:szCs w:val="16"/>
                <w:color w:val="auto"/>
              </w:rPr>
              <w:t>70,968</w:t>
            </w:r>
          </w:p>
        </w:tc>
        <w:tc>
          <w:tcPr>
            <w:tcW w:w="880" w:type="dxa"/>
            <w:vAlign w:val="bottom"/>
            <w:tcBorders>
              <w:bottom w:val="single" w:sz="8" w:color="0233A1"/>
            </w:tcBorders>
            <w:shd w:val="clear" w:color="auto" w:fill="EBECEE"/>
          </w:tcPr>
          <w:p>
            <w:pPr>
              <w:jc w:val="right"/>
              <w:spacing w:after="0"/>
              <w:rPr>
                <w:sz w:val="20"/>
                <w:szCs w:val="20"/>
                <w:color w:val="auto"/>
              </w:rPr>
            </w:pPr>
            <w:r>
              <w:rPr>
                <w:rFonts w:ascii="Arial" w:cs="Arial" w:eastAsia="Arial" w:hAnsi="Arial"/>
                <w:sz w:val="16"/>
                <w:szCs w:val="16"/>
                <w:color w:val="auto"/>
              </w:rPr>
              <w:t>6,811,891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-153670</wp:posOffset>
            </wp:positionV>
            <wp:extent cx="4723130" cy="8255"/>
            <wp:wrapNone/>
            <wp:docPr id="3467" name="Picture 3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7"/>
                    <pic:cNvPicPr>
                      <a:picLocks noChangeAspect="1" noChangeArrowheads="1"/>
                    </pic:cNvPicPr>
                  </pic:nvPicPr>
                  <pic:blipFill>
                    <a:blip r:embed="rId3474">
                      <a:extLst>
                        <a:ext uri="{28A0092B-C50C-407E-A947-70E740481C1C}"/>
                      </a:extLst>
                    </a:blip>
                    <a:srcRect/>
                    <a:stretch>
                      <a:fillRect/>
                    </a:stretch>
                  </pic:blipFill>
                  <pic:spPr bwMode="auto">
                    <a:xfrm>
                      <a:off x="0" y="0"/>
                      <a:ext cx="472313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-281940</wp:posOffset>
            </wp:positionV>
            <wp:extent cx="4723130" cy="8255"/>
            <wp:wrapNone/>
            <wp:docPr id="3468" name="Picture 3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pic:cNvPicPr>
                      <a:picLocks noChangeAspect="1" noChangeArrowheads="1"/>
                    </pic:cNvPicPr>
                  </pic:nvPicPr>
                  <pic:blipFill>
                    <a:blip r:embed="rId3475">
                      <a:extLst>
                        <a:ext uri="{28A0092B-C50C-407E-A947-70E740481C1C}"/>
                      </a:extLst>
                    </a:blip>
                    <a:srcRect/>
                    <a:stretch>
                      <a:fillRect/>
                    </a:stretch>
                  </pic:blipFill>
                  <pic:spPr bwMode="auto">
                    <a:xfrm>
                      <a:off x="0" y="0"/>
                      <a:ext cx="47231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265430"/>
            <wp:wrapNone/>
            <wp:docPr id="3469" name="Picture 3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9"/>
                    <pic:cNvPicPr>
                      <a:picLocks noChangeAspect="1" noChangeArrowheads="1"/>
                    </pic:cNvPicPr>
                  </pic:nvPicPr>
                  <pic:blipFill>
                    <a:blip r:embed="rId347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-1053465</wp:posOffset>
            </wp:positionV>
            <wp:extent cx="7132320" cy="265430"/>
            <wp:wrapNone/>
            <wp:docPr id="3470" name="Picture 3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0"/>
                    <pic:cNvPicPr>
                      <a:picLocks noChangeAspect="1" noChangeArrowheads="1"/>
                    </pic:cNvPicPr>
                  </pic:nvPicPr>
                  <pic:blipFill>
                    <a:blip r:embed="rId347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-1439545</wp:posOffset>
            </wp:positionV>
            <wp:extent cx="7132320" cy="265430"/>
            <wp:wrapNone/>
            <wp:docPr id="3471" name="Picture 3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pic:cNvPicPr>
                      <a:picLocks noChangeAspect="1" noChangeArrowheads="1"/>
                    </pic:cNvPicPr>
                  </pic:nvPicPr>
                  <pic:blipFill>
                    <a:blip r:embed="rId347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-1824990</wp:posOffset>
            </wp:positionV>
            <wp:extent cx="7132320" cy="265430"/>
            <wp:wrapNone/>
            <wp:docPr id="3472" name="Picture 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2"/>
                    <pic:cNvPicPr>
                      <a:picLocks noChangeAspect="1" noChangeArrowheads="1"/>
                    </pic:cNvPicPr>
                  </pic:nvPicPr>
                  <pic:blipFill>
                    <a:blip r:embed="rId347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-2211070</wp:posOffset>
            </wp:positionV>
            <wp:extent cx="7132320" cy="265430"/>
            <wp:wrapNone/>
            <wp:docPr id="3473" name="Picture 3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3"/>
                    <pic:cNvPicPr>
                      <a:picLocks noChangeAspect="1" noChangeArrowheads="1"/>
                    </pic:cNvPicPr>
                  </pic:nvPicPr>
                  <pic:blipFill>
                    <a:blip r:embed="rId348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8"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Mr. Belani retired as our EVP, New Energy effective April 1, 2022, and was appointed Senior Strategic Advisor to the CEO.</w:t>
      </w:r>
    </w:p>
    <w:p>
      <w:pPr>
        <w:spacing w:after="0" w:line="55" w:lineRule="exact"/>
        <w:rPr>
          <w:rFonts w:ascii="Arial" w:cs="Arial" w:eastAsia="Arial" w:hAnsi="Arial"/>
          <w:sz w:val="14"/>
          <w:szCs w:val="14"/>
          <w:color w:val="auto"/>
        </w:rPr>
      </w:pPr>
    </w:p>
    <w:p>
      <w:pPr>
        <w:jc w:val="both"/>
        <w:ind w:left="340" w:hanging="332"/>
        <w:spacing w:after="0" w:line="248"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the value of PSU and RSU awards. For 2022, each amount reflected in the “Stock Awards” column is the aggregate grant date fair value of (x) the 2022 FCF Margin PSUs, 2022 ROCE PSUs and 2022 TSR PSUs at target level performance, and (y) the 2022 RSUs that were granted to our NEOs. Each amount reflects an accounting expense and does not correspond to actual value that may be realized by an NEO in the future. The number of equity awards granted in 2022 to each NEO is provided in the Grants of Plan-Based Awards in 2022 table on page 51. PSUs and RSUs do not pay dividends or dividend equivalents or have voting rights prior to vesting. Accordingly, the fair value of the 2022 FCF Margin PSUs, 2022 ROCE PSUs and 2022 RSUs was the quoted market price of our common stock on the grant date less the present value of the expected dividends not received prior to vesting. The fair value of the 2022 TSR PSUs was determined based on a Monte Carlo simulation. Amounts may not add to values in Grants of Plan-Based Awards in 2022 table due to rounding.</w:t>
      </w:r>
    </w:p>
    <w:p>
      <w:pPr>
        <w:spacing w:after="0" w:line="23" w:lineRule="exact"/>
        <w:rPr>
          <w:rFonts w:ascii="Arial" w:cs="Arial" w:eastAsia="Arial" w:hAnsi="Arial"/>
          <w:sz w:val="14"/>
          <w:szCs w:val="14"/>
          <w:color w:val="auto"/>
        </w:rPr>
      </w:pPr>
    </w:p>
    <w:p>
      <w:pPr>
        <w:jc w:val="both"/>
        <w:ind w:left="340"/>
        <w:spacing w:after="0" w:line="263" w:lineRule="auto"/>
        <w:rPr>
          <w:rFonts w:ascii="Arial" w:cs="Arial" w:eastAsia="Arial" w:hAnsi="Arial"/>
          <w:sz w:val="14"/>
          <w:szCs w:val="14"/>
          <w:color w:val="auto"/>
        </w:rPr>
      </w:pPr>
      <w:r>
        <w:rPr>
          <w:rFonts w:ascii="Arial" w:cs="Arial" w:eastAsia="Arial" w:hAnsi="Arial"/>
          <w:sz w:val="14"/>
          <w:szCs w:val="14"/>
          <w:color w:val="auto"/>
        </w:rPr>
        <w:t>The value of each NEO’s 2022 LTI grants at the applicable grant date, assuming achievement of the maximum performance level for all PSUs, would be: Mr. Le Peuch — $20,999,911; Mr. Biguet — $6,124,988; Mr. Al Mogharbel — $6,124,988; Mr. Merad — $6,124,982; Ms. Ralston — $5,599,911; and Mr. Belani — $6,300,047. The NEOs may never realize any value from these LTI grants and, to the extent that they do, the amounts realized may have no correlation to the amounts reported above.</w:t>
      </w:r>
    </w:p>
    <w:p>
      <w:pPr>
        <w:spacing w:after="0" w:line="10" w:lineRule="exact"/>
        <w:rPr>
          <w:rFonts w:ascii="Arial" w:cs="Arial" w:eastAsia="Arial" w:hAnsi="Arial"/>
          <w:sz w:val="14"/>
          <w:szCs w:val="14"/>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Annual cash incentive awards to our NEOs are reflected in the “Non-Equity Incentive Plan Compensation” column; as a result, we have excluded the “Bonus” column.</w:t>
      </w:r>
    </w:p>
    <w:p>
      <w:pPr>
        <w:spacing w:after="0" w:line="55"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changes in pension value reported in this column represent the increase in the actuarial present value of an NEO’s accumulated benefit under all benefit and actuarial pension plans in which the NEO participates. This change in present value is not a current cash payment. It represents the change in the value of the NEO’s pensions, which are only paid after retirement. For 2022, due to the large increase in the discount rate over 2021, the change in present value is negative for the following NEOs: Mr. Le Peuch — $(595,110); Mr. Biguet — $(83,597); Mr. Al Mogharbel — $(568,112); Mr. Merad — $(447,204); and Mr. Belani — $(1,424,332). There are no nonqualified deferred compensation earnings reflected in this column because no NEO received above-market or preferential earnings on such compensation during 2022, 2021 or 2020.</w:t>
      </w:r>
    </w:p>
    <w:p>
      <w:pPr>
        <w:spacing w:after="0" w:line="187" w:lineRule="exact"/>
        <w:rPr>
          <w:rFonts w:ascii="Arial" w:cs="Arial" w:eastAsia="Arial" w:hAnsi="Arial"/>
          <w:sz w:val="14"/>
          <w:szCs w:val="14"/>
          <w:color w:val="auto"/>
        </w:rPr>
      </w:pPr>
    </w:p>
    <w:p>
      <w:pPr>
        <w:jc w:val="both"/>
        <w:ind w:left="340" w:hanging="332"/>
        <w:spacing w:after="0" w:line="246"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Relocation assistance is provided to all employees on a company-wide basis. The amount disclosed for Mr. Le Peuch consists of unfunded credits to the Restoration Savings Plan ($154,833), employer contributions to the SLB 401(k) Plan ($9,150), financial planning services ($13,000), and housing allowance ($57,075). The amount disclosed for Mr. Biguet consists of unfunded credits to the Restoration Savings Plan ($60,102), employer contributions to the SLB 401(k) Plan ($9,150), financial planning services ($13,000), and housing allowance ($57,075). The amount disclosed for Mr. Al Mogharbel consists of unfunded credits to the Restoration Savings Plan ($138,651), employer contributions to the SLB 401(k) Plan ($18,300), and financial planning services ($13,000). The amount disclosed for Mr. Merad consists of unfunded credits to the Restoration Savings Plan ($111,941), employer contributions to the SLB 401(k) Plan ($18,300), financial planning services ($13,000), vacation travel allowance ($30,475), and children’s education ($117,000). The amount disclosed for Ms. Ralston consists of unfunded credits to the Restoration Savings Plan ($56,248), employer contributions to the SLB 401(k) Plan ($18,300), financial planning services ($13,000), and club membership ($6,612). The amount disclosed for Mr. Belani consists of unfunded credits to the Restoration Savings Plan ($67,976), employer contributions to the SLB 401(k) Plan ($9,150), and vacation payout ($21,418).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471170" cy="282575"/>
            <wp:wrapNone/>
            <wp:docPr id="3474" name="Picture 3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4"/>
                    <pic:cNvPicPr>
                      <a:picLocks noChangeAspect="1" noChangeArrowheads="1"/>
                    </pic:cNvPicPr>
                  </pic:nvPicPr>
                  <pic:blipFill>
                    <a:blip r:embed="rId3481">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45" w:lineRule="exact"/>
        <w:rPr>
          <w:sz w:val="20"/>
          <w:szCs w:val="20"/>
          <w:color w:val="auto"/>
        </w:rPr>
      </w:pPr>
    </w:p>
    <w:p>
      <w:pPr>
        <w:ind w:left="5540"/>
        <w:spacing w:after="0"/>
        <w:tabs>
          <w:tab w:leader="none" w:pos="9540" w:val="left"/>
        </w:tabs>
        <w:rPr>
          <w:sz w:val="20"/>
          <w:szCs w:val="20"/>
          <w:color w:val="auto"/>
        </w:rPr>
      </w:pPr>
      <w:r>
        <w:rPr>
          <w:rFonts w:ascii="Arial" w:cs="Arial" w:eastAsia="Arial" w:hAnsi="Arial"/>
          <w:sz w:val="16"/>
          <w:szCs w:val="16"/>
          <w:b w:val="1"/>
          <w:bCs w:val="1"/>
          <w:color w:val="auto"/>
        </w:rPr>
        <w:t>50</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-46990</wp:posOffset>
            </wp:positionV>
            <wp:extent cx="5417820" cy="17145"/>
            <wp:wrapNone/>
            <wp:docPr id="3475" name="Picture 3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pic:cNvPicPr>
                      <a:picLocks noChangeAspect="1" noChangeArrowheads="1"/>
                    </pic:cNvPicPr>
                  </pic:nvPicPr>
                  <pic:blipFill>
                    <a:blip r:embed="rId3482">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3476" name="Picture 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6"/>
                    <pic:cNvPicPr>
                      <a:picLocks noChangeAspect="1" noChangeArrowheads="1"/>
                    </pic:cNvPicPr>
                  </pic:nvPicPr>
                  <pic:blipFill>
                    <a:blip r:embed="rId34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16458B"/>
        </w:rPr>
        <w:t>Grants of Plan-Based Awards in 2022</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additional information regarding cash incentive and PSU and RSU awards granted to our NEOs in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6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0233A1"/>
              </w:rPr>
              <w:t>Estimated Possible Payouts</w:t>
            </w:r>
          </w:p>
        </w:tc>
        <w:tc>
          <w:tcPr>
            <w:tcW w:w="240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0233A1"/>
              </w:rPr>
              <w:t>Estimated Possible Payouts</w:t>
            </w:r>
          </w:p>
        </w:tc>
        <w:tc>
          <w:tcPr>
            <w:tcW w:w="980" w:type="dxa"/>
            <w:vAlign w:val="bottom"/>
          </w:tcPr>
          <w:p>
            <w:pPr>
              <w:spacing w:after="0"/>
              <w:rPr>
                <w:sz w:val="17"/>
                <w:szCs w:val="17"/>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0233A1"/>
              </w:rPr>
              <w:t>Grant Date</w:t>
            </w:r>
          </w:p>
        </w:tc>
        <w:tc>
          <w:tcPr>
            <w:tcW w:w="0" w:type="dxa"/>
            <w:vAlign w:val="bottom"/>
          </w:tcPr>
          <w:p>
            <w:pPr>
              <w:spacing w:after="0"/>
              <w:rPr>
                <w:sz w:val="1"/>
                <w:szCs w:val="1"/>
                <w:color w:val="auto"/>
              </w:rPr>
            </w:pPr>
          </w:p>
        </w:tc>
      </w:tr>
      <w:tr>
        <w:trPr>
          <w:trHeight w:val="188"/>
        </w:trPr>
        <w:tc>
          <w:tcPr>
            <w:tcW w:w="1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56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0233A1"/>
              </w:rPr>
              <w:t>Under Non-Equity Incentive</w:t>
            </w:r>
          </w:p>
        </w:tc>
        <w:tc>
          <w:tcPr>
            <w:tcW w:w="240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0233A1"/>
              </w:rPr>
              <w:t>Under Equity Incentive</w:t>
            </w: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0233A1"/>
              </w:rPr>
              <w:t>All Other</w:t>
            </w: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0233A1"/>
              </w:rPr>
              <w:t>Fair Value</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560" w:type="dxa"/>
            <w:vAlign w:val="bottom"/>
            <w:gridSpan w:val="4"/>
          </w:tcPr>
          <w:p>
            <w:pPr>
              <w:jc w:val="center"/>
              <w:ind w:right="100"/>
              <w:spacing w:after="0" w:line="230" w:lineRule="exact"/>
              <w:rPr>
                <w:sz w:val="20"/>
                <w:szCs w:val="20"/>
                <w:color w:val="auto"/>
              </w:rPr>
            </w:pPr>
            <w:r>
              <w:rPr>
                <w:rFonts w:ascii="Arial" w:cs="Arial" w:eastAsia="Arial" w:hAnsi="Arial"/>
                <w:sz w:val="16"/>
                <w:szCs w:val="16"/>
                <w:b w:val="1"/>
                <w:bCs w:val="1"/>
                <w:color w:val="0233A1"/>
                <w:w w:val="97"/>
              </w:rPr>
              <w:t>Plan Awards</w:t>
            </w:r>
            <w:r>
              <w:rPr>
                <w:rFonts w:ascii="Arial" w:cs="Arial" w:eastAsia="Arial" w:hAnsi="Arial"/>
                <w:sz w:val="26"/>
                <w:szCs w:val="26"/>
                <w:b w:val="1"/>
                <w:bCs w:val="1"/>
                <w:color w:val="0233A1"/>
                <w:w w:val="97"/>
                <w:vertAlign w:val="superscript"/>
              </w:rPr>
              <w:t>(2)</w:t>
            </w:r>
          </w:p>
        </w:tc>
        <w:tc>
          <w:tcPr>
            <w:tcW w:w="2400" w:type="dxa"/>
            <w:vAlign w:val="bottom"/>
            <w:gridSpan w:val="4"/>
          </w:tcPr>
          <w:p>
            <w:pPr>
              <w:jc w:val="center"/>
              <w:ind w:right="40"/>
              <w:spacing w:after="0" w:line="230" w:lineRule="exact"/>
              <w:rPr>
                <w:sz w:val="20"/>
                <w:szCs w:val="20"/>
                <w:color w:val="auto"/>
              </w:rPr>
            </w:pPr>
            <w:r>
              <w:rPr>
                <w:rFonts w:ascii="Arial" w:cs="Arial" w:eastAsia="Arial" w:hAnsi="Arial"/>
                <w:sz w:val="16"/>
                <w:szCs w:val="16"/>
                <w:b w:val="1"/>
                <w:bCs w:val="1"/>
                <w:color w:val="0233A1"/>
                <w:w w:val="95"/>
              </w:rPr>
              <w:t>Plan Awards</w:t>
            </w:r>
            <w:r>
              <w:rPr>
                <w:rFonts w:ascii="Arial" w:cs="Arial" w:eastAsia="Arial" w:hAnsi="Arial"/>
                <w:sz w:val="26"/>
                <w:szCs w:val="26"/>
                <w:b w:val="1"/>
                <w:bCs w:val="1"/>
                <w:color w:val="0233A1"/>
                <w:w w:val="95"/>
                <w:vertAlign w:val="superscript"/>
              </w:rPr>
              <w:t>(3)</w:t>
            </w: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0233A1"/>
              </w:rPr>
              <w:t>Stock</w:t>
            </w: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0233A1"/>
              </w:rPr>
              <w:t>of Stock</w:t>
            </w: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1660" w:type="dxa"/>
            <w:vAlign w:val="bottom"/>
          </w:tcPr>
          <w:p>
            <w:pPr>
              <w:jc w:val="right"/>
              <w:ind w:right="199"/>
              <w:spacing w:after="0" w:line="142" w:lineRule="exact"/>
              <w:rPr>
                <w:sz w:val="20"/>
                <w:szCs w:val="20"/>
                <w:color w:val="auto"/>
              </w:rPr>
            </w:pPr>
            <w:r>
              <w:rPr>
                <w:rFonts w:ascii="Arial" w:cs="Arial" w:eastAsia="Arial" w:hAnsi="Arial"/>
                <w:sz w:val="16"/>
                <w:szCs w:val="16"/>
                <w:b w:val="1"/>
                <w:bCs w:val="1"/>
                <w:color w:val="0233A1"/>
              </w:rPr>
              <w:t>Award</w:t>
            </w:r>
          </w:p>
        </w:tc>
        <w:tc>
          <w:tcPr>
            <w:tcW w:w="760" w:type="dxa"/>
            <w:vAlign w:val="bottom"/>
          </w:tcPr>
          <w:p>
            <w:pPr>
              <w:jc w:val="right"/>
              <w:ind w:right="19"/>
              <w:spacing w:after="0" w:line="142" w:lineRule="exact"/>
              <w:rPr>
                <w:sz w:val="20"/>
                <w:szCs w:val="20"/>
                <w:color w:val="auto"/>
              </w:rPr>
            </w:pPr>
            <w:r>
              <w:rPr>
                <w:rFonts w:ascii="Arial" w:cs="Arial" w:eastAsia="Arial" w:hAnsi="Arial"/>
                <w:sz w:val="16"/>
                <w:szCs w:val="16"/>
                <w:b w:val="1"/>
                <w:bCs w:val="1"/>
                <w:color w:val="0233A1"/>
              </w:rPr>
              <w:t>Grant</w:t>
            </w:r>
          </w:p>
        </w:tc>
        <w:tc>
          <w:tcPr>
            <w:tcW w:w="840" w:type="dxa"/>
            <w:vAlign w:val="bottom"/>
            <w:tcBorders>
              <w:top w:val="single" w:sz="8" w:color="0233A1"/>
            </w:tcBorders>
          </w:tcPr>
          <w:p>
            <w:pPr>
              <w:jc w:val="right"/>
              <w:spacing w:after="0" w:line="142" w:lineRule="exact"/>
              <w:rPr>
                <w:sz w:val="20"/>
                <w:szCs w:val="20"/>
                <w:color w:val="auto"/>
              </w:rPr>
            </w:pPr>
            <w:r>
              <w:rPr>
                <w:rFonts w:ascii="Arial" w:cs="Arial" w:eastAsia="Arial" w:hAnsi="Arial"/>
                <w:sz w:val="16"/>
                <w:szCs w:val="16"/>
                <w:b w:val="1"/>
                <w:bCs w:val="1"/>
                <w:color w:val="0233A1"/>
              </w:rPr>
              <w:t>Threshold</w:t>
            </w:r>
          </w:p>
        </w:tc>
        <w:tc>
          <w:tcPr>
            <w:tcW w:w="840" w:type="dxa"/>
            <w:vAlign w:val="bottom"/>
            <w:tcBorders>
              <w:top w:val="single" w:sz="8" w:color="0233A1"/>
            </w:tcBorders>
          </w:tcPr>
          <w:p>
            <w:pPr>
              <w:jc w:val="right"/>
              <w:spacing w:after="0" w:line="142" w:lineRule="exact"/>
              <w:rPr>
                <w:sz w:val="20"/>
                <w:szCs w:val="20"/>
                <w:color w:val="auto"/>
              </w:rPr>
            </w:pPr>
            <w:r>
              <w:rPr>
                <w:rFonts w:ascii="Arial" w:cs="Arial" w:eastAsia="Arial" w:hAnsi="Arial"/>
                <w:sz w:val="16"/>
                <w:szCs w:val="16"/>
                <w:b w:val="1"/>
                <w:bCs w:val="1"/>
                <w:color w:val="0233A1"/>
              </w:rPr>
              <w:t>Target</w:t>
            </w:r>
          </w:p>
        </w:tc>
        <w:tc>
          <w:tcPr>
            <w:tcW w:w="780" w:type="dxa"/>
            <w:vAlign w:val="bottom"/>
            <w:tcBorders>
              <w:top w:val="single" w:sz="8" w:color="0233A1"/>
            </w:tcBorders>
          </w:tcPr>
          <w:p>
            <w:pPr>
              <w:ind w:left="40"/>
              <w:spacing w:after="0" w:line="142" w:lineRule="exact"/>
              <w:rPr>
                <w:sz w:val="20"/>
                <w:szCs w:val="20"/>
                <w:color w:val="auto"/>
              </w:rPr>
            </w:pPr>
            <w:r>
              <w:rPr>
                <w:rFonts w:ascii="Arial" w:cs="Arial" w:eastAsia="Arial" w:hAnsi="Arial"/>
                <w:sz w:val="16"/>
                <w:szCs w:val="16"/>
                <w:b w:val="1"/>
                <w:bCs w:val="1"/>
                <w:color w:val="0233A1"/>
                <w:w w:val="97"/>
              </w:rPr>
              <w:t>Maximum</w:t>
            </w:r>
          </w:p>
        </w:tc>
        <w:tc>
          <w:tcPr>
            <w:tcW w:w="100" w:type="dxa"/>
            <w:vAlign w:val="bottom"/>
          </w:tcPr>
          <w:p>
            <w:pPr>
              <w:spacing w:after="0"/>
              <w:rPr>
                <w:sz w:val="12"/>
                <w:szCs w:val="12"/>
                <w:color w:val="auto"/>
              </w:rPr>
            </w:pPr>
          </w:p>
        </w:tc>
        <w:tc>
          <w:tcPr>
            <w:tcW w:w="900" w:type="dxa"/>
            <w:vAlign w:val="bottom"/>
            <w:tcBorders>
              <w:top w:val="single" w:sz="8" w:color="0233A1"/>
            </w:tcBorders>
          </w:tcPr>
          <w:p>
            <w:pPr>
              <w:jc w:val="right"/>
              <w:ind w:right="19"/>
              <w:spacing w:after="0" w:line="142" w:lineRule="exact"/>
              <w:rPr>
                <w:sz w:val="20"/>
                <w:szCs w:val="20"/>
                <w:color w:val="auto"/>
              </w:rPr>
            </w:pPr>
            <w:r>
              <w:rPr>
                <w:rFonts w:ascii="Arial" w:cs="Arial" w:eastAsia="Arial" w:hAnsi="Arial"/>
                <w:sz w:val="16"/>
                <w:szCs w:val="16"/>
                <w:b w:val="1"/>
                <w:bCs w:val="1"/>
                <w:color w:val="0233A1"/>
              </w:rPr>
              <w:t>Threshold</w:t>
            </w:r>
          </w:p>
        </w:tc>
        <w:tc>
          <w:tcPr>
            <w:tcW w:w="660" w:type="dxa"/>
            <w:vAlign w:val="bottom"/>
            <w:tcBorders>
              <w:top w:val="single" w:sz="8" w:color="0233A1"/>
            </w:tcBorders>
          </w:tcPr>
          <w:p>
            <w:pPr>
              <w:jc w:val="right"/>
              <w:spacing w:after="0" w:line="142" w:lineRule="exact"/>
              <w:rPr>
                <w:sz w:val="20"/>
                <w:szCs w:val="20"/>
                <w:color w:val="auto"/>
              </w:rPr>
            </w:pPr>
            <w:r>
              <w:rPr>
                <w:rFonts w:ascii="Arial" w:cs="Arial" w:eastAsia="Arial" w:hAnsi="Arial"/>
                <w:sz w:val="16"/>
                <w:szCs w:val="16"/>
                <w:b w:val="1"/>
                <w:bCs w:val="1"/>
                <w:color w:val="0233A1"/>
              </w:rPr>
              <w:t>Target</w:t>
            </w:r>
          </w:p>
        </w:tc>
        <w:tc>
          <w:tcPr>
            <w:tcW w:w="800" w:type="dxa"/>
            <w:vAlign w:val="bottom"/>
            <w:tcBorders>
              <w:top w:val="single" w:sz="8" w:color="0233A1"/>
            </w:tcBorders>
          </w:tcPr>
          <w:p>
            <w:pPr>
              <w:jc w:val="right"/>
              <w:spacing w:after="0" w:line="142" w:lineRule="exact"/>
              <w:rPr>
                <w:sz w:val="20"/>
                <w:szCs w:val="20"/>
                <w:color w:val="auto"/>
              </w:rPr>
            </w:pPr>
            <w:r>
              <w:rPr>
                <w:rFonts w:ascii="Arial" w:cs="Arial" w:eastAsia="Arial" w:hAnsi="Arial"/>
                <w:sz w:val="16"/>
                <w:szCs w:val="16"/>
                <w:b w:val="1"/>
                <w:bCs w:val="1"/>
                <w:color w:val="0233A1"/>
              </w:rPr>
              <w:t>Maximum</w:t>
            </w:r>
          </w:p>
        </w:tc>
        <w:tc>
          <w:tcPr>
            <w:tcW w:w="40" w:type="dxa"/>
            <w:vAlign w:val="bottom"/>
          </w:tcPr>
          <w:p>
            <w:pPr>
              <w:spacing w:after="0"/>
              <w:rPr>
                <w:sz w:val="12"/>
                <w:szCs w:val="12"/>
                <w:color w:val="auto"/>
              </w:rPr>
            </w:pPr>
          </w:p>
        </w:tc>
        <w:tc>
          <w:tcPr>
            <w:tcW w:w="980" w:type="dxa"/>
            <w:vAlign w:val="bottom"/>
          </w:tcPr>
          <w:p>
            <w:pPr>
              <w:jc w:val="right"/>
              <w:ind w:right="159"/>
              <w:spacing w:after="0" w:line="142" w:lineRule="exact"/>
              <w:rPr>
                <w:sz w:val="20"/>
                <w:szCs w:val="20"/>
                <w:color w:val="auto"/>
              </w:rPr>
            </w:pPr>
            <w:r>
              <w:rPr>
                <w:rFonts w:ascii="Arial" w:cs="Arial" w:eastAsia="Arial" w:hAnsi="Arial"/>
                <w:sz w:val="16"/>
                <w:szCs w:val="16"/>
                <w:b w:val="1"/>
                <w:bCs w:val="1"/>
                <w:color w:val="0233A1"/>
              </w:rPr>
              <w:t>Awards</w:t>
            </w:r>
          </w:p>
        </w:tc>
        <w:tc>
          <w:tcPr>
            <w:tcW w:w="1120" w:type="dxa"/>
            <w:vAlign w:val="bottom"/>
          </w:tcPr>
          <w:p>
            <w:pPr>
              <w:jc w:val="right"/>
              <w:ind w:right="139"/>
              <w:spacing w:after="0" w:line="142" w:lineRule="exact"/>
              <w:rPr>
                <w:sz w:val="20"/>
                <w:szCs w:val="20"/>
                <w:color w:val="auto"/>
              </w:rPr>
            </w:pPr>
            <w:r>
              <w:rPr>
                <w:rFonts w:ascii="Arial" w:cs="Arial" w:eastAsia="Arial" w:hAnsi="Arial"/>
                <w:sz w:val="16"/>
                <w:szCs w:val="16"/>
                <w:b w:val="1"/>
                <w:bCs w:val="1"/>
                <w:color w:val="0233A1"/>
              </w:rPr>
              <w:t>Awards</w:t>
            </w:r>
          </w:p>
        </w:tc>
        <w:tc>
          <w:tcPr>
            <w:tcW w:w="0" w:type="dxa"/>
            <w:vAlign w:val="bottom"/>
          </w:tcPr>
          <w:p>
            <w:pPr>
              <w:spacing w:after="0"/>
              <w:rPr>
                <w:sz w:val="1"/>
                <w:szCs w:val="1"/>
                <w:color w:val="auto"/>
              </w:rPr>
            </w:pPr>
          </w:p>
        </w:tc>
      </w:tr>
      <w:tr>
        <w:trPr>
          <w:trHeight w:val="229"/>
        </w:trPr>
        <w:tc>
          <w:tcPr>
            <w:tcW w:w="176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Name</w:t>
            </w:r>
          </w:p>
        </w:tc>
        <w:tc>
          <w:tcPr>
            <w:tcW w:w="1660" w:type="dxa"/>
            <w:vAlign w:val="bottom"/>
            <w:tcBorders>
              <w:bottom w:val="single" w:sz="8" w:color="0233A1"/>
            </w:tcBorders>
          </w:tcPr>
          <w:p>
            <w:pPr>
              <w:jc w:val="right"/>
              <w:ind w:right="39"/>
              <w:spacing w:after="0" w:line="230" w:lineRule="exact"/>
              <w:rPr>
                <w:sz w:val="20"/>
                <w:szCs w:val="20"/>
                <w:color w:val="auto"/>
              </w:rPr>
            </w:pPr>
            <w:r>
              <w:rPr>
                <w:rFonts w:ascii="Arial" w:cs="Arial" w:eastAsia="Arial" w:hAnsi="Arial"/>
                <w:sz w:val="16"/>
                <w:szCs w:val="16"/>
                <w:b w:val="1"/>
                <w:bCs w:val="1"/>
                <w:color w:val="0233A1"/>
              </w:rPr>
              <w:t>Type</w:t>
            </w:r>
            <w:r>
              <w:rPr>
                <w:rFonts w:ascii="Arial" w:cs="Arial" w:eastAsia="Arial" w:hAnsi="Arial"/>
                <w:sz w:val="26"/>
                <w:szCs w:val="26"/>
                <w:b w:val="1"/>
                <w:bCs w:val="1"/>
                <w:color w:val="0233A1"/>
                <w:vertAlign w:val="superscript"/>
              </w:rPr>
              <w:t>(1)</w:t>
            </w:r>
          </w:p>
        </w:tc>
        <w:tc>
          <w:tcPr>
            <w:tcW w:w="760" w:type="dxa"/>
            <w:vAlign w:val="bottom"/>
            <w:tcBorders>
              <w:bottom w:val="single" w:sz="8" w:color="0233A1"/>
            </w:tcBorders>
          </w:tcPr>
          <w:p>
            <w:pPr>
              <w:jc w:val="right"/>
              <w:ind w:right="19"/>
              <w:spacing w:after="0"/>
              <w:rPr>
                <w:sz w:val="20"/>
                <w:szCs w:val="20"/>
                <w:color w:val="auto"/>
              </w:rPr>
            </w:pPr>
            <w:r>
              <w:rPr>
                <w:rFonts w:ascii="Arial" w:cs="Arial" w:eastAsia="Arial" w:hAnsi="Arial"/>
                <w:sz w:val="16"/>
                <w:szCs w:val="16"/>
                <w:b w:val="1"/>
                <w:bCs w:val="1"/>
                <w:color w:val="0233A1"/>
              </w:rPr>
              <w:t>Date</w:t>
            </w:r>
          </w:p>
        </w:tc>
        <w:tc>
          <w:tcPr>
            <w:tcW w:w="84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84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880" w:type="dxa"/>
            <w:vAlign w:val="bottom"/>
            <w:tcBorders>
              <w:bottom w:val="single" w:sz="8" w:color="0233A1"/>
            </w:tcBorders>
            <w:gridSpan w:val="2"/>
          </w:tcPr>
          <w:p>
            <w:pPr>
              <w:jc w:val="right"/>
              <w:ind w:right="80"/>
              <w:spacing w:after="0"/>
              <w:rPr>
                <w:sz w:val="20"/>
                <w:szCs w:val="20"/>
                <w:color w:val="auto"/>
              </w:rPr>
            </w:pPr>
            <w:r>
              <w:rPr>
                <w:rFonts w:ascii="Arial" w:cs="Arial" w:eastAsia="Arial" w:hAnsi="Arial"/>
                <w:sz w:val="16"/>
                <w:szCs w:val="16"/>
                <w:b w:val="1"/>
                <w:bCs w:val="1"/>
                <w:color w:val="0233A1"/>
              </w:rPr>
              <w:t>($)</w:t>
            </w:r>
          </w:p>
        </w:tc>
        <w:tc>
          <w:tcPr>
            <w:tcW w:w="900" w:type="dxa"/>
            <w:vAlign w:val="bottom"/>
            <w:tcBorders>
              <w:bottom w:val="single" w:sz="8" w:color="0233A1"/>
            </w:tcBorders>
          </w:tcPr>
          <w:p>
            <w:pPr>
              <w:jc w:val="right"/>
              <w:ind w:right="19"/>
              <w:spacing w:after="0"/>
              <w:rPr>
                <w:sz w:val="20"/>
                <w:szCs w:val="20"/>
                <w:color w:val="auto"/>
              </w:rPr>
            </w:pPr>
            <w:r>
              <w:rPr>
                <w:rFonts w:ascii="Arial" w:cs="Arial" w:eastAsia="Arial" w:hAnsi="Arial"/>
                <w:sz w:val="16"/>
                <w:szCs w:val="16"/>
                <w:b w:val="1"/>
                <w:bCs w:val="1"/>
                <w:color w:val="0233A1"/>
              </w:rPr>
              <w:t>(#)</w:t>
            </w:r>
          </w:p>
        </w:tc>
        <w:tc>
          <w:tcPr>
            <w:tcW w:w="66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840" w:type="dxa"/>
            <w:vAlign w:val="bottom"/>
            <w:tcBorders>
              <w:bottom w:val="single" w:sz="8" w:color="0233A1"/>
            </w:tcBorders>
            <w:gridSpan w:val="2"/>
          </w:tcPr>
          <w:p>
            <w:pPr>
              <w:jc w:val="right"/>
              <w:ind w:right="40"/>
              <w:spacing w:after="0"/>
              <w:rPr>
                <w:sz w:val="20"/>
                <w:szCs w:val="20"/>
                <w:color w:val="auto"/>
              </w:rPr>
            </w:pPr>
            <w:r>
              <w:rPr>
                <w:rFonts w:ascii="Arial" w:cs="Arial" w:eastAsia="Arial" w:hAnsi="Arial"/>
                <w:sz w:val="16"/>
                <w:szCs w:val="16"/>
                <w:b w:val="1"/>
                <w:bCs w:val="1"/>
                <w:color w:val="0233A1"/>
              </w:rPr>
              <w:t>(#)</w:t>
            </w:r>
          </w:p>
        </w:tc>
        <w:tc>
          <w:tcPr>
            <w:tcW w:w="98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(4)</w:t>
            </w:r>
          </w:p>
        </w:tc>
        <w:tc>
          <w:tcPr>
            <w:tcW w:w="112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(5)</w:t>
            </w:r>
          </w:p>
        </w:tc>
        <w:tc>
          <w:tcPr>
            <w:tcW w:w="0" w:type="dxa"/>
            <w:vAlign w:val="bottom"/>
          </w:tcPr>
          <w:p>
            <w:pPr>
              <w:spacing w:after="0"/>
              <w:rPr>
                <w:sz w:val="1"/>
                <w:szCs w:val="1"/>
                <w:color w:val="auto"/>
              </w:rPr>
            </w:pPr>
          </w:p>
        </w:tc>
      </w:tr>
      <w:tr>
        <w:trPr>
          <w:trHeight w:val="195"/>
        </w:trPr>
        <w:tc>
          <w:tcPr>
            <w:tcW w:w="176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1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820,725</w:t>
            </w:r>
          </w:p>
        </w:tc>
        <w:tc>
          <w:tcPr>
            <w:tcW w:w="840" w:type="dxa"/>
            <w:vAlign w:val="bottom"/>
          </w:tcPr>
          <w:p>
            <w:pPr>
              <w:jc w:val="right"/>
              <w:spacing w:after="0"/>
              <w:rPr>
                <w:sz w:val="20"/>
                <w:szCs w:val="20"/>
                <w:color w:val="auto"/>
              </w:rPr>
            </w:pPr>
            <w:r>
              <w:rPr>
                <w:rFonts w:ascii="Arial" w:cs="Arial" w:eastAsia="Arial" w:hAnsi="Arial"/>
                <w:sz w:val="16"/>
                <w:szCs w:val="16"/>
                <w:color w:val="auto"/>
              </w:rPr>
              <w:t>2,150,625</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4,652,325</w:t>
            </w: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6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FCFM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1/19/22</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41,853</w:t>
            </w:r>
          </w:p>
        </w:tc>
        <w:tc>
          <w:tcPr>
            <w:tcW w:w="660" w:type="dxa"/>
            <w:vAlign w:val="bottom"/>
          </w:tcPr>
          <w:p>
            <w:pPr>
              <w:jc w:val="right"/>
              <w:spacing w:after="0"/>
              <w:rPr>
                <w:sz w:val="20"/>
                <w:szCs w:val="20"/>
                <w:color w:val="auto"/>
              </w:rPr>
            </w:pPr>
            <w:r>
              <w:rPr>
                <w:rFonts w:ascii="Arial" w:cs="Arial" w:eastAsia="Arial" w:hAnsi="Arial"/>
                <w:sz w:val="16"/>
                <w:szCs w:val="16"/>
                <w:color w:val="auto"/>
              </w:rPr>
              <w:t>83,705</w:t>
            </w:r>
          </w:p>
        </w:tc>
        <w:tc>
          <w:tcPr>
            <w:tcW w:w="800" w:type="dxa"/>
            <w:vAlign w:val="bottom"/>
          </w:tcPr>
          <w:p>
            <w:pPr>
              <w:jc w:val="right"/>
              <w:spacing w:after="0"/>
              <w:rPr>
                <w:sz w:val="20"/>
                <w:szCs w:val="20"/>
                <w:color w:val="auto"/>
              </w:rPr>
            </w:pPr>
            <w:r>
              <w:rPr>
                <w:rFonts w:ascii="Arial" w:cs="Arial" w:eastAsia="Arial" w:hAnsi="Arial"/>
                <w:sz w:val="16"/>
                <w:szCs w:val="16"/>
                <w:color w:val="auto"/>
              </w:rPr>
              <w:t>209,263</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2,999,987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ROCE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1/19/22</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660" w:type="dxa"/>
            <w:vAlign w:val="bottom"/>
          </w:tcPr>
          <w:p>
            <w:pPr>
              <w:jc w:val="right"/>
              <w:spacing w:after="0"/>
              <w:rPr>
                <w:sz w:val="20"/>
                <w:szCs w:val="20"/>
                <w:color w:val="auto"/>
              </w:rPr>
            </w:pPr>
            <w:r>
              <w:rPr>
                <w:rFonts w:ascii="Arial" w:cs="Arial" w:eastAsia="Arial" w:hAnsi="Arial"/>
                <w:sz w:val="16"/>
                <w:szCs w:val="16"/>
                <w:color w:val="auto"/>
              </w:rPr>
              <w:t>83,705</w:t>
            </w:r>
          </w:p>
        </w:tc>
        <w:tc>
          <w:tcPr>
            <w:tcW w:w="800" w:type="dxa"/>
            <w:vAlign w:val="bottom"/>
          </w:tcPr>
          <w:p>
            <w:pPr>
              <w:jc w:val="right"/>
              <w:spacing w:after="0"/>
              <w:rPr>
                <w:sz w:val="20"/>
                <w:szCs w:val="20"/>
                <w:color w:val="auto"/>
              </w:rPr>
            </w:pPr>
            <w:r>
              <w:rPr>
                <w:rFonts w:ascii="Arial" w:cs="Arial" w:eastAsia="Arial" w:hAnsi="Arial"/>
                <w:sz w:val="16"/>
                <w:szCs w:val="16"/>
                <w:color w:val="auto"/>
              </w:rPr>
              <w:t>209,263</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2,999,987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TSR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1/19/22</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18,699</w:t>
            </w:r>
          </w:p>
        </w:tc>
        <w:tc>
          <w:tcPr>
            <w:tcW w:w="660" w:type="dxa"/>
            <w:vAlign w:val="bottom"/>
          </w:tcPr>
          <w:p>
            <w:pPr>
              <w:jc w:val="right"/>
              <w:spacing w:after="0"/>
              <w:rPr>
                <w:sz w:val="20"/>
                <w:szCs w:val="20"/>
                <w:color w:val="auto"/>
              </w:rPr>
            </w:pPr>
            <w:r>
              <w:rPr>
                <w:rFonts w:ascii="Arial" w:cs="Arial" w:eastAsia="Arial" w:hAnsi="Arial"/>
                <w:sz w:val="16"/>
                <w:szCs w:val="16"/>
                <w:color w:val="auto"/>
              </w:rPr>
              <w:t>74,794</w:t>
            </w:r>
          </w:p>
        </w:tc>
        <w:tc>
          <w:tcPr>
            <w:tcW w:w="800" w:type="dxa"/>
            <w:vAlign w:val="bottom"/>
          </w:tcPr>
          <w:p>
            <w:pPr>
              <w:jc w:val="right"/>
              <w:spacing w:after="0"/>
              <w:rPr>
                <w:sz w:val="20"/>
                <w:szCs w:val="20"/>
                <w:color w:val="auto"/>
              </w:rPr>
            </w:pPr>
            <w:r>
              <w:rPr>
                <w:rFonts w:ascii="Arial" w:cs="Arial" w:eastAsia="Arial" w:hAnsi="Arial"/>
                <w:sz w:val="16"/>
                <w:szCs w:val="16"/>
                <w:color w:val="auto"/>
              </w:rPr>
              <w:t>149,588</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2,999,987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3-year RSU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1/19/22</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83,705</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2,999,987</w:t>
            </w:r>
          </w:p>
        </w:tc>
        <w:tc>
          <w:tcPr>
            <w:tcW w:w="0" w:type="dxa"/>
            <w:vAlign w:val="bottom"/>
          </w:tcPr>
          <w:p>
            <w:pPr>
              <w:spacing w:after="0"/>
              <w:rPr>
                <w:sz w:val="1"/>
                <w:szCs w:val="1"/>
                <w:color w:val="auto"/>
              </w:rPr>
            </w:pPr>
          </w:p>
        </w:tc>
      </w:tr>
      <w:tr>
        <w:trPr>
          <w:trHeight w:val="216"/>
        </w:trPr>
        <w:tc>
          <w:tcPr>
            <w:tcW w:w="1760" w:type="dxa"/>
            <w:vAlign w:val="bottom"/>
          </w:tcPr>
          <w:p>
            <w:pPr>
              <w:ind w:left="60"/>
              <w:spacing w:after="0"/>
              <w:rPr>
                <w:sz w:val="20"/>
                <w:szCs w:val="20"/>
                <w:color w:val="auto"/>
              </w:rPr>
            </w:pPr>
            <w:r>
              <w:rPr>
                <w:rFonts w:ascii="Arial" w:cs="Arial" w:eastAsia="Arial" w:hAnsi="Arial"/>
                <w:sz w:val="16"/>
                <w:szCs w:val="16"/>
                <w:color w:val="auto"/>
              </w:rPr>
              <w:t>S. Biguet</w:t>
            </w:r>
          </w:p>
        </w:tc>
        <w:tc>
          <w:tcPr>
            <w:tcW w:w="1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300,050</w:t>
            </w:r>
          </w:p>
        </w:tc>
        <w:tc>
          <w:tcPr>
            <w:tcW w:w="840" w:type="dxa"/>
            <w:vAlign w:val="bottom"/>
          </w:tcPr>
          <w:p>
            <w:pPr>
              <w:jc w:val="right"/>
              <w:spacing w:after="0"/>
              <w:rPr>
                <w:sz w:val="20"/>
                <w:szCs w:val="20"/>
                <w:color w:val="auto"/>
              </w:rPr>
            </w:pPr>
            <w:r>
              <w:rPr>
                <w:rFonts w:ascii="Arial" w:cs="Arial" w:eastAsia="Arial" w:hAnsi="Arial"/>
                <w:sz w:val="16"/>
                <w:szCs w:val="16"/>
                <w:color w:val="auto"/>
              </w:rPr>
              <w:t>786,250</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1,796,050</w:t>
            </w: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FCFM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1/19/22</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12,207</w:t>
            </w:r>
          </w:p>
        </w:tc>
        <w:tc>
          <w:tcPr>
            <w:tcW w:w="660" w:type="dxa"/>
            <w:vAlign w:val="bottom"/>
          </w:tcPr>
          <w:p>
            <w:pPr>
              <w:jc w:val="right"/>
              <w:spacing w:after="0"/>
              <w:rPr>
                <w:sz w:val="20"/>
                <w:szCs w:val="20"/>
                <w:color w:val="auto"/>
              </w:rPr>
            </w:pPr>
            <w:r>
              <w:rPr>
                <w:rFonts w:ascii="Arial" w:cs="Arial" w:eastAsia="Arial" w:hAnsi="Arial"/>
                <w:sz w:val="16"/>
                <w:szCs w:val="16"/>
                <w:color w:val="auto"/>
              </w:rPr>
              <w:t>24,414</w:t>
            </w:r>
          </w:p>
        </w:tc>
        <w:tc>
          <w:tcPr>
            <w:tcW w:w="800" w:type="dxa"/>
            <w:vAlign w:val="bottom"/>
          </w:tcPr>
          <w:p>
            <w:pPr>
              <w:jc w:val="right"/>
              <w:spacing w:after="0"/>
              <w:rPr>
                <w:sz w:val="20"/>
                <w:szCs w:val="20"/>
                <w:color w:val="auto"/>
              </w:rPr>
            </w:pPr>
            <w:r>
              <w:rPr>
                <w:rFonts w:ascii="Arial" w:cs="Arial" w:eastAsia="Arial" w:hAnsi="Arial"/>
                <w:sz w:val="16"/>
                <w:szCs w:val="16"/>
                <w:color w:val="auto"/>
              </w:rPr>
              <w:t>61,035</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874,998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ROCE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1/19/22</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660" w:type="dxa"/>
            <w:vAlign w:val="bottom"/>
          </w:tcPr>
          <w:p>
            <w:pPr>
              <w:jc w:val="right"/>
              <w:spacing w:after="0"/>
              <w:rPr>
                <w:sz w:val="20"/>
                <w:szCs w:val="20"/>
                <w:color w:val="auto"/>
              </w:rPr>
            </w:pPr>
            <w:r>
              <w:rPr>
                <w:rFonts w:ascii="Arial" w:cs="Arial" w:eastAsia="Arial" w:hAnsi="Arial"/>
                <w:sz w:val="16"/>
                <w:szCs w:val="16"/>
                <w:color w:val="auto"/>
              </w:rPr>
              <w:t>24,414</w:t>
            </w:r>
          </w:p>
        </w:tc>
        <w:tc>
          <w:tcPr>
            <w:tcW w:w="800" w:type="dxa"/>
            <w:vAlign w:val="bottom"/>
          </w:tcPr>
          <w:p>
            <w:pPr>
              <w:jc w:val="right"/>
              <w:spacing w:after="0"/>
              <w:rPr>
                <w:sz w:val="20"/>
                <w:szCs w:val="20"/>
                <w:color w:val="auto"/>
              </w:rPr>
            </w:pPr>
            <w:r>
              <w:rPr>
                <w:rFonts w:ascii="Arial" w:cs="Arial" w:eastAsia="Arial" w:hAnsi="Arial"/>
                <w:sz w:val="16"/>
                <w:szCs w:val="16"/>
                <w:color w:val="auto"/>
              </w:rPr>
              <w:t>61,035</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874,998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TSR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1/19/22</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5,454</w:t>
            </w:r>
          </w:p>
        </w:tc>
        <w:tc>
          <w:tcPr>
            <w:tcW w:w="660" w:type="dxa"/>
            <w:vAlign w:val="bottom"/>
          </w:tcPr>
          <w:p>
            <w:pPr>
              <w:jc w:val="right"/>
              <w:spacing w:after="0"/>
              <w:rPr>
                <w:sz w:val="20"/>
                <w:szCs w:val="20"/>
                <w:color w:val="auto"/>
              </w:rPr>
            </w:pPr>
            <w:r>
              <w:rPr>
                <w:rFonts w:ascii="Arial" w:cs="Arial" w:eastAsia="Arial" w:hAnsi="Arial"/>
                <w:sz w:val="16"/>
                <w:szCs w:val="16"/>
                <w:color w:val="auto"/>
              </w:rPr>
              <w:t>21,815</w:t>
            </w:r>
          </w:p>
        </w:tc>
        <w:tc>
          <w:tcPr>
            <w:tcW w:w="800" w:type="dxa"/>
            <w:vAlign w:val="bottom"/>
          </w:tcPr>
          <w:p>
            <w:pPr>
              <w:jc w:val="right"/>
              <w:spacing w:after="0"/>
              <w:rPr>
                <w:sz w:val="20"/>
                <w:szCs w:val="20"/>
                <w:color w:val="auto"/>
              </w:rPr>
            </w:pPr>
            <w:r>
              <w:rPr>
                <w:rFonts w:ascii="Arial" w:cs="Arial" w:eastAsia="Arial" w:hAnsi="Arial"/>
                <w:sz w:val="16"/>
                <w:szCs w:val="16"/>
                <w:color w:val="auto"/>
              </w:rPr>
              <w:t>43,630</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875,000</w:t>
            </w:r>
          </w:p>
        </w:tc>
        <w:tc>
          <w:tcPr>
            <w:tcW w:w="0" w:type="dxa"/>
            <w:vAlign w:val="bottom"/>
          </w:tcPr>
          <w:p>
            <w:pPr>
              <w:spacing w:after="0"/>
              <w:rPr>
                <w:sz w:val="1"/>
                <w:szCs w:val="1"/>
                <w:color w:val="auto"/>
              </w:rPr>
            </w:pPr>
          </w:p>
        </w:tc>
      </w:tr>
      <w:tr>
        <w:trPr>
          <w:trHeight w:val="216"/>
        </w:trPr>
        <w:tc>
          <w:tcPr>
            <w:tcW w:w="1760" w:type="dxa"/>
            <w:vAlign w:val="bottom"/>
            <w:vMerge w:val="restart"/>
          </w:tcPr>
          <w:p>
            <w:pPr>
              <w:ind w:left="60"/>
              <w:spacing w:after="0"/>
              <w:rPr>
                <w:sz w:val="20"/>
                <w:szCs w:val="20"/>
                <w:color w:val="auto"/>
              </w:rPr>
            </w:pPr>
            <w:r>
              <w:rPr>
                <w:rFonts w:ascii="Arial" w:cs="Arial" w:eastAsia="Arial" w:hAnsi="Arial"/>
                <w:sz w:val="16"/>
                <w:szCs w:val="16"/>
                <w:color w:val="auto"/>
              </w:rPr>
              <w:t>K. Al Mogharbel</w:t>
            </w: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3-year RSU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1/19/22</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317,700</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832,500</w:t>
            </w: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1,800,900</w:t>
            </w: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24,414</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874,998</w:t>
            </w:r>
          </w:p>
        </w:tc>
        <w:tc>
          <w:tcPr>
            <w:tcW w:w="0" w:type="dxa"/>
            <w:vAlign w:val="bottom"/>
          </w:tcPr>
          <w:p>
            <w:pPr>
              <w:spacing w:after="0"/>
              <w:rPr>
                <w:sz w:val="1"/>
                <w:szCs w:val="1"/>
                <w:color w:val="auto"/>
              </w:rPr>
            </w:pPr>
          </w:p>
        </w:tc>
      </w:tr>
      <w:tr>
        <w:trPr>
          <w:trHeight w:val="203"/>
        </w:trPr>
        <w:tc>
          <w:tcPr>
            <w:tcW w:w="176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FCFM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1/19/22</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12,207</w:t>
            </w:r>
          </w:p>
        </w:tc>
        <w:tc>
          <w:tcPr>
            <w:tcW w:w="660" w:type="dxa"/>
            <w:vAlign w:val="bottom"/>
          </w:tcPr>
          <w:p>
            <w:pPr>
              <w:jc w:val="right"/>
              <w:spacing w:after="0"/>
              <w:rPr>
                <w:sz w:val="20"/>
                <w:szCs w:val="20"/>
                <w:color w:val="auto"/>
              </w:rPr>
            </w:pPr>
            <w:r>
              <w:rPr>
                <w:rFonts w:ascii="Arial" w:cs="Arial" w:eastAsia="Arial" w:hAnsi="Arial"/>
                <w:sz w:val="16"/>
                <w:szCs w:val="16"/>
                <w:color w:val="auto"/>
              </w:rPr>
              <w:t>24,414</w:t>
            </w:r>
          </w:p>
        </w:tc>
        <w:tc>
          <w:tcPr>
            <w:tcW w:w="800" w:type="dxa"/>
            <w:vAlign w:val="bottom"/>
          </w:tcPr>
          <w:p>
            <w:pPr>
              <w:jc w:val="right"/>
              <w:spacing w:after="0"/>
              <w:rPr>
                <w:sz w:val="20"/>
                <w:szCs w:val="20"/>
                <w:color w:val="auto"/>
              </w:rPr>
            </w:pPr>
            <w:r>
              <w:rPr>
                <w:rFonts w:ascii="Arial" w:cs="Arial" w:eastAsia="Arial" w:hAnsi="Arial"/>
                <w:sz w:val="16"/>
                <w:szCs w:val="16"/>
                <w:color w:val="auto"/>
              </w:rPr>
              <w:t>61,035</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874,998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ROCE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1/19/22</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660" w:type="dxa"/>
            <w:vAlign w:val="bottom"/>
          </w:tcPr>
          <w:p>
            <w:pPr>
              <w:jc w:val="right"/>
              <w:spacing w:after="0"/>
              <w:rPr>
                <w:sz w:val="20"/>
                <w:szCs w:val="20"/>
                <w:color w:val="auto"/>
              </w:rPr>
            </w:pPr>
            <w:r>
              <w:rPr>
                <w:rFonts w:ascii="Arial" w:cs="Arial" w:eastAsia="Arial" w:hAnsi="Arial"/>
                <w:sz w:val="16"/>
                <w:szCs w:val="16"/>
                <w:color w:val="auto"/>
              </w:rPr>
              <w:t>24,414</w:t>
            </w:r>
          </w:p>
        </w:tc>
        <w:tc>
          <w:tcPr>
            <w:tcW w:w="800" w:type="dxa"/>
            <w:vAlign w:val="bottom"/>
          </w:tcPr>
          <w:p>
            <w:pPr>
              <w:jc w:val="right"/>
              <w:spacing w:after="0"/>
              <w:rPr>
                <w:sz w:val="20"/>
                <w:szCs w:val="20"/>
                <w:color w:val="auto"/>
              </w:rPr>
            </w:pPr>
            <w:r>
              <w:rPr>
                <w:rFonts w:ascii="Arial" w:cs="Arial" w:eastAsia="Arial" w:hAnsi="Arial"/>
                <w:sz w:val="16"/>
                <w:szCs w:val="16"/>
                <w:color w:val="auto"/>
              </w:rPr>
              <w:t>61,035</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874,998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TSR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1/19/22</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5,454</w:t>
            </w:r>
          </w:p>
        </w:tc>
        <w:tc>
          <w:tcPr>
            <w:tcW w:w="660" w:type="dxa"/>
            <w:vAlign w:val="bottom"/>
          </w:tcPr>
          <w:p>
            <w:pPr>
              <w:jc w:val="right"/>
              <w:spacing w:after="0"/>
              <w:rPr>
                <w:sz w:val="20"/>
                <w:szCs w:val="20"/>
                <w:color w:val="auto"/>
              </w:rPr>
            </w:pPr>
            <w:r>
              <w:rPr>
                <w:rFonts w:ascii="Arial" w:cs="Arial" w:eastAsia="Arial" w:hAnsi="Arial"/>
                <w:sz w:val="16"/>
                <w:szCs w:val="16"/>
                <w:color w:val="auto"/>
              </w:rPr>
              <w:t>21,815</w:t>
            </w:r>
          </w:p>
        </w:tc>
        <w:tc>
          <w:tcPr>
            <w:tcW w:w="800" w:type="dxa"/>
            <w:vAlign w:val="bottom"/>
          </w:tcPr>
          <w:p>
            <w:pPr>
              <w:jc w:val="right"/>
              <w:spacing w:after="0"/>
              <w:rPr>
                <w:sz w:val="20"/>
                <w:szCs w:val="20"/>
                <w:color w:val="auto"/>
              </w:rPr>
            </w:pPr>
            <w:r>
              <w:rPr>
                <w:rFonts w:ascii="Arial" w:cs="Arial" w:eastAsia="Arial" w:hAnsi="Arial"/>
                <w:sz w:val="16"/>
                <w:szCs w:val="16"/>
                <w:color w:val="auto"/>
              </w:rPr>
              <w:t>43,630</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875,000</w:t>
            </w:r>
          </w:p>
        </w:tc>
        <w:tc>
          <w:tcPr>
            <w:tcW w:w="0" w:type="dxa"/>
            <w:vAlign w:val="bottom"/>
          </w:tcPr>
          <w:p>
            <w:pPr>
              <w:spacing w:after="0"/>
              <w:rPr>
                <w:sz w:val="1"/>
                <w:szCs w:val="1"/>
                <w:color w:val="auto"/>
              </w:rPr>
            </w:pPr>
          </w:p>
        </w:tc>
      </w:tr>
      <w:tr>
        <w:trPr>
          <w:trHeight w:val="216"/>
        </w:trPr>
        <w:tc>
          <w:tcPr>
            <w:tcW w:w="1760" w:type="dxa"/>
            <w:vAlign w:val="bottom"/>
            <w:vMerge w:val="restart"/>
          </w:tcPr>
          <w:p>
            <w:pPr>
              <w:ind w:left="60"/>
              <w:spacing w:after="0"/>
              <w:rPr>
                <w:sz w:val="20"/>
                <w:szCs w:val="20"/>
                <w:color w:val="auto"/>
              </w:rPr>
            </w:pPr>
            <w:r>
              <w:rPr>
                <w:rFonts w:ascii="Arial" w:cs="Arial" w:eastAsia="Arial" w:hAnsi="Arial"/>
                <w:sz w:val="16"/>
                <w:szCs w:val="16"/>
                <w:color w:val="auto"/>
              </w:rPr>
              <w:t>A. Merad</w:t>
            </w: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3-year RSU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1/19/22</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277,988</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728,438</w:t>
            </w: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1,575,788</w:t>
            </w: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24,414</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874,998</w:t>
            </w:r>
          </w:p>
        </w:tc>
        <w:tc>
          <w:tcPr>
            <w:tcW w:w="0" w:type="dxa"/>
            <w:vAlign w:val="bottom"/>
          </w:tcPr>
          <w:p>
            <w:pPr>
              <w:spacing w:after="0"/>
              <w:rPr>
                <w:sz w:val="1"/>
                <w:szCs w:val="1"/>
                <w:color w:val="auto"/>
              </w:rPr>
            </w:pPr>
          </w:p>
        </w:tc>
      </w:tr>
      <w:tr>
        <w:trPr>
          <w:trHeight w:val="203"/>
        </w:trPr>
        <w:tc>
          <w:tcPr>
            <w:tcW w:w="176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FCFM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1/19/22</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11,161</w:t>
            </w:r>
          </w:p>
        </w:tc>
        <w:tc>
          <w:tcPr>
            <w:tcW w:w="660" w:type="dxa"/>
            <w:vAlign w:val="bottom"/>
          </w:tcPr>
          <w:p>
            <w:pPr>
              <w:jc w:val="right"/>
              <w:spacing w:after="0"/>
              <w:rPr>
                <w:sz w:val="20"/>
                <w:szCs w:val="20"/>
                <w:color w:val="auto"/>
              </w:rPr>
            </w:pPr>
            <w:r>
              <w:rPr>
                <w:rFonts w:ascii="Arial" w:cs="Arial" w:eastAsia="Arial" w:hAnsi="Arial"/>
                <w:sz w:val="16"/>
                <w:szCs w:val="16"/>
                <w:color w:val="auto"/>
              </w:rPr>
              <w:t>22,321</w:t>
            </w:r>
          </w:p>
        </w:tc>
        <w:tc>
          <w:tcPr>
            <w:tcW w:w="800" w:type="dxa"/>
            <w:vAlign w:val="bottom"/>
          </w:tcPr>
          <w:p>
            <w:pPr>
              <w:jc w:val="right"/>
              <w:spacing w:after="0"/>
              <w:rPr>
                <w:sz w:val="20"/>
                <w:szCs w:val="20"/>
                <w:color w:val="auto"/>
              </w:rPr>
            </w:pPr>
            <w:r>
              <w:rPr>
                <w:rFonts w:ascii="Arial" w:cs="Arial" w:eastAsia="Arial" w:hAnsi="Arial"/>
                <w:sz w:val="16"/>
                <w:szCs w:val="16"/>
                <w:color w:val="auto"/>
              </w:rPr>
              <w:t>55,803</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799,985</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ROCE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1/19/22</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660" w:type="dxa"/>
            <w:vAlign w:val="bottom"/>
          </w:tcPr>
          <w:p>
            <w:pPr>
              <w:jc w:val="right"/>
              <w:spacing w:after="0"/>
              <w:rPr>
                <w:sz w:val="20"/>
                <w:szCs w:val="20"/>
                <w:color w:val="auto"/>
              </w:rPr>
            </w:pPr>
            <w:r>
              <w:rPr>
                <w:rFonts w:ascii="Arial" w:cs="Arial" w:eastAsia="Arial" w:hAnsi="Arial"/>
                <w:sz w:val="16"/>
                <w:szCs w:val="16"/>
                <w:color w:val="auto"/>
              </w:rPr>
              <w:t>22,321</w:t>
            </w:r>
          </w:p>
        </w:tc>
        <w:tc>
          <w:tcPr>
            <w:tcW w:w="800" w:type="dxa"/>
            <w:vAlign w:val="bottom"/>
          </w:tcPr>
          <w:p>
            <w:pPr>
              <w:jc w:val="right"/>
              <w:spacing w:after="0"/>
              <w:rPr>
                <w:sz w:val="20"/>
                <w:szCs w:val="20"/>
                <w:color w:val="auto"/>
              </w:rPr>
            </w:pPr>
            <w:r>
              <w:rPr>
                <w:rFonts w:ascii="Arial" w:cs="Arial" w:eastAsia="Arial" w:hAnsi="Arial"/>
                <w:sz w:val="16"/>
                <w:szCs w:val="16"/>
                <w:color w:val="auto"/>
              </w:rPr>
              <w:t>55,803</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799,985</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TSR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1/19/22</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4,987</w:t>
            </w:r>
          </w:p>
        </w:tc>
        <w:tc>
          <w:tcPr>
            <w:tcW w:w="660" w:type="dxa"/>
            <w:vAlign w:val="bottom"/>
          </w:tcPr>
          <w:p>
            <w:pPr>
              <w:jc w:val="right"/>
              <w:spacing w:after="0"/>
              <w:rPr>
                <w:sz w:val="20"/>
                <w:szCs w:val="20"/>
                <w:color w:val="auto"/>
              </w:rPr>
            </w:pPr>
            <w:r>
              <w:rPr>
                <w:rFonts w:ascii="Arial" w:cs="Arial" w:eastAsia="Arial" w:hAnsi="Arial"/>
                <w:sz w:val="16"/>
                <w:szCs w:val="16"/>
                <w:color w:val="auto"/>
              </w:rPr>
              <w:t>19,945</w:t>
            </w:r>
          </w:p>
        </w:tc>
        <w:tc>
          <w:tcPr>
            <w:tcW w:w="800" w:type="dxa"/>
            <w:vAlign w:val="bottom"/>
          </w:tcPr>
          <w:p>
            <w:pPr>
              <w:jc w:val="right"/>
              <w:spacing w:after="0"/>
              <w:rPr>
                <w:sz w:val="20"/>
                <w:szCs w:val="20"/>
                <w:color w:val="auto"/>
              </w:rPr>
            </w:pPr>
            <w:r>
              <w:rPr>
                <w:rFonts w:ascii="Arial" w:cs="Arial" w:eastAsia="Arial" w:hAnsi="Arial"/>
                <w:sz w:val="16"/>
                <w:szCs w:val="16"/>
                <w:color w:val="auto"/>
              </w:rPr>
              <w:t>39,890</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799,994</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3-year RSU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1/19/22</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22,321</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799,985</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FCFM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4/19/22</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896</w:t>
            </w:r>
          </w:p>
        </w:tc>
        <w:tc>
          <w:tcPr>
            <w:tcW w:w="660" w:type="dxa"/>
            <w:vAlign w:val="bottom"/>
          </w:tcPr>
          <w:p>
            <w:pPr>
              <w:jc w:val="right"/>
              <w:spacing w:after="0"/>
              <w:rPr>
                <w:sz w:val="20"/>
                <w:szCs w:val="20"/>
                <w:color w:val="auto"/>
              </w:rPr>
            </w:pPr>
            <w:r>
              <w:rPr>
                <w:rFonts w:ascii="Arial" w:cs="Arial" w:eastAsia="Arial" w:hAnsi="Arial"/>
                <w:sz w:val="16"/>
                <w:szCs w:val="16"/>
                <w:color w:val="auto"/>
              </w:rPr>
              <w:t>1,792</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4,480</w:t>
            </w:r>
          </w:p>
        </w:tc>
        <w:tc>
          <w:tcPr>
            <w:tcW w:w="98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75,013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ROCE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4/19/22</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660" w:type="dxa"/>
            <w:vAlign w:val="bottom"/>
          </w:tcPr>
          <w:p>
            <w:pPr>
              <w:jc w:val="right"/>
              <w:spacing w:after="0"/>
              <w:rPr>
                <w:sz w:val="20"/>
                <w:szCs w:val="20"/>
                <w:color w:val="auto"/>
              </w:rPr>
            </w:pPr>
            <w:r>
              <w:rPr>
                <w:rFonts w:ascii="Arial" w:cs="Arial" w:eastAsia="Arial" w:hAnsi="Arial"/>
                <w:sz w:val="16"/>
                <w:szCs w:val="16"/>
                <w:color w:val="auto"/>
              </w:rPr>
              <w:t>1,792</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4,480</w:t>
            </w:r>
          </w:p>
        </w:tc>
        <w:tc>
          <w:tcPr>
            <w:tcW w:w="98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75,013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TSR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4/19/22</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505</w:t>
            </w:r>
          </w:p>
        </w:tc>
        <w:tc>
          <w:tcPr>
            <w:tcW w:w="660" w:type="dxa"/>
            <w:vAlign w:val="bottom"/>
          </w:tcPr>
          <w:p>
            <w:pPr>
              <w:jc w:val="right"/>
              <w:spacing w:after="0"/>
              <w:rPr>
                <w:sz w:val="20"/>
                <w:szCs w:val="20"/>
                <w:color w:val="auto"/>
              </w:rPr>
            </w:pPr>
            <w:r>
              <w:rPr>
                <w:rFonts w:ascii="Arial" w:cs="Arial" w:eastAsia="Arial" w:hAnsi="Arial"/>
                <w:sz w:val="16"/>
                <w:szCs w:val="16"/>
                <w:color w:val="auto"/>
              </w:rPr>
              <w:t>2,020</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4,040</w:t>
            </w:r>
          </w:p>
        </w:tc>
        <w:tc>
          <w:tcPr>
            <w:tcW w:w="98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75,003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3-year RSU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4/19/22</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1,799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75,018</w:t>
            </w:r>
          </w:p>
        </w:tc>
        <w:tc>
          <w:tcPr>
            <w:tcW w:w="0" w:type="dxa"/>
            <w:vAlign w:val="bottom"/>
          </w:tcPr>
          <w:p>
            <w:pPr>
              <w:spacing w:after="0"/>
              <w:rPr>
                <w:sz w:val="1"/>
                <w:szCs w:val="1"/>
                <w:color w:val="auto"/>
              </w:rPr>
            </w:pPr>
          </w:p>
        </w:tc>
      </w:tr>
      <w:tr>
        <w:trPr>
          <w:trHeight w:val="216"/>
        </w:trPr>
        <w:tc>
          <w:tcPr>
            <w:tcW w:w="1760" w:type="dxa"/>
            <w:vAlign w:val="bottom"/>
          </w:tcPr>
          <w:p>
            <w:pPr>
              <w:ind w:left="60"/>
              <w:spacing w:after="0"/>
              <w:rPr>
                <w:sz w:val="20"/>
                <w:szCs w:val="20"/>
                <w:color w:val="auto"/>
              </w:rPr>
            </w:pPr>
            <w:r>
              <w:rPr>
                <w:rFonts w:ascii="Arial" w:cs="Arial" w:eastAsia="Arial" w:hAnsi="Arial"/>
                <w:sz w:val="16"/>
                <w:szCs w:val="16"/>
                <w:color w:val="auto"/>
              </w:rPr>
              <w:t>D. Ralston</w:t>
            </w:r>
          </w:p>
        </w:tc>
        <w:tc>
          <w:tcPr>
            <w:tcW w:w="1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264,758</w:t>
            </w:r>
          </w:p>
        </w:tc>
        <w:tc>
          <w:tcPr>
            <w:tcW w:w="840" w:type="dxa"/>
            <w:vAlign w:val="bottom"/>
          </w:tcPr>
          <w:p>
            <w:pPr>
              <w:jc w:val="right"/>
              <w:spacing w:after="0"/>
              <w:rPr>
                <w:sz w:val="20"/>
                <w:szCs w:val="20"/>
                <w:color w:val="auto"/>
              </w:rPr>
            </w:pPr>
            <w:r>
              <w:rPr>
                <w:rFonts w:ascii="Arial" w:cs="Arial" w:eastAsia="Arial" w:hAnsi="Arial"/>
                <w:sz w:val="16"/>
                <w:szCs w:val="16"/>
                <w:color w:val="auto"/>
              </w:rPr>
              <w:t>693,770</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1,500,794</w:t>
            </w: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FCFM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1/19/22</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11,161</w:t>
            </w:r>
          </w:p>
        </w:tc>
        <w:tc>
          <w:tcPr>
            <w:tcW w:w="660" w:type="dxa"/>
            <w:vAlign w:val="bottom"/>
          </w:tcPr>
          <w:p>
            <w:pPr>
              <w:jc w:val="right"/>
              <w:spacing w:after="0"/>
              <w:rPr>
                <w:sz w:val="20"/>
                <w:szCs w:val="20"/>
                <w:color w:val="auto"/>
              </w:rPr>
            </w:pPr>
            <w:r>
              <w:rPr>
                <w:rFonts w:ascii="Arial" w:cs="Arial" w:eastAsia="Arial" w:hAnsi="Arial"/>
                <w:sz w:val="16"/>
                <w:szCs w:val="16"/>
                <w:color w:val="auto"/>
              </w:rPr>
              <w:t>22,321</w:t>
            </w:r>
          </w:p>
        </w:tc>
        <w:tc>
          <w:tcPr>
            <w:tcW w:w="800" w:type="dxa"/>
            <w:vAlign w:val="bottom"/>
          </w:tcPr>
          <w:p>
            <w:pPr>
              <w:jc w:val="right"/>
              <w:spacing w:after="0"/>
              <w:rPr>
                <w:sz w:val="20"/>
                <w:szCs w:val="20"/>
                <w:color w:val="auto"/>
              </w:rPr>
            </w:pPr>
            <w:r>
              <w:rPr>
                <w:rFonts w:ascii="Arial" w:cs="Arial" w:eastAsia="Arial" w:hAnsi="Arial"/>
                <w:sz w:val="16"/>
                <w:szCs w:val="16"/>
                <w:color w:val="auto"/>
              </w:rPr>
              <w:t>55,803</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799,985</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ROCE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1/19/22</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660" w:type="dxa"/>
            <w:vAlign w:val="bottom"/>
          </w:tcPr>
          <w:p>
            <w:pPr>
              <w:jc w:val="right"/>
              <w:spacing w:after="0"/>
              <w:rPr>
                <w:sz w:val="20"/>
                <w:szCs w:val="20"/>
                <w:color w:val="auto"/>
              </w:rPr>
            </w:pPr>
            <w:r>
              <w:rPr>
                <w:rFonts w:ascii="Arial" w:cs="Arial" w:eastAsia="Arial" w:hAnsi="Arial"/>
                <w:sz w:val="16"/>
                <w:szCs w:val="16"/>
                <w:color w:val="auto"/>
              </w:rPr>
              <w:t>22,321</w:t>
            </w:r>
          </w:p>
        </w:tc>
        <w:tc>
          <w:tcPr>
            <w:tcW w:w="800" w:type="dxa"/>
            <w:vAlign w:val="bottom"/>
          </w:tcPr>
          <w:p>
            <w:pPr>
              <w:jc w:val="right"/>
              <w:spacing w:after="0"/>
              <w:rPr>
                <w:sz w:val="20"/>
                <w:szCs w:val="20"/>
                <w:color w:val="auto"/>
              </w:rPr>
            </w:pPr>
            <w:r>
              <w:rPr>
                <w:rFonts w:ascii="Arial" w:cs="Arial" w:eastAsia="Arial" w:hAnsi="Arial"/>
                <w:sz w:val="16"/>
                <w:szCs w:val="16"/>
                <w:color w:val="auto"/>
              </w:rPr>
              <w:t>55,803</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799,985</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TSR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1/19/22</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4,987</w:t>
            </w:r>
          </w:p>
        </w:tc>
        <w:tc>
          <w:tcPr>
            <w:tcW w:w="660" w:type="dxa"/>
            <w:vAlign w:val="bottom"/>
          </w:tcPr>
          <w:p>
            <w:pPr>
              <w:jc w:val="right"/>
              <w:spacing w:after="0"/>
              <w:rPr>
                <w:sz w:val="20"/>
                <w:szCs w:val="20"/>
                <w:color w:val="auto"/>
              </w:rPr>
            </w:pPr>
            <w:r>
              <w:rPr>
                <w:rFonts w:ascii="Arial" w:cs="Arial" w:eastAsia="Arial" w:hAnsi="Arial"/>
                <w:sz w:val="16"/>
                <w:szCs w:val="16"/>
                <w:color w:val="auto"/>
              </w:rPr>
              <w:t>19,945</w:t>
            </w:r>
          </w:p>
        </w:tc>
        <w:tc>
          <w:tcPr>
            <w:tcW w:w="800" w:type="dxa"/>
            <w:vAlign w:val="bottom"/>
          </w:tcPr>
          <w:p>
            <w:pPr>
              <w:jc w:val="right"/>
              <w:spacing w:after="0"/>
              <w:rPr>
                <w:sz w:val="20"/>
                <w:szCs w:val="20"/>
                <w:color w:val="auto"/>
              </w:rPr>
            </w:pPr>
            <w:r>
              <w:rPr>
                <w:rFonts w:ascii="Arial" w:cs="Arial" w:eastAsia="Arial" w:hAnsi="Arial"/>
                <w:sz w:val="16"/>
                <w:szCs w:val="16"/>
                <w:color w:val="auto"/>
              </w:rPr>
              <w:t>39,890</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799,994</w:t>
            </w:r>
          </w:p>
        </w:tc>
        <w:tc>
          <w:tcPr>
            <w:tcW w:w="0" w:type="dxa"/>
            <w:vAlign w:val="bottom"/>
          </w:tcPr>
          <w:p>
            <w:pPr>
              <w:spacing w:after="0"/>
              <w:rPr>
                <w:sz w:val="1"/>
                <w:szCs w:val="1"/>
                <w:color w:val="auto"/>
              </w:rPr>
            </w:pPr>
          </w:p>
        </w:tc>
      </w:tr>
      <w:tr>
        <w:trPr>
          <w:trHeight w:val="216"/>
        </w:trPr>
        <w:tc>
          <w:tcPr>
            <w:tcW w:w="1760" w:type="dxa"/>
            <w:vAlign w:val="bottom"/>
            <w:vMerge w:val="restart"/>
          </w:tcPr>
          <w:p>
            <w:pPr>
              <w:ind w:left="60"/>
              <w:spacing w:after="0"/>
              <w:rPr>
                <w:sz w:val="20"/>
                <w:szCs w:val="20"/>
                <w:color w:val="auto"/>
              </w:rPr>
            </w:pPr>
            <w:r>
              <w:rPr>
                <w:rFonts w:ascii="Arial" w:cs="Arial" w:eastAsia="Arial" w:hAnsi="Arial"/>
                <w:sz w:val="16"/>
                <w:szCs w:val="16"/>
                <w:color w:val="auto"/>
              </w:rPr>
              <w:t>A. Belani</w:t>
            </w: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3-year RSU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1/19/22</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317,700</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832,500</w:t>
            </w: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1,800,900</w:t>
            </w: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22,321</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799,985</w:t>
            </w:r>
          </w:p>
        </w:tc>
        <w:tc>
          <w:tcPr>
            <w:tcW w:w="0" w:type="dxa"/>
            <w:vAlign w:val="bottom"/>
          </w:tcPr>
          <w:p>
            <w:pPr>
              <w:spacing w:after="0"/>
              <w:rPr>
                <w:sz w:val="1"/>
                <w:szCs w:val="1"/>
                <w:color w:val="auto"/>
              </w:rPr>
            </w:pPr>
          </w:p>
        </w:tc>
      </w:tr>
      <w:tr>
        <w:trPr>
          <w:trHeight w:val="203"/>
        </w:trPr>
        <w:tc>
          <w:tcPr>
            <w:tcW w:w="176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FCFM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1/19/22</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12,556</w:t>
            </w:r>
          </w:p>
        </w:tc>
        <w:tc>
          <w:tcPr>
            <w:tcW w:w="660" w:type="dxa"/>
            <w:vAlign w:val="bottom"/>
          </w:tcPr>
          <w:p>
            <w:pPr>
              <w:jc w:val="right"/>
              <w:spacing w:after="0"/>
              <w:rPr>
                <w:sz w:val="20"/>
                <w:szCs w:val="20"/>
                <w:color w:val="auto"/>
              </w:rPr>
            </w:pPr>
            <w:r>
              <w:rPr>
                <w:rFonts w:ascii="Arial" w:cs="Arial" w:eastAsia="Arial" w:hAnsi="Arial"/>
                <w:sz w:val="16"/>
                <w:szCs w:val="16"/>
                <w:color w:val="auto"/>
              </w:rPr>
              <w:t>25,112</w:t>
            </w:r>
          </w:p>
        </w:tc>
        <w:tc>
          <w:tcPr>
            <w:tcW w:w="800" w:type="dxa"/>
            <w:vAlign w:val="bottom"/>
          </w:tcPr>
          <w:p>
            <w:pPr>
              <w:jc w:val="right"/>
              <w:spacing w:after="0"/>
              <w:rPr>
                <w:sz w:val="20"/>
                <w:szCs w:val="20"/>
                <w:color w:val="auto"/>
              </w:rPr>
            </w:pPr>
            <w:r>
              <w:rPr>
                <w:rFonts w:ascii="Arial" w:cs="Arial" w:eastAsia="Arial" w:hAnsi="Arial"/>
                <w:sz w:val="16"/>
                <w:szCs w:val="16"/>
                <w:color w:val="auto"/>
              </w:rPr>
              <w:t>62,780</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900,014</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ROCE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1/19/22</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660" w:type="dxa"/>
            <w:vAlign w:val="bottom"/>
          </w:tcPr>
          <w:p>
            <w:pPr>
              <w:jc w:val="right"/>
              <w:spacing w:after="0"/>
              <w:rPr>
                <w:sz w:val="20"/>
                <w:szCs w:val="20"/>
                <w:color w:val="auto"/>
              </w:rPr>
            </w:pPr>
            <w:r>
              <w:rPr>
                <w:rFonts w:ascii="Arial" w:cs="Arial" w:eastAsia="Arial" w:hAnsi="Arial"/>
                <w:sz w:val="16"/>
                <w:szCs w:val="16"/>
                <w:color w:val="auto"/>
              </w:rPr>
              <w:t>25,112</w:t>
            </w:r>
          </w:p>
        </w:tc>
        <w:tc>
          <w:tcPr>
            <w:tcW w:w="800" w:type="dxa"/>
            <w:vAlign w:val="bottom"/>
          </w:tcPr>
          <w:p>
            <w:pPr>
              <w:jc w:val="right"/>
              <w:spacing w:after="0"/>
              <w:rPr>
                <w:sz w:val="20"/>
                <w:szCs w:val="20"/>
                <w:color w:val="auto"/>
              </w:rPr>
            </w:pPr>
            <w:r>
              <w:rPr>
                <w:rFonts w:ascii="Arial" w:cs="Arial" w:eastAsia="Arial" w:hAnsi="Arial"/>
                <w:sz w:val="16"/>
                <w:szCs w:val="16"/>
                <w:color w:val="auto"/>
              </w:rPr>
              <w:t>62,780</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900,014</w:t>
            </w:r>
          </w:p>
        </w:tc>
        <w:tc>
          <w:tcPr>
            <w:tcW w:w="0" w:type="dxa"/>
            <w:vAlign w:val="bottom"/>
          </w:tcPr>
          <w:p>
            <w:pPr>
              <w:spacing w:after="0"/>
              <w:rPr>
                <w:sz w:val="1"/>
                <w:szCs w:val="1"/>
                <w:color w:val="auto"/>
              </w:rPr>
            </w:pPr>
          </w:p>
        </w:tc>
      </w:tr>
      <w:tr>
        <w:trPr>
          <w:trHeight w:val="204"/>
        </w:trPr>
        <w:tc>
          <w:tcPr>
            <w:tcW w:w="1760" w:type="dxa"/>
            <w:vAlign w:val="bottom"/>
          </w:tcPr>
          <w:p>
            <w:pPr>
              <w:spacing w:after="0"/>
              <w:rPr>
                <w:sz w:val="17"/>
                <w:szCs w:val="17"/>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TSR PSU</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1/19/22</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5,610</w:t>
            </w:r>
          </w:p>
        </w:tc>
        <w:tc>
          <w:tcPr>
            <w:tcW w:w="660" w:type="dxa"/>
            <w:vAlign w:val="bottom"/>
          </w:tcPr>
          <w:p>
            <w:pPr>
              <w:jc w:val="right"/>
              <w:spacing w:after="0"/>
              <w:rPr>
                <w:sz w:val="20"/>
                <w:szCs w:val="20"/>
                <w:color w:val="auto"/>
              </w:rPr>
            </w:pPr>
            <w:r>
              <w:rPr>
                <w:rFonts w:ascii="Arial" w:cs="Arial" w:eastAsia="Arial" w:hAnsi="Arial"/>
                <w:sz w:val="16"/>
                <w:szCs w:val="16"/>
                <w:color w:val="auto"/>
              </w:rPr>
              <w:t>22,438</w:t>
            </w:r>
          </w:p>
        </w:tc>
        <w:tc>
          <w:tcPr>
            <w:tcW w:w="800" w:type="dxa"/>
            <w:vAlign w:val="bottom"/>
          </w:tcPr>
          <w:p>
            <w:pPr>
              <w:jc w:val="right"/>
              <w:spacing w:after="0"/>
              <w:rPr>
                <w:sz w:val="20"/>
                <w:szCs w:val="20"/>
                <w:color w:val="auto"/>
              </w:rPr>
            </w:pPr>
            <w:r>
              <w:rPr>
                <w:rFonts w:ascii="Arial" w:cs="Arial" w:eastAsia="Arial" w:hAnsi="Arial"/>
                <w:sz w:val="16"/>
                <w:szCs w:val="16"/>
                <w:color w:val="auto"/>
              </w:rPr>
              <w:t>44,876</w:t>
            </w: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899,988</w:t>
            </w:r>
          </w:p>
        </w:tc>
        <w:tc>
          <w:tcPr>
            <w:tcW w:w="0" w:type="dxa"/>
            <w:vAlign w:val="bottom"/>
          </w:tcPr>
          <w:p>
            <w:pPr>
              <w:spacing w:after="0"/>
              <w:rPr>
                <w:sz w:val="1"/>
                <w:szCs w:val="1"/>
                <w:color w:val="auto"/>
              </w:rPr>
            </w:pPr>
          </w:p>
        </w:tc>
      </w:tr>
      <w:tr>
        <w:trPr>
          <w:trHeight w:val="210"/>
        </w:trPr>
        <w:tc>
          <w:tcPr>
            <w:tcW w:w="1760" w:type="dxa"/>
            <w:vAlign w:val="bottom"/>
            <w:tcBorders>
              <w:bottom w:val="single" w:sz="8" w:color="0233A1"/>
            </w:tcBorders>
          </w:tcPr>
          <w:p>
            <w:pPr>
              <w:spacing w:after="0"/>
              <w:rPr>
                <w:sz w:val="18"/>
                <w:szCs w:val="18"/>
                <w:color w:val="auto"/>
              </w:rPr>
            </w:pPr>
          </w:p>
        </w:tc>
        <w:tc>
          <w:tcPr>
            <w:tcW w:w="1660" w:type="dxa"/>
            <w:vAlign w:val="bottom"/>
            <w:tcBorders>
              <w:bottom w:val="single" w:sz="8" w:color="0233A1"/>
            </w:tcBorders>
          </w:tcPr>
          <w:p>
            <w:pPr>
              <w:jc w:val="right"/>
              <w:ind w:right="199"/>
              <w:spacing w:after="0"/>
              <w:rPr>
                <w:sz w:val="20"/>
                <w:szCs w:val="20"/>
                <w:color w:val="auto"/>
              </w:rPr>
            </w:pPr>
            <w:r>
              <w:rPr>
                <w:rFonts w:ascii="Arial" w:cs="Arial" w:eastAsia="Arial" w:hAnsi="Arial"/>
                <w:sz w:val="16"/>
                <w:szCs w:val="16"/>
                <w:color w:val="auto"/>
              </w:rPr>
              <w:t>3-year RSU</w:t>
            </w:r>
          </w:p>
        </w:tc>
        <w:tc>
          <w:tcPr>
            <w:tcW w:w="760" w:type="dxa"/>
            <w:vAlign w:val="bottom"/>
            <w:tcBorders>
              <w:bottom w:val="single" w:sz="8" w:color="0233A1"/>
            </w:tcBorders>
          </w:tcPr>
          <w:p>
            <w:pPr>
              <w:jc w:val="right"/>
              <w:ind w:right="19"/>
              <w:spacing w:after="0"/>
              <w:rPr>
                <w:sz w:val="20"/>
                <w:szCs w:val="20"/>
                <w:color w:val="auto"/>
              </w:rPr>
            </w:pPr>
            <w:r>
              <w:rPr>
                <w:rFonts w:ascii="Arial" w:cs="Arial" w:eastAsia="Arial" w:hAnsi="Arial"/>
                <w:sz w:val="16"/>
                <w:szCs w:val="16"/>
                <w:color w:val="auto"/>
              </w:rPr>
              <w:t>1/19/22</w:t>
            </w:r>
          </w:p>
        </w:tc>
        <w:tc>
          <w:tcPr>
            <w:tcW w:w="840" w:type="dxa"/>
            <w:vAlign w:val="bottom"/>
            <w:tcBorders>
              <w:bottom w:val="single" w:sz="8" w:color="0233A1"/>
            </w:tcBorders>
          </w:tcPr>
          <w:p>
            <w:pPr>
              <w:spacing w:after="0"/>
              <w:rPr>
                <w:sz w:val="18"/>
                <w:szCs w:val="18"/>
                <w:color w:val="auto"/>
              </w:rPr>
            </w:pPr>
          </w:p>
        </w:tc>
        <w:tc>
          <w:tcPr>
            <w:tcW w:w="840" w:type="dxa"/>
            <w:vAlign w:val="bottom"/>
            <w:tcBorders>
              <w:bottom w:val="single" w:sz="8" w:color="0233A1"/>
            </w:tcBorders>
          </w:tcPr>
          <w:p>
            <w:pPr>
              <w:spacing w:after="0"/>
              <w:rPr>
                <w:sz w:val="18"/>
                <w:szCs w:val="18"/>
                <w:color w:val="auto"/>
              </w:rPr>
            </w:pPr>
          </w:p>
        </w:tc>
        <w:tc>
          <w:tcPr>
            <w:tcW w:w="780" w:type="dxa"/>
            <w:vAlign w:val="bottom"/>
            <w:tcBorders>
              <w:bottom w:val="single" w:sz="8" w:color="0233A1"/>
            </w:tcBorders>
          </w:tcPr>
          <w:p>
            <w:pPr>
              <w:spacing w:after="0"/>
              <w:rPr>
                <w:sz w:val="18"/>
                <w:szCs w:val="18"/>
                <w:color w:val="auto"/>
              </w:rPr>
            </w:pPr>
          </w:p>
        </w:tc>
        <w:tc>
          <w:tcPr>
            <w:tcW w:w="100" w:type="dxa"/>
            <w:vAlign w:val="bottom"/>
            <w:tcBorders>
              <w:bottom w:val="single" w:sz="8" w:color="0233A1"/>
            </w:tcBorders>
          </w:tcPr>
          <w:p>
            <w:pPr>
              <w:spacing w:after="0"/>
              <w:rPr>
                <w:sz w:val="18"/>
                <w:szCs w:val="18"/>
                <w:color w:val="auto"/>
              </w:rPr>
            </w:pPr>
          </w:p>
        </w:tc>
        <w:tc>
          <w:tcPr>
            <w:tcW w:w="900" w:type="dxa"/>
            <w:vAlign w:val="bottom"/>
            <w:tcBorders>
              <w:bottom w:val="single" w:sz="8" w:color="0233A1"/>
            </w:tcBorders>
          </w:tcPr>
          <w:p>
            <w:pPr>
              <w:spacing w:after="0"/>
              <w:rPr>
                <w:sz w:val="18"/>
                <w:szCs w:val="18"/>
                <w:color w:val="auto"/>
              </w:rPr>
            </w:pPr>
          </w:p>
        </w:tc>
        <w:tc>
          <w:tcPr>
            <w:tcW w:w="660" w:type="dxa"/>
            <w:vAlign w:val="bottom"/>
            <w:tcBorders>
              <w:bottom w:val="single" w:sz="8" w:color="0233A1"/>
            </w:tcBorders>
          </w:tcPr>
          <w:p>
            <w:pPr>
              <w:spacing w:after="0"/>
              <w:rPr>
                <w:sz w:val="18"/>
                <w:szCs w:val="18"/>
                <w:color w:val="auto"/>
              </w:rPr>
            </w:pPr>
          </w:p>
        </w:tc>
        <w:tc>
          <w:tcPr>
            <w:tcW w:w="800" w:type="dxa"/>
            <w:vAlign w:val="bottom"/>
            <w:tcBorders>
              <w:bottom w:val="single" w:sz="8" w:color="0233A1"/>
            </w:tcBorders>
          </w:tcPr>
          <w:p>
            <w:pPr>
              <w:spacing w:after="0"/>
              <w:rPr>
                <w:sz w:val="18"/>
                <w:szCs w:val="18"/>
                <w:color w:val="auto"/>
              </w:rPr>
            </w:pPr>
          </w:p>
        </w:tc>
        <w:tc>
          <w:tcPr>
            <w:tcW w:w="40" w:type="dxa"/>
            <w:vAlign w:val="bottom"/>
            <w:tcBorders>
              <w:bottom w:val="single" w:sz="8" w:color="0233A1"/>
            </w:tcBorders>
          </w:tcPr>
          <w:p>
            <w:pPr>
              <w:spacing w:after="0"/>
              <w:rPr>
                <w:sz w:val="18"/>
                <w:szCs w:val="18"/>
                <w:color w:val="auto"/>
              </w:rPr>
            </w:pPr>
          </w:p>
        </w:tc>
        <w:tc>
          <w:tcPr>
            <w:tcW w:w="980" w:type="dxa"/>
            <w:vAlign w:val="bottom"/>
            <w:tcBorders>
              <w:bottom w:val="single" w:sz="8" w:color="0233A1"/>
            </w:tcBorders>
          </w:tcPr>
          <w:p>
            <w:pPr>
              <w:jc w:val="right"/>
              <w:ind w:right="159"/>
              <w:spacing w:after="0"/>
              <w:rPr>
                <w:sz w:val="20"/>
                <w:szCs w:val="20"/>
                <w:color w:val="auto"/>
              </w:rPr>
            </w:pPr>
            <w:r>
              <w:rPr>
                <w:rFonts w:ascii="Arial" w:cs="Arial" w:eastAsia="Arial" w:hAnsi="Arial"/>
                <w:sz w:val="16"/>
                <w:szCs w:val="16"/>
                <w:color w:val="auto"/>
              </w:rPr>
              <w:t>25,112</w:t>
            </w:r>
          </w:p>
        </w:tc>
        <w:tc>
          <w:tcPr>
            <w:tcW w:w="1120" w:type="dxa"/>
            <w:vAlign w:val="bottom"/>
            <w:tcBorders>
              <w:bottom w:val="single" w:sz="8" w:color="0233A1"/>
            </w:tcBorders>
          </w:tcPr>
          <w:p>
            <w:pPr>
              <w:jc w:val="right"/>
              <w:ind w:right="139"/>
              <w:spacing w:after="0"/>
              <w:rPr>
                <w:sz w:val="20"/>
                <w:szCs w:val="20"/>
                <w:color w:val="auto"/>
              </w:rPr>
            </w:pPr>
            <w:r>
              <w:rPr>
                <w:rFonts w:ascii="Arial" w:cs="Arial" w:eastAsia="Arial" w:hAnsi="Arial"/>
                <w:sz w:val="16"/>
                <w:szCs w:val="16"/>
                <w:color w:val="auto"/>
              </w:rPr>
              <w:t>900,014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-144780</wp:posOffset>
            </wp:positionV>
            <wp:extent cx="5743575" cy="8255"/>
            <wp:wrapNone/>
            <wp:docPr id="3477" name="Picture 3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7"/>
                    <pic:cNvPicPr>
                      <a:picLocks noChangeAspect="1" noChangeArrowheads="1"/>
                    </pic:cNvPicPr>
                  </pic:nvPicPr>
                  <pic:blipFill>
                    <a:blip r:embed="rId3484">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-273685</wp:posOffset>
            </wp:positionV>
            <wp:extent cx="5743575" cy="8255"/>
            <wp:wrapNone/>
            <wp:docPr id="3478" name="Picture 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8"/>
                    <pic:cNvPicPr>
                      <a:picLocks noChangeAspect="1" noChangeArrowheads="1"/>
                    </pic:cNvPicPr>
                  </pic:nvPicPr>
                  <pic:blipFill>
                    <a:blip r:embed="rId3485">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-410845</wp:posOffset>
            </wp:positionV>
            <wp:extent cx="5743575" cy="8890"/>
            <wp:wrapNone/>
            <wp:docPr id="3479" name="Picture 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pic:cNvPicPr>
                      <a:picLocks noChangeAspect="1" noChangeArrowheads="1"/>
                    </pic:cNvPicPr>
                  </pic:nvPicPr>
                  <pic:blipFill>
                    <a:blip r:embed="rId3486">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-548005</wp:posOffset>
            </wp:positionV>
            <wp:extent cx="5743575" cy="8255"/>
            <wp:wrapNone/>
            <wp:docPr id="3480" name="Picture 3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0"/>
                    <pic:cNvPicPr>
                      <a:picLocks noChangeAspect="1" noChangeArrowheads="1"/>
                    </pic:cNvPicPr>
                  </pic:nvPicPr>
                  <pic:blipFill>
                    <a:blip r:embed="rId3487">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8255"/>
            <wp:wrapNone/>
            <wp:docPr id="3481" name="Picture 3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1"/>
                    <pic:cNvPicPr>
                      <a:picLocks noChangeAspect="1" noChangeArrowheads="1"/>
                    </pic:cNvPicPr>
                  </pic:nvPicPr>
                  <pic:blipFill>
                    <a:blip r:embed="rId34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-813435</wp:posOffset>
            </wp:positionV>
            <wp:extent cx="5743575" cy="8255"/>
            <wp:wrapNone/>
            <wp:docPr id="3482" name="Picture 3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2"/>
                    <pic:cNvPicPr>
                      <a:picLocks noChangeAspect="1" noChangeArrowheads="1"/>
                    </pic:cNvPicPr>
                  </pic:nvPicPr>
                  <pic:blipFill>
                    <a:blip r:embed="rId3489">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-950595</wp:posOffset>
            </wp:positionV>
            <wp:extent cx="5743575" cy="8890"/>
            <wp:wrapNone/>
            <wp:docPr id="3483" name="Picture 3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pic:cNvPicPr>
                      <a:picLocks noChangeAspect="1" noChangeArrowheads="1"/>
                    </pic:cNvPicPr>
                  </pic:nvPicPr>
                  <pic:blipFill>
                    <a:blip r:embed="rId3490">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-1087755</wp:posOffset>
            </wp:positionV>
            <wp:extent cx="5743575" cy="8255"/>
            <wp:wrapNone/>
            <wp:docPr id="3484" name="Picture 3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4"/>
                    <pic:cNvPicPr>
                      <a:picLocks noChangeAspect="1" noChangeArrowheads="1"/>
                    </pic:cNvPicPr>
                  </pic:nvPicPr>
                  <pic:blipFill>
                    <a:blip r:embed="rId3491">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-1224915</wp:posOffset>
            </wp:positionV>
            <wp:extent cx="5743575" cy="8255"/>
            <wp:wrapNone/>
            <wp:docPr id="3485" name="Picture 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5"/>
                    <pic:cNvPicPr>
                      <a:picLocks noChangeAspect="1" noChangeArrowheads="1"/>
                    </pic:cNvPicPr>
                  </pic:nvPicPr>
                  <pic:blipFill>
                    <a:blip r:embed="rId3492">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-1362075</wp:posOffset>
            </wp:positionV>
            <wp:extent cx="7132320" cy="8890"/>
            <wp:wrapNone/>
            <wp:docPr id="3486" name="Picture 3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6"/>
                    <pic:cNvPicPr>
                      <a:picLocks noChangeAspect="1" noChangeArrowheads="1"/>
                    </pic:cNvPicPr>
                  </pic:nvPicPr>
                  <pic:blipFill>
                    <a:blip r:embed="rId349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-1499235</wp:posOffset>
            </wp:positionV>
            <wp:extent cx="5743575" cy="8255"/>
            <wp:wrapNone/>
            <wp:docPr id="3487" name="Picture 3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7"/>
                    <pic:cNvPicPr>
                      <a:picLocks noChangeAspect="1" noChangeArrowheads="1"/>
                    </pic:cNvPicPr>
                  </pic:nvPicPr>
                  <pic:blipFill>
                    <a:blip r:embed="rId3494">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-1636395</wp:posOffset>
            </wp:positionV>
            <wp:extent cx="5743575" cy="8890"/>
            <wp:wrapNone/>
            <wp:docPr id="3488" name="Picture 3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8"/>
                    <pic:cNvPicPr>
                      <a:picLocks noChangeAspect="1" noChangeArrowheads="1"/>
                    </pic:cNvPicPr>
                  </pic:nvPicPr>
                  <pic:blipFill>
                    <a:blip r:embed="rId3495">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-1773555</wp:posOffset>
            </wp:positionV>
            <wp:extent cx="5743575" cy="8255"/>
            <wp:wrapNone/>
            <wp:docPr id="3489" name="Picture 3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9"/>
                    <pic:cNvPicPr>
                      <a:picLocks noChangeAspect="1" noChangeArrowheads="1"/>
                    </pic:cNvPicPr>
                  </pic:nvPicPr>
                  <pic:blipFill>
                    <a:blip r:embed="rId3496">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-1910715</wp:posOffset>
            </wp:positionV>
            <wp:extent cx="5743575" cy="8255"/>
            <wp:wrapNone/>
            <wp:docPr id="3490" name="Picture 3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0"/>
                    <pic:cNvPicPr>
                      <a:picLocks noChangeAspect="1" noChangeArrowheads="1"/>
                    </pic:cNvPicPr>
                  </pic:nvPicPr>
                  <pic:blipFill>
                    <a:blip r:embed="rId3497">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-2047875</wp:posOffset>
            </wp:positionV>
            <wp:extent cx="5743575" cy="8255"/>
            <wp:wrapNone/>
            <wp:docPr id="3491" name="Picture 3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1"/>
                    <pic:cNvPicPr>
                      <a:picLocks noChangeAspect="1" noChangeArrowheads="1"/>
                    </pic:cNvPicPr>
                  </pic:nvPicPr>
                  <pic:blipFill>
                    <a:blip r:embed="rId3498">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-2185035</wp:posOffset>
            </wp:positionV>
            <wp:extent cx="5743575" cy="8255"/>
            <wp:wrapNone/>
            <wp:docPr id="3492" name="Picture 3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2"/>
                    <pic:cNvPicPr>
                      <a:picLocks noChangeAspect="1" noChangeArrowheads="1"/>
                    </pic:cNvPicPr>
                  </pic:nvPicPr>
                  <pic:blipFill>
                    <a:blip r:embed="rId3499">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-2322195</wp:posOffset>
            </wp:positionV>
            <wp:extent cx="5743575" cy="8255"/>
            <wp:wrapNone/>
            <wp:docPr id="3493" name="Picture 3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3"/>
                    <pic:cNvPicPr>
                      <a:picLocks noChangeAspect="1" noChangeArrowheads="1"/>
                    </pic:cNvPicPr>
                  </pic:nvPicPr>
                  <pic:blipFill>
                    <a:blip r:embed="rId3500">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-2459355</wp:posOffset>
            </wp:positionV>
            <wp:extent cx="5743575" cy="8255"/>
            <wp:wrapNone/>
            <wp:docPr id="3494" name="Picture 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4"/>
                    <pic:cNvPicPr>
                      <a:picLocks noChangeAspect="1" noChangeArrowheads="1"/>
                    </pic:cNvPicPr>
                  </pic:nvPicPr>
                  <pic:blipFill>
                    <a:blip r:embed="rId3501">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-2596515</wp:posOffset>
            </wp:positionV>
            <wp:extent cx="7132320" cy="8890"/>
            <wp:wrapNone/>
            <wp:docPr id="3495" name="Picture 3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5"/>
                    <pic:cNvPicPr>
                      <a:picLocks noChangeAspect="1" noChangeArrowheads="1"/>
                    </pic:cNvPicPr>
                  </pic:nvPicPr>
                  <pic:blipFill>
                    <a:blip r:embed="rId350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-2725420</wp:posOffset>
            </wp:positionV>
            <wp:extent cx="5743575" cy="8890"/>
            <wp:wrapNone/>
            <wp:docPr id="3496" name="Picture 3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6"/>
                    <pic:cNvPicPr>
                      <a:picLocks noChangeAspect="1" noChangeArrowheads="1"/>
                    </pic:cNvPicPr>
                  </pic:nvPicPr>
                  <pic:blipFill>
                    <a:blip r:embed="rId3503">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-2862580</wp:posOffset>
            </wp:positionV>
            <wp:extent cx="5743575" cy="8255"/>
            <wp:wrapNone/>
            <wp:docPr id="3497" name="Picture 3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7"/>
                    <pic:cNvPicPr>
                      <a:picLocks noChangeAspect="1" noChangeArrowheads="1"/>
                    </pic:cNvPicPr>
                  </pic:nvPicPr>
                  <pic:blipFill>
                    <a:blip r:embed="rId3504">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-2999740</wp:posOffset>
            </wp:positionV>
            <wp:extent cx="5743575" cy="8255"/>
            <wp:wrapNone/>
            <wp:docPr id="3498" name="Picture 3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8"/>
                    <pic:cNvPicPr>
                      <a:picLocks noChangeAspect="1" noChangeArrowheads="1"/>
                    </pic:cNvPicPr>
                  </pic:nvPicPr>
                  <pic:blipFill>
                    <a:blip r:embed="rId3505">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-3136900</wp:posOffset>
            </wp:positionV>
            <wp:extent cx="5743575" cy="8255"/>
            <wp:wrapNone/>
            <wp:docPr id="3499" name="Picture 3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9"/>
                    <pic:cNvPicPr>
                      <a:picLocks noChangeAspect="1" noChangeArrowheads="1"/>
                    </pic:cNvPicPr>
                  </pic:nvPicPr>
                  <pic:blipFill>
                    <a:blip r:embed="rId3506">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-3274060</wp:posOffset>
            </wp:positionV>
            <wp:extent cx="7132320" cy="8255"/>
            <wp:wrapNone/>
            <wp:docPr id="3500" name="Picture 3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0"/>
                    <pic:cNvPicPr>
                      <a:picLocks noChangeAspect="1" noChangeArrowheads="1"/>
                    </pic:cNvPicPr>
                  </pic:nvPicPr>
                  <pic:blipFill>
                    <a:blip r:embed="rId350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-3402330</wp:posOffset>
            </wp:positionV>
            <wp:extent cx="5743575" cy="8255"/>
            <wp:wrapNone/>
            <wp:docPr id="3501" name="Picture 3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1"/>
                    <pic:cNvPicPr>
                      <a:picLocks noChangeAspect="1" noChangeArrowheads="1"/>
                    </pic:cNvPicPr>
                  </pic:nvPicPr>
                  <pic:blipFill>
                    <a:blip r:embed="rId3508">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-3539490</wp:posOffset>
            </wp:positionV>
            <wp:extent cx="5743575" cy="8255"/>
            <wp:wrapNone/>
            <wp:docPr id="3502" name="Picture 3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2"/>
                    <pic:cNvPicPr>
                      <a:picLocks noChangeAspect="1" noChangeArrowheads="1"/>
                    </pic:cNvPicPr>
                  </pic:nvPicPr>
                  <pic:blipFill>
                    <a:blip r:embed="rId3509">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-3676650</wp:posOffset>
            </wp:positionV>
            <wp:extent cx="5743575" cy="8890"/>
            <wp:wrapNone/>
            <wp:docPr id="3503" name="Picture 3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3"/>
                    <pic:cNvPicPr>
                      <a:picLocks noChangeAspect="1" noChangeArrowheads="1"/>
                    </pic:cNvPicPr>
                  </pic:nvPicPr>
                  <pic:blipFill>
                    <a:blip r:embed="rId3510">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-3813810</wp:posOffset>
            </wp:positionV>
            <wp:extent cx="5743575" cy="8255"/>
            <wp:wrapNone/>
            <wp:docPr id="3504" name="Picture 3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4"/>
                    <pic:cNvPicPr>
                      <a:picLocks noChangeAspect="1" noChangeArrowheads="1"/>
                    </pic:cNvPicPr>
                  </pic:nvPicPr>
                  <pic:blipFill>
                    <a:blip r:embed="rId3511">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-3950970</wp:posOffset>
            </wp:positionV>
            <wp:extent cx="7132320" cy="8255"/>
            <wp:wrapNone/>
            <wp:docPr id="3505" name="Picture 3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5"/>
                    <pic:cNvPicPr>
                      <a:picLocks noChangeAspect="1" noChangeArrowheads="1"/>
                    </pic:cNvPicPr>
                  </pic:nvPicPr>
                  <pic:blipFill>
                    <a:blip r:embed="rId35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-4088130</wp:posOffset>
            </wp:positionV>
            <wp:extent cx="5743575" cy="8255"/>
            <wp:wrapNone/>
            <wp:docPr id="3506" name="Picture 3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6"/>
                    <pic:cNvPicPr>
                      <a:picLocks noChangeAspect="1" noChangeArrowheads="1"/>
                    </pic:cNvPicPr>
                  </pic:nvPicPr>
                  <pic:blipFill>
                    <a:blip r:embed="rId3513">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-4225290</wp:posOffset>
            </wp:positionV>
            <wp:extent cx="5743575" cy="8255"/>
            <wp:wrapNone/>
            <wp:docPr id="3507" name="Picture 3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7"/>
                    <pic:cNvPicPr>
                      <a:picLocks noChangeAspect="1" noChangeArrowheads="1"/>
                    </pic:cNvPicPr>
                  </pic:nvPicPr>
                  <pic:blipFill>
                    <a:blip r:embed="rId3514">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-4362450</wp:posOffset>
            </wp:positionV>
            <wp:extent cx="5743575" cy="8255"/>
            <wp:wrapNone/>
            <wp:docPr id="3508" name="Picture 3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8"/>
                    <pic:cNvPicPr>
                      <a:picLocks noChangeAspect="1" noChangeArrowheads="1"/>
                    </pic:cNvPicPr>
                  </pic:nvPicPr>
                  <pic:blipFill>
                    <a:blip r:embed="rId3515">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-4499610</wp:posOffset>
            </wp:positionV>
            <wp:extent cx="5743575" cy="8890"/>
            <wp:wrapNone/>
            <wp:docPr id="3509" name="Picture 3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9"/>
                    <pic:cNvPicPr>
                      <a:picLocks noChangeAspect="1" noChangeArrowheads="1"/>
                    </pic:cNvPicPr>
                  </pic:nvPicPr>
                  <pic:blipFill>
                    <a:blip r:embed="rId3516">
                      <a:extLst>
                        <a:ext uri="{28A0092B-C50C-407E-A947-70E740481C1C}"/>
                      </a:extLst>
                    </a:blip>
                    <a:srcRect/>
                    <a:stretch>
                      <a:fillRect/>
                    </a:stretch>
                  </pic:blipFill>
                  <pic:spPr bwMode="auto">
                    <a:xfrm>
                      <a:off x="0" y="0"/>
                      <a:ext cx="5743575" cy="8890"/>
                    </a:xfrm>
                    <a:prstGeom prst="rect">
                      <a:avLst/>
                    </a:prstGeom>
                    <a:noFill/>
                  </pic:spPr>
                </pic:pic>
              </a:graphicData>
            </a:graphic>
          </wp:anchor>
        </w:drawing>
      </w:r>
    </w:p>
    <w:p>
      <w:pPr>
        <w:spacing w:after="0" w:line="38"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All equity grants were awarded under the 2017 SLB Omnibus Stock Incentive Plan (as amended and restated, the </w:t>
      </w:r>
      <w:r>
        <w:rPr>
          <w:rFonts w:ascii="Arial" w:cs="Arial" w:eastAsia="Arial" w:hAnsi="Arial"/>
          <w:sz w:val="14"/>
          <w:szCs w:val="14"/>
          <w:b w:val="1"/>
          <w:bCs w:val="1"/>
          <w:color w:val="auto"/>
        </w:rPr>
        <w:t>2017 Incentive Plan</w:t>
      </w:r>
      <w:r>
        <w:rPr>
          <w:rFonts w:ascii="Arial" w:cs="Arial" w:eastAsia="Arial" w:hAnsi="Arial"/>
          <w:sz w:val="14"/>
          <w:szCs w:val="14"/>
          <w:color w:val="auto"/>
        </w:rPr>
        <w:t>).</w:t>
      </w:r>
    </w:p>
    <w:p>
      <w:pPr>
        <w:spacing w:after="0" w:line="55" w:lineRule="exact"/>
        <w:rPr>
          <w:rFonts w:ascii="Arial" w:cs="Arial" w:eastAsia="Arial" w:hAnsi="Arial"/>
          <w:sz w:val="14"/>
          <w:szCs w:val="14"/>
          <w:color w:val="auto"/>
        </w:rPr>
      </w:pPr>
    </w:p>
    <w:p>
      <w:pPr>
        <w:jc w:val="both"/>
        <w:ind w:left="340" w:hanging="332"/>
        <w:spacing w:after="0" w:line="252"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These columns show the possible cash incentive payouts for each NEO for fiscal year 2022 based on performance goals set for the year. Threshold, target and maximum possible payouts are based on the annual cash incentive range established for each NEO, which is expressed as a percentage of base salary for the year. Actual cash incentive amounts earned for 2022 are reflected in the “Non-Equity Incentive Plan Compensation” column of the Summary Compensation Table. For information about the 2022 cash incentive paid to our NEOs, see “Compensation Discussion and Analysis—Elements of 2022 Total Direct Compensation—Annual Cash Incentive Awards” beginning on page 36.</w:t>
      </w:r>
    </w:p>
    <w:p>
      <w:pPr>
        <w:spacing w:after="0" w:line="18"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Relates to PSUs, all of which are subject to a three-year performance period. See “Compensation Discussion and Analysis—Elements of 2022 Total Direct Compensation —Long-Term Equity Incentive Awards” beginning on page 39 for a detailed description of our PSUs, including the criteria to be applied in determining vesting of PSUs. “Threshold” represents the number of shares deliverable on achievement of the applicable threshold performance goal under each PSU grant. The PSU award agreements provide that no PSUs will vest unless a specified threshold level of performance is achieved. “Target” represents the number of shares deliverable on achievement of target performance under each PSU grant, and “Maximum” reflects the highest possible payout (250% of target for the 2022 FCF Margin PSUs and 2022 ROCE PSUs, and 200% of target for the 2022 TSR PSUs). PSUs do not accrue or pay dividends or dividend equivalents prior to vesting. Vested PSUs are paid in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147320</wp:posOffset>
            </wp:positionV>
            <wp:extent cx="471805" cy="282575"/>
            <wp:wrapNone/>
            <wp:docPr id="3510" name="Picture 3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0"/>
                    <pic:cNvPicPr>
                      <a:picLocks noChangeAspect="1" noChangeArrowheads="1"/>
                    </pic:cNvPicPr>
                  </pic:nvPicPr>
                  <pic:blipFill>
                    <a:blip r:embed="rId3517">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Pr>
          <w:p>
            <w:pPr>
              <w:spacing w:after="0"/>
              <w:rPr>
                <w:sz w:val="9"/>
                <w:szCs w:val="9"/>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51</w:t>
            </w:r>
          </w:p>
        </w:tc>
        <w:tc>
          <w:tcPr>
            <w:tcW w:w="44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7" w:lineRule="exact"/>
        <w:rPr>
          <w:sz w:val="20"/>
          <w:szCs w:val="20"/>
          <w:color w:val="auto"/>
        </w:rPr>
      </w:pPr>
    </w:p>
    <w:p>
      <w:pPr>
        <w:ind w:left="340" w:right="100" w:hanging="332"/>
        <w:spacing w:after="0" w:line="281"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Relates to RSUs, all of which will vest on the third anniversary of the applicable grant date, subject to continued employment with SLB. RSUs do not accrue or pay dividends or dividend equivalents prior to vesting. Vested RSUs are paid in shares of our common stock.</w:t>
      </w:r>
    </w:p>
    <w:p>
      <w:pPr>
        <w:spacing w:after="0" w:line="1" w:lineRule="exact"/>
        <w:rPr>
          <w:rFonts w:ascii="Arial" w:cs="Arial" w:eastAsia="Arial" w:hAnsi="Arial"/>
          <w:sz w:val="14"/>
          <w:szCs w:val="14"/>
          <w:color w:val="auto"/>
        </w:rPr>
      </w:pPr>
    </w:p>
    <w:p>
      <w:pPr>
        <w:jc w:val="both"/>
        <w:ind w:left="340" w:right="80" w:hanging="332"/>
        <w:spacing w:after="0" w:line="250"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With respect to PSU awards, this column reflects the grant date fair value for such PSUs at target. We calculated the grant date fair value of each PSU award by multiplying the number of PSUs at target by the applicable grant date fair values for the PSUs: (i) $35.84 for the FCF Margin PSUs and ROCE PSUs issued to our NEOs in January 2022; (ii) $40.11 for the TSR PSUs issued to our NEOs in January 2022; (iii) $41.86 for the FCF Margin PSUs and ROCE PSUs issued to Mr. Merad in April 2022 in connection with his promotion to the role of EVP, Core Services and Equipment; and (iv) $37.13 for the TSR PSUs issued to Mr. Merad in April 2022 in connection with his promotion. With respect to RSU awards, we calculated the grant date fair value by multiplying the number of RSUs by the applicable grant date fair value: (x) $35.84 for the RSUs issued to our NEOs in January 2022; and (y) $41.70 for the RSUs issued to Mr. Merad in April 2022 in connection with his promotion.</w:t>
      </w:r>
    </w:p>
    <w:p>
      <w:pPr>
        <w:spacing w:after="0" w:line="361" w:lineRule="exact"/>
        <w:rPr>
          <w:sz w:val="20"/>
          <w:szCs w:val="20"/>
          <w:color w:val="auto"/>
        </w:rPr>
      </w:pPr>
    </w:p>
    <w:p>
      <w:pPr>
        <w:spacing w:after="0"/>
        <w:rPr>
          <w:sz w:val="20"/>
          <w:szCs w:val="20"/>
          <w:color w:val="auto"/>
        </w:rPr>
      </w:pPr>
      <w:r>
        <w:rPr>
          <w:rFonts w:ascii="Arial" w:cs="Arial" w:eastAsia="Arial" w:hAnsi="Arial"/>
          <w:sz w:val="29"/>
          <w:szCs w:val="29"/>
          <w:color w:val="16458B"/>
        </w:rPr>
        <w:t>Outstanding Equity Awards at Year-End 2022</w:t>
      </w:r>
    </w:p>
    <w:p>
      <w:pPr>
        <w:spacing w:after="0" w:line="211"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The following table provides additional information regarding outstanding and unexercised stock options and outstanding PSU and RSU awards for each of our NEOs as of December 31, 2022.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 w:type="dxa"/>
            <w:vAlign w:val="bottom"/>
          </w:tcPr>
          <w:p>
            <w:pPr>
              <w:spacing w:after="0"/>
              <w:rPr>
                <w:sz w:val="17"/>
                <w:szCs w:val="17"/>
                <w:color w:val="auto"/>
              </w:rPr>
            </w:pPr>
          </w:p>
        </w:tc>
        <w:tc>
          <w:tcPr>
            <w:tcW w:w="40" w:type="dxa"/>
            <w:vAlign w:val="bottom"/>
            <w:tcBorders>
              <w:bottom w:val="single" w:sz="8" w:color="0233A1"/>
            </w:tcBorders>
          </w:tcPr>
          <w:p>
            <w:pPr>
              <w:spacing w:after="0"/>
              <w:rPr>
                <w:sz w:val="17"/>
                <w:szCs w:val="17"/>
                <w:color w:val="auto"/>
              </w:rPr>
            </w:pPr>
          </w:p>
        </w:tc>
        <w:tc>
          <w:tcPr>
            <w:tcW w:w="840" w:type="dxa"/>
            <w:vAlign w:val="bottom"/>
            <w:tcBorders>
              <w:bottom w:val="single" w:sz="8" w:color="0233A1"/>
            </w:tcBorders>
          </w:tcPr>
          <w:p>
            <w:pPr>
              <w:spacing w:after="0"/>
              <w:rPr>
                <w:sz w:val="17"/>
                <w:szCs w:val="17"/>
                <w:color w:val="auto"/>
              </w:rPr>
            </w:pPr>
          </w:p>
        </w:tc>
        <w:tc>
          <w:tcPr>
            <w:tcW w:w="2580" w:type="dxa"/>
            <w:vAlign w:val="bottom"/>
            <w:tcBorders>
              <w:bottom w:val="single" w:sz="8" w:color="0233A1"/>
            </w:tcBorders>
            <w:gridSpan w:val="2"/>
          </w:tcPr>
          <w:p>
            <w:pPr>
              <w:jc w:val="right"/>
              <w:ind w:right="259"/>
              <w:spacing w:after="0"/>
              <w:rPr>
                <w:sz w:val="20"/>
                <w:szCs w:val="20"/>
                <w:color w:val="auto"/>
              </w:rPr>
            </w:pPr>
            <w:r>
              <w:rPr>
                <w:rFonts w:ascii="Arial" w:cs="Arial" w:eastAsia="Arial" w:hAnsi="Arial"/>
                <w:sz w:val="16"/>
                <w:szCs w:val="16"/>
                <w:b w:val="1"/>
                <w:bCs w:val="1"/>
                <w:color w:val="0233A1"/>
              </w:rPr>
              <w:t>Option Awards</w:t>
            </w:r>
          </w:p>
        </w:tc>
        <w:tc>
          <w:tcPr>
            <w:tcW w:w="760" w:type="dxa"/>
            <w:vAlign w:val="bottom"/>
            <w:tcBorders>
              <w:bottom w:val="single" w:sz="8" w:color="0233A1"/>
            </w:tcBorders>
          </w:tcPr>
          <w:p>
            <w:pPr>
              <w:spacing w:after="0"/>
              <w:rPr>
                <w:sz w:val="17"/>
                <w:szCs w:val="17"/>
                <w:color w:val="auto"/>
              </w:rPr>
            </w:pPr>
          </w:p>
        </w:tc>
        <w:tc>
          <w:tcPr>
            <w:tcW w:w="300" w:type="dxa"/>
            <w:vAlign w:val="bottom"/>
            <w:tcBorders>
              <w:bottom w:val="single" w:sz="8" w:color="0233A1"/>
            </w:tcBorders>
          </w:tcPr>
          <w:p>
            <w:pPr>
              <w:spacing w:after="0"/>
              <w:rPr>
                <w:sz w:val="17"/>
                <w:szCs w:val="17"/>
                <w:color w:val="auto"/>
              </w:rPr>
            </w:pPr>
          </w:p>
        </w:tc>
        <w:tc>
          <w:tcPr>
            <w:tcW w:w="460" w:type="dxa"/>
            <w:vAlign w:val="bottom"/>
            <w:tcBorders>
              <w:bottom w:val="single" w:sz="8" w:color="0233A1"/>
            </w:tcBorders>
          </w:tcPr>
          <w:p>
            <w:pPr>
              <w:spacing w:after="0"/>
              <w:rPr>
                <w:sz w:val="17"/>
                <w:szCs w:val="17"/>
                <w:color w:val="auto"/>
              </w:rPr>
            </w:pPr>
          </w:p>
        </w:tc>
        <w:tc>
          <w:tcPr>
            <w:tcW w:w="80" w:type="dxa"/>
            <w:vAlign w:val="bottom"/>
            <w:tcBorders>
              <w:bottom w:val="single" w:sz="8" w:color="0233A1"/>
            </w:tcBorders>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Borders>
              <w:bottom w:val="single" w:sz="8" w:color="0233A1"/>
            </w:tcBorders>
          </w:tcPr>
          <w:p>
            <w:pPr>
              <w:spacing w:after="0"/>
              <w:rPr>
                <w:sz w:val="17"/>
                <w:szCs w:val="17"/>
                <w:color w:val="auto"/>
              </w:rPr>
            </w:pPr>
          </w:p>
        </w:tc>
        <w:tc>
          <w:tcPr>
            <w:tcW w:w="1060" w:type="dxa"/>
            <w:vAlign w:val="bottom"/>
            <w:tcBorders>
              <w:bottom w:val="single" w:sz="8" w:color="0233A1"/>
            </w:tcBorders>
          </w:tcPr>
          <w:p>
            <w:pPr>
              <w:spacing w:after="0"/>
              <w:rPr>
                <w:sz w:val="17"/>
                <w:szCs w:val="17"/>
                <w:color w:val="auto"/>
              </w:rPr>
            </w:pPr>
          </w:p>
        </w:tc>
        <w:tc>
          <w:tcPr>
            <w:tcW w:w="1520" w:type="dxa"/>
            <w:vAlign w:val="bottom"/>
            <w:tcBorders>
              <w:bottom w:val="single" w:sz="8" w:color="0233A1"/>
            </w:tcBorders>
            <w:gridSpan w:val="2"/>
          </w:tcPr>
          <w:p>
            <w:pPr>
              <w:jc w:val="right"/>
              <w:ind w:right="359"/>
              <w:spacing w:after="0"/>
              <w:rPr>
                <w:sz w:val="20"/>
                <w:szCs w:val="20"/>
                <w:color w:val="auto"/>
              </w:rPr>
            </w:pPr>
            <w:r>
              <w:rPr>
                <w:rFonts w:ascii="Arial" w:cs="Arial" w:eastAsia="Arial" w:hAnsi="Arial"/>
                <w:sz w:val="16"/>
                <w:szCs w:val="16"/>
                <w:b w:val="1"/>
                <w:bCs w:val="1"/>
                <w:color w:val="0233A1"/>
              </w:rPr>
              <w:t>Stock Awards</w:t>
            </w:r>
          </w:p>
        </w:tc>
        <w:tc>
          <w:tcPr>
            <w:tcW w:w="1600" w:type="dxa"/>
            <w:vAlign w:val="bottom"/>
            <w:tcBorders>
              <w:bottom w:val="single" w:sz="8" w:color="0233A1"/>
            </w:tcBorders>
          </w:tcPr>
          <w:p>
            <w:pPr>
              <w:spacing w:after="0"/>
              <w:rPr>
                <w:sz w:val="17"/>
                <w:szCs w:val="17"/>
                <w:color w:val="auto"/>
              </w:rPr>
            </w:pPr>
          </w:p>
        </w:tc>
        <w:tc>
          <w:tcPr>
            <w:tcW w:w="80" w:type="dxa"/>
            <w:vAlign w:val="bottom"/>
            <w:tcBorders>
              <w:bottom w:val="single" w:sz="8" w:color="0233A1"/>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gridSpan w:val="2"/>
          </w:tcPr>
          <w:p>
            <w:pPr>
              <w:jc w:val="right"/>
              <w:ind w:right="139"/>
              <w:spacing w:after="0" w:line="168" w:lineRule="exact"/>
              <w:rPr>
                <w:sz w:val="20"/>
                <w:szCs w:val="20"/>
                <w:color w:val="auto"/>
              </w:rPr>
            </w:pPr>
            <w:r>
              <w:rPr>
                <w:rFonts w:ascii="Arial" w:cs="Arial" w:eastAsia="Arial" w:hAnsi="Arial"/>
                <w:sz w:val="16"/>
                <w:szCs w:val="16"/>
                <w:b w:val="1"/>
                <w:bCs w:val="1"/>
                <w:color w:val="0233A1"/>
              </w:rPr>
              <w:t>Equity</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0233A1"/>
              </w:rPr>
              <w:t>Incentive</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0233A1"/>
              </w:rPr>
              <w:t>Equity</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0233A1"/>
              </w:rPr>
              <w:t>Market</w:t>
            </w:r>
          </w:p>
        </w:tc>
        <w:tc>
          <w:tcPr>
            <w:tcW w:w="15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0233A1"/>
              </w:rPr>
              <w:t>Plan Awards:</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0233A1"/>
              </w:rPr>
              <w:t>Incentive</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b w:val="1"/>
                <w:bCs w:val="1"/>
                <w:color w:val="0233A1"/>
              </w:rPr>
              <w:t>Number of</w:t>
            </w: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0233A1"/>
              </w:rPr>
              <w:t>Number of</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0233A1"/>
              </w:rPr>
              <w:t>Number</w:t>
            </w: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0233A1"/>
              </w:rPr>
              <w:t>Value of</w:t>
            </w:r>
          </w:p>
        </w:tc>
        <w:tc>
          <w:tcPr>
            <w:tcW w:w="15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0233A1"/>
              </w:rPr>
              <w:t>Number of</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0233A1"/>
              </w:rPr>
              <w:t>Plan Awards:</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b w:val="1"/>
                <w:bCs w:val="1"/>
                <w:color w:val="0233A1"/>
              </w:rPr>
              <w:t>Securities</w:t>
            </w: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0233A1"/>
              </w:rPr>
              <w:t>Securities</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0233A1"/>
              </w:rPr>
              <w:t>of Shares</w:t>
            </w: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0233A1"/>
              </w:rPr>
              <w:t>Shares or</w:t>
            </w:r>
          </w:p>
        </w:tc>
        <w:tc>
          <w:tcPr>
            <w:tcW w:w="15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0233A1"/>
              </w:rPr>
              <w:t>Unearned</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0233A1"/>
              </w:rPr>
              <w:t>Market or Payout</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b w:val="1"/>
                <w:bCs w:val="1"/>
                <w:color w:val="0233A1"/>
              </w:rPr>
              <w:t>Underlying</w:t>
            </w: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0233A1"/>
              </w:rPr>
              <w:t>Underlying</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0233A1"/>
              </w:rPr>
              <w:t>or Units of</w:t>
            </w: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0233A1"/>
              </w:rPr>
              <w:t>Units of</w:t>
            </w:r>
          </w:p>
        </w:tc>
        <w:tc>
          <w:tcPr>
            <w:tcW w:w="15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0233A1"/>
              </w:rPr>
              <w:t>Shares, Units</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0233A1"/>
              </w:rPr>
              <w:t>Value of Unearned</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b w:val="1"/>
                <w:bCs w:val="1"/>
                <w:color w:val="0233A1"/>
              </w:rPr>
              <w:t>Unexercised</w:t>
            </w: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0233A1"/>
              </w:rPr>
              <w:t>Unexercised</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0233A1"/>
              </w:rPr>
              <w:t>Option</w:t>
            </w: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0233A1"/>
              </w:rPr>
              <w:t>Stock That</w:t>
            </w: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0233A1"/>
              </w:rPr>
              <w:t>Stock That</w:t>
            </w:r>
          </w:p>
        </w:tc>
        <w:tc>
          <w:tcPr>
            <w:tcW w:w="15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0233A1"/>
              </w:rPr>
              <w:t>or Other Rights</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0233A1"/>
              </w:rPr>
              <w:t>Shares, Units or</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0233A1"/>
              </w:rPr>
              <w:t>Option/</w:t>
            </w:r>
          </w:p>
        </w:tc>
        <w:tc>
          <w:tcPr>
            <w:tcW w:w="1220" w:type="dxa"/>
            <w:vAlign w:val="bottom"/>
          </w:tcPr>
          <w:p>
            <w:pPr>
              <w:jc w:val="right"/>
              <w:ind w:right="159"/>
              <w:spacing w:after="0"/>
              <w:rPr>
                <w:sz w:val="20"/>
                <w:szCs w:val="20"/>
                <w:color w:val="auto"/>
              </w:rPr>
            </w:pPr>
            <w:r>
              <w:rPr>
                <w:rFonts w:ascii="Arial" w:cs="Arial" w:eastAsia="Arial" w:hAnsi="Arial"/>
                <w:sz w:val="16"/>
                <w:szCs w:val="16"/>
                <w:b w:val="1"/>
                <w:bCs w:val="1"/>
                <w:color w:val="0233A1"/>
              </w:rPr>
              <w:t>Options</w:t>
            </w: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0233A1"/>
              </w:rPr>
              <w:t>Options</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0233A1"/>
              </w:rPr>
              <w:t>Exercise</w:t>
            </w:r>
          </w:p>
        </w:tc>
        <w:tc>
          <w:tcPr>
            <w:tcW w:w="300" w:type="dxa"/>
            <w:vAlign w:val="bottom"/>
          </w:tcPr>
          <w:p>
            <w:pPr>
              <w:spacing w:after="0"/>
              <w:rPr>
                <w:sz w:val="16"/>
                <w:szCs w:val="16"/>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0233A1"/>
              </w:rPr>
              <w:t>Option</w:t>
            </w: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0233A1"/>
              </w:rPr>
              <w:t>Have Not</w:t>
            </w: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0233A1"/>
              </w:rPr>
              <w:t>Have Not</w:t>
            </w:r>
          </w:p>
        </w:tc>
        <w:tc>
          <w:tcPr>
            <w:tcW w:w="15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0233A1"/>
              </w:rPr>
              <w:t>That Have Not</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0233A1"/>
              </w:rPr>
              <w:t>Other Rights That</w:t>
            </w:r>
          </w:p>
        </w:tc>
        <w:tc>
          <w:tcPr>
            <w:tcW w:w="0" w:type="dxa"/>
            <w:vAlign w:val="bottom"/>
          </w:tcPr>
          <w:p>
            <w:pPr>
              <w:spacing w:after="0"/>
              <w:rPr>
                <w:sz w:val="1"/>
                <w:szCs w:val="1"/>
                <w:color w:val="auto"/>
              </w:rPr>
            </w:pPr>
          </w:p>
        </w:tc>
      </w:tr>
      <w:tr>
        <w:trPr>
          <w:trHeight w:val="163"/>
        </w:trPr>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jc w:val="right"/>
              <w:spacing w:after="0" w:line="163" w:lineRule="exact"/>
              <w:rPr>
                <w:sz w:val="20"/>
                <w:szCs w:val="20"/>
                <w:color w:val="auto"/>
              </w:rPr>
            </w:pPr>
            <w:r>
              <w:rPr>
                <w:rFonts w:ascii="Arial" w:cs="Arial" w:eastAsia="Arial" w:hAnsi="Arial"/>
                <w:sz w:val="16"/>
                <w:szCs w:val="16"/>
                <w:b w:val="1"/>
                <w:bCs w:val="1"/>
                <w:color w:val="0233A1"/>
              </w:rPr>
              <w:t>PSU/RSU</w:t>
            </w:r>
          </w:p>
        </w:tc>
        <w:tc>
          <w:tcPr>
            <w:tcW w:w="1220" w:type="dxa"/>
            <w:vAlign w:val="bottom"/>
          </w:tcPr>
          <w:p>
            <w:pPr>
              <w:jc w:val="right"/>
              <w:ind w:right="159"/>
              <w:spacing w:after="0" w:line="163" w:lineRule="exact"/>
              <w:rPr>
                <w:sz w:val="20"/>
                <w:szCs w:val="20"/>
                <w:color w:val="auto"/>
              </w:rPr>
            </w:pPr>
            <w:r>
              <w:rPr>
                <w:rFonts w:ascii="Arial" w:cs="Arial" w:eastAsia="Arial" w:hAnsi="Arial"/>
                <w:sz w:val="16"/>
                <w:szCs w:val="16"/>
                <w:b w:val="1"/>
                <w:bCs w:val="1"/>
                <w:color w:val="0233A1"/>
              </w:rPr>
              <w:t>Exercisable</w:t>
            </w:r>
          </w:p>
        </w:tc>
        <w:tc>
          <w:tcPr>
            <w:tcW w:w="1360" w:type="dxa"/>
            <w:vAlign w:val="bottom"/>
          </w:tcPr>
          <w:p>
            <w:pPr>
              <w:jc w:val="right"/>
              <w:ind w:right="139"/>
              <w:spacing w:after="0" w:line="163" w:lineRule="exact"/>
              <w:rPr>
                <w:sz w:val="20"/>
                <w:szCs w:val="20"/>
                <w:color w:val="auto"/>
              </w:rPr>
            </w:pPr>
            <w:r>
              <w:rPr>
                <w:rFonts w:ascii="Arial" w:cs="Arial" w:eastAsia="Arial" w:hAnsi="Arial"/>
                <w:sz w:val="16"/>
                <w:szCs w:val="16"/>
                <w:b w:val="1"/>
                <w:bCs w:val="1"/>
                <w:color w:val="0233A1"/>
              </w:rPr>
              <w:t>Unexercisable</w:t>
            </w:r>
          </w:p>
        </w:tc>
        <w:tc>
          <w:tcPr>
            <w:tcW w:w="1660" w:type="dxa"/>
            <w:vAlign w:val="bottom"/>
            <w:gridSpan w:val="5"/>
          </w:tcPr>
          <w:p>
            <w:pPr>
              <w:jc w:val="right"/>
              <w:ind w:right="60"/>
              <w:spacing w:after="0" w:line="163" w:lineRule="exact"/>
              <w:rPr>
                <w:sz w:val="20"/>
                <w:szCs w:val="20"/>
                <w:color w:val="auto"/>
              </w:rPr>
            </w:pPr>
            <w:r>
              <w:rPr>
                <w:rFonts w:ascii="Arial" w:cs="Arial" w:eastAsia="Arial" w:hAnsi="Arial"/>
                <w:sz w:val="16"/>
                <w:szCs w:val="16"/>
                <w:b w:val="1"/>
                <w:bCs w:val="1"/>
                <w:color w:val="0233A1"/>
              </w:rPr>
              <w:t>Price Expiration</w:t>
            </w:r>
          </w:p>
        </w:tc>
        <w:tc>
          <w:tcPr>
            <w:tcW w:w="1060" w:type="dxa"/>
            <w:vAlign w:val="bottom"/>
          </w:tcPr>
          <w:p>
            <w:pPr>
              <w:jc w:val="right"/>
              <w:ind w:right="139"/>
              <w:spacing w:after="0" w:line="163" w:lineRule="exact"/>
              <w:rPr>
                <w:sz w:val="20"/>
                <w:szCs w:val="20"/>
                <w:color w:val="auto"/>
              </w:rPr>
            </w:pPr>
            <w:r>
              <w:rPr>
                <w:rFonts w:ascii="Arial" w:cs="Arial" w:eastAsia="Arial" w:hAnsi="Arial"/>
                <w:sz w:val="16"/>
                <w:szCs w:val="16"/>
                <w:b w:val="1"/>
                <w:bCs w:val="1"/>
                <w:color w:val="0233A1"/>
              </w:rPr>
              <w:t>Vested</w:t>
            </w:r>
          </w:p>
        </w:tc>
        <w:tc>
          <w:tcPr>
            <w:tcW w:w="1060" w:type="dxa"/>
            <w:vAlign w:val="bottom"/>
          </w:tcPr>
          <w:p>
            <w:pPr>
              <w:jc w:val="right"/>
              <w:ind w:right="99"/>
              <w:spacing w:after="0" w:line="163" w:lineRule="exact"/>
              <w:rPr>
                <w:sz w:val="20"/>
                <w:szCs w:val="20"/>
                <w:color w:val="auto"/>
              </w:rPr>
            </w:pPr>
            <w:r>
              <w:rPr>
                <w:rFonts w:ascii="Arial" w:cs="Arial" w:eastAsia="Arial" w:hAnsi="Arial"/>
                <w:sz w:val="16"/>
                <w:szCs w:val="16"/>
                <w:b w:val="1"/>
                <w:bCs w:val="1"/>
                <w:color w:val="0233A1"/>
              </w:rPr>
              <w:t>Vested</w:t>
            </w:r>
          </w:p>
        </w:tc>
        <w:tc>
          <w:tcPr>
            <w:tcW w:w="1520" w:type="dxa"/>
            <w:vAlign w:val="bottom"/>
            <w:gridSpan w:val="2"/>
          </w:tcPr>
          <w:p>
            <w:pPr>
              <w:jc w:val="right"/>
              <w:ind w:right="139"/>
              <w:spacing w:after="0" w:line="163" w:lineRule="exact"/>
              <w:rPr>
                <w:sz w:val="20"/>
                <w:szCs w:val="20"/>
                <w:color w:val="auto"/>
              </w:rPr>
            </w:pPr>
            <w:r>
              <w:rPr>
                <w:rFonts w:ascii="Arial" w:cs="Arial" w:eastAsia="Arial" w:hAnsi="Arial"/>
                <w:sz w:val="16"/>
                <w:szCs w:val="16"/>
                <w:b w:val="1"/>
                <w:bCs w:val="1"/>
                <w:color w:val="0233A1"/>
              </w:rPr>
              <w:t>Vested</w:t>
            </w:r>
          </w:p>
        </w:tc>
        <w:tc>
          <w:tcPr>
            <w:tcW w:w="1680" w:type="dxa"/>
            <w:vAlign w:val="bottom"/>
            <w:gridSpan w:val="2"/>
          </w:tcPr>
          <w:p>
            <w:pPr>
              <w:jc w:val="right"/>
              <w:ind w:right="220"/>
              <w:spacing w:after="0" w:line="163" w:lineRule="exact"/>
              <w:rPr>
                <w:sz w:val="20"/>
                <w:szCs w:val="20"/>
                <w:color w:val="auto"/>
              </w:rPr>
            </w:pPr>
            <w:r>
              <w:rPr>
                <w:rFonts w:ascii="Arial" w:cs="Arial" w:eastAsia="Arial" w:hAnsi="Arial"/>
                <w:sz w:val="16"/>
                <w:szCs w:val="16"/>
                <w:b w:val="1"/>
                <w:bCs w:val="1"/>
                <w:color w:val="0233A1"/>
              </w:rPr>
              <w:t>Have Not Vested</w:t>
            </w:r>
          </w:p>
        </w:tc>
        <w:tc>
          <w:tcPr>
            <w:tcW w:w="0" w:type="dxa"/>
            <w:vAlign w:val="bottom"/>
          </w:tcPr>
          <w:p>
            <w:pPr>
              <w:spacing w:after="0"/>
              <w:rPr>
                <w:sz w:val="1"/>
                <w:szCs w:val="1"/>
                <w:color w:val="auto"/>
              </w:rPr>
            </w:pPr>
          </w:p>
        </w:tc>
      </w:tr>
      <w:tr>
        <w:trPr>
          <w:trHeight w:val="229"/>
        </w:trPr>
        <w:tc>
          <w:tcPr>
            <w:tcW w:w="88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Name</w:t>
            </w:r>
          </w:p>
        </w:tc>
        <w:tc>
          <w:tcPr>
            <w:tcW w:w="880" w:type="dxa"/>
            <w:vAlign w:val="bottom"/>
            <w:tcBorders>
              <w:bottom w:val="single" w:sz="8" w:color="0233A1"/>
            </w:tcBorders>
            <w:gridSpan w:val="2"/>
          </w:tcPr>
          <w:p>
            <w:pPr>
              <w:jc w:val="right"/>
              <w:spacing w:after="0"/>
              <w:rPr>
                <w:sz w:val="20"/>
                <w:szCs w:val="20"/>
                <w:color w:val="auto"/>
              </w:rPr>
            </w:pPr>
            <w:r>
              <w:rPr>
                <w:rFonts w:ascii="Arial" w:cs="Arial" w:eastAsia="Arial" w:hAnsi="Arial"/>
                <w:sz w:val="16"/>
                <w:szCs w:val="16"/>
                <w:b w:val="1"/>
                <w:bCs w:val="1"/>
                <w:color w:val="0233A1"/>
              </w:rPr>
              <w:t>Grant Date</w:t>
            </w:r>
          </w:p>
        </w:tc>
        <w:tc>
          <w:tcPr>
            <w:tcW w:w="122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(1)</w:t>
            </w:r>
          </w:p>
        </w:tc>
        <w:tc>
          <w:tcPr>
            <w:tcW w:w="136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(1)</w:t>
            </w:r>
          </w:p>
        </w:tc>
        <w:tc>
          <w:tcPr>
            <w:tcW w:w="76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300" w:type="dxa"/>
            <w:vAlign w:val="bottom"/>
            <w:tcBorders>
              <w:bottom w:val="single" w:sz="8" w:color="0233A1"/>
            </w:tcBorders>
          </w:tcPr>
          <w:p>
            <w:pPr>
              <w:spacing w:after="0"/>
              <w:rPr>
                <w:sz w:val="19"/>
                <w:szCs w:val="19"/>
                <w:color w:val="auto"/>
              </w:rPr>
            </w:pPr>
          </w:p>
        </w:tc>
        <w:tc>
          <w:tcPr>
            <w:tcW w:w="600" w:type="dxa"/>
            <w:vAlign w:val="bottom"/>
            <w:tcBorders>
              <w:bottom w:val="single" w:sz="8" w:color="0233A1"/>
            </w:tcBorders>
            <w:gridSpan w:val="3"/>
          </w:tcPr>
          <w:p>
            <w:pPr>
              <w:jc w:val="right"/>
              <w:ind w:right="60"/>
              <w:spacing w:after="0"/>
              <w:rPr>
                <w:sz w:val="20"/>
                <w:szCs w:val="20"/>
                <w:color w:val="auto"/>
              </w:rPr>
            </w:pPr>
            <w:r>
              <w:rPr>
                <w:rFonts w:ascii="Arial" w:cs="Arial" w:eastAsia="Arial" w:hAnsi="Arial"/>
                <w:sz w:val="16"/>
                <w:szCs w:val="16"/>
                <w:b w:val="1"/>
                <w:bCs w:val="1"/>
                <w:color w:val="0233A1"/>
              </w:rPr>
              <w:t>Date</w:t>
            </w:r>
          </w:p>
        </w:tc>
        <w:tc>
          <w:tcPr>
            <w:tcW w:w="1060" w:type="dxa"/>
            <w:vAlign w:val="bottom"/>
            <w:tcBorders>
              <w:bottom w:val="single" w:sz="8" w:color="0233A1"/>
            </w:tcBorders>
          </w:tcPr>
          <w:p>
            <w:pPr>
              <w:jc w:val="right"/>
              <w:ind w:right="139"/>
              <w:spacing w:after="0"/>
              <w:rPr>
                <w:sz w:val="20"/>
                <w:szCs w:val="20"/>
                <w:color w:val="auto"/>
              </w:rPr>
            </w:pPr>
            <w:r>
              <w:rPr>
                <w:rFonts w:ascii="Arial" w:cs="Arial" w:eastAsia="Arial" w:hAnsi="Arial"/>
                <w:sz w:val="16"/>
                <w:szCs w:val="16"/>
                <w:b w:val="1"/>
                <w:bCs w:val="1"/>
                <w:color w:val="0233A1"/>
              </w:rPr>
              <w:t>(#)</w:t>
            </w:r>
          </w:p>
        </w:tc>
        <w:tc>
          <w:tcPr>
            <w:tcW w:w="106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(2)</w:t>
            </w:r>
          </w:p>
        </w:tc>
        <w:tc>
          <w:tcPr>
            <w:tcW w:w="132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200" w:type="dxa"/>
            <w:vAlign w:val="bottom"/>
            <w:tcBorders>
              <w:bottom w:val="single" w:sz="8" w:color="0233A1"/>
            </w:tcBorders>
          </w:tcPr>
          <w:p>
            <w:pPr>
              <w:spacing w:after="0"/>
              <w:rPr>
                <w:sz w:val="19"/>
                <w:szCs w:val="19"/>
                <w:color w:val="auto"/>
              </w:rPr>
            </w:pPr>
          </w:p>
        </w:tc>
        <w:tc>
          <w:tcPr>
            <w:tcW w:w="1680" w:type="dxa"/>
            <w:vAlign w:val="bottom"/>
            <w:tcBorders>
              <w:bottom w:val="single" w:sz="8" w:color="0233A1"/>
            </w:tcBorders>
            <w:gridSpan w:val="2"/>
          </w:tcPr>
          <w:p>
            <w:pPr>
              <w:jc w:val="right"/>
              <w:ind w:right="40"/>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(2)</w:t>
            </w:r>
          </w:p>
        </w:tc>
        <w:tc>
          <w:tcPr>
            <w:tcW w:w="0" w:type="dxa"/>
            <w:vAlign w:val="bottom"/>
          </w:tcPr>
          <w:p>
            <w:pPr>
              <w:spacing w:after="0"/>
              <w:rPr>
                <w:sz w:val="1"/>
                <w:szCs w:val="1"/>
                <w:color w:val="auto"/>
              </w:rPr>
            </w:pPr>
          </w:p>
        </w:tc>
      </w:tr>
      <w:tr>
        <w:trPr>
          <w:trHeight w:val="168"/>
        </w:trPr>
        <w:tc>
          <w:tcPr>
            <w:tcW w:w="880" w:type="dxa"/>
            <w:vAlign w:val="bottom"/>
          </w:tcPr>
          <w:p>
            <w:pPr>
              <w:ind w:left="60"/>
              <w:spacing w:after="0" w:line="168" w:lineRule="exact"/>
              <w:rPr>
                <w:sz w:val="20"/>
                <w:szCs w:val="20"/>
                <w:color w:val="auto"/>
              </w:rPr>
            </w:pPr>
            <w:r>
              <w:rPr>
                <w:rFonts w:ascii="Arial" w:cs="Arial" w:eastAsia="Arial" w:hAnsi="Arial"/>
                <w:sz w:val="16"/>
                <w:szCs w:val="16"/>
                <w:color w:val="auto"/>
              </w:rPr>
              <w:t>O. Le</w:t>
            </w: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880" w:type="dxa"/>
            <w:vAlign w:val="bottom"/>
          </w:tcPr>
          <w:p>
            <w:pPr>
              <w:ind w:left="60"/>
              <w:spacing w:after="0"/>
              <w:rPr>
                <w:sz w:val="20"/>
                <w:szCs w:val="20"/>
                <w:color w:val="auto"/>
              </w:rPr>
            </w:pPr>
            <w:r>
              <w:rPr>
                <w:rFonts w:ascii="Arial" w:cs="Arial" w:eastAsia="Arial" w:hAnsi="Arial"/>
                <w:sz w:val="16"/>
                <w:szCs w:val="16"/>
                <w:color w:val="auto"/>
              </w:rPr>
              <w:t>Peuch</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4/18/2013</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30,000</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70.925</w:t>
            </w:r>
          </w:p>
        </w:tc>
        <w:tc>
          <w:tcPr>
            <w:tcW w:w="900" w:type="dxa"/>
            <w:vAlign w:val="bottom"/>
            <w:gridSpan w:val="4"/>
          </w:tcPr>
          <w:p>
            <w:pPr>
              <w:jc w:val="right"/>
              <w:ind w:right="60"/>
              <w:spacing w:after="0"/>
              <w:rPr>
                <w:sz w:val="20"/>
                <w:szCs w:val="20"/>
                <w:color w:val="auto"/>
              </w:rPr>
            </w:pPr>
            <w:r>
              <w:rPr>
                <w:rFonts w:ascii="Arial" w:cs="Arial" w:eastAsia="Arial" w:hAnsi="Arial"/>
                <w:sz w:val="16"/>
                <w:szCs w:val="16"/>
                <w:color w:val="auto"/>
              </w:rPr>
              <w:t>4/18/2023</w:t>
            </w: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4/16/2014</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30,000</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100.555</w:t>
            </w:r>
          </w:p>
        </w:tc>
        <w:tc>
          <w:tcPr>
            <w:tcW w:w="900" w:type="dxa"/>
            <w:vAlign w:val="bottom"/>
            <w:gridSpan w:val="4"/>
          </w:tcPr>
          <w:p>
            <w:pPr>
              <w:jc w:val="right"/>
              <w:ind w:right="60"/>
              <w:spacing w:after="0"/>
              <w:rPr>
                <w:sz w:val="20"/>
                <w:szCs w:val="20"/>
                <w:color w:val="auto"/>
              </w:rPr>
            </w:pPr>
            <w:r>
              <w:rPr>
                <w:rFonts w:ascii="Arial" w:cs="Arial" w:eastAsia="Arial" w:hAnsi="Arial"/>
                <w:sz w:val="16"/>
                <w:szCs w:val="16"/>
                <w:color w:val="auto"/>
              </w:rPr>
              <w:t>4/16/2024</w:t>
            </w: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4/16/2015</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24,000</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91.740</w:t>
            </w:r>
          </w:p>
        </w:tc>
        <w:tc>
          <w:tcPr>
            <w:tcW w:w="900" w:type="dxa"/>
            <w:vAlign w:val="bottom"/>
            <w:gridSpan w:val="4"/>
          </w:tcPr>
          <w:p>
            <w:pPr>
              <w:jc w:val="right"/>
              <w:ind w:right="60"/>
              <w:spacing w:after="0"/>
              <w:rPr>
                <w:sz w:val="20"/>
                <w:szCs w:val="20"/>
                <w:color w:val="auto"/>
              </w:rPr>
            </w:pPr>
            <w:r>
              <w:rPr>
                <w:rFonts w:ascii="Arial" w:cs="Arial" w:eastAsia="Arial" w:hAnsi="Arial"/>
                <w:sz w:val="16"/>
                <w:szCs w:val="16"/>
                <w:color w:val="auto"/>
              </w:rPr>
              <w:t>4/16/2025</w:t>
            </w: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4/20/2016</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30,000</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80.525</w:t>
            </w:r>
          </w:p>
        </w:tc>
        <w:tc>
          <w:tcPr>
            <w:tcW w:w="900" w:type="dxa"/>
            <w:vAlign w:val="bottom"/>
            <w:gridSpan w:val="4"/>
          </w:tcPr>
          <w:p>
            <w:pPr>
              <w:jc w:val="right"/>
              <w:ind w:right="60"/>
              <w:spacing w:after="0"/>
              <w:rPr>
                <w:sz w:val="20"/>
                <w:szCs w:val="20"/>
                <w:color w:val="auto"/>
              </w:rPr>
            </w:pPr>
            <w:r>
              <w:rPr>
                <w:rFonts w:ascii="Arial" w:cs="Arial" w:eastAsia="Arial" w:hAnsi="Arial"/>
                <w:sz w:val="16"/>
                <w:szCs w:val="16"/>
                <w:color w:val="auto"/>
              </w:rPr>
              <w:t>4/20/2026</w:t>
            </w: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1/19/2017</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15,000</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87.380</w:t>
            </w:r>
          </w:p>
        </w:tc>
        <w:tc>
          <w:tcPr>
            <w:tcW w:w="900" w:type="dxa"/>
            <w:vAlign w:val="bottom"/>
            <w:gridSpan w:val="4"/>
          </w:tcPr>
          <w:p>
            <w:pPr>
              <w:jc w:val="right"/>
              <w:ind w:right="60"/>
              <w:spacing w:after="0"/>
              <w:rPr>
                <w:sz w:val="20"/>
                <w:szCs w:val="20"/>
                <w:color w:val="auto"/>
              </w:rPr>
            </w:pPr>
            <w:r>
              <w:rPr>
                <w:rFonts w:ascii="Arial" w:cs="Arial" w:eastAsia="Arial" w:hAnsi="Arial"/>
                <w:sz w:val="16"/>
                <w:szCs w:val="16"/>
                <w:color w:val="auto"/>
              </w:rPr>
              <w:t>1/19/2027</w:t>
            </w: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8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1/20/2021</w:t>
            </w:r>
          </w:p>
        </w:tc>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20" w:type="dxa"/>
            <w:vAlign w:val="bottom"/>
            <w:gridSpan w:val="2"/>
          </w:tcPr>
          <w:p>
            <w:pPr>
              <w:jc w:val="right"/>
              <w:spacing w:after="0" w:line="246" w:lineRule="exact"/>
              <w:rPr>
                <w:sz w:val="20"/>
                <w:szCs w:val="20"/>
                <w:color w:val="auto"/>
              </w:rPr>
            </w:pPr>
            <w:r>
              <w:rPr>
                <w:rFonts w:ascii="Arial" w:cs="Arial" w:eastAsia="Arial" w:hAnsi="Arial"/>
                <w:sz w:val="16"/>
                <w:szCs w:val="16"/>
                <w:color w:val="auto"/>
              </w:rPr>
              <w:t>220,580</w:t>
            </w:r>
            <w:r>
              <w:rPr>
                <w:rFonts w:ascii="Arial" w:cs="Arial" w:eastAsia="Arial" w:hAnsi="Arial"/>
                <w:sz w:val="26"/>
                <w:szCs w:val="26"/>
                <w:color w:val="auto"/>
                <w:vertAlign w:val="superscript"/>
              </w:rPr>
              <w:t>(3)</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11,792,207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1/20/2021</w:t>
            </w:r>
          </w:p>
        </w:tc>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16"/>
                <w:szCs w:val="16"/>
                <w:color w:val="auto"/>
              </w:rPr>
              <w:t>110,290</w:t>
            </w:r>
            <w:r>
              <w:rPr>
                <w:rFonts w:ascii="Arial" w:cs="Arial" w:eastAsia="Arial" w:hAnsi="Arial"/>
                <w:sz w:val="26"/>
                <w:szCs w:val="26"/>
                <w:color w:val="auto"/>
                <w:vertAlign w:val="superscript"/>
              </w:rPr>
              <w:t>(4)</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5,896,103</w:t>
            </w: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2/3/2021</w:t>
            </w:r>
          </w:p>
        </w:tc>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20" w:type="dxa"/>
            <w:vAlign w:val="bottom"/>
            <w:gridSpan w:val="2"/>
          </w:tcPr>
          <w:p>
            <w:pPr>
              <w:jc w:val="right"/>
              <w:spacing w:after="0" w:line="243" w:lineRule="exact"/>
              <w:rPr>
                <w:sz w:val="20"/>
                <w:szCs w:val="20"/>
                <w:color w:val="auto"/>
              </w:rPr>
            </w:pPr>
            <w:r>
              <w:rPr>
                <w:rFonts w:ascii="Arial" w:cs="Arial" w:eastAsia="Arial" w:hAnsi="Arial"/>
                <w:sz w:val="16"/>
                <w:szCs w:val="16"/>
                <w:color w:val="auto"/>
              </w:rPr>
              <w:t>96,440</w:t>
            </w:r>
            <w:r>
              <w:rPr>
                <w:rFonts w:ascii="Arial" w:cs="Arial" w:eastAsia="Arial" w:hAnsi="Arial"/>
                <w:sz w:val="26"/>
                <w:szCs w:val="26"/>
                <w:color w:val="auto"/>
                <w:vertAlign w:val="superscript"/>
              </w:rPr>
              <w:t>(5)</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5,155,682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1/19/2022</w:t>
            </w:r>
          </w:p>
        </w:tc>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20" w:type="dxa"/>
            <w:vAlign w:val="bottom"/>
            <w:gridSpan w:val="2"/>
          </w:tcPr>
          <w:p>
            <w:pPr>
              <w:jc w:val="right"/>
              <w:spacing w:after="0" w:line="243" w:lineRule="exact"/>
              <w:rPr>
                <w:sz w:val="20"/>
                <w:szCs w:val="20"/>
                <w:color w:val="auto"/>
              </w:rPr>
            </w:pPr>
            <w:r>
              <w:rPr>
                <w:rFonts w:ascii="Arial" w:cs="Arial" w:eastAsia="Arial" w:hAnsi="Arial"/>
                <w:sz w:val="16"/>
                <w:szCs w:val="16"/>
                <w:color w:val="auto"/>
              </w:rPr>
              <w:t>242,204</w:t>
            </w:r>
            <w:r>
              <w:rPr>
                <w:rFonts w:ascii="Arial" w:cs="Arial" w:eastAsia="Arial" w:hAnsi="Arial"/>
                <w:sz w:val="26"/>
                <w:szCs w:val="26"/>
                <w:color w:val="auto"/>
                <w:vertAlign w:val="superscript"/>
              </w:rPr>
              <w:t>(6)</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12,948,226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1/19/2022</w:t>
            </w:r>
          </w:p>
        </w:tc>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jc w:val="right"/>
              <w:spacing w:after="0" w:line="241" w:lineRule="exact"/>
              <w:rPr>
                <w:sz w:val="20"/>
                <w:szCs w:val="20"/>
                <w:color w:val="auto"/>
              </w:rPr>
            </w:pPr>
            <w:r>
              <w:rPr>
                <w:rFonts w:ascii="Arial" w:cs="Arial" w:eastAsia="Arial" w:hAnsi="Arial"/>
                <w:sz w:val="16"/>
                <w:szCs w:val="16"/>
                <w:color w:val="auto"/>
              </w:rPr>
              <w:t>83,705</w:t>
            </w:r>
            <w:r>
              <w:rPr>
                <w:rFonts w:ascii="Arial" w:cs="Arial" w:eastAsia="Arial" w:hAnsi="Arial"/>
                <w:sz w:val="26"/>
                <w:szCs w:val="26"/>
                <w:color w:val="auto"/>
                <w:vertAlign w:val="superscript"/>
              </w:rPr>
              <w:t>(7)</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4,474,869</w:t>
            </w: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880" w:type="dxa"/>
            <w:vAlign w:val="bottom"/>
          </w:tcPr>
          <w:p>
            <w:pPr>
              <w:ind w:left="60"/>
              <w:spacing w:after="0"/>
              <w:rPr>
                <w:sz w:val="20"/>
                <w:szCs w:val="20"/>
                <w:color w:val="auto"/>
              </w:rPr>
            </w:pPr>
            <w:r>
              <w:rPr>
                <w:rFonts w:ascii="Arial" w:cs="Arial" w:eastAsia="Arial" w:hAnsi="Arial"/>
                <w:sz w:val="16"/>
                <w:szCs w:val="16"/>
                <w:color w:val="auto"/>
              </w:rPr>
              <w:t>S. Biguet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4/18/2013</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20,000</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70.925</w:t>
            </w:r>
          </w:p>
        </w:tc>
        <w:tc>
          <w:tcPr>
            <w:tcW w:w="900" w:type="dxa"/>
            <w:vAlign w:val="bottom"/>
            <w:gridSpan w:val="4"/>
          </w:tcPr>
          <w:p>
            <w:pPr>
              <w:jc w:val="right"/>
              <w:ind w:right="60"/>
              <w:spacing w:after="0"/>
              <w:rPr>
                <w:sz w:val="20"/>
                <w:szCs w:val="20"/>
                <w:color w:val="auto"/>
              </w:rPr>
            </w:pPr>
            <w:r>
              <w:rPr>
                <w:rFonts w:ascii="Arial" w:cs="Arial" w:eastAsia="Arial" w:hAnsi="Arial"/>
                <w:sz w:val="16"/>
                <w:szCs w:val="16"/>
                <w:color w:val="auto"/>
              </w:rPr>
              <w:t>4/18/2023</w:t>
            </w: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10/17/2013</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20,000</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91.280</w:t>
            </w:r>
          </w:p>
        </w:tc>
        <w:tc>
          <w:tcPr>
            <w:tcW w:w="900" w:type="dxa"/>
            <w:vAlign w:val="bottom"/>
            <w:gridSpan w:val="4"/>
          </w:tcPr>
          <w:p>
            <w:pPr>
              <w:jc w:val="right"/>
              <w:ind w:right="60"/>
              <w:spacing w:after="0"/>
              <w:rPr>
                <w:sz w:val="20"/>
                <w:szCs w:val="20"/>
                <w:color w:val="auto"/>
              </w:rPr>
            </w:pPr>
            <w:r>
              <w:rPr>
                <w:rFonts w:ascii="Arial" w:cs="Arial" w:eastAsia="Arial" w:hAnsi="Arial"/>
                <w:sz w:val="16"/>
                <w:szCs w:val="16"/>
                <w:color w:val="auto"/>
              </w:rPr>
              <w:t>10/17/2023</w:t>
            </w: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1/16/2014</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13,000</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88.765</w:t>
            </w:r>
          </w:p>
        </w:tc>
        <w:tc>
          <w:tcPr>
            <w:tcW w:w="900" w:type="dxa"/>
            <w:vAlign w:val="bottom"/>
            <w:gridSpan w:val="4"/>
          </w:tcPr>
          <w:p>
            <w:pPr>
              <w:jc w:val="right"/>
              <w:ind w:right="60"/>
              <w:spacing w:after="0"/>
              <w:rPr>
                <w:sz w:val="20"/>
                <w:szCs w:val="20"/>
                <w:color w:val="auto"/>
              </w:rPr>
            </w:pPr>
            <w:r>
              <w:rPr>
                <w:rFonts w:ascii="Arial" w:cs="Arial" w:eastAsia="Arial" w:hAnsi="Arial"/>
                <w:sz w:val="16"/>
                <w:szCs w:val="16"/>
                <w:color w:val="auto"/>
              </w:rPr>
              <w:t>1/16/2024</w:t>
            </w: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1/15/2015</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18,000</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77.795</w:t>
            </w:r>
          </w:p>
        </w:tc>
        <w:tc>
          <w:tcPr>
            <w:tcW w:w="900" w:type="dxa"/>
            <w:vAlign w:val="bottom"/>
            <w:gridSpan w:val="4"/>
          </w:tcPr>
          <w:p>
            <w:pPr>
              <w:jc w:val="right"/>
              <w:ind w:right="60"/>
              <w:spacing w:after="0"/>
              <w:rPr>
                <w:sz w:val="20"/>
                <w:szCs w:val="20"/>
                <w:color w:val="auto"/>
              </w:rPr>
            </w:pPr>
            <w:r>
              <w:rPr>
                <w:rFonts w:ascii="Arial" w:cs="Arial" w:eastAsia="Arial" w:hAnsi="Arial"/>
                <w:sz w:val="16"/>
                <w:szCs w:val="16"/>
                <w:color w:val="auto"/>
              </w:rPr>
              <w:t>1/15/2025</w:t>
            </w: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1/21/2016</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28,000</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61.920</w:t>
            </w:r>
          </w:p>
        </w:tc>
        <w:tc>
          <w:tcPr>
            <w:tcW w:w="900" w:type="dxa"/>
            <w:vAlign w:val="bottom"/>
            <w:gridSpan w:val="4"/>
          </w:tcPr>
          <w:p>
            <w:pPr>
              <w:jc w:val="right"/>
              <w:ind w:right="60"/>
              <w:spacing w:after="0"/>
              <w:rPr>
                <w:sz w:val="20"/>
                <w:szCs w:val="20"/>
                <w:color w:val="auto"/>
              </w:rPr>
            </w:pPr>
            <w:r>
              <w:rPr>
                <w:rFonts w:ascii="Arial" w:cs="Arial" w:eastAsia="Arial" w:hAnsi="Arial"/>
                <w:sz w:val="16"/>
                <w:szCs w:val="16"/>
                <w:color w:val="auto"/>
              </w:rPr>
              <w:t>1/21/2026</w:t>
            </w: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8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1/15/2020</w:t>
            </w:r>
          </w:p>
        </w:tc>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20" w:type="dxa"/>
            <w:vAlign w:val="bottom"/>
            <w:gridSpan w:val="2"/>
          </w:tcPr>
          <w:p>
            <w:pPr>
              <w:jc w:val="right"/>
              <w:spacing w:after="0" w:line="246" w:lineRule="exact"/>
              <w:rPr>
                <w:sz w:val="20"/>
                <w:szCs w:val="20"/>
                <w:color w:val="auto"/>
              </w:rPr>
            </w:pPr>
            <w:r>
              <w:rPr>
                <w:rFonts w:ascii="Arial" w:cs="Arial" w:eastAsia="Arial" w:hAnsi="Arial"/>
                <w:sz w:val="16"/>
                <w:szCs w:val="16"/>
                <w:color w:val="auto"/>
              </w:rPr>
              <w:t>75,980</w:t>
            </w:r>
            <w:r>
              <w:rPr>
                <w:rFonts w:ascii="Arial" w:cs="Arial" w:eastAsia="Arial" w:hAnsi="Arial"/>
                <w:sz w:val="26"/>
                <w:szCs w:val="26"/>
                <w:color w:val="auto"/>
                <w:vertAlign w:val="superscript"/>
              </w:rPr>
              <w:t>(8)</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4,061,891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1/20/2021</w:t>
            </w:r>
          </w:p>
        </w:tc>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20" w:type="dxa"/>
            <w:vAlign w:val="bottom"/>
            <w:gridSpan w:val="2"/>
          </w:tcPr>
          <w:p>
            <w:pPr>
              <w:jc w:val="right"/>
              <w:spacing w:after="0" w:line="243" w:lineRule="exact"/>
              <w:rPr>
                <w:sz w:val="20"/>
                <w:szCs w:val="20"/>
                <w:color w:val="auto"/>
              </w:rPr>
            </w:pPr>
            <w:r>
              <w:rPr>
                <w:rFonts w:ascii="Arial" w:cs="Arial" w:eastAsia="Arial" w:hAnsi="Arial"/>
                <w:sz w:val="16"/>
                <w:szCs w:val="16"/>
                <w:color w:val="auto"/>
              </w:rPr>
              <w:t>67,220</w:t>
            </w:r>
            <w:r>
              <w:rPr>
                <w:rFonts w:ascii="Arial" w:cs="Arial" w:eastAsia="Arial" w:hAnsi="Arial"/>
                <w:sz w:val="26"/>
                <w:szCs w:val="26"/>
                <w:color w:val="auto"/>
                <w:vertAlign w:val="superscript"/>
              </w:rPr>
              <w:t>(3)</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3,593,581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1/20/2021</w:t>
            </w:r>
          </w:p>
        </w:tc>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16"/>
                <w:szCs w:val="16"/>
                <w:color w:val="auto"/>
              </w:rPr>
              <w:t>33,610</w:t>
            </w:r>
            <w:r>
              <w:rPr>
                <w:rFonts w:ascii="Arial" w:cs="Arial" w:eastAsia="Arial" w:hAnsi="Arial"/>
                <w:sz w:val="26"/>
                <w:szCs w:val="26"/>
                <w:color w:val="auto"/>
                <w:vertAlign w:val="superscript"/>
              </w:rPr>
              <w:t>(4)</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1,796,791</w:t>
            </w: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2/3/2021</w:t>
            </w:r>
          </w:p>
        </w:tc>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20" w:type="dxa"/>
            <w:vAlign w:val="bottom"/>
            <w:gridSpan w:val="2"/>
          </w:tcPr>
          <w:p>
            <w:pPr>
              <w:jc w:val="right"/>
              <w:spacing w:after="0" w:line="243" w:lineRule="exact"/>
              <w:rPr>
                <w:sz w:val="20"/>
                <w:szCs w:val="20"/>
                <w:color w:val="auto"/>
              </w:rPr>
            </w:pPr>
            <w:r>
              <w:rPr>
                <w:rFonts w:ascii="Arial" w:cs="Arial" w:eastAsia="Arial" w:hAnsi="Arial"/>
                <w:sz w:val="16"/>
                <w:szCs w:val="16"/>
                <w:color w:val="auto"/>
              </w:rPr>
              <w:t>29,390</w:t>
            </w:r>
            <w:r>
              <w:rPr>
                <w:rFonts w:ascii="Arial" w:cs="Arial" w:eastAsia="Arial" w:hAnsi="Arial"/>
                <w:sz w:val="26"/>
                <w:szCs w:val="26"/>
                <w:color w:val="auto"/>
                <w:vertAlign w:val="superscript"/>
              </w:rPr>
              <w:t>(5)</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1,571,189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1/19/2022</w:t>
            </w:r>
          </w:p>
        </w:tc>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20" w:type="dxa"/>
            <w:vAlign w:val="bottom"/>
            <w:gridSpan w:val="2"/>
          </w:tcPr>
          <w:p>
            <w:pPr>
              <w:jc w:val="right"/>
              <w:spacing w:after="0" w:line="243" w:lineRule="exact"/>
              <w:rPr>
                <w:sz w:val="20"/>
                <w:szCs w:val="20"/>
                <w:color w:val="auto"/>
              </w:rPr>
            </w:pPr>
            <w:r>
              <w:rPr>
                <w:rFonts w:ascii="Arial" w:cs="Arial" w:eastAsia="Arial" w:hAnsi="Arial"/>
                <w:sz w:val="16"/>
                <w:szCs w:val="16"/>
                <w:color w:val="auto"/>
              </w:rPr>
              <w:t>70,643</w:t>
            </w:r>
            <w:r>
              <w:rPr>
                <w:rFonts w:ascii="Arial" w:cs="Arial" w:eastAsia="Arial" w:hAnsi="Arial"/>
                <w:sz w:val="26"/>
                <w:szCs w:val="26"/>
                <w:color w:val="auto"/>
                <w:vertAlign w:val="superscript"/>
              </w:rPr>
              <w:t>(6)</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3,776,575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1/19/2022</w:t>
            </w:r>
          </w:p>
        </w:tc>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jc w:val="right"/>
              <w:spacing w:after="0" w:line="241" w:lineRule="exact"/>
              <w:rPr>
                <w:sz w:val="20"/>
                <w:szCs w:val="20"/>
                <w:color w:val="auto"/>
              </w:rPr>
            </w:pPr>
            <w:r>
              <w:rPr>
                <w:rFonts w:ascii="Arial" w:cs="Arial" w:eastAsia="Arial" w:hAnsi="Arial"/>
                <w:sz w:val="16"/>
                <w:szCs w:val="16"/>
                <w:color w:val="auto"/>
              </w:rPr>
              <w:t>24,414</w:t>
            </w:r>
            <w:r>
              <w:rPr>
                <w:rFonts w:ascii="Arial" w:cs="Arial" w:eastAsia="Arial" w:hAnsi="Arial"/>
                <w:sz w:val="26"/>
                <w:szCs w:val="26"/>
                <w:color w:val="auto"/>
                <w:vertAlign w:val="superscript"/>
              </w:rPr>
              <w:t>(7)</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1,305,172</w:t>
            </w: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80" w:type="dxa"/>
            <w:vAlign w:val="bottom"/>
          </w:tcPr>
          <w:p>
            <w:pPr>
              <w:ind w:left="60"/>
              <w:spacing w:after="0"/>
              <w:rPr>
                <w:sz w:val="20"/>
                <w:szCs w:val="20"/>
                <w:color w:val="auto"/>
              </w:rPr>
            </w:pPr>
            <w:r>
              <w:rPr>
                <w:rFonts w:ascii="Arial" w:cs="Arial" w:eastAsia="Arial" w:hAnsi="Arial"/>
                <w:sz w:val="16"/>
                <w:szCs w:val="16"/>
                <w:color w:val="auto"/>
              </w:rPr>
              <w:t>K. Al</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80" w:type="dxa"/>
            <w:vAlign w:val="bottom"/>
          </w:tcPr>
          <w:p>
            <w:pPr>
              <w:ind w:left="60"/>
              <w:spacing w:after="0"/>
              <w:rPr>
                <w:sz w:val="20"/>
                <w:szCs w:val="20"/>
                <w:color w:val="auto"/>
              </w:rPr>
            </w:pPr>
            <w:r>
              <w:rPr>
                <w:rFonts w:ascii="Arial" w:cs="Arial" w:eastAsia="Arial" w:hAnsi="Arial"/>
                <w:sz w:val="16"/>
                <w:szCs w:val="16"/>
                <w:color w:val="auto"/>
              </w:rPr>
              <w:t>Mogharbel</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4/18/2013</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20,000</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70.925</w:t>
            </w:r>
          </w:p>
        </w:tc>
        <w:tc>
          <w:tcPr>
            <w:tcW w:w="900" w:type="dxa"/>
            <w:vAlign w:val="bottom"/>
            <w:gridSpan w:val="4"/>
          </w:tcPr>
          <w:p>
            <w:pPr>
              <w:jc w:val="right"/>
              <w:ind w:right="60"/>
              <w:spacing w:after="0"/>
              <w:rPr>
                <w:sz w:val="20"/>
                <w:szCs w:val="20"/>
                <w:color w:val="auto"/>
              </w:rPr>
            </w:pPr>
            <w:r>
              <w:rPr>
                <w:rFonts w:ascii="Arial" w:cs="Arial" w:eastAsia="Arial" w:hAnsi="Arial"/>
                <w:sz w:val="16"/>
                <w:szCs w:val="16"/>
                <w:color w:val="auto"/>
              </w:rPr>
              <w:t>4/18/2023</w:t>
            </w: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7/18/2013</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50,000</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78.305</w:t>
            </w:r>
          </w:p>
        </w:tc>
        <w:tc>
          <w:tcPr>
            <w:tcW w:w="900" w:type="dxa"/>
            <w:vAlign w:val="bottom"/>
            <w:gridSpan w:val="4"/>
          </w:tcPr>
          <w:p>
            <w:pPr>
              <w:jc w:val="right"/>
              <w:ind w:right="60"/>
              <w:spacing w:after="0"/>
              <w:rPr>
                <w:sz w:val="20"/>
                <w:szCs w:val="20"/>
                <w:color w:val="auto"/>
              </w:rPr>
            </w:pPr>
            <w:r>
              <w:rPr>
                <w:rFonts w:ascii="Arial" w:cs="Arial" w:eastAsia="Arial" w:hAnsi="Arial"/>
                <w:sz w:val="16"/>
                <w:szCs w:val="16"/>
                <w:color w:val="auto"/>
              </w:rPr>
              <w:t>7/18/2023</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1/16/2014</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53,000</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88.765</w:t>
            </w:r>
          </w:p>
        </w:tc>
        <w:tc>
          <w:tcPr>
            <w:tcW w:w="900" w:type="dxa"/>
            <w:vAlign w:val="bottom"/>
            <w:gridSpan w:val="4"/>
          </w:tcPr>
          <w:p>
            <w:pPr>
              <w:jc w:val="right"/>
              <w:ind w:right="60"/>
              <w:spacing w:after="0"/>
              <w:rPr>
                <w:sz w:val="20"/>
                <w:szCs w:val="20"/>
                <w:color w:val="auto"/>
              </w:rPr>
            </w:pPr>
            <w:r>
              <w:rPr>
                <w:rFonts w:ascii="Arial" w:cs="Arial" w:eastAsia="Arial" w:hAnsi="Arial"/>
                <w:sz w:val="16"/>
                <w:szCs w:val="16"/>
                <w:color w:val="auto"/>
              </w:rPr>
              <w:t>1/16/2024</w:t>
            </w: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1/15/2015</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71,000</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77.795</w:t>
            </w:r>
          </w:p>
        </w:tc>
        <w:tc>
          <w:tcPr>
            <w:tcW w:w="900" w:type="dxa"/>
            <w:vAlign w:val="bottom"/>
            <w:gridSpan w:val="4"/>
          </w:tcPr>
          <w:p>
            <w:pPr>
              <w:jc w:val="right"/>
              <w:ind w:right="60"/>
              <w:spacing w:after="0"/>
              <w:rPr>
                <w:sz w:val="20"/>
                <w:szCs w:val="20"/>
                <w:color w:val="auto"/>
              </w:rPr>
            </w:pPr>
            <w:r>
              <w:rPr>
                <w:rFonts w:ascii="Arial" w:cs="Arial" w:eastAsia="Arial" w:hAnsi="Arial"/>
                <w:sz w:val="16"/>
                <w:szCs w:val="16"/>
                <w:color w:val="auto"/>
              </w:rPr>
              <w:t>1/15/2025</w:t>
            </w: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1/21/2016</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114,000</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61.920</w:t>
            </w:r>
          </w:p>
        </w:tc>
        <w:tc>
          <w:tcPr>
            <w:tcW w:w="900" w:type="dxa"/>
            <w:vAlign w:val="bottom"/>
            <w:gridSpan w:val="4"/>
          </w:tcPr>
          <w:p>
            <w:pPr>
              <w:jc w:val="right"/>
              <w:ind w:right="60"/>
              <w:spacing w:after="0"/>
              <w:rPr>
                <w:sz w:val="20"/>
                <w:szCs w:val="20"/>
                <w:color w:val="auto"/>
              </w:rPr>
            </w:pPr>
            <w:r>
              <w:rPr>
                <w:rFonts w:ascii="Arial" w:cs="Arial" w:eastAsia="Arial" w:hAnsi="Arial"/>
                <w:sz w:val="16"/>
                <w:szCs w:val="16"/>
                <w:color w:val="auto"/>
              </w:rPr>
              <w:t>1/21/2026</w:t>
            </w: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8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1/15/2020</w:t>
            </w:r>
          </w:p>
        </w:tc>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20" w:type="dxa"/>
            <w:vAlign w:val="bottom"/>
            <w:gridSpan w:val="2"/>
          </w:tcPr>
          <w:p>
            <w:pPr>
              <w:jc w:val="right"/>
              <w:spacing w:after="0" w:line="246" w:lineRule="exact"/>
              <w:rPr>
                <w:sz w:val="20"/>
                <w:szCs w:val="20"/>
                <w:color w:val="auto"/>
              </w:rPr>
            </w:pPr>
            <w:r>
              <w:rPr>
                <w:rFonts w:ascii="Arial" w:cs="Arial" w:eastAsia="Arial" w:hAnsi="Arial"/>
                <w:sz w:val="16"/>
                <w:szCs w:val="16"/>
                <w:color w:val="auto"/>
              </w:rPr>
              <w:t>113,060</w:t>
            </w:r>
            <w:r>
              <w:rPr>
                <w:rFonts w:ascii="Arial" w:cs="Arial" w:eastAsia="Arial" w:hAnsi="Arial"/>
                <w:sz w:val="26"/>
                <w:szCs w:val="26"/>
                <w:color w:val="auto"/>
                <w:vertAlign w:val="superscript"/>
              </w:rPr>
              <w:t>(8)</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6,044,188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1/20/2021</w:t>
            </w:r>
          </w:p>
        </w:tc>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20" w:type="dxa"/>
            <w:vAlign w:val="bottom"/>
            <w:gridSpan w:val="2"/>
          </w:tcPr>
          <w:p>
            <w:pPr>
              <w:jc w:val="right"/>
              <w:spacing w:after="0" w:line="243" w:lineRule="exact"/>
              <w:rPr>
                <w:sz w:val="20"/>
                <w:szCs w:val="20"/>
                <w:color w:val="auto"/>
              </w:rPr>
            </w:pPr>
            <w:r>
              <w:rPr>
                <w:rFonts w:ascii="Arial" w:cs="Arial" w:eastAsia="Arial" w:hAnsi="Arial"/>
                <w:sz w:val="16"/>
                <w:szCs w:val="16"/>
                <w:color w:val="auto"/>
              </w:rPr>
              <w:t>73,520</w:t>
            </w:r>
            <w:r>
              <w:rPr>
                <w:rFonts w:ascii="Arial" w:cs="Arial" w:eastAsia="Arial" w:hAnsi="Arial"/>
                <w:sz w:val="26"/>
                <w:szCs w:val="26"/>
                <w:color w:val="auto"/>
                <w:vertAlign w:val="superscript"/>
              </w:rPr>
              <w:t>(3)</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3,930,379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1/20/2021</w:t>
            </w:r>
          </w:p>
        </w:tc>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16"/>
                <w:szCs w:val="16"/>
                <w:color w:val="auto"/>
              </w:rPr>
              <w:t>36,760</w:t>
            </w:r>
            <w:r>
              <w:rPr>
                <w:rFonts w:ascii="Arial" w:cs="Arial" w:eastAsia="Arial" w:hAnsi="Arial"/>
                <w:sz w:val="26"/>
                <w:szCs w:val="26"/>
                <w:color w:val="auto"/>
                <w:vertAlign w:val="superscript"/>
              </w:rPr>
              <w:t>(4)</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1,965,190</w:t>
            </w: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2/3/2021</w:t>
            </w:r>
          </w:p>
        </w:tc>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20" w:type="dxa"/>
            <w:vAlign w:val="bottom"/>
            <w:gridSpan w:val="2"/>
          </w:tcPr>
          <w:p>
            <w:pPr>
              <w:jc w:val="right"/>
              <w:spacing w:after="0" w:line="243" w:lineRule="exact"/>
              <w:rPr>
                <w:sz w:val="20"/>
                <w:szCs w:val="20"/>
                <w:color w:val="auto"/>
              </w:rPr>
            </w:pPr>
            <w:r>
              <w:rPr>
                <w:rFonts w:ascii="Arial" w:cs="Arial" w:eastAsia="Arial" w:hAnsi="Arial"/>
                <w:sz w:val="16"/>
                <w:szCs w:val="16"/>
                <w:color w:val="auto"/>
              </w:rPr>
              <w:t>32,150</w:t>
            </w:r>
            <w:r>
              <w:rPr>
                <w:rFonts w:ascii="Arial" w:cs="Arial" w:eastAsia="Arial" w:hAnsi="Arial"/>
                <w:sz w:val="26"/>
                <w:szCs w:val="26"/>
                <w:color w:val="auto"/>
                <w:vertAlign w:val="superscript"/>
              </w:rPr>
              <w:t>(5)</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1,718,739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1/19/2022</w:t>
            </w:r>
          </w:p>
        </w:tc>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20" w:type="dxa"/>
            <w:vAlign w:val="bottom"/>
            <w:gridSpan w:val="2"/>
          </w:tcPr>
          <w:p>
            <w:pPr>
              <w:jc w:val="right"/>
              <w:spacing w:after="0" w:line="243" w:lineRule="exact"/>
              <w:rPr>
                <w:sz w:val="20"/>
                <w:szCs w:val="20"/>
                <w:color w:val="auto"/>
              </w:rPr>
            </w:pPr>
            <w:r>
              <w:rPr>
                <w:rFonts w:ascii="Arial" w:cs="Arial" w:eastAsia="Arial" w:hAnsi="Arial"/>
                <w:sz w:val="16"/>
                <w:szCs w:val="16"/>
                <w:color w:val="auto"/>
              </w:rPr>
              <w:t>70,643</w:t>
            </w:r>
            <w:r>
              <w:rPr>
                <w:rFonts w:ascii="Arial" w:cs="Arial" w:eastAsia="Arial" w:hAnsi="Arial"/>
                <w:sz w:val="26"/>
                <w:szCs w:val="26"/>
                <w:color w:val="auto"/>
                <w:vertAlign w:val="superscript"/>
              </w:rPr>
              <w:t>(6)</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3,776,575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9"/>
        </w:trPr>
        <w:tc>
          <w:tcPr>
            <w:tcW w:w="8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1/19/2022</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24,414</w:t>
            </w:r>
            <w:r>
              <w:rPr>
                <w:rFonts w:ascii="Arial" w:cs="Arial" w:eastAsia="Arial" w:hAnsi="Arial"/>
                <w:sz w:val="26"/>
                <w:szCs w:val="26"/>
                <w:color w:val="auto"/>
                <w:vertAlign w:val="superscript"/>
              </w:rPr>
              <w:t>(7)</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1,305,172</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52</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880" w:type="dxa"/>
            <w:vAlign w:val="bottom"/>
            <w:gridSpan w:val="3"/>
            <w:vMerge w:val="restart"/>
          </w:tcPr>
          <w:p>
            <w:pPr>
              <w:jc w:val="right"/>
              <w:ind w:right="80"/>
              <w:spacing w:after="0"/>
              <w:rPr>
                <w:sz w:val="20"/>
                <w:szCs w:val="20"/>
                <w:color w:val="auto"/>
              </w:rPr>
            </w:pPr>
            <w:r>
              <w:rPr>
                <w:rFonts w:ascii="Arial" w:cs="Arial" w:eastAsia="Arial" w:hAnsi="Arial"/>
                <w:sz w:val="16"/>
                <w:szCs w:val="16"/>
                <w:b w:val="1"/>
                <w:bCs w:val="1"/>
                <w:color w:val="636466"/>
              </w:rPr>
              <w:t>2023 Proxy Statement</w:t>
            </w:r>
          </w:p>
        </w:tc>
        <w:tc>
          <w:tcPr>
            <w:tcW w:w="0" w:type="dxa"/>
            <w:vAlign w:val="bottom"/>
          </w:tcPr>
          <w:p>
            <w:pPr>
              <w:spacing w:after="0"/>
              <w:rPr>
                <w:sz w:val="1"/>
                <w:szCs w:val="1"/>
                <w:color w:val="auto"/>
              </w:rPr>
            </w:pPr>
          </w:p>
        </w:tc>
      </w:tr>
      <w:tr>
        <w:trPr>
          <w:trHeight w:val="74"/>
        </w:trPr>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8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8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840" w:type="dxa"/>
            <w:vAlign w:val="bottom"/>
            <w:tcBorders>
              <w:bottom w:val="single" w:sz="8" w:color="C0C0C0"/>
            </w:tcBorders>
          </w:tcPr>
          <w:p>
            <w:pPr>
              <w:spacing w:after="0"/>
              <w:rPr>
                <w:sz w:val="20"/>
                <w:szCs w:val="20"/>
                <w:color w:val="auto"/>
              </w:rPr>
            </w:pPr>
          </w:p>
        </w:tc>
        <w:tc>
          <w:tcPr>
            <w:tcW w:w="1220" w:type="dxa"/>
            <w:vAlign w:val="bottom"/>
            <w:tcBorders>
              <w:bottom w:val="single" w:sz="8" w:color="C0C0C0"/>
            </w:tcBorders>
          </w:tcPr>
          <w:p>
            <w:pPr>
              <w:spacing w:after="0"/>
              <w:rPr>
                <w:sz w:val="20"/>
                <w:szCs w:val="20"/>
                <w:color w:val="auto"/>
              </w:rPr>
            </w:pPr>
          </w:p>
        </w:tc>
        <w:tc>
          <w:tcPr>
            <w:tcW w:w="1360" w:type="dxa"/>
            <w:vAlign w:val="bottom"/>
            <w:tcBorders>
              <w:bottom w:val="single" w:sz="8" w:color="C0C0C0"/>
            </w:tcBorders>
          </w:tcPr>
          <w:p>
            <w:pPr>
              <w:spacing w:after="0"/>
              <w:rPr>
                <w:sz w:val="20"/>
                <w:szCs w:val="20"/>
                <w:color w:val="auto"/>
              </w:rPr>
            </w:pPr>
          </w:p>
        </w:tc>
        <w:tc>
          <w:tcPr>
            <w:tcW w:w="76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1060" w:type="dxa"/>
            <w:vAlign w:val="bottom"/>
            <w:tcBorders>
              <w:bottom w:val="single" w:sz="8" w:color="C0C0C0"/>
            </w:tcBorders>
          </w:tcPr>
          <w:p>
            <w:pPr>
              <w:spacing w:after="0"/>
              <w:rPr>
                <w:sz w:val="20"/>
                <w:szCs w:val="20"/>
                <w:color w:val="auto"/>
              </w:rPr>
            </w:pPr>
          </w:p>
        </w:tc>
        <w:tc>
          <w:tcPr>
            <w:tcW w:w="1060" w:type="dxa"/>
            <w:vAlign w:val="bottom"/>
            <w:tcBorders>
              <w:bottom w:val="single" w:sz="8" w:color="C0C0C0"/>
            </w:tcBorders>
          </w:tcPr>
          <w:p>
            <w:pPr>
              <w:spacing w:after="0"/>
              <w:rPr>
                <w:sz w:val="20"/>
                <w:szCs w:val="20"/>
                <w:color w:val="auto"/>
              </w:rPr>
            </w:pPr>
          </w:p>
        </w:tc>
        <w:tc>
          <w:tcPr>
            <w:tcW w:w="13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600" w:type="dxa"/>
            <w:vAlign w:val="bottom"/>
            <w:tcBorders>
              <w:bottom w:val="single" w:sz="8" w:color="C0C0C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7183755" cy="8890"/>
            <wp:wrapNone/>
            <wp:docPr id="3511" name="Picture 3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1"/>
                    <pic:cNvPicPr>
                      <a:picLocks noChangeAspect="1" noChangeArrowheads="1"/>
                    </pic:cNvPicPr>
                  </pic:nvPicPr>
                  <pic:blipFill>
                    <a:blip r:embed="rId3518">
                      <a:extLst>
                        <a:ext uri="{28A0092B-C50C-407E-A947-70E740481C1C}"/>
                      </a:extLst>
                    </a:blip>
                    <a:srcRect/>
                    <a:stretch>
                      <a:fillRect/>
                    </a:stretch>
                  </pic:blipFill>
                  <pic:spPr bwMode="auto">
                    <a:xfrm>
                      <a:off x="0" y="0"/>
                      <a:ext cx="718375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-641985</wp:posOffset>
            </wp:positionV>
            <wp:extent cx="6660515" cy="8255"/>
            <wp:wrapNone/>
            <wp:docPr id="3512" name="Picture 3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2"/>
                    <pic:cNvPicPr>
                      <a:picLocks noChangeAspect="1" noChangeArrowheads="1"/>
                    </pic:cNvPicPr>
                  </pic:nvPicPr>
                  <pic:blipFill>
                    <a:blip r:embed="rId3519">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-796290</wp:posOffset>
            </wp:positionV>
            <wp:extent cx="6660515" cy="8890"/>
            <wp:wrapNone/>
            <wp:docPr id="3513" name="Picture 3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3"/>
                    <pic:cNvPicPr>
                      <a:picLocks noChangeAspect="1" noChangeArrowheads="1"/>
                    </pic:cNvPicPr>
                  </pic:nvPicPr>
                  <pic:blipFill>
                    <a:blip r:embed="rId3520">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-950595</wp:posOffset>
            </wp:positionV>
            <wp:extent cx="6660515" cy="8890"/>
            <wp:wrapNone/>
            <wp:docPr id="3514" name="Picture 3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4"/>
                    <pic:cNvPicPr>
                      <a:picLocks noChangeAspect="1" noChangeArrowheads="1"/>
                    </pic:cNvPicPr>
                  </pic:nvPicPr>
                  <pic:blipFill>
                    <a:blip r:embed="rId3521">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-1104900</wp:posOffset>
            </wp:positionV>
            <wp:extent cx="6660515" cy="8890"/>
            <wp:wrapNone/>
            <wp:docPr id="3515" name="Picture 3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5"/>
                    <pic:cNvPicPr>
                      <a:picLocks noChangeAspect="1" noChangeArrowheads="1"/>
                    </pic:cNvPicPr>
                  </pic:nvPicPr>
                  <pic:blipFill>
                    <a:blip r:embed="rId3522">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-1259205</wp:posOffset>
            </wp:positionV>
            <wp:extent cx="6660515" cy="8890"/>
            <wp:wrapNone/>
            <wp:docPr id="3516" name="Picture 3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6"/>
                    <pic:cNvPicPr>
                      <a:picLocks noChangeAspect="1" noChangeArrowheads="1"/>
                    </pic:cNvPicPr>
                  </pic:nvPicPr>
                  <pic:blipFill>
                    <a:blip r:embed="rId3523">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-1413510</wp:posOffset>
            </wp:positionV>
            <wp:extent cx="6660515" cy="8890"/>
            <wp:wrapNone/>
            <wp:docPr id="3517" name="Picture 3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7"/>
                    <pic:cNvPicPr>
                      <a:picLocks noChangeAspect="1" noChangeArrowheads="1"/>
                    </pic:cNvPicPr>
                  </pic:nvPicPr>
                  <pic:blipFill>
                    <a:blip r:embed="rId3524">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-1550670</wp:posOffset>
            </wp:positionV>
            <wp:extent cx="6660515" cy="8255"/>
            <wp:wrapNone/>
            <wp:docPr id="3518" name="Picture 3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8"/>
                    <pic:cNvPicPr>
                      <a:picLocks noChangeAspect="1" noChangeArrowheads="1"/>
                    </pic:cNvPicPr>
                  </pic:nvPicPr>
                  <pic:blipFill>
                    <a:blip r:embed="rId3525">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-1687830</wp:posOffset>
            </wp:positionV>
            <wp:extent cx="6660515" cy="8890"/>
            <wp:wrapNone/>
            <wp:docPr id="3519" name="Picture 3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9"/>
                    <pic:cNvPicPr>
                      <a:picLocks noChangeAspect="1" noChangeArrowheads="1"/>
                    </pic:cNvPicPr>
                  </pic:nvPicPr>
                  <pic:blipFill>
                    <a:blip r:embed="rId3526">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-1824990</wp:posOffset>
            </wp:positionV>
            <wp:extent cx="6660515" cy="8255"/>
            <wp:wrapNone/>
            <wp:docPr id="3520" name="Picture 3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0"/>
                    <pic:cNvPicPr>
                      <a:picLocks noChangeAspect="1" noChangeArrowheads="1"/>
                    </pic:cNvPicPr>
                  </pic:nvPicPr>
                  <pic:blipFill>
                    <a:blip r:embed="rId3527">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-1953895</wp:posOffset>
            </wp:positionV>
            <wp:extent cx="6660515" cy="8255"/>
            <wp:wrapNone/>
            <wp:docPr id="3521" name="Picture 3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1"/>
                    <pic:cNvPicPr>
                      <a:picLocks noChangeAspect="1" noChangeArrowheads="1"/>
                    </pic:cNvPicPr>
                  </pic:nvPicPr>
                  <pic:blipFill>
                    <a:blip r:embed="rId3528">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-2211070</wp:posOffset>
            </wp:positionV>
            <wp:extent cx="7183755" cy="8255"/>
            <wp:wrapNone/>
            <wp:docPr id="3522" name="Picture 3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2"/>
                    <pic:cNvPicPr>
                      <a:picLocks noChangeAspect="1" noChangeArrowheads="1"/>
                    </pic:cNvPicPr>
                  </pic:nvPicPr>
                  <pic:blipFill>
                    <a:blip r:embed="rId3529">
                      <a:extLst>
                        <a:ext uri="{28A0092B-C50C-407E-A947-70E740481C1C}"/>
                      </a:extLst>
                    </a:blip>
                    <a:srcRect/>
                    <a:stretch>
                      <a:fillRect/>
                    </a:stretch>
                  </pic:blipFill>
                  <pic:spPr bwMode="auto">
                    <a:xfrm>
                      <a:off x="0" y="0"/>
                      <a:ext cx="718375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-2365375</wp:posOffset>
            </wp:positionV>
            <wp:extent cx="6660515" cy="8255"/>
            <wp:wrapNone/>
            <wp:docPr id="3523" name="Picture 3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3"/>
                    <pic:cNvPicPr>
                      <a:picLocks noChangeAspect="1" noChangeArrowheads="1"/>
                    </pic:cNvPicPr>
                  </pic:nvPicPr>
                  <pic:blipFill>
                    <a:blip r:embed="rId3530">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-2519680</wp:posOffset>
            </wp:positionV>
            <wp:extent cx="6660515" cy="8255"/>
            <wp:wrapNone/>
            <wp:docPr id="3524" name="Picture 3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4"/>
                    <pic:cNvPicPr>
                      <a:picLocks noChangeAspect="1" noChangeArrowheads="1"/>
                    </pic:cNvPicPr>
                  </pic:nvPicPr>
                  <pic:blipFill>
                    <a:blip r:embed="rId3531">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-2673985</wp:posOffset>
            </wp:positionV>
            <wp:extent cx="6660515" cy="8255"/>
            <wp:wrapNone/>
            <wp:docPr id="3525" name="Picture 3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5"/>
                    <pic:cNvPicPr>
                      <a:picLocks noChangeAspect="1" noChangeArrowheads="1"/>
                    </pic:cNvPicPr>
                  </pic:nvPicPr>
                  <pic:blipFill>
                    <a:blip r:embed="rId3532">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-2828290</wp:posOffset>
            </wp:positionV>
            <wp:extent cx="6660515" cy="8890"/>
            <wp:wrapNone/>
            <wp:docPr id="3526" name="Picture 3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6"/>
                    <pic:cNvPicPr>
                      <a:picLocks noChangeAspect="1" noChangeArrowheads="1"/>
                    </pic:cNvPicPr>
                  </pic:nvPicPr>
                  <pic:blipFill>
                    <a:blip r:embed="rId3533">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-2982595</wp:posOffset>
            </wp:positionV>
            <wp:extent cx="6660515" cy="8890"/>
            <wp:wrapNone/>
            <wp:docPr id="3527" name="Picture 3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7"/>
                    <pic:cNvPicPr>
                      <a:picLocks noChangeAspect="1" noChangeArrowheads="1"/>
                    </pic:cNvPicPr>
                  </pic:nvPicPr>
                  <pic:blipFill>
                    <a:blip r:embed="rId3534">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-3136900</wp:posOffset>
            </wp:positionV>
            <wp:extent cx="6660515" cy="8890"/>
            <wp:wrapNone/>
            <wp:docPr id="3528" name="Picture 3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8"/>
                    <pic:cNvPicPr>
                      <a:picLocks noChangeAspect="1" noChangeArrowheads="1"/>
                    </pic:cNvPicPr>
                  </pic:nvPicPr>
                  <pic:blipFill>
                    <a:blip r:embed="rId3535">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-3274060</wp:posOffset>
            </wp:positionV>
            <wp:extent cx="6660515" cy="8255"/>
            <wp:wrapNone/>
            <wp:docPr id="3529" name="Picture 3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9"/>
                    <pic:cNvPicPr>
                      <a:picLocks noChangeAspect="1" noChangeArrowheads="1"/>
                    </pic:cNvPicPr>
                  </pic:nvPicPr>
                  <pic:blipFill>
                    <a:blip r:embed="rId3536">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-3411220</wp:posOffset>
            </wp:positionV>
            <wp:extent cx="6660515" cy="8890"/>
            <wp:wrapNone/>
            <wp:docPr id="3530" name="Picture 3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0"/>
                    <pic:cNvPicPr>
                      <a:picLocks noChangeAspect="1" noChangeArrowheads="1"/>
                    </pic:cNvPicPr>
                  </pic:nvPicPr>
                  <pic:blipFill>
                    <a:blip r:embed="rId3537">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-3548380</wp:posOffset>
            </wp:positionV>
            <wp:extent cx="6660515" cy="8255"/>
            <wp:wrapNone/>
            <wp:docPr id="3531" name="Picture 3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1"/>
                    <pic:cNvPicPr>
                      <a:picLocks noChangeAspect="1" noChangeArrowheads="1"/>
                    </pic:cNvPicPr>
                  </pic:nvPicPr>
                  <pic:blipFill>
                    <a:blip r:embed="rId3538">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-3685540</wp:posOffset>
            </wp:positionV>
            <wp:extent cx="6660515" cy="8255"/>
            <wp:wrapNone/>
            <wp:docPr id="3532" name="Picture 3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2"/>
                    <pic:cNvPicPr>
                      <a:picLocks noChangeAspect="1" noChangeArrowheads="1"/>
                    </pic:cNvPicPr>
                  </pic:nvPicPr>
                  <pic:blipFill>
                    <a:blip r:embed="rId3539">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-3822700</wp:posOffset>
            </wp:positionV>
            <wp:extent cx="7183755" cy="8890"/>
            <wp:wrapNone/>
            <wp:docPr id="3533" name="Picture 3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3"/>
                    <pic:cNvPicPr>
                      <a:picLocks noChangeAspect="1" noChangeArrowheads="1"/>
                    </pic:cNvPicPr>
                  </pic:nvPicPr>
                  <pic:blipFill>
                    <a:blip r:embed="rId3540">
                      <a:extLst>
                        <a:ext uri="{28A0092B-C50C-407E-A947-70E740481C1C}"/>
                      </a:extLst>
                    </a:blip>
                    <a:srcRect/>
                    <a:stretch>
                      <a:fillRect/>
                    </a:stretch>
                  </pic:blipFill>
                  <pic:spPr bwMode="auto">
                    <a:xfrm>
                      <a:off x="0" y="0"/>
                      <a:ext cx="718375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-3977005</wp:posOffset>
            </wp:positionV>
            <wp:extent cx="6660515" cy="8890"/>
            <wp:wrapNone/>
            <wp:docPr id="3534" name="Picture 3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4"/>
                    <pic:cNvPicPr>
                      <a:picLocks noChangeAspect="1" noChangeArrowheads="1"/>
                    </pic:cNvPicPr>
                  </pic:nvPicPr>
                  <pic:blipFill>
                    <a:blip r:embed="rId3541">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-4131310</wp:posOffset>
            </wp:positionV>
            <wp:extent cx="6660515" cy="8255"/>
            <wp:wrapNone/>
            <wp:docPr id="3535" name="Picture 3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5"/>
                    <pic:cNvPicPr>
                      <a:picLocks noChangeAspect="1" noChangeArrowheads="1"/>
                    </pic:cNvPicPr>
                  </pic:nvPicPr>
                  <pic:blipFill>
                    <a:blip r:embed="rId3542">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-4285615</wp:posOffset>
            </wp:positionV>
            <wp:extent cx="6660515" cy="8255"/>
            <wp:wrapNone/>
            <wp:docPr id="3536" name="Picture 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6"/>
                    <pic:cNvPicPr>
                      <a:picLocks noChangeAspect="1" noChangeArrowheads="1"/>
                    </pic:cNvPicPr>
                  </pic:nvPicPr>
                  <pic:blipFill>
                    <a:blip r:embed="rId3543">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-4439920</wp:posOffset>
            </wp:positionV>
            <wp:extent cx="6660515" cy="8255"/>
            <wp:wrapNone/>
            <wp:docPr id="3537" name="Picture 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7"/>
                    <pic:cNvPicPr>
                      <a:picLocks noChangeAspect="1" noChangeArrowheads="1"/>
                    </pic:cNvPicPr>
                  </pic:nvPicPr>
                  <pic:blipFill>
                    <a:blip r:embed="rId3544">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-4594225</wp:posOffset>
            </wp:positionV>
            <wp:extent cx="6660515" cy="8255"/>
            <wp:wrapNone/>
            <wp:docPr id="3538" name="Picture 3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8"/>
                    <pic:cNvPicPr>
                      <a:picLocks noChangeAspect="1" noChangeArrowheads="1"/>
                    </pic:cNvPicPr>
                  </pic:nvPicPr>
                  <pic:blipFill>
                    <a:blip r:embed="rId3545">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-4731385</wp:posOffset>
            </wp:positionV>
            <wp:extent cx="6660515" cy="8255"/>
            <wp:wrapNone/>
            <wp:docPr id="3539" name="Picture 3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9"/>
                    <pic:cNvPicPr>
                      <a:picLocks noChangeAspect="1" noChangeArrowheads="1"/>
                    </pic:cNvPicPr>
                  </pic:nvPicPr>
                  <pic:blipFill>
                    <a:blip r:embed="rId3546">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-4868545</wp:posOffset>
            </wp:positionV>
            <wp:extent cx="6660515" cy="8890"/>
            <wp:wrapNone/>
            <wp:docPr id="3540" name="Picture 3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0"/>
                    <pic:cNvPicPr>
                      <a:picLocks noChangeAspect="1" noChangeArrowheads="1"/>
                    </pic:cNvPicPr>
                  </pic:nvPicPr>
                  <pic:blipFill>
                    <a:blip r:embed="rId3547">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-5005705</wp:posOffset>
            </wp:positionV>
            <wp:extent cx="6660515" cy="8255"/>
            <wp:wrapNone/>
            <wp:docPr id="3541" name="Picture 3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1"/>
                    <pic:cNvPicPr>
                      <a:picLocks noChangeAspect="1" noChangeArrowheads="1"/>
                    </pic:cNvPicPr>
                  </pic:nvPicPr>
                  <pic:blipFill>
                    <a:blip r:embed="rId3548">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-5142865</wp:posOffset>
            </wp:positionV>
            <wp:extent cx="6660515" cy="8255"/>
            <wp:wrapNone/>
            <wp:docPr id="3542" name="Picture 3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2"/>
                    <pic:cNvPicPr>
                      <a:picLocks noChangeAspect="1" noChangeArrowheads="1"/>
                    </pic:cNvPicPr>
                  </pic:nvPicPr>
                  <pic:blipFill>
                    <a:blip r:embed="rId3549">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-393700</wp:posOffset>
            </wp:positionV>
            <wp:extent cx="471170" cy="282575"/>
            <wp:wrapNone/>
            <wp:docPr id="3543" name="Picture 3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3"/>
                    <pic:cNvPicPr>
                      <a:picLocks noChangeAspect="1" noChangeArrowheads="1"/>
                    </pic:cNvPicPr>
                  </pic:nvPicPr>
                  <pic:blipFill>
                    <a:blip r:embed="rId3550">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ectPr>
          <w:pgSz w:w="11900" w:h="16838" w:orient="portrait"/>
          <w:cols w:equalWidth="0" w:num="1">
            <w:col w:w="11320"/>
          </w:cols>
          <w:pgMar w:left="320" w:top="238" w:right="2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15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0000EE"/>
              </w:rPr>
              <w:t>Back to Contents</w:t>
            </w: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660" w:type="dxa"/>
            <w:vAlign w:val="bottom"/>
            <w:tcBorders>
              <w:top w:val="single" w:sz="8" w:color="0000EE"/>
            </w:tcBorders>
          </w:tcPr>
          <w:p>
            <w:pPr>
              <w:spacing w:after="0"/>
              <w:rPr>
                <w:sz w:val="24"/>
                <w:szCs w:val="24"/>
                <w:color w:val="auto"/>
              </w:rPr>
            </w:pPr>
          </w:p>
        </w:tc>
        <w:tc>
          <w:tcPr>
            <w:tcW w:w="540" w:type="dxa"/>
            <w:vAlign w:val="bottom"/>
            <w:tcBorders>
              <w:top w:val="single" w:sz="8" w:color="0000EE"/>
              <w:bottom w:val="single" w:sz="8" w:color="0233A1"/>
            </w:tcBorders>
          </w:tcPr>
          <w:p>
            <w:pPr>
              <w:spacing w:after="0"/>
              <w:rPr>
                <w:sz w:val="24"/>
                <w:szCs w:val="24"/>
                <w:color w:val="auto"/>
              </w:rPr>
            </w:pPr>
          </w:p>
        </w:tc>
        <w:tc>
          <w:tcPr>
            <w:tcW w:w="340" w:type="dxa"/>
            <w:vAlign w:val="bottom"/>
            <w:tcBorders>
              <w:bottom w:val="single" w:sz="8" w:color="0233A1"/>
            </w:tcBorders>
          </w:tcPr>
          <w:p>
            <w:pPr>
              <w:spacing w:after="0"/>
              <w:rPr>
                <w:sz w:val="24"/>
                <w:szCs w:val="24"/>
                <w:color w:val="auto"/>
              </w:rPr>
            </w:pPr>
          </w:p>
        </w:tc>
        <w:tc>
          <w:tcPr>
            <w:tcW w:w="2600" w:type="dxa"/>
            <w:vAlign w:val="bottom"/>
            <w:tcBorders>
              <w:bottom w:val="single" w:sz="8" w:color="0233A1"/>
            </w:tcBorders>
            <w:gridSpan w:val="2"/>
          </w:tcPr>
          <w:p>
            <w:pPr>
              <w:jc w:val="right"/>
              <w:ind w:right="280"/>
              <w:spacing w:after="0"/>
              <w:rPr>
                <w:sz w:val="20"/>
                <w:szCs w:val="20"/>
                <w:color w:val="auto"/>
              </w:rPr>
            </w:pPr>
            <w:r>
              <w:rPr>
                <w:rFonts w:ascii="Arial" w:cs="Arial" w:eastAsia="Arial" w:hAnsi="Arial"/>
                <w:sz w:val="16"/>
                <w:szCs w:val="16"/>
                <w:b w:val="1"/>
                <w:bCs w:val="1"/>
                <w:color w:val="0233A1"/>
              </w:rPr>
              <w:t>Option Awards</w:t>
            </w:r>
          </w:p>
        </w:tc>
        <w:tc>
          <w:tcPr>
            <w:tcW w:w="800" w:type="dxa"/>
            <w:vAlign w:val="bottom"/>
            <w:tcBorders>
              <w:bottom w:val="single" w:sz="8" w:color="0233A1"/>
            </w:tcBorders>
          </w:tcPr>
          <w:p>
            <w:pPr>
              <w:spacing w:after="0"/>
              <w:rPr>
                <w:sz w:val="24"/>
                <w:szCs w:val="24"/>
                <w:color w:val="auto"/>
              </w:rPr>
            </w:pPr>
          </w:p>
        </w:tc>
        <w:tc>
          <w:tcPr>
            <w:tcW w:w="800" w:type="dxa"/>
            <w:vAlign w:val="bottom"/>
            <w:tcBorders>
              <w:bottom w:val="single" w:sz="8" w:color="0233A1"/>
            </w:tcBorders>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Borders>
              <w:bottom w:val="single" w:sz="8" w:color="0233A1"/>
            </w:tcBorders>
          </w:tcPr>
          <w:p>
            <w:pPr>
              <w:spacing w:after="0"/>
              <w:rPr>
                <w:sz w:val="24"/>
                <w:szCs w:val="24"/>
                <w:color w:val="auto"/>
              </w:rPr>
            </w:pPr>
          </w:p>
        </w:tc>
        <w:tc>
          <w:tcPr>
            <w:tcW w:w="2600" w:type="dxa"/>
            <w:vAlign w:val="bottom"/>
            <w:tcBorders>
              <w:bottom w:val="single" w:sz="8" w:color="0233A1"/>
            </w:tcBorders>
            <w:gridSpan w:val="2"/>
          </w:tcPr>
          <w:p>
            <w:pPr>
              <w:jc w:val="right"/>
              <w:ind w:right="399"/>
              <w:spacing w:after="0"/>
              <w:rPr>
                <w:sz w:val="20"/>
                <w:szCs w:val="20"/>
                <w:color w:val="auto"/>
              </w:rPr>
            </w:pPr>
            <w:r>
              <w:rPr>
                <w:rFonts w:ascii="Arial" w:cs="Arial" w:eastAsia="Arial" w:hAnsi="Arial"/>
                <w:sz w:val="16"/>
                <w:szCs w:val="16"/>
                <w:b w:val="1"/>
                <w:bCs w:val="1"/>
                <w:color w:val="0233A1"/>
              </w:rPr>
              <w:t>Stock Awards</w:t>
            </w:r>
          </w:p>
        </w:tc>
        <w:tc>
          <w:tcPr>
            <w:tcW w:w="1700" w:type="dxa"/>
            <w:vAlign w:val="bottom"/>
            <w:tcBorders>
              <w:bottom w:val="single" w:sz="8" w:color="0233A1"/>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tcPr>
          <w:p>
            <w:pPr>
              <w:jc w:val="right"/>
              <w:ind w:right="139"/>
              <w:spacing w:after="0" w:line="168" w:lineRule="exact"/>
              <w:rPr>
                <w:sz w:val="20"/>
                <w:szCs w:val="20"/>
                <w:color w:val="auto"/>
              </w:rPr>
            </w:pPr>
            <w:r>
              <w:rPr>
                <w:rFonts w:ascii="Arial" w:cs="Arial" w:eastAsia="Arial" w:hAnsi="Arial"/>
                <w:sz w:val="16"/>
                <w:szCs w:val="16"/>
                <w:b w:val="1"/>
                <w:bCs w:val="1"/>
                <w:color w:val="0233A1"/>
              </w:rPr>
              <w:t>Equity</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b w:val="1"/>
                <w:bCs w:val="1"/>
                <w:color w:val="0233A1"/>
              </w:rPr>
              <w:t>Incentive</w:t>
            </w:r>
          </w:p>
        </w:tc>
        <w:tc>
          <w:tcPr>
            <w:tcW w:w="1700" w:type="dxa"/>
            <w:vAlign w:val="bottom"/>
          </w:tcPr>
          <w:p>
            <w:pPr>
              <w:jc w:val="right"/>
              <w:ind w:right="140"/>
              <w:spacing w:after="0"/>
              <w:rPr>
                <w:sz w:val="20"/>
                <w:szCs w:val="20"/>
                <w:color w:val="auto"/>
              </w:rPr>
            </w:pPr>
            <w:r>
              <w:rPr>
                <w:rFonts w:ascii="Arial" w:cs="Arial" w:eastAsia="Arial" w:hAnsi="Arial"/>
                <w:sz w:val="16"/>
                <w:szCs w:val="16"/>
                <w:b w:val="1"/>
                <w:bCs w:val="1"/>
                <w:color w:val="0233A1"/>
              </w:rPr>
              <w:t>Equity</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jc w:val="right"/>
              <w:ind w:right="140"/>
              <w:spacing w:after="0"/>
              <w:rPr>
                <w:sz w:val="20"/>
                <w:szCs w:val="20"/>
                <w:color w:val="auto"/>
              </w:rPr>
            </w:pPr>
            <w:r>
              <w:rPr>
                <w:rFonts w:ascii="Arial" w:cs="Arial" w:eastAsia="Arial" w:hAnsi="Arial"/>
                <w:sz w:val="16"/>
                <w:szCs w:val="16"/>
                <w:b w:val="1"/>
                <w:bCs w:val="1"/>
                <w:color w:val="0233A1"/>
              </w:rPr>
              <w:t>Market</w:t>
            </w:r>
          </w:p>
        </w:tc>
        <w:tc>
          <w:tcPr>
            <w:tcW w:w="1480" w:type="dxa"/>
            <w:vAlign w:val="bottom"/>
          </w:tcPr>
          <w:p>
            <w:pPr>
              <w:jc w:val="right"/>
              <w:ind w:right="139"/>
              <w:spacing w:after="0"/>
              <w:rPr>
                <w:sz w:val="20"/>
                <w:szCs w:val="20"/>
                <w:color w:val="auto"/>
              </w:rPr>
            </w:pPr>
            <w:r>
              <w:rPr>
                <w:rFonts w:ascii="Arial" w:cs="Arial" w:eastAsia="Arial" w:hAnsi="Arial"/>
                <w:sz w:val="16"/>
                <w:szCs w:val="16"/>
                <w:b w:val="1"/>
                <w:bCs w:val="1"/>
                <w:color w:val="0233A1"/>
              </w:rPr>
              <w:t>Plan Awards:</w:t>
            </w:r>
          </w:p>
        </w:tc>
        <w:tc>
          <w:tcPr>
            <w:tcW w:w="1700" w:type="dxa"/>
            <w:vAlign w:val="bottom"/>
          </w:tcPr>
          <w:p>
            <w:pPr>
              <w:jc w:val="right"/>
              <w:ind w:right="140"/>
              <w:spacing w:after="0"/>
              <w:rPr>
                <w:sz w:val="20"/>
                <w:szCs w:val="20"/>
                <w:color w:val="auto"/>
              </w:rPr>
            </w:pPr>
            <w:r>
              <w:rPr>
                <w:rFonts w:ascii="Arial" w:cs="Arial" w:eastAsia="Arial" w:hAnsi="Arial"/>
                <w:sz w:val="16"/>
                <w:szCs w:val="16"/>
                <w:b w:val="1"/>
                <w:bCs w:val="1"/>
                <w:color w:val="0233A1"/>
              </w:rPr>
              <w:t>Incentive</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b w:val="1"/>
                <w:bCs w:val="1"/>
                <w:color w:val="0233A1"/>
              </w:rPr>
              <w:t>Number of</w:t>
            </w:r>
          </w:p>
        </w:tc>
        <w:tc>
          <w:tcPr>
            <w:tcW w:w="1380" w:type="dxa"/>
            <w:vAlign w:val="bottom"/>
          </w:tcPr>
          <w:p>
            <w:pPr>
              <w:jc w:val="right"/>
              <w:ind w:right="160"/>
              <w:spacing w:after="0"/>
              <w:rPr>
                <w:sz w:val="20"/>
                <w:szCs w:val="20"/>
                <w:color w:val="auto"/>
              </w:rPr>
            </w:pPr>
            <w:r>
              <w:rPr>
                <w:rFonts w:ascii="Arial" w:cs="Arial" w:eastAsia="Arial" w:hAnsi="Arial"/>
                <w:sz w:val="16"/>
                <w:szCs w:val="16"/>
                <w:b w:val="1"/>
                <w:bCs w:val="1"/>
                <w:color w:val="0233A1"/>
              </w:rPr>
              <w:t>Number of</w:t>
            </w: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0233A1"/>
              </w:rPr>
              <w:t>Number</w:t>
            </w:r>
          </w:p>
        </w:tc>
        <w:tc>
          <w:tcPr>
            <w:tcW w:w="1120" w:type="dxa"/>
            <w:vAlign w:val="bottom"/>
          </w:tcPr>
          <w:p>
            <w:pPr>
              <w:jc w:val="right"/>
              <w:ind w:right="140"/>
              <w:spacing w:after="0"/>
              <w:rPr>
                <w:sz w:val="20"/>
                <w:szCs w:val="20"/>
                <w:color w:val="auto"/>
              </w:rPr>
            </w:pPr>
            <w:r>
              <w:rPr>
                <w:rFonts w:ascii="Arial" w:cs="Arial" w:eastAsia="Arial" w:hAnsi="Arial"/>
                <w:sz w:val="16"/>
                <w:szCs w:val="16"/>
                <w:b w:val="1"/>
                <w:bCs w:val="1"/>
                <w:color w:val="0233A1"/>
              </w:rPr>
              <w:t>Value of</w:t>
            </w:r>
          </w:p>
        </w:tc>
        <w:tc>
          <w:tcPr>
            <w:tcW w:w="1480" w:type="dxa"/>
            <w:vAlign w:val="bottom"/>
          </w:tcPr>
          <w:p>
            <w:pPr>
              <w:jc w:val="right"/>
              <w:ind w:right="139"/>
              <w:spacing w:after="0"/>
              <w:rPr>
                <w:sz w:val="20"/>
                <w:szCs w:val="20"/>
                <w:color w:val="auto"/>
              </w:rPr>
            </w:pPr>
            <w:r>
              <w:rPr>
                <w:rFonts w:ascii="Arial" w:cs="Arial" w:eastAsia="Arial" w:hAnsi="Arial"/>
                <w:sz w:val="16"/>
                <w:szCs w:val="16"/>
                <w:b w:val="1"/>
                <w:bCs w:val="1"/>
                <w:color w:val="0233A1"/>
              </w:rPr>
              <w:t>Number of</w:t>
            </w:r>
          </w:p>
        </w:tc>
        <w:tc>
          <w:tcPr>
            <w:tcW w:w="1700" w:type="dxa"/>
            <w:vAlign w:val="bottom"/>
          </w:tcPr>
          <w:p>
            <w:pPr>
              <w:jc w:val="right"/>
              <w:ind w:right="140"/>
              <w:spacing w:after="0"/>
              <w:rPr>
                <w:sz w:val="20"/>
                <w:szCs w:val="20"/>
                <w:color w:val="auto"/>
              </w:rPr>
            </w:pPr>
            <w:r>
              <w:rPr>
                <w:rFonts w:ascii="Arial" w:cs="Arial" w:eastAsia="Arial" w:hAnsi="Arial"/>
                <w:sz w:val="16"/>
                <w:szCs w:val="16"/>
                <w:b w:val="1"/>
                <w:bCs w:val="1"/>
                <w:color w:val="0233A1"/>
              </w:rPr>
              <w:t>Plan Awards:</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b w:val="1"/>
                <w:bCs w:val="1"/>
                <w:color w:val="0233A1"/>
              </w:rPr>
              <w:t>Securities</w:t>
            </w:r>
          </w:p>
        </w:tc>
        <w:tc>
          <w:tcPr>
            <w:tcW w:w="1380" w:type="dxa"/>
            <w:vAlign w:val="bottom"/>
          </w:tcPr>
          <w:p>
            <w:pPr>
              <w:jc w:val="right"/>
              <w:ind w:right="160"/>
              <w:spacing w:after="0"/>
              <w:rPr>
                <w:sz w:val="20"/>
                <w:szCs w:val="20"/>
                <w:color w:val="auto"/>
              </w:rPr>
            </w:pPr>
            <w:r>
              <w:rPr>
                <w:rFonts w:ascii="Arial" w:cs="Arial" w:eastAsia="Arial" w:hAnsi="Arial"/>
                <w:sz w:val="16"/>
                <w:szCs w:val="16"/>
                <w:b w:val="1"/>
                <w:bCs w:val="1"/>
                <w:color w:val="0233A1"/>
              </w:rPr>
              <w:t>Securities</w:t>
            </w: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0233A1"/>
              </w:rPr>
              <w:t>of Shares</w:t>
            </w:r>
          </w:p>
        </w:tc>
        <w:tc>
          <w:tcPr>
            <w:tcW w:w="1120" w:type="dxa"/>
            <w:vAlign w:val="bottom"/>
          </w:tcPr>
          <w:p>
            <w:pPr>
              <w:jc w:val="right"/>
              <w:ind w:right="140"/>
              <w:spacing w:after="0"/>
              <w:rPr>
                <w:sz w:val="20"/>
                <w:szCs w:val="20"/>
                <w:color w:val="auto"/>
              </w:rPr>
            </w:pPr>
            <w:r>
              <w:rPr>
                <w:rFonts w:ascii="Arial" w:cs="Arial" w:eastAsia="Arial" w:hAnsi="Arial"/>
                <w:sz w:val="16"/>
                <w:szCs w:val="16"/>
                <w:b w:val="1"/>
                <w:bCs w:val="1"/>
                <w:color w:val="0233A1"/>
              </w:rPr>
              <w:t>Shares or</w:t>
            </w:r>
          </w:p>
        </w:tc>
        <w:tc>
          <w:tcPr>
            <w:tcW w:w="1480" w:type="dxa"/>
            <w:vAlign w:val="bottom"/>
          </w:tcPr>
          <w:p>
            <w:pPr>
              <w:jc w:val="right"/>
              <w:ind w:right="139"/>
              <w:spacing w:after="0"/>
              <w:rPr>
                <w:sz w:val="20"/>
                <w:szCs w:val="20"/>
                <w:color w:val="auto"/>
              </w:rPr>
            </w:pPr>
            <w:r>
              <w:rPr>
                <w:rFonts w:ascii="Arial" w:cs="Arial" w:eastAsia="Arial" w:hAnsi="Arial"/>
                <w:sz w:val="16"/>
                <w:szCs w:val="16"/>
                <w:b w:val="1"/>
                <w:bCs w:val="1"/>
                <w:color w:val="0233A1"/>
              </w:rPr>
              <w:t>Unearned</w:t>
            </w:r>
          </w:p>
        </w:tc>
        <w:tc>
          <w:tcPr>
            <w:tcW w:w="1700" w:type="dxa"/>
            <w:vAlign w:val="bottom"/>
          </w:tcPr>
          <w:p>
            <w:pPr>
              <w:jc w:val="right"/>
              <w:ind w:right="140"/>
              <w:spacing w:after="0"/>
              <w:rPr>
                <w:sz w:val="20"/>
                <w:szCs w:val="20"/>
                <w:color w:val="auto"/>
              </w:rPr>
            </w:pPr>
            <w:r>
              <w:rPr>
                <w:rFonts w:ascii="Arial" w:cs="Arial" w:eastAsia="Arial" w:hAnsi="Arial"/>
                <w:sz w:val="16"/>
                <w:szCs w:val="16"/>
                <w:b w:val="1"/>
                <w:bCs w:val="1"/>
                <w:color w:val="0233A1"/>
              </w:rPr>
              <w:t>Market or Payout</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b w:val="1"/>
                <w:bCs w:val="1"/>
                <w:color w:val="0233A1"/>
              </w:rPr>
              <w:t>Underlying</w:t>
            </w:r>
          </w:p>
        </w:tc>
        <w:tc>
          <w:tcPr>
            <w:tcW w:w="1380" w:type="dxa"/>
            <w:vAlign w:val="bottom"/>
          </w:tcPr>
          <w:p>
            <w:pPr>
              <w:jc w:val="right"/>
              <w:ind w:right="160"/>
              <w:spacing w:after="0"/>
              <w:rPr>
                <w:sz w:val="20"/>
                <w:szCs w:val="20"/>
                <w:color w:val="auto"/>
              </w:rPr>
            </w:pPr>
            <w:r>
              <w:rPr>
                <w:rFonts w:ascii="Arial" w:cs="Arial" w:eastAsia="Arial" w:hAnsi="Arial"/>
                <w:sz w:val="16"/>
                <w:szCs w:val="16"/>
                <w:b w:val="1"/>
                <w:bCs w:val="1"/>
                <w:color w:val="0233A1"/>
              </w:rPr>
              <w:t>Underlying</w:t>
            </w: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0233A1"/>
              </w:rPr>
              <w:t>or Units of</w:t>
            </w:r>
          </w:p>
        </w:tc>
        <w:tc>
          <w:tcPr>
            <w:tcW w:w="1120" w:type="dxa"/>
            <w:vAlign w:val="bottom"/>
          </w:tcPr>
          <w:p>
            <w:pPr>
              <w:jc w:val="right"/>
              <w:ind w:right="140"/>
              <w:spacing w:after="0"/>
              <w:rPr>
                <w:sz w:val="20"/>
                <w:szCs w:val="20"/>
                <w:color w:val="auto"/>
              </w:rPr>
            </w:pPr>
            <w:r>
              <w:rPr>
                <w:rFonts w:ascii="Arial" w:cs="Arial" w:eastAsia="Arial" w:hAnsi="Arial"/>
                <w:sz w:val="16"/>
                <w:szCs w:val="16"/>
                <w:b w:val="1"/>
                <w:bCs w:val="1"/>
                <w:color w:val="0233A1"/>
              </w:rPr>
              <w:t>Units of</w:t>
            </w:r>
          </w:p>
        </w:tc>
        <w:tc>
          <w:tcPr>
            <w:tcW w:w="1480" w:type="dxa"/>
            <w:vAlign w:val="bottom"/>
          </w:tcPr>
          <w:p>
            <w:pPr>
              <w:jc w:val="right"/>
              <w:ind w:right="139"/>
              <w:spacing w:after="0"/>
              <w:rPr>
                <w:sz w:val="20"/>
                <w:szCs w:val="20"/>
                <w:color w:val="auto"/>
              </w:rPr>
            </w:pPr>
            <w:r>
              <w:rPr>
                <w:rFonts w:ascii="Arial" w:cs="Arial" w:eastAsia="Arial" w:hAnsi="Arial"/>
                <w:sz w:val="16"/>
                <w:szCs w:val="16"/>
                <w:b w:val="1"/>
                <w:bCs w:val="1"/>
                <w:color w:val="0233A1"/>
              </w:rPr>
              <w:t>Shares, Units</w:t>
            </w:r>
          </w:p>
        </w:tc>
        <w:tc>
          <w:tcPr>
            <w:tcW w:w="1700" w:type="dxa"/>
            <w:vAlign w:val="bottom"/>
          </w:tcPr>
          <w:p>
            <w:pPr>
              <w:jc w:val="right"/>
              <w:ind w:right="140"/>
              <w:spacing w:after="0"/>
              <w:rPr>
                <w:sz w:val="20"/>
                <w:szCs w:val="20"/>
                <w:color w:val="auto"/>
              </w:rPr>
            </w:pPr>
            <w:r>
              <w:rPr>
                <w:rFonts w:ascii="Arial" w:cs="Arial" w:eastAsia="Arial" w:hAnsi="Arial"/>
                <w:sz w:val="16"/>
                <w:szCs w:val="16"/>
                <w:b w:val="1"/>
                <w:bCs w:val="1"/>
                <w:color w:val="0233A1"/>
              </w:rPr>
              <w:t>Value of Unearned</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b w:val="1"/>
                <w:bCs w:val="1"/>
                <w:color w:val="0233A1"/>
              </w:rPr>
              <w:t>Unexercised</w:t>
            </w:r>
          </w:p>
        </w:tc>
        <w:tc>
          <w:tcPr>
            <w:tcW w:w="1380" w:type="dxa"/>
            <w:vAlign w:val="bottom"/>
          </w:tcPr>
          <w:p>
            <w:pPr>
              <w:jc w:val="right"/>
              <w:ind w:right="160"/>
              <w:spacing w:after="0"/>
              <w:rPr>
                <w:sz w:val="20"/>
                <w:szCs w:val="20"/>
                <w:color w:val="auto"/>
              </w:rPr>
            </w:pPr>
            <w:r>
              <w:rPr>
                <w:rFonts w:ascii="Arial" w:cs="Arial" w:eastAsia="Arial" w:hAnsi="Arial"/>
                <w:sz w:val="16"/>
                <w:szCs w:val="16"/>
                <w:b w:val="1"/>
                <w:bCs w:val="1"/>
                <w:color w:val="0233A1"/>
              </w:rPr>
              <w:t>Unexercised</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0233A1"/>
              </w:rPr>
              <w:t>Option</w:t>
            </w: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0233A1"/>
              </w:rPr>
              <w:t>Stock That</w:t>
            </w:r>
          </w:p>
        </w:tc>
        <w:tc>
          <w:tcPr>
            <w:tcW w:w="1120" w:type="dxa"/>
            <w:vAlign w:val="bottom"/>
          </w:tcPr>
          <w:p>
            <w:pPr>
              <w:jc w:val="right"/>
              <w:ind w:right="140"/>
              <w:spacing w:after="0"/>
              <w:rPr>
                <w:sz w:val="20"/>
                <w:szCs w:val="20"/>
                <w:color w:val="auto"/>
              </w:rPr>
            </w:pPr>
            <w:r>
              <w:rPr>
                <w:rFonts w:ascii="Arial" w:cs="Arial" w:eastAsia="Arial" w:hAnsi="Arial"/>
                <w:sz w:val="16"/>
                <w:szCs w:val="16"/>
                <w:b w:val="1"/>
                <w:bCs w:val="1"/>
                <w:color w:val="0233A1"/>
              </w:rPr>
              <w:t>Stock That</w:t>
            </w:r>
          </w:p>
        </w:tc>
        <w:tc>
          <w:tcPr>
            <w:tcW w:w="1480" w:type="dxa"/>
            <w:vAlign w:val="bottom"/>
          </w:tcPr>
          <w:p>
            <w:pPr>
              <w:jc w:val="right"/>
              <w:ind w:right="139"/>
              <w:spacing w:after="0"/>
              <w:rPr>
                <w:sz w:val="20"/>
                <w:szCs w:val="20"/>
                <w:color w:val="auto"/>
              </w:rPr>
            </w:pPr>
            <w:r>
              <w:rPr>
                <w:rFonts w:ascii="Arial" w:cs="Arial" w:eastAsia="Arial" w:hAnsi="Arial"/>
                <w:sz w:val="16"/>
                <w:szCs w:val="16"/>
                <w:b w:val="1"/>
                <w:bCs w:val="1"/>
                <w:color w:val="0233A1"/>
              </w:rPr>
              <w:t>or Other Rights</w:t>
            </w:r>
          </w:p>
        </w:tc>
        <w:tc>
          <w:tcPr>
            <w:tcW w:w="1700" w:type="dxa"/>
            <w:vAlign w:val="bottom"/>
          </w:tcPr>
          <w:p>
            <w:pPr>
              <w:jc w:val="right"/>
              <w:ind w:right="140"/>
              <w:spacing w:after="0"/>
              <w:rPr>
                <w:sz w:val="20"/>
                <w:szCs w:val="20"/>
                <w:color w:val="auto"/>
              </w:rPr>
            </w:pPr>
            <w:r>
              <w:rPr>
                <w:rFonts w:ascii="Arial" w:cs="Arial" w:eastAsia="Arial" w:hAnsi="Arial"/>
                <w:sz w:val="16"/>
                <w:szCs w:val="16"/>
                <w:b w:val="1"/>
                <w:bCs w:val="1"/>
                <w:color w:val="0233A1"/>
              </w:rPr>
              <w:t>Shares, Units or</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0233A1"/>
              </w:rPr>
              <w:t>Option/</w:t>
            </w:r>
          </w:p>
        </w:tc>
        <w:tc>
          <w:tcPr>
            <w:tcW w:w="1220" w:type="dxa"/>
            <w:vAlign w:val="bottom"/>
          </w:tcPr>
          <w:p>
            <w:pPr>
              <w:jc w:val="right"/>
              <w:ind w:right="140"/>
              <w:spacing w:after="0"/>
              <w:rPr>
                <w:sz w:val="20"/>
                <w:szCs w:val="20"/>
                <w:color w:val="auto"/>
              </w:rPr>
            </w:pPr>
            <w:r>
              <w:rPr>
                <w:rFonts w:ascii="Arial" w:cs="Arial" w:eastAsia="Arial" w:hAnsi="Arial"/>
                <w:sz w:val="16"/>
                <w:szCs w:val="16"/>
                <w:b w:val="1"/>
                <w:bCs w:val="1"/>
                <w:color w:val="0233A1"/>
              </w:rPr>
              <w:t>Options</w:t>
            </w:r>
          </w:p>
        </w:tc>
        <w:tc>
          <w:tcPr>
            <w:tcW w:w="1380" w:type="dxa"/>
            <w:vAlign w:val="bottom"/>
          </w:tcPr>
          <w:p>
            <w:pPr>
              <w:jc w:val="right"/>
              <w:ind w:right="160"/>
              <w:spacing w:after="0"/>
              <w:rPr>
                <w:sz w:val="20"/>
                <w:szCs w:val="20"/>
                <w:color w:val="auto"/>
              </w:rPr>
            </w:pPr>
            <w:r>
              <w:rPr>
                <w:rFonts w:ascii="Arial" w:cs="Arial" w:eastAsia="Arial" w:hAnsi="Arial"/>
                <w:sz w:val="16"/>
                <w:szCs w:val="16"/>
                <w:b w:val="1"/>
                <w:bCs w:val="1"/>
                <w:color w:val="0233A1"/>
              </w:rPr>
              <w:t>Options</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0233A1"/>
              </w:rPr>
              <w:t>Exercise</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0233A1"/>
              </w:rPr>
              <w:t>Option</w:t>
            </w: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0233A1"/>
              </w:rPr>
              <w:t>Have Not</w:t>
            </w:r>
          </w:p>
        </w:tc>
        <w:tc>
          <w:tcPr>
            <w:tcW w:w="1120" w:type="dxa"/>
            <w:vAlign w:val="bottom"/>
          </w:tcPr>
          <w:p>
            <w:pPr>
              <w:jc w:val="right"/>
              <w:ind w:right="140"/>
              <w:spacing w:after="0"/>
              <w:rPr>
                <w:sz w:val="20"/>
                <w:szCs w:val="20"/>
                <w:color w:val="auto"/>
              </w:rPr>
            </w:pPr>
            <w:r>
              <w:rPr>
                <w:rFonts w:ascii="Arial" w:cs="Arial" w:eastAsia="Arial" w:hAnsi="Arial"/>
                <w:sz w:val="16"/>
                <w:szCs w:val="16"/>
                <w:b w:val="1"/>
                <w:bCs w:val="1"/>
                <w:color w:val="0233A1"/>
              </w:rPr>
              <w:t>Have Not</w:t>
            </w:r>
          </w:p>
        </w:tc>
        <w:tc>
          <w:tcPr>
            <w:tcW w:w="1480" w:type="dxa"/>
            <w:vAlign w:val="bottom"/>
          </w:tcPr>
          <w:p>
            <w:pPr>
              <w:jc w:val="right"/>
              <w:ind w:right="139"/>
              <w:spacing w:after="0"/>
              <w:rPr>
                <w:sz w:val="20"/>
                <w:szCs w:val="20"/>
                <w:color w:val="auto"/>
              </w:rPr>
            </w:pPr>
            <w:r>
              <w:rPr>
                <w:rFonts w:ascii="Arial" w:cs="Arial" w:eastAsia="Arial" w:hAnsi="Arial"/>
                <w:sz w:val="16"/>
                <w:szCs w:val="16"/>
                <w:b w:val="1"/>
                <w:bCs w:val="1"/>
                <w:color w:val="0233A1"/>
              </w:rPr>
              <w:t>That Have Not</w:t>
            </w:r>
          </w:p>
        </w:tc>
        <w:tc>
          <w:tcPr>
            <w:tcW w:w="1700" w:type="dxa"/>
            <w:vAlign w:val="bottom"/>
          </w:tcPr>
          <w:p>
            <w:pPr>
              <w:jc w:val="right"/>
              <w:ind w:right="140"/>
              <w:spacing w:after="0"/>
              <w:rPr>
                <w:sz w:val="20"/>
                <w:szCs w:val="20"/>
                <w:color w:val="auto"/>
              </w:rPr>
            </w:pPr>
            <w:r>
              <w:rPr>
                <w:rFonts w:ascii="Arial" w:cs="Arial" w:eastAsia="Arial" w:hAnsi="Arial"/>
                <w:sz w:val="16"/>
                <w:szCs w:val="16"/>
                <w:b w:val="1"/>
                <w:bCs w:val="1"/>
                <w:color w:val="0233A1"/>
              </w:rPr>
              <w:t>Other Rights That</w:t>
            </w:r>
          </w:p>
        </w:tc>
        <w:tc>
          <w:tcPr>
            <w:tcW w:w="0" w:type="dxa"/>
            <w:vAlign w:val="bottom"/>
          </w:tcPr>
          <w:p>
            <w:pPr>
              <w:spacing w:after="0"/>
              <w:rPr>
                <w:sz w:val="1"/>
                <w:szCs w:val="1"/>
                <w:color w:val="auto"/>
              </w:rPr>
            </w:pPr>
          </w:p>
        </w:tc>
      </w:tr>
      <w:tr>
        <w:trPr>
          <w:trHeight w:val="163"/>
        </w:trPr>
        <w:tc>
          <w:tcPr>
            <w:tcW w:w="660" w:type="dxa"/>
            <w:vAlign w:val="bottom"/>
          </w:tcPr>
          <w:p>
            <w:pPr>
              <w:spacing w:after="0"/>
              <w:rPr>
                <w:sz w:val="14"/>
                <w:szCs w:val="14"/>
                <w:color w:val="auto"/>
              </w:rPr>
            </w:pPr>
          </w:p>
        </w:tc>
        <w:tc>
          <w:tcPr>
            <w:tcW w:w="880" w:type="dxa"/>
            <w:vAlign w:val="bottom"/>
            <w:gridSpan w:val="2"/>
          </w:tcPr>
          <w:p>
            <w:pPr>
              <w:jc w:val="right"/>
              <w:ind w:right="40"/>
              <w:spacing w:after="0" w:line="163" w:lineRule="exact"/>
              <w:rPr>
                <w:sz w:val="20"/>
                <w:szCs w:val="20"/>
                <w:color w:val="auto"/>
              </w:rPr>
            </w:pPr>
            <w:r>
              <w:rPr>
                <w:rFonts w:ascii="Arial" w:cs="Arial" w:eastAsia="Arial" w:hAnsi="Arial"/>
                <w:sz w:val="16"/>
                <w:szCs w:val="16"/>
                <w:b w:val="1"/>
                <w:bCs w:val="1"/>
                <w:color w:val="0233A1"/>
              </w:rPr>
              <w:t>PSU/RSU</w:t>
            </w:r>
          </w:p>
        </w:tc>
        <w:tc>
          <w:tcPr>
            <w:tcW w:w="1220" w:type="dxa"/>
            <w:vAlign w:val="bottom"/>
          </w:tcPr>
          <w:p>
            <w:pPr>
              <w:jc w:val="right"/>
              <w:ind w:right="140"/>
              <w:spacing w:after="0" w:line="163" w:lineRule="exact"/>
              <w:rPr>
                <w:sz w:val="20"/>
                <w:szCs w:val="20"/>
                <w:color w:val="auto"/>
              </w:rPr>
            </w:pPr>
            <w:r>
              <w:rPr>
                <w:rFonts w:ascii="Arial" w:cs="Arial" w:eastAsia="Arial" w:hAnsi="Arial"/>
                <w:sz w:val="16"/>
                <w:szCs w:val="16"/>
                <w:b w:val="1"/>
                <w:bCs w:val="1"/>
                <w:color w:val="0233A1"/>
              </w:rPr>
              <w:t>Exercisable</w:t>
            </w:r>
          </w:p>
        </w:tc>
        <w:tc>
          <w:tcPr>
            <w:tcW w:w="1380" w:type="dxa"/>
            <w:vAlign w:val="bottom"/>
          </w:tcPr>
          <w:p>
            <w:pPr>
              <w:jc w:val="right"/>
              <w:ind w:right="160"/>
              <w:spacing w:after="0" w:line="163" w:lineRule="exact"/>
              <w:rPr>
                <w:sz w:val="20"/>
                <w:szCs w:val="20"/>
                <w:color w:val="auto"/>
              </w:rPr>
            </w:pPr>
            <w:r>
              <w:rPr>
                <w:rFonts w:ascii="Arial" w:cs="Arial" w:eastAsia="Arial" w:hAnsi="Arial"/>
                <w:sz w:val="16"/>
                <w:szCs w:val="16"/>
                <w:b w:val="1"/>
                <w:bCs w:val="1"/>
                <w:color w:val="0233A1"/>
              </w:rPr>
              <w:t>Unexercisable</w:t>
            </w:r>
          </w:p>
        </w:tc>
        <w:tc>
          <w:tcPr>
            <w:tcW w:w="1660" w:type="dxa"/>
            <w:vAlign w:val="bottom"/>
            <w:gridSpan w:val="3"/>
          </w:tcPr>
          <w:p>
            <w:pPr>
              <w:jc w:val="right"/>
              <w:ind w:right="60"/>
              <w:spacing w:after="0" w:line="163" w:lineRule="exact"/>
              <w:rPr>
                <w:sz w:val="20"/>
                <w:szCs w:val="20"/>
                <w:color w:val="auto"/>
              </w:rPr>
            </w:pPr>
            <w:r>
              <w:rPr>
                <w:rFonts w:ascii="Arial" w:cs="Arial" w:eastAsia="Arial" w:hAnsi="Arial"/>
                <w:sz w:val="16"/>
                <w:szCs w:val="16"/>
                <w:b w:val="1"/>
                <w:bCs w:val="1"/>
                <w:color w:val="0233A1"/>
              </w:rPr>
              <w:t>Price Expiration</w:t>
            </w:r>
          </w:p>
        </w:tc>
        <w:tc>
          <w:tcPr>
            <w:tcW w:w="1140" w:type="dxa"/>
            <w:vAlign w:val="bottom"/>
          </w:tcPr>
          <w:p>
            <w:pPr>
              <w:jc w:val="right"/>
              <w:ind w:right="219"/>
              <w:spacing w:after="0" w:line="163" w:lineRule="exact"/>
              <w:rPr>
                <w:sz w:val="20"/>
                <w:szCs w:val="20"/>
                <w:color w:val="auto"/>
              </w:rPr>
            </w:pPr>
            <w:r>
              <w:rPr>
                <w:rFonts w:ascii="Arial" w:cs="Arial" w:eastAsia="Arial" w:hAnsi="Arial"/>
                <w:sz w:val="16"/>
                <w:szCs w:val="16"/>
                <w:b w:val="1"/>
                <w:bCs w:val="1"/>
                <w:color w:val="0233A1"/>
              </w:rPr>
              <w:t>Vested</w:t>
            </w:r>
          </w:p>
        </w:tc>
        <w:tc>
          <w:tcPr>
            <w:tcW w:w="1120" w:type="dxa"/>
            <w:vAlign w:val="bottom"/>
          </w:tcPr>
          <w:p>
            <w:pPr>
              <w:jc w:val="right"/>
              <w:ind w:right="140"/>
              <w:spacing w:after="0" w:line="163" w:lineRule="exact"/>
              <w:rPr>
                <w:sz w:val="20"/>
                <w:szCs w:val="20"/>
                <w:color w:val="auto"/>
              </w:rPr>
            </w:pPr>
            <w:r>
              <w:rPr>
                <w:rFonts w:ascii="Arial" w:cs="Arial" w:eastAsia="Arial" w:hAnsi="Arial"/>
                <w:sz w:val="16"/>
                <w:szCs w:val="16"/>
                <w:b w:val="1"/>
                <w:bCs w:val="1"/>
                <w:color w:val="0233A1"/>
              </w:rPr>
              <w:t>Vested</w:t>
            </w:r>
          </w:p>
        </w:tc>
        <w:tc>
          <w:tcPr>
            <w:tcW w:w="1480" w:type="dxa"/>
            <w:vAlign w:val="bottom"/>
          </w:tcPr>
          <w:p>
            <w:pPr>
              <w:jc w:val="right"/>
              <w:ind w:right="139"/>
              <w:spacing w:after="0" w:line="163" w:lineRule="exact"/>
              <w:rPr>
                <w:sz w:val="20"/>
                <w:szCs w:val="20"/>
                <w:color w:val="auto"/>
              </w:rPr>
            </w:pPr>
            <w:r>
              <w:rPr>
                <w:rFonts w:ascii="Arial" w:cs="Arial" w:eastAsia="Arial" w:hAnsi="Arial"/>
                <w:sz w:val="16"/>
                <w:szCs w:val="16"/>
                <w:b w:val="1"/>
                <w:bCs w:val="1"/>
                <w:color w:val="0233A1"/>
              </w:rPr>
              <w:t>Vested</w:t>
            </w:r>
          </w:p>
        </w:tc>
        <w:tc>
          <w:tcPr>
            <w:tcW w:w="1700" w:type="dxa"/>
            <w:vAlign w:val="bottom"/>
          </w:tcPr>
          <w:p>
            <w:pPr>
              <w:jc w:val="right"/>
              <w:ind w:right="140"/>
              <w:spacing w:after="0" w:line="163" w:lineRule="exact"/>
              <w:rPr>
                <w:sz w:val="20"/>
                <w:szCs w:val="20"/>
                <w:color w:val="auto"/>
              </w:rPr>
            </w:pPr>
            <w:r>
              <w:rPr>
                <w:rFonts w:ascii="Arial" w:cs="Arial" w:eastAsia="Arial" w:hAnsi="Arial"/>
                <w:sz w:val="16"/>
                <w:szCs w:val="16"/>
                <w:b w:val="1"/>
                <w:bCs w:val="1"/>
                <w:color w:val="0233A1"/>
              </w:rPr>
              <w:t>Have Not Vested</w:t>
            </w:r>
          </w:p>
        </w:tc>
        <w:tc>
          <w:tcPr>
            <w:tcW w:w="0" w:type="dxa"/>
            <w:vAlign w:val="bottom"/>
          </w:tcPr>
          <w:p>
            <w:pPr>
              <w:spacing w:after="0"/>
              <w:rPr>
                <w:sz w:val="1"/>
                <w:szCs w:val="1"/>
                <w:color w:val="auto"/>
              </w:rPr>
            </w:pPr>
          </w:p>
        </w:tc>
      </w:tr>
      <w:tr>
        <w:trPr>
          <w:trHeight w:val="229"/>
        </w:trPr>
        <w:tc>
          <w:tcPr>
            <w:tcW w:w="66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Name</w:t>
            </w:r>
          </w:p>
        </w:tc>
        <w:tc>
          <w:tcPr>
            <w:tcW w:w="880" w:type="dxa"/>
            <w:vAlign w:val="bottom"/>
            <w:tcBorders>
              <w:bottom w:val="single" w:sz="8" w:color="0233A1"/>
            </w:tcBorders>
            <w:gridSpan w:val="2"/>
          </w:tcPr>
          <w:p>
            <w:pPr>
              <w:jc w:val="right"/>
              <w:ind w:right="40"/>
              <w:spacing w:after="0"/>
              <w:rPr>
                <w:sz w:val="20"/>
                <w:szCs w:val="20"/>
                <w:color w:val="auto"/>
              </w:rPr>
            </w:pPr>
            <w:r>
              <w:rPr>
                <w:rFonts w:ascii="Arial" w:cs="Arial" w:eastAsia="Arial" w:hAnsi="Arial"/>
                <w:sz w:val="16"/>
                <w:szCs w:val="16"/>
                <w:b w:val="1"/>
                <w:bCs w:val="1"/>
                <w:color w:val="0233A1"/>
              </w:rPr>
              <w:t>Grant Date</w:t>
            </w:r>
          </w:p>
        </w:tc>
        <w:tc>
          <w:tcPr>
            <w:tcW w:w="122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26"/>
                <w:szCs w:val="26"/>
                <w:b w:val="1"/>
                <w:bCs w:val="1"/>
                <w:color w:val="0233A1"/>
                <w:vertAlign w:val="subscript"/>
              </w:rPr>
              <w:t>(#)</w:t>
            </w:r>
            <w:r>
              <w:rPr>
                <w:rFonts w:ascii="Arial" w:cs="Arial" w:eastAsia="Arial" w:hAnsi="Arial"/>
                <w:sz w:val="12"/>
                <w:szCs w:val="12"/>
                <w:b w:val="1"/>
                <w:bCs w:val="1"/>
                <w:color w:val="0233A1"/>
              </w:rPr>
              <w:t>(1)</w:t>
            </w:r>
          </w:p>
        </w:tc>
        <w:tc>
          <w:tcPr>
            <w:tcW w:w="138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26"/>
                <w:szCs w:val="26"/>
                <w:b w:val="1"/>
                <w:bCs w:val="1"/>
                <w:color w:val="0233A1"/>
                <w:vertAlign w:val="subscript"/>
              </w:rPr>
              <w:t>(#)</w:t>
            </w:r>
            <w:r>
              <w:rPr>
                <w:rFonts w:ascii="Arial" w:cs="Arial" w:eastAsia="Arial" w:hAnsi="Arial"/>
                <w:sz w:val="12"/>
                <w:szCs w:val="12"/>
                <w:b w:val="1"/>
                <w:bCs w:val="1"/>
                <w:color w:val="0233A1"/>
              </w:rPr>
              <w:t>(1)</w:t>
            </w:r>
          </w:p>
        </w:tc>
        <w:tc>
          <w:tcPr>
            <w:tcW w:w="80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860" w:type="dxa"/>
            <w:vAlign w:val="bottom"/>
            <w:tcBorders>
              <w:bottom w:val="single" w:sz="8" w:color="0233A1"/>
            </w:tcBorders>
            <w:gridSpan w:val="2"/>
          </w:tcPr>
          <w:p>
            <w:pPr>
              <w:jc w:val="right"/>
              <w:ind w:right="60"/>
              <w:spacing w:after="0"/>
              <w:rPr>
                <w:sz w:val="20"/>
                <w:szCs w:val="20"/>
                <w:color w:val="auto"/>
              </w:rPr>
            </w:pPr>
            <w:r>
              <w:rPr>
                <w:rFonts w:ascii="Arial" w:cs="Arial" w:eastAsia="Arial" w:hAnsi="Arial"/>
                <w:sz w:val="16"/>
                <w:szCs w:val="16"/>
                <w:b w:val="1"/>
                <w:bCs w:val="1"/>
                <w:color w:val="0233A1"/>
              </w:rPr>
              <w:t>Date</w:t>
            </w:r>
          </w:p>
        </w:tc>
        <w:tc>
          <w:tcPr>
            <w:tcW w:w="1140" w:type="dxa"/>
            <w:vAlign w:val="bottom"/>
            <w:tcBorders>
              <w:bottom w:val="single" w:sz="8" w:color="0233A1"/>
            </w:tcBorders>
          </w:tcPr>
          <w:p>
            <w:pPr>
              <w:jc w:val="right"/>
              <w:ind w:right="219"/>
              <w:spacing w:after="0"/>
              <w:rPr>
                <w:sz w:val="20"/>
                <w:szCs w:val="20"/>
                <w:color w:val="auto"/>
              </w:rPr>
            </w:pPr>
            <w:r>
              <w:rPr>
                <w:rFonts w:ascii="Arial" w:cs="Arial" w:eastAsia="Arial" w:hAnsi="Arial"/>
                <w:sz w:val="16"/>
                <w:szCs w:val="16"/>
                <w:b w:val="1"/>
                <w:bCs w:val="1"/>
                <w:color w:val="0233A1"/>
              </w:rPr>
              <w:t>(#)</w:t>
            </w:r>
          </w:p>
        </w:tc>
        <w:tc>
          <w:tcPr>
            <w:tcW w:w="112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26"/>
                <w:szCs w:val="26"/>
                <w:b w:val="1"/>
                <w:bCs w:val="1"/>
                <w:color w:val="0233A1"/>
                <w:vertAlign w:val="subscript"/>
              </w:rPr>
              <w:t>($)</w:t>
            </w:r>
            <w:r>
              <w:rPr>
                <w:rFonts w:ascii="Arial" w:cs="Arial" w:eastAsia="Arial" w:hAnsi="Arial"/>
                <w:sz w:val="12"/>
                <w:szCs w:val="12"/>
                <w:b w:val="1"/>
                <w:bCs w:val="1"/>
                <w:color w:val="0233A1"/>
              </w:rPr>
              <w:t>(2)</w:t>
            </w:r>
          </w:p>
        </w:tc>
        <w:tc>
          <w:tcPr>
            <w:tcW w:w="1480" w:type="dxa"/>
            <w:vAlign w:val="bottom"/>
            <w:tcBorders>
              <w:bottom w:val="single" w:sz="8" w:color="0233A1"/>
            </w:tcBorders>
          </w:tcPr>
          <w:p>
            <w:pPr>
              <w:jc w:val="right"/>
              <w:ind w:right="139"/>
              <w:spacing w:after="0"/>
              <w:rPr>
                <w:sz w:val="20"/>
                <w:szCs w:val="20"/>
                <w:color w:val="auto"/>
              </w:rPr>
            </w:pPr>
            <w:r>
              <w:rPr>
                <w:rFonts w:ascii="Arial" w:cs="Arial" w:eastAsia="Arial" w:hAnsi="Arial"/>
                <w:sz w:val="16"/>
                <w:szCs w:val="16"/>
                <w:b w:val="1"/>
                <w:bCs w:val="1"/>
                <w:color w:val="0233A1"/>
              </w:rPr>
              <w:t>(#)</w:t>
            </w:r>
          </w:p>
        </w:tc>
        <w:tc>
          <w:tcPr>
            <w:tcW w:w="170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26"/>
                <w:szCs w:val="26"/>
                <w:b w:val="1"/>
                <w:bCs w:val="1"/>
                <w:color w:val="0233A1"/>
                <w:vertAlign w:val="subscript"/>
              </w:rPr>
              <w:t>($)</w:t>
            </w:r>
            <w:r>
              <w:rPr>
                <w:rFonts w:ascii="Arial" w:cs="Arial" w:eastAsia="Arial" w:hAnsi="Arial"/>
                <w:sz w:val="12"/>
                <w:szCs w:val="12"/>
                <w:b w:val="1"/>
                <w:bCs w:val="1"/>
                <w:color w:val="0233A1"/>
              </w:rPr>
              <w:t>(2)</w:t>
            </w:r>
          </w:p>
        </w:tc>
        <w:tc>
          <w:tcPr>
            <w:tcW w:w="0" w:type="dxa"/>
            <w:vAlign w:val="bottom"/>
          </w:tcPr>
          <w:p>
            <w:pPr>
              <w:spacing w:after="0"/>
              <w:rPr>
                <w:sz w:val="1"/>
                <w:szCs w:val="1"/>
                <w:color w:val="auto"/>
              </w:rPr>
            </w:pPr>
          </w:p>
        </w:tc>
      </w:tr>
      <w:tr>
        <w:trPr>
          <w:trHeight w:val="168"/>
        </w:trPr>
        <w:tc>
          <w:tcPr>
            <w:tcW w:w="660" w:type="dxa"/>
            <w:vAlign w:val="bottom"/>
          </w:tcPr>
          <w:p>
            <w:pPr>
              <w:ind w:left="60"/>
              <w:spacing w:after="0" w:line="168" w:lineRule="exact"/>
              <w:rPr>
                <w:sz w:val="20"/>
                <w:szCs w:val="20"/>
                <w:color w:val="auto"/>
              </w:rPr>
            </w:pPr>
            <w:r>
              <w:rPr>
                <w:rFonts w:ascii="Arial" w:cs="Arial" w:eastAsia="Arial" w:hAnsi="Arial"/>
                <w:sz w:val="16"/>
                <w:szCs w:val="16"/>
                <w:color w:val="auto"/>
              </w:rPr>
              <w:t>A.</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60" w:type="dxa"/>
            <w:vAlign w:val="bottom"/>
          </w:tcPr>
          <w:p>
            <w:pPr>
              <w:ind w:left="60"/>
              <w:spacing w:after="0"/>
              <w:rPr>
                <w:sz w:val="20"/>
                <w:szCs w:val="20"/>
                <w:color w:val="auto"/>
              </w:rPr>
            </w:pPr>
            <w:r>
              <w:rPr>
                <w:rFonts w:ascii="Arial" w:cs="Arial" w:eastAsia="Arial" w:hAnsi="Arial"/>
                <w:sz w:val="16"/>
                <w:szCs w:val="16"/>
                <w:color w:val="auto"/>
              </w:rPr>
              <w:t>Merad</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4/18/2013</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4,000</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70.925</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4/18/2023</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4/16/2014</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20,000</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100.555</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4/16/2024</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4/16/2015</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20,000</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91.740</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4/16/2025</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4/20/2016</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20,000</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80.525</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4/20/2026</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1/15/2020</w:t>
            </w:r>
          </w:p>
        </w:tc>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80" w:type="dxa"/>
            <w:vAlign w:val="bottom"/>
          </w:tcPr>
          <w:p>
            <w:pPr>
              <w:jc w:val="right"/>
              <w:spacing w:after="0" w:line="246" w:lineRule="exact"/>
              <w:rPr>
                <w:sz w:val="20"/>
                <w:szCs w:val="20"/>
                <w:color w:val="auto"/>
              </w:rPr>
            </w:pPr>
            <w:r>
              <w:rPr>
                <w:rFonts w:ascii="Arial" w:cs="Arial" w:eastAsia="Arial" w:hAnsi="Arial"/>
                <w:sz w:val="16"/>
                <w:szCs w:val="16"/>
                <w:color w:val="auto"/>
              </w:rPr>
              <w:t>97,260</w:t>
            </w:r>
            <w:r>
              <w:rPr>
                <w:rFonts w:ascii="Arial" w:cs="Arial" w:eastAsia="Arial" w:hAnsi="Arial"/>
                <w:sz w:val="26"/>
                <w:szCs w:val="26"/>
                <w:color w:val="auto"/>
                <w:vertAlign w:val="superscript"/>
              </w:rPr>
              <w:t>(8)</w:t>
            </w: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5,199,520</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1/20/2021</w:t>
            </w:r>
          </w:p>
        </w:tc>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80" w:type="dxa"/>
            <w:vAlign w:val="bottom"/>
          </w:tcPr>
          <w:p>
            <w:pPr>
              <w:jc w:val="right"/>
              <w:spacing w:after="0" w:line="243" w:lineRule="exact"/>
              <w:rPr>
                <w:sz w:val="20"/>
                <w:szCs w:val="20"/>
                <w:color w:val="auto"/>
              </w:rPr>
            </w:pPr>
            <w:r>
              <w:rPr>
                <w:rFonts w:ascii="Arial" w:cs="Arial" w:eastAsia="Arial" w:hAnsi="Arial"/>
                <w:sz w:val="16"/>
                <w:szCs w:val="16"/>
                <w:color w:val="auto"/>
              </w:rPr>
              <w:t>67,220</w:t>
            </w:r>
            <w:r>
              <w:rPr>
                <w:rFonts w:ascii="Arial" w:cs="Arial" w:eastAsia="Arial" w:hAnsi="Arial"/>
                <w:sz w:val="26"/>
                <w:szCs w:val="26"/>
                <w:color w:val="auto"/>
                <w:vertAlign w:val="superscript"/>
              </w:rPr>
              <w:t>(3)</w:t>
            </w: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3,593,581</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1/20/2021</w:t>
            </w:r>
          </w:p>
        </w:tc>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jc w:val="right"/>
              <w:ind w:right="59"/>
              <w:spacing w:after="0" w:line="243" w:lineRule="exact"/>
              <w:rPr>
                <w:sz w:val="20"/>
                <w:szCs w:val="20"/>
                <w:color w:val="auto"/>
              </w:rPr>
            </w:pPr>
            <w:r>
              <w:rPr>
                <w:rFonts w:ascii="Arial" w:cs="Arial" w:eastAsia="Arial" w:hAnsi="Arial"/>
                <w:sz w:val="16"/>
                <w:szCs w:val="16"/>
                <w:color w:val="auto"/>
              </w:rPr>
              <w:t>33,610</w:t>
            </w:r>
            <w:r>
              <w:rPr>
                <w:rFonts w:ascii="Arial" w:cs="Arial" w:eastAsia="Arial" w:hAnsi="Arial"/>
                <w:sz w:val="26"/>
                <w:szCs w:val="26"/>
                <w:color w:val="auto"/>
                <w:vertAlign w:val="superscript"/>
              </w:rPr>
              <w:t>(4)</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1,796,791</w:t>
            </w:r>
          </w:p>
        </w:tc>
        <w:tc>
          <w:tcPr>
            <w:tcW w:w="14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2/3/2021</w:t>
            </w:r>
          </w:p>
        </w:tc>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80" w:type="dxa"/>
            <w:vAlign w:val="bottom"/>
          </w:tcPr>
          <w:p>
            <w:pPr>
              <w:jc w:val="right"/>
              <w:spacing w:after="0" w:line="243" w:lineRule="exact"/>
              <w:rPr>
                <w:sz w:val="20"/>
                <w:szCs w:val="20"/>
                <w:color w:val="auto"/>
              </w:rPr>
            </w:pPr>
            <w:r>
              <w:rPr>
                <w:rFonts w:ascii="Arial" w:cs="Arial" w:eastAsia="Arial" w:hAnsi="Arial"/>
                <w:sz w:val="16"/>
                <w:szCs w:val="16"/>
                <w:color w:val="auto"/>
              </w:rPr>
              <w:t>29,390</w:t>
            </w:r>
            <w:r>
              <w:rPr>
                <w:rFonts w:ascii="Arial" w:cs="Arial" w:eastAsia="Arial" w:hAnsi="Arial"/>
                <w:sz w:val="26"/>
                <w:szCs w:val="26"/>
                <w:color w:val="auto"/>
                <w:vertAlign w:val="superscript"/>
              </w:rPr>
              <w:t>(5)</w:t>
            </w: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1,571,189</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1/19/2022</w:t>
            </w:r>
          </w:p>
        </w:tc>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80" w:type="dxa"/>
            <w:vAlign w:val="bottom"/>
          </w:tcPr>
          <w:p>
            <w:pPr>
              <w:jc w:val="right"/>
              <w:spacing w:after="0" w:line="243" w:lineRule="exact"/>
              <w:rPr>
                <w:sz w:val="20"/>
                <w:szCs w:val="20"/>
                <w:color w:val="auto"/>
              </w:rPr>
            </w:pPr>
            <w:r>
              <w:rPr>
                <w:rFonts w:ascii="Arial" w:cs="Arial" w:eastAsia="Arial" w:hAnsi="Arial"/>
                <w:sz w:val="16"/>
                <w:szCs w:val="16"/>
                <w:color w:val="auto"/>
              </w:rPr>
              <w:t>64,587</w:t>
            </w:r>
            <w:r>
              <w:rPr>
                <w:rFonts w:ascii="Arial" w:cs="Arial" w:eastAsia="Arial" w:hAnsi="Arial"/>
                <w:sz w:val="26"/>
                <w:szCs w:val="26"/>
                <w:color w:val="auto"/>
                <w:vertAlign w:val="superscript"/>
              </w:rPr>
              <w:t>(6)</w:t>
            </w: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3,452,821</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1/19/2022</w:t>
            </w:r>
          </w:p>
        </w:tc>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jc w:val="right"/>
              <w:ind w:right="59"/>
              <w:spacing w:after="0" w:line="243" w:lineRule="exact"/>
              <w:rPr>
                <w:sz w:val="20"/>
                <w:szCs w:val="20"/>
                <w:color w:val="auto"/>
              </w:rPr>
            </w:pPr>
            <w:r>
              <w:rPr>
                <w:rFonts w:ascii="Arial" w:cs="Arial" w:eastAsia="Arial" w:hAnsi="Arial"/>
                <w:sz w:val="16"/>
                <w:szCs w:val="16"/>
                <w:color w:val="auto"/>
              </w:rPr>
              <w:t>22,321</w:t>
            </w:r>
            <w:r>
              <w:rPr>
                <w:rFonts w:ascii="Arial" w:cs="Arial" w:eastAsia="Arial" w:hAnsi="Arial"/>
                <w:sz w:val="26"/>
                <w:szCs w:val="26"/>
                <w:color w:val="auto"/>
                <w:vertAlign w:val="superscript"/>
              </w:rPr>
              <w:t>(7)</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1,193,281</w:t>
            </w:r>
          </w:p>
        </w:tc>
        <w:tc>
          <w:tcPr>
            <w:tcW w:w="14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4/19/2022</w:t>
            </w:r>
          </w:p>
        </w:tc>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80" w:type="dxa"/>
            <w:vAlign w:val="bottom"/>
          </w:tcPr>
          <w:p>
            <w:pPr>
              <w:jc w:val="right"/>
              <w:spacing w:after="0" w:line="243" w:lineRule="exact"/>
              <w:rPr>
                <w:sz w:val="20"/>
                <w:szCs w:val="20"/>
                <w:color w:val="auto"/>
              </w:rPr>
            </w:pPr>
            <w:r>
              <w:rPr>
                <w:rFonts w:ascii="Arial" w:cs="Arial" w:eastAsia="Arial" w:hAnsi="Arial"/>
                <w:sz w:val="16"/>
                <w:szCs w:val="16"/>
                <w:color w:val="auto"/>
              </w:rPr>
              <w:t>5,604</w:t>
            </w:r>
            <w:r>
              <w:rPr>
                <w:rFonts w:ascii="Arial" w:cs="Arial" w:eastAsia="Arial" w:hAnsi="Arial"/>
                <w:sz w:val="26"/>
                <w:szCs w:val="26"/>
                <w:color w:val="auto"/>
                <w:vertAlign w:val="superscript"/>
              </w:rPr>
              <w:t>(6)</w:t>
            </w: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299,590</w:t>
            </w:r>
          </w:p>
        </w:tc>
        <w:tc>
          <w:tcPr>
            <w:tcW w:w="0" w:type="dxa"/>
            <w:vAlign w:val="bottom"/>
          </w:tcPr>
          <w:p>
            <w:pPr>
              <w:spacing w:after="0"/>
              <w:rPr>
                <w:sz w:val="1"/>
                <w:szCs w:val="1"/>
                <w:color w:val="auto"/>
              </w:rPr>
            </w:pPr>
          </w:p>
        </w:tc>
      </w:tr>
      <w:tr>
        <w:trPr>
          <w:trHeight w:val="242"/>
        </w:trPr>
        <w:tc>
          <w:tcPr>
            <w:tcW w:w="6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4/19/2022</w:t>
            </w:r>
          </w:p>
        </w:tc>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jc w:val="right"/>
              <w:ind w:right="59"/>
              <w:spacing w:after="0" w:line="241" w:lineRule="exact"/>
              <w:rPr>
                <w:sz w:val="20"/>
                <w:szCs w:val="20"/>
                <w:color w:val="auto"/>
              </w:rPr>
            </w:pPr>
            <w:r>
              <w:rPr>
                <w:rFonts w:ascii="Arial" w:cs="Arial" w:eastAsia="Arial" w:hAnsi="Arial"/>
                <w:sz w:val="16"/>
                <w:szCs w:val="16"/>
                <w:color w:val="auto"/>
              </w:rPr>
              <w:t>1,799</w:t>
            </w:r>
            <w:r>
              <w:rPr>
                <w:rFonts w:ascii="Arial" w:cs="Arial" w:eastAsia="Arial" w:hAnsi="Arial"/>
                <w:sz w:val="26"/>
                <w:szCs w:val="26"/>
                <w:color w:val="auto"/>
                <w:vertAlign w:val="superscript"/>
              </w:rPr>
              <w:t>(9)</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96,175</w:t>
            </w:r>
          </w:p>
        </w:tc>
        <w:tc>
          <w:tcPr>
            <w:tcW w:w="14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660" w:type="dxa"/>
            <w:vAlign w:val="bottom"/>
          </w:tcPr>
          <w:p>
            <w:pPr>
              <w:ind w:left="60"/>
              <w:spacing w:after="0"/>
              <w:rPr>
                <w:sz w:val="20"/>
                <w:szCs w:val="20"/>
                <w:color w:val="auto"/>
              </w:rPr>
            </w:pPr>
            <w:r>
              <w:rPr>
                <w:rFonts w:ascii="Arial" w:cs="Arial" w:eastAsia="Arial" w:hAnsi="Arial"/>
                <w:sz w:val="16"/>
                <w:szCs w:val="16"/>
                <w:color w:val="auto"/>
              </w:rPr>
              <w:t>D.</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44,760</w:t>
            </w:r>
            <w:r>
              <w:rPr>
                <w:rFonts w:ascii="Arial" w:cs="Arial" w:eastAsia="Arial" w:hAnsi="Arial"/>
                <w:sz w:val="26"/>
                <w:szCs w:val="26"/>
                <w:color w:val="auto"/>
                <w:vertAlign w:val="superscript"/>
              </w:rPr>
              <w:t>(8)</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60" w:type="dxa"/>
            <w:vAlign w:val="bottom"/>
          </w:tcPr>
          <w:p>
            <w:pPr>
              <w:ind w:left="60"/>
              <w:spacing w:after="0"/>
              <w:rPr>
                <w:sz w:val="20"/>
                <w:szCs w:val="20"/>
                <w:color w:val="auto"/>
              </w:rPr>
            </w:pPr>
            <w:r>
              <w:rPr>
                <w:rFonts w:ascii="Arial" w:cs="Arial" w:eastAsia="Arial" w:hAnsi="Arial"/>
                <w:sz w:val="16"/>
                <w:szCs w:val="16"/>
                <w:color w:val="auto"/>
              </w:rPr>
              <w:t>Ralston</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12/1/2020</w:t>
            </w: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2,392,870</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12/1/2020</w:t>
            </w:r>
          </w:p>
        </w:tc>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16"/>
                <w:szCs w:val="16"/>
                <w:color w:val="auto"/>
              </w:rPr>
              <w:t>34,604</w:t>
            </w:r>
            <w:r>
              <w:rPr>
                <w:rFonts w:ascii="Arial" w:cs="Arial" w:eastAsia="Arial" w:hAnsi="Arial"/>
                <w:sz w:val="26"/>
                <w:szCs w:val="26"/>
                <w:color w:val="auto"/>
                <w:vertAlign w:val="superscript"/>
              </w:rPr>
              <w:t>(10)</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1,849,930</w:t>
            </w:r>
          </w:p>
        </w:tc>
        <w:tc>
          <w:tcPr>
            <w:tcW w:w="14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1/20/2021</w:t>
            </w:r>
          </w:p>
        </w:tc>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80" w:type="dxa"/>
            <w:vAlign w:val="bottom"/>
          </w:tcPr>
          <w:p>
            <w:pPr>
              <w:jc w:val="right"/>
              <w:spacing w:after="0" w:line="243" w:lineRule="exact"/>
              <w:rPr>
                <w:sz w:val="20"/>
                <w:szCs w:val="20"/>
                <w:color w:val="auto"/>
              </w:rPr>
            </w:pPr>
            <w:r>
              <w:rPr>
                <w:rFonts w:ascii="Arial" w:cs="Arial" w:eastAsia="Arial" w:hAnsi="Arial"/>
                <w:sz w:val="16"/>
                <w:szCs w:val="16"/>
                <w:color w:val="auto"/>
              </w:rPr>
              <w:t>67,220</w:t>
            </w:r>
            <w:r>
              <w:rPr>
                <w:rFonts w:ascii="Arial" w:cs="Arial" w:eastAsia="Arial" w:hAnsi="Arial"/>
                <w:sz w:val="26"/>
                <w:szCs w:val="26"/>
                <w:color w:val="auto"/>
                <w:vertAlign w:val="superscript"/>
              </w:rPr>
              <w:t>(3)</w:t>
            </w: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3,593,581</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1/20/2021</w:t>
            </w:r>
          </w:p>
        </w:tc>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jc w:val="right"/>
              <w:ind w:right="59"/>
              <w:spacing w:after="0" w:line="243" w:lineRule="exact"/>
              <w:rPr>
                <w:sz w:val="20"/>
                <w:szCs w:val="20"/>
                <w:color w:val="auto"/>
              </w:rPr>
            </w:pPr>
            <w:r>
              <w:rPr>
                <w:rFonts w:ascii="Arial" w:cs="Arial" w:eastAsia="Arial" w:hAnsi="Arial"/>
                <w:sz w:val="16"/>
                <w:szCs w:val="16"/>
                <w:color w:val="auto"/>
              </w:rPr>
              <w:t>33,610</w:t>
            </w:r>
            <w:r>
              <w:rPr>
                <w:rFonts w:ascii="Arial" w:cs="Arial" w:eastAsia="Arial" w:hAnsi="Arial"/>
                <w:sz w:val="26"/>
                <w:szCs w:val="26"/>
                <w:color w:val="auto"/>
                <w:vertAlign w:val="superscript"/>
              </w:rPr>
              <w:t>(4)</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1,796,791</w:t>
            </w:r>
          </w:p>
        </w:tc>
        <w:tc>
          <w:tcPr>
            <w:tcW w:w="14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2/3/2021</w:t>
            </w:r>
          </w:p>
        </w:tc>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80" w:type="dxa"/>
            <w:vAlign w:val="bottom"/>
          </w:tcPr>
          <w:p>
            <w:pPr>
              <w:jc w:val="right"/>
              <w:spacing w:after="0" w:line="243" w:lineRule="exact"/>
              <w:rPr>
                <w:sz w:val="20"/>
                <w:szCs w:val="20"/>
                <w:color w:val="auto"/>
              </w:rPr>
            </w:pPr>
            <w:r>
              <w:rPr>
                <w:rFonts w:ascii="Arial" w:cs="Arial" w:eastAsia="Arial" w:hAnsi="Arial"/>
                <w:sz w:val="16"/>
                <w:szCs w:val="16"/>
                <w:color w:val="auto"/>
              </w:rPr>
              <w:t>29,390</w:t>
            </w:r>
            <w:r>
              <w:rPr>
                <w:rFonts w:ascii="Arial" w:cs="Arial" w:eastAsia="Arial" w:hAnsi="Arial"/>
                <w:sz w:val="26"/>
                <w:szCs w:val="26"/>
                <w:color w:val="auto"/>
                <w:vertAlign w:val="superscript"/>
              </w:rPr>
              <w:t>(5)</w:t>
            </w: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1,571,189</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1/19/2022</w:t>
            </w:r>
          </w:p>
        </w:tc>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80" w:type="dxa"/>
            <w:vAlign w:val="bottom"/>
          </w:tcPr>
          <w:p>
            <w:pPr>
              <w:jc w:val="right"/>
              <w:spacing w:after="0" w:line="243" w:lineRule="exact"/>
              <w:rPr>
                <w:sz w:val="20"/>
                <w:szCs w:val="20"/>
                <w:color w:val="auto"/>
              </w:rPr>
            </w:pPr>
            <w:r>
              <w:rPr>
                <w:rFonts w:ascii="Arial" w:cs="Arial" w:eastAsia="Arial" w:hAnsi="Arial"/>
                <w:sz w:val="16"/>
                <w:szCs w:val="16"/>
                <w:color w:val="auto"/>
              </w:rPr>
              <w:t>64,587</w:t>
            </w:r>
            <w:r>
              <w:rPr>
                <w:rFonts w:ascii="Arial" w:cs="Arial" w:eastAsia="Arial" w:hAnsi="Arial"/>
                <w:sz w:val="26"/>
                <w:szCs w:val="26"/>
                <w:color w:val="auto"/>
                <w:vertAlign w:val="superscript"/>
              </w:rPr>
              <w:t>(6)</w:t>
            </w: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3,452,821</w:t>
            </w:r>
          </w:p>
        </w:tc>
        <w:tc>
          <w:tcPr>
            <w:tcW w:w="0" w:type="dxa"/>
            <w:vAlign w:val="bottom"/>
          </w:tcPr>
          <w:p>
            <w:pPr>
              <w:spacing w:after="0"/>
              <w:rPr>
                <w:sz w:val="1"/>
                <w:szCs w:val="1"/>
                <w:color w:val="auto"/>
              </w:rPr>
            </w:pPr>
          </w:p>
        </w:tc>
      </w:tr>
      <w:tr>
        <w:trPr>
          <w:trHeight w:val="242"/>
        </w:trPr>
        <w:tc>
          <w:tcPr>
            <w:tcW w:w="6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1/19/2022</w:t>
            </w:r>
          </w:p>
        </w:tc>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jc w:val="right"/>
              <w:ind w:right="59"/>
              <w:spacing w:after="0" w:line="241" w:lineRule="exact"/>
              <w:rPr>
                <w:sz w:val="20"/>
                <w:szCs w:val="20"/>
                <w:color w:val="auto"/>
              </w:rPr>
            </w:pPr>
            <w:r>
              <w:rPr>
                <w:rFonts w:ascii="Arial" w:cs="Arial" w:eastAsia="Arial" w:hAnsi="Arial"/>
                <w:sz w:val="16"/>
                <w:szCs w:val="16"/>
                <w:color w:val="auto"/>
              </w:rPr>
              <w:t>22,321</w:t>
            </w:r>
            <w:r>
              <w:rPr>
                <w:rFonts w:ascii="Arial" w:cs="Arial" w:eastAsia="Arial" w:hAnsi="Arial"/>
                <w:sz w:val="26"/>
                <w:szCs w:val="26"/>
                <w:color w:val="auto"/>
                <w:vertAlign w:val="superscript"/>
              </w:rPr>
              <w:t>(7)</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1,193,281</w:t>
            </w:r>
          </w:p>
        </w:tc>
        <w:tc>
          <w:tcPr>
            <w:tcW w:w="14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660" w:type="dxa"/>
            <w:vAlign w:val="bottom"/>
          </w:tcPr>
          <w:p>
            <w:pPr>
              <w:ind w:left="60"/>
              <w:spacing w:after="0"/>
              <w:rPr>
                <w:sz w:val="20"/>
                <w:szCs w:val="20"/>
                <w:color w:val="auto"/>
              </w:rPr>
            </w:pPr>
            <w:r>
              <w:rPr>
                <w:rFonts w:ascii="Arial" w:cs="Arial" w:eastAsia="Arial" w:hAnsi="Arial"/>
                <w:sz w:val="16"/>
                <w:szCs w:val="16"/>
                <w:color w:val="auto"/>
              </w:rPr>
              <w:t>A.</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60" w:type="dxa"/>
            <w:vAlign w:val="bottom"/>
          </w:tcPr>
          <w:p>
            <w:pPr>
              <w:ind w:left="60"/>
              <w:spacing w:after="0"/>
              <w:rPr>
                <w:sz w:val="20"/>
                <w:szCs w:val="20"/>
                <w:color w:val="auto"/>
              </w:rPr>
            </w:pPr>
            <w:r>
              <w:rPr>
                <w:rFonts w:ascii="Arial" w:cs="Arial" w:eastAsia="Arial" w:hAnsi="Arial"/>
                <w:sz w:val="16"/>
                <w:szCs w:val="16"/>
                <w:color w:val="auto"/>
              </w:rPr>
              <w:t>Belani</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1/17/2013</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72,000</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73.250</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1/17/2023</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1/16/2014</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60,000</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88.765</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1/16/2024</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1/15/2015</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80,000</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77.795</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1/15/2025</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1/21/2016</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128,000</w:t>
            </w:r>
          </w:p>
        </w:tc>
        <w:tc>
          <w:tcPr>
            <w:tcW w:w="13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61.920</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1/21/2026</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1/15/2020</w:t>
            </w:r>
          </w:p>
        </w:tc>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80" w:type="dxa"/>
            <w:vAlign w:val="bottom"/>
          </w:tcPr>
          <w:p>
            <w:pPr>
              <w:jc w:val="right"/>
              <w:spacing w:after="0" w:line="246" w:lineRule="exact"/>
              <w:rPr>
                <w:sz w:val="20"/>
                <w:szCs w:val="20"/>
                <w:color w:val="auto"/>
              </w:rPr>
            </w:pPr>
            <w:r>
              <w:rPr>
                <w:rFonts w:ascii="Arial" w:cs="Arial" w:eastAsia="Arial" w:hAnsi="Arial"/>
                <w:sz w:val="16"/>
                <w:szCs w:val="16"/>
                <w:color w:val="auto"/>
              </w:rPr>
              <w:t>109,420</w:t>
            </w:r>
            <w:r>
              <w:rPr>
                <w:rFonts w:ascii="Arial" w:cs="Arial" w:eastAsia="Arial" w:hAnsi="Arial"/>
                <w:sz w:val="26"/>
                <w:szCs w:val="26"/>
                <w:color w:val="auto"/>
                <w:vertAlign w:val="superscript"/>
              </w:rPr>
              <w:t>(8)</w:t>
            </w: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5,849,593</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1/20/2021</w:t>
            </w:r>
          </w:p>
        </w:tc>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80" w:type="dxa"/>
            <w:vAlign w:val="bottom"/>
          </w:tcPr>
          <w:p>
            <w:pPr>
              <w:jc w:val="right"/>
              <w:spacing w:after="0" w:line="243" w:lineRule="exact"/>
              <w:rPr>
                <w:sz w:val="20"/>
                <w:szCs w:val="20"/>
                <w:color w:val="auto"/>
              </w:rPr>
            </w:pPr>
            <w:r>
              <w:rPr>
                <w:rFonts w:ascii="Arial" w:cs="Arial" w:eastAsia="Arial" w:hAnsi="Arial"/>
                <w:sz w:val="16"/>
                <w:szCs w:val="16"/>
                <w:color w:val="auto"/>
              </w:rPr>
              <w:t>75,640</w:t>
            </w:r>
            <w:r>
              <w:rPr>
                <w:rFonts w:ascii="Arial" w:cs="Arial" w:eastAsia="Arial" w:hAnsi="Arial"/>
                <w:sz w:val="26"/>
                <w:szCs w:val="26"/>
                <w:color w:val="auto"/>
                <w:vertAlign w:val="superscript"/>
              </w:rPr>
              <w:t>(3)</w:t>
            </w: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4,043,714</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1/20/2021</w:t>
            </w:r>
          </w:p>
        </w:tc>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jc w:val="right"/>
              <w:ind w:right="59"/>
              <w:spacing w:after="0" w:line="243" w:lineRule="exact"/>
              <w:rPr>
                <w:sz w:val="20"/>
                <w:szCs w:val="20"/>
                <w:color w:val="auto"/>
              </w:rPr>
            </w:pPr>
            <w:r>
              <w:rPr>
                <w:rFonts w:ascii="Arial" w:cs="Arial" w:eastAsia="Arial" w:hAnsi="Arial"/>
                <w:sz w:val="16"/>
                <w:szCs w:val="16"/>
                <w:color w:val="auto"/>
              </w:rPr>
              <w:t>37,820</w:t>
            </w:r>
            <w:r>
              <w:rPr>
                <w:rFonts w:ascii="Arial" w:cs="Arial" w:eastAsia="Arial" w:hAnsi="Arial"/>
                <w:sz w:val="26"/>
                <w:szCs w:val="26"/>
                <w:color w:val="auto"/>
                <w:vertAlign w:val="superscript"/>
              </w:rPr>
              <w:t>(4)</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2,021,857</w:t>
            </w:r>
          </w:p>
        </w:tc>
        <w:tc>
          <w:tcPr>
            <w:tcW w:w="14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2/3/2021</w:t>
            </w:r>
          </w:p>
        </w:tc>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80" w:type="dxa"/>
            <w:vAlign w:val="bottom"/>
          </w:tcPr>
          <w:p>
            <w:pPr>
              <w:jc w:val="right"/>
              <w:spacing w:after="0" w:line="243" w:lineRule="exact"/>
              <w:rPr>
                <w:sz w:val="20"/>
                <w:szCs w:val="20"/>
                <w:color w:val="auto"/>
              </w:rPr>
            </w:pPr>
            <w:r>
              <w:rPr>
                <w:rFonts w:ascii="Arial" w:cs="Arial" w:eastAsia="Arial" w:hAnsi="Arial"/>
                <w:sz w:val="16"/>
                <w:szCs w:val="16"/>
                <w:color w:val="auto"/>
              </w:rPr>
              <w:t>33,060</w:t>
            </w:r>
            <w:r>
              <w:rPr>
                <w:rFonts w:ascii="Arial" w:cs="Arial" w:eastAsia="Arial" w:hAnsi="Arial"/>
                <w:sz w:val="26"/>
                <w:szCs w:val="26"/>
                <w:color w:val="auto"/>
                <w:vertAlign w:val="superscript"/>
              </w:rPr>
              <w:t>(5)</w:t>
            </w: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1,767,388</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1/19/2022</w:t>
            </w:r>
          </w:p>
        </w:tc>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80" w:type="dxa"/>
            <w:vAlign w:val="bottom"/>
          </w:tcPr>
          <w:p>
            <w:pPr>
              <w:jc w:val="right"/>
              <w:spacing w:after="0" w:line="243" w:lineRule="exact"/>
              <w:rPr>
                <w:sz w:val="20"/>
                <w:szCs w:val="20"/>
                <w:color w:val="auto"/>
              </w:rPr>
            </w:pPr>
            <w:r>
              <w:rPr>
                <w:rFonts w:ascii="Arial" w:cs="Arial" w:eastAsia="Arial" w:hAnsi="Arial"/>
                <w:sz w:val="16"/>
                <w:szCs w:val="16"/>
                <w:color w:val="auto"/>
              </w:rPr>
              <w:t>72,662</w:t>
            </w:r>
            <w:r>
              <w:rPr>
                <w:rFonts w:ascii="Arial" w:cs="Arial" w:eastAsia="Arial" w:hAnsi="Arial"/>
                <w:sz w:val="26"/>
                <w:szCs w:val="26"/>
                <w:color w:val="auto"/>
                <w:vertAlign w:val="superscript"/>
              </w:rPr>
              <w:t>(6)</w:t>
            </w: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3,884,511</w:t>
            </w:r>
          </w:p>
        </w:tc>
        <w:tc>
          <w:tcPr>
            <w:tcW w:w="0" w:type="dxa"/>
            <w:vAlign w:val="bottom"/>
          </w:tcPr>
          <w:p>
            <w:pPr>
              <w:spacing w:after="0"/>
              <w:rPr>
                <w:sz w:val="1"/>
                <w:szCs w:val="1"/>
                <w:color w:val="auto"/>
              </w:rPr>
            </w:pPr>
          </w:p>
        </w:tc>
      </w:tr>
      <w:tr>
        <w:trPr>
          <w:trHeight w:val="249"/>
        </w:trPr>
        <w:tc>
          <w:tcPr>
            <w:tcW w:w="660" w:type="dxa"/>
            <w:vAlign w:val="bottom"/>
            <w:tcBorders>
              <w:bottom w:val="single" w:sz="8" w:color="0233A1"/>
            </w:tcBorders>
          </w:tcPr>
          <w:p>
            <w:pPr>
              <w:spacing w:after="0"/>
              <w:rPr>
                <w:sz w:val="21"/>
                <w:szCs w:val="21"/>
                <w:color w:val="auto"/>
              </w:rPr>
            </w:pPr>
          </w:p>
        </w:tc>
        <w:tc>
          <w:tcPr>
            <w:tcW w:w="880" w:type="dxa"/>
            <w:vAlign w:val="bottom"/>
            <w:tcBorders>
              <w:bottom w:val="single" w:sz="8" w:color="0233A1"/>
            </w:tcBorders>
            <w:gridSpan w:val="2"/>
          </w:tcPr>
          <w:p>
            <w:pPr>
              <w:jc w:val="right"/>
              <w:ind w:right="40"/>
              <w:spacing w:after="0"/>
              <w:rPr>
                <w:sz w:val="20"/>
                <w:szCs w:val="20"/>
                <w:color w:val="auto"/>
              </w:rPr>
            </w:pPr>
            <w:r>
              <w:rPr>
                <w:rFonts w:ascii="Arial" w:cs="Arial" w:eastAsia="Arial" w:hAnsi="Arial"/>
                <w:sz w:val="16"/>
                <w:szCs w:val="16"/>
                <w:color w:val="auto"/>
              </w:rPr>
              <w:t>1/19/2022</w:t>
            </w:r>
          </w:p>
        </w:tc>
        <w:tc>
          <w:tcPr>
            <w:tcW w:w="1220" w:type="dxa"/>
            <w:vAlign w:val="bottom"/>
            <w:tcBorders>
              <w:bottom w:val="single" w:sz="8" w:color="0233A1"/>
            </w:tcBorders>
          </w:tcPr>
          <w:p>
            <w:pPr>
              <w:spacing w:after="0"/>
              <w:rPr>
                <w:sz w:val="21"/>
                <w:szCs w:val="21"/>
                <w:color w:val="auto"/>
              </w:rPr>
            </w:pPr>
          </w:p>
        </w:tc>
        <w:tc>
          <w:tcPr>
            <w:tcW w:w="1380" w:type="dxa"/>
            <w:vAlign w:val="bottom"/>
            <w:tcBorders>
              <w:bottom w:val="single" w:sz="8" w:color="0233A1"/>
            </w:tcBorders>
          </w:tcPr>
          <w:p>
            <w:pPr>
              <w:spacing w:after="0"/>
              <w:rPr>
                <w:sz w:val="21"/>
                <w:szCs w:val="21"/>
                <w:color w:val="auto"/>
              </w:rPr>
            </w:pPr>
          </w:p>
        </w:tc>
        <w:tc>
          <w:tcPr>
            <w:tcW w:w="800" w:type="dxa"/>
            <w:vAlign w:val="bottom"/>
            <w:tcBorders>
              <w:bottom w:val="single" w:sz="8" w:color="0233A1"/>
            </w:tcBorders>
          </w:tcPr>
          <w:p>
            <w:pPr>
              <w:spacing w:after="0"/>
              <w:rPr>
                <w:sz w:val="21"/>
                <w:szCs w:val="21"/>
                <w:color w:val="auto"/>
              </w:rPr>
            </w:pPr>
          </w:p>
        </w:tc>
        <w:tc>
          <w:tcPr>
            <w:tcW w:w="800" w:type="dxa"/>
            <w:vAlign w:val="bottom"/>
            <w:tcBorders>
              <w:bottom w:val="single" w:sz="8" w:color="0233A1"/>
            </w:tcBorders>
          </w:tcPr>
          <w:p>
            <w:pPr>
              <w:spacing w:after="0"/>
              <w:rPr>
                <w:sz w:val="21"/>
                <w:szCs w:val="21"/>
                <w:color w:val="auto"/>
              </w:rPr>
            </w:pPr>
          </w:p>
        </w:tc>
        <w:tc>
          <w:tcPr>
            <w:tcW w:w="60" w:type="dxa"/>
            <w:vAlign w:val="bottom"/>
            <w:tcBorders>
              <w:bottom w:val="single" w:sz="8" w:color="0233A1"/>
            </w:tcBorders>
          </w:tcPr>
          <w:p>
            <w:pPr>
              <w:spacing w:after="0"/>
              <w:rPr>
                <w:sz w:val="21"/>
                <w:szCs w:val="21"/>
                <w:color w:val="auto"/>
              </w:rPr>
            </w:pPr>
          </w:p>
        </w:tc>
        <w:tc>
          <w:tcPr>
            <w:tcW w:w="1140" w:type="dxa"/>
            <w:vAlign w:val="bottom"/>
            <w:tcBorders>
              <w:bottom w:val="single" w:sz="8" w:color="0233A1"/>
            </w:tcBorders>
          </w:tcPr>
          <w:p>
            <w:pPr>
              <w:jc w:val="right"/>
              <w:ind w:right="59"/>
              <w:spacing w:after="0" w:line="242" w:lineRule="exact"/>
              <w:rPr>
                <w:sz w:val="20"/>
                <w:szCs w:val="20"/>
                <w:color w:val="auto"/>
              </w:rPr>
            </w:pPr>
            <w:r>
              <w:rPr>
                <w:rFonts w:ascii="Arial" w:cs="Arial" w:eastAsia="Arial" w:hAnsi="Arial"/>
                <w:sz w:val="16"/>
                <w:szCs w:val="16"/>
                <w:color w:val="auto"/>
              </w:rPr>
              <w:t>25,112</w:t>
            </w:r>
            <w:r>
              <w:rPr>
                <w:rFonts w:ascii="Arial" w:cs="Arial" w:eastAsia="Arial" w:hAnsi="Arial"/>
                <w:sz w:val="26"/>
                <w:szCs w:val="26"/>
                <w:color w:val="auto"/>
                <w:vertAlign w:val="superscript"/>
              </w:rPr>
              <w:t>(7)</w:t>
            </w:r>
          </w:p>
        </w:tc>
        <w:tc>
          <w:tcPr>
            <w:tcW w:w="1120" w:type="dxa"/>
            <w:vAlign w:val="bottom"/>
            <w:tcBorders>
              <w:bottom w:val="single" w:sz="8" w:color="0233A1"/>
            </w:tcBorders>
          </w:tcPr>
          <w:p>
            <w:pPr>
              <w:jc w:val="right"/>
              <w:ind w:right="140"/>
              <w:spacing w:after="0"/>
              <w:rPr>
                <w:sz w:val="20"/>
                <w:szCs w:val="20"/>
                <w:color w:val="auto"/>
              </w:rPr>
            </w:pPr>
            <w:r>
              <w:rPr>
                <w:rFonts w:ascii="Arial" w:cs="Arial" w:eastAsia="Arial" w:hAnsi="Arial"/>
                <w:sz w:val="16"/>
                <w:szCs w:val="16"/>
                <w:color w:val="auto"/>
              </w:rPr>
              <w:t>1,342,488</w:t>
            </w:r>
          </w:p>
        </w:tc>
        <w:tc>
          <w:tcPr>
            <w:tcW w:w="1480" w:type="dxa"/>
            <w:vAlign w:val="bottom"/>
            <w:tcBorders>
              <w:bottom w:val="single" w:sz="8" w:color="0233A1"/>
            </w:tcBorders>
          </w:tcPr>
          <w:p>
            <w:pPr>
              <w:spacing w:after="0"/>
              <w:rPr>
                <w:sz w:val="21"/>
                <w:szCs w:val="21"/>
                <w:color w:val="auto"/>
              </w:rPr>
            </w:pPr>
          </w:p>
        </w:tc>
        <w:tc>
          <w:tcPr>
            <w:tcW w:w="1700" w:type="dxa"/>
            <w:vAlign w:val="bottom"/>
            <w:tcBorders>
              <w:bottom w:val="single" w:sz="8" w:color="0233A1"/>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-170815</wp:posOffset>
            </wp:positionV>
            <wp:extent cx="6746240" cy="8255"/>
            <wp:wrapNone/>
            <wp:docPr id="3544" name="Picture 3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4"/>
                    <pic:cNvPicPr>
                      <a:picLocks noChangeAspect="1" noChangeArrowheads="1"/>
                    </pic:cNvPicPr>
                  </pic:nvPicPr>
                  <pic:blipFill>
                    <a:blip r:embed="rId3551">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-325120</wp:posOffset>
            </wp:positionV>
            <wp:extent cx="6746240" cy="8255"/>
            <wp:wrapNone/>
            <wp:docPr id="3545" name="Picture 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5"/>
                    <pic:cNvPicPr>
                      <a:picLocks noChangeAspect="1" noChangeArrowheads="1"/>
                    </pic:cNvPicPr>
                  </pic:nvPicPr>
                  <pic:blipFill>
                    <a:blip r:embed="rId3552">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-479425</wp:posOffset>
            </wp:positionV>
            <wp:extent cx="6746240" cy="8255"/>
            <wp:wrapNone/>
            <wp:docPr id="3546" name="Picture 3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6"/>
                    <pic:cNvPicPr>
                      <a:picLocks noChangeAspect="1" noChangeArrowheads="1"/>
                    </pic:cNvPicPr>
                  </pic:nvPicPr>
                  <pic:blipFill>
                    <a:blip r:embed="rId3553">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-633730</wp:posOffset>
            </wp:positionV>
            <wp:extent cx="6746240" cy="8890"/>
            <wp:wrapNone/>
            <wp:docPr id="3547" name="Picture 3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7"/>
                    <pic:cNvPicPr>
                      <a:picLocks noChangeAspect="1" noChangeArrowheads="1"/>
                    </pic:cNvPicPr>
                  </pic:nvPicPr>
                  <pic:blipFill>
                    <a:blip r:embed="rId3554">
                      <a:extLst>
                        <a:ext uri="{28A0092B-C50C-407E-A947-70E740481C1C}"/>
                      </a:extLst>
                    </a:blip>
                    <a:srcRect/>
                    <a:stretch>
                      <a:fillRect/>
                    </a:stretch>
                  </pic:blipFill>
                  <pic:spPr bwMode="auto">
                    <a:xfrm>
                      <a:off x="0" y="0"/>
                      <a:ext cx="674624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-788035</wp:posOffset>
            </wp:positionV>
            <wp:extent cx="6746240" cy="8890"/>
            <wp:wrapNone/>
            <wp:docPr id="3548" name="Picture 3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8"/>
                    <pic:cNvPicPr>
                      <a:picLocks noChangeAspect="1" noChangeArrowheads="1"/>
                    </pic:cNvPicPr>
                  </pic:nvPicPr>
                  <pic:blipFill>
                    <a:blip r:embed="rId3555">
                      <a:extLst>
                        <a:ext uri="{28A0092B-C50C-407E-A947-70E740481C1C}"/>
                      </a:extLst>
                    </a:blip>
                    <a:srcRect/>
                    <a:stretch>
                      <a:fillRect/>
                    </a:stretch>
                  </pic:blipFill>
                  <pic:spPr bwMode="auto">
                    <a:xfrm>
                      <a:off x="0" y="0"/>
                      <a:ext cx="674624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-942340</wp:posOffset>
            </wp:positionV>
            <wp:extent cx="6746240" cy="8890"/>
            <wp:wrapNone/>
            <wp:docPr id="3549" name="Picture 3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9"/>
                    <pic:cNvPicPr>
                      <a:picLocks noChangeAspect="1" noChangeArrowheads="1"/>
                    </pic:cNvPicPr>
                  </pic:nvPicPr>
                  <pic:blipFill>
                    <a:blip r:embed="rId3556">
                      <a:extLst>
                        <a:ext uri="{28A0092B-C50C-407E-A947-70E740481C1C}"/>
                      </a:extLst>
                    </a:blip>
                    <a:srcRect/>
                    <a:stretch>
                      <a:fillRect/>
                    </a:stretch>
                  </pic:blipFill>
                  <pic:spPr bwMode="auto">
                    <a:xfrm>
                      <a:off x="0" y="0"/>
                      <a:ext cx="674624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-1079500</wp:posOffset>
            </wp:positionV>
            <wp:extent cx="6746240" cy="8255"/>
            <wp:wrapNone/>
            <wp:docPr id="3550" name="Picture 3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0"/>
                    <pic:cNvPicPr>
                      <a:picLocks noChangeAspect="1" noChangeArrowheads="1"/>
                    </pic:cNvPicPr>
                  </pic:nvPicPr>
                  <pic:blipFill>
                    <a:blip r:embed="rId3557">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-1216660</wp:posOffset>
            </wp:positionV>
            <wp:extent cx="6746240" cy="8890"/>
            <wp:wrapNone/>
            <wp:docPr id="3551" name="Picture 3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1"/>
                    <pic:cNvPicPr>
                      <a:picLocks noChangeAspect="1" noChangeArrowheads="1"/>
                    </pic:cNvPicPr>
                  </pic:nvPicPr>
                  <pic:blipFill>
                    <a:blip r:embed="rId3558">
                      <a:extLst>
                        <a:ext uri="{28A0092B-C50C-407E-A947-70E740481C1C}"/>
                      </a:extLst>
                    </a:blip>
                    <a:srcRect/>
                    <a:stretch>
                      <a:fillRect/>
                    </a:stretch>
                  </pic:blipFill>
                  <pic:spPr bwMode="auto">
                    <a:xfrm>
                      <a:off x="0" y="0"/>
                      <a:ext cx="674624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-1353820</wp:posOffset>
            </wp:positionV>
            <wp:extent cx="6746240" cy="8255"/>
            <wp:wrapNone/>
            <wp:docPr id="3552" name="Picture 3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2"/>
                    <pic:cNvPicPr>
                      <a:picLocks noChangeAspect="1" noChangeArrowheads="1"/>
                    </pic:cNvPicPr>
                  </pic:nvPicPr>
                  <pic:blipFill>
                    <a:blip r:embed="rId3559">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-1610995</wp:posOffset>
            </wp:positionV>
            <wp:extent cx="7132320" cy="8890"/>
            <wp:wrapNone/>
            <wp:docPr id="3553" name="Picture 3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3"/>
                    <pic:cNvPicPr>
                      <a:picLocks noChangeAspect="1" noChangeArrowheads="1"/>
                    </pic:cNvPicPr>
                  </pic:nvPicPr>
                  <pic:blipFill>
                    <a:blip r:embed="rId356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-1765300</wp:posOffset>
            </wp:positionV>
            <wp:extent cx="6746240" cy="8255"/>
            <wp:wrapNone/>
            <wp:docPr id="3554" name="Picture 3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4"/>
                    <pic:cNvPicPr>
                      <a:picLocks noChangeAspect="1" noChangeArrowheads="1"/>
                    </pic:cNvPicPr>
                  </pic:nvPicPr>
                  <pic:blipFill>
                    <a:blip r:embed="rId3561">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-1919605</wp:posOffset>
            </wp:positionV>
            <wp:extent cx="6746240" cy="8255"/>
            <wp:wrapNone/>
            <wp:docPr id="3555" name="Picture 3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5"/>
                    <pic:cNvPicPr>
                      <a:picLocks noChangeAspect="1" noChangeArrowheads="1"/>
                    </pic:cNvPicPr>
                  </pic:nvPicPr>
                  <pic:blipFill>
                    <a:blip r:embed="rId3562">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-2073910</wp:posOffset>
            </wp:positionV>
            <wp:extent cx="6746240" cy="8255"/>
            <wp:wrapNone/>
            <wp:docPr id="3556" name="Picture 3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6"/>
                    <pic:cNvPicPr>
                      <a:picLocks noChangeAspect="1" noChangeArrowheads="1"/>
                    </pic:cNvPicPr>
                  </pic:nvPicPr>
                  <pic:blipFill>
                    <a:blip r:embed="rId3563">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-2228215</wp:posOffset>
            </wp:positionV>
            <wp:extent cx="6746240" cy="8255"/>
            <wp:wrapNone/>
            <wp:docPr id="3557" name="Picture 3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7"/>
                    <pic:cNvPicPr>
                      <a:picLocks noChangeAspect="1" noChangeArrowheads="1"/>
                    </pic:cNvPicPr>
                  </pic:nvPicPr>
                  <pic:blipFill>
                    <a:blip r:embed="rId3564">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-2382520</wp:posOffset>
            </wp:positionV>
            <wp:extent cx="6746240" cy="8255"/>
            <wp:wrapNone/>
            <wp:docPr id="3558" name="Picture 3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8"/>
                    <pic:cNvPicPr>
                      <a:picLocks noChangeAspect="1" noChangeArrowheads="1"/>
                    </pic:cNvPicPr>
                  </pic:nvPicPr>
                  <pic:blipFill>
                    <a:blip r:embed="rId3565">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-2536825</wp:posOffset>
            </wp:positionV>
            <wp:extent cx="6746240" cy="8255"/>
            <wp:wrapNone/>
            <wp:docPr id="3559" name="Picture 3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9"/>
                    <pic:cNvPicPr>
                      <a:picLocks noChangeAspect="1" noChangeArrowheads="1"/>
                    </pic:cNvPicPr>
                  </pic:nvPicPr>
                  <pic:blipFill>
                    <a:blip r:embed="rId3566">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-2794000</wp:posOffset>
            </wp:positionV>
            <wp:extent cx="7132320" cy="8255"/>
            <wp:wrapNone/>
            <wp:docPr id="3560" name="Picture 3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0"/>
                    <pic:cNvPicPr>
                      <a:picLocks noChangeAspect="1" noChangeArrowheads="1"/>
                    </pic:cNvPicPr>
                  </pic:nvPicPr>
                  <pic:blipFill>
                    <a:blip r:embed="rId35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-2948305</wp:posOffset>
            </wp:positionV>
            <wp:extent cx="6746240" cy="8255"/>
            <wp:wrapNone/>
            <wp:docPr id="3561" name="Picture 3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1"/>
                    <pic:cNvPicPr>
                      <a:picLocks noChangeAspect="1" noChangeArrowheads="1"/>
                    </pic:cNvPicPr>
                  </pic:nvPicPr>
                  <pic:blipFill>
                    <a:blip r:embed="rId3568">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-3102610</wp:posOffset>
            </wp:positionV>
            <wp:extent cx="6746240" cy="8255"/>
            <wp:wrapNone/>
            <wp:docPr id="3562" name="Picture 3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2"/>
                    <pic:cNvPicPr>
                      <a:picLocks noChangeAspect="1" noChangeArrowheads="1"/>
                    </pic:cNvPicPr>
                  </pic:nvPicPr>
                  <pic:blipFill>
                    <a:blip r:embed="rId3569">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-3256915</wp:posOffset>
            </wp:positionV>
            <wp:extent cx="6746240" cy="8890"/>
            <wp:wrapNone/>
            <wp:docPr id="3563" name="Picture 3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3"/>
                    <pic:cNvPicPr>
                      <a:picLocks noChangeAspect="1" noChangeArrowheads="1"/>
                    </pic:cNvPicPr>
                  </pic:nvPicPr>
                  <pic:blipFill>
                    <a:blip r:embed="rId3570">
                      <a:extLst>
                        <a:ext uri="{28A0092B-C50C-407E-A947-70E740481C1C}"/>
                      </a:extLst>
                    </a:blip>
                    <a:srcRect/>
                    <a:stretch>
                      <a:fillRect/>
                    </a:stretch>
                  </pic:blipFill>
                  <pic:spPr bwMode="auto">
                    <a:xfrm>
                      <a:off x="0" y="0"/>
                      <a:ext cx="674624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-3411220</wp:posOffset>
            </wp:positionV>
            <wp:extent cx="6746240" cy="8255"/>
            <wp:wrapNone/>
            <wp:docPr id="3564" name="Picture 3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4"/>
                    <pic:cNvPicPr>
                      <a:picLocks noChangeAspect="1" noChangeArrowheads="1"/>
                    </pic:cNvPicPr>
                  </pic:nvPicPr>
                  <pic:blipFill>
                    <a:blip r:embed="rId3571">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-3565525</wp:posOffset>
            </wp:positionV>
            <wp:extent cx="6746240" cy="8255"/>
            <wp:wrapNone/>
            <wp:docPr id="3565" name="Picture 3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5"/>
                    <pic:cNvPicPr>
                      <a:picLocks noChangeAspect="1" noChangeArrowheads="1"/>
                    </pic:cNvPicPr>
                  </pic:nvPicPr>
                  <pic:blipFill>
                    <a:blip r:embed="rId3572">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-3719830</wp:posOffset>
            </wp:positionV>
            <wp:extent cx="6746240" cy="8255"/>
            <wp:wrapNone/>
            <wp:docPr id="3566" name="Picture 3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6"/>
                    <pic:cNvPicPr>
                      <a:picLocks noChangeAspect="1" noChangeArrowheads="1"/>
                    </pic:cNvPicPr>
                  </pic:nvPicPr>
                  <pic:blipFill>
                    <a:blip r:embed="rId3573">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-3874135</wp:posOffset>
            </wp:positionV>
            <wp:extent cx="6746240" cy="8255"/>
            <wp:wrapNone/>
            <wp:docPr id="3567" name="Picture 3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7"/>
                    <pic:cNvPicPr>
                      <a:picLocks noChangeAspect="1" noChangeArrowheads="1"/>
                    </pic:cNvPicPr>
                  </pic:nvPicPr>
                  <pic:blipFill>
                    <a:blip r:embed="rId3574">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-4028440</wp:posOffset>
            </wp:positionV>
            <wp:extent cx="6746240" cy="8255"/>
            <wp:wrapNone/>
            <wp:docPr id="3568" name="Picture 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8"/>
                    <pic:cNvPicPr>
                      <a:picLocks noChangeAspect="1" noChangeArrowheads="1"/>
                    </pic:cNvPicPr>
                  </pic:nvPicPr>
                  <pic:blipFill>
                    <a:blip r:embed="rId3575">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-4165600</wp:posOffset>
            </wp:positionV>
            <wp:extent cx="6746240" cy="8890"/>
            <wp:wrapNone/>
            <wp:docPr id="3569" name="Picture 3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9"/>
                    <pic:cNvPicPr>
                      <a:picLocks noChangeAspect="1" noChangeArrowheads="1"/>
                    </pic:cNvPicPr>
                  </pic:nvPicPr>
                  <pic:blipFill>
                    <a:blip r:embed="rId3576">
                      <a:extLst>
                        <a:ext uri="{28A0092B-C50C-407E-A947-70E740481C1C}"/>
                      </a:extLst>
                    </a:blip>
                    <a:srcRect/>
                    <a:stretch>
                      <a:fillRect/>
                    </a:stretch>
                  </pic:blipFill>
                  <pic:spPr bwMode="auto">
                    <a:xfrm>
                      <a:off x="0" y="0"/>
                      <a:ext cx="674624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-4302760</wp:posOffset>
            </wp:positionV>
            <wp:extent cx="6746240" cy="8255"/>
            <wp:wrapNone/>
            <wp:docPr id="3570" name="Picture 3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0"/>
                    <pic:cNvPicPr>
                      <a:picLocks noChangeAspect="1" noChangeArrowheads="1"/>
                    </pic:cNvPicPr>
                  </pic:nvPicPr>
                  <pic:blipFill>
                    <a:blip r:embed="rId3577">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-4439920</wp:posOffset>
            </wp:positionV>
            <wp:extent cx="6746240" cy="8255"/>
            <wp:wrapNone/>
            <wp:docPr id="3571" name="Picture 3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1"/>
                    <pic:cNvPicPr>
                      <a:picLocks noChangeAspect="1" noChangeArrowheads="1"/>
                    </pic:cNvPicPr>
                  </pic:nvPicPr>
                  <pic:blipFill>
                    <a:blip r:embed="rId3578">
                      <a:extLst>
                        <a:ext uri="{28A0092B-C50C-407E-A947-70E740481C1C}"/>
                      </a:extLst>
                    </a:blip>
                    <a:srcRect/>
                    <a:stretch>
                      <a:fillRect/>
                    </a:stretch>
                  </pic:blipFill>
                  <pic:spPr bwMode="auto">
                    <a:xfrm>
                      <a:off x="0" y="0"/>
                      <a:ext cx="6746240" cy="8255"/>
                    </a:xfrm>
                    <a:prstGeom prst="rect">
                      <a:avLst/>
                    </a:prstGeom>
                    <a:noFill/>
                  </pic:spPr>
                </pic:pic>
              </a:graphicData>
            </a:graphic>
          </wp:anchor>
        </w:drawing>
      </w:r>
    </w:p>
    <w:p>
      <w:pPr>
        <w:spacing w:after="0" w:line="38"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All outstanding stock options vested ratably over five years.</w:t>
      </w:r>
    </w:p>
    <w:p>
      <w:pPr>
        <w:spacing w:after="0" w:line="55" w:lineRule="exact"/>
        <w:rPr>
          <w:rFonts w:ascii="Arial" w:cs="Arial" w:eastAsia="Arial" w:hAnsi="Arial"/>
          <w:sz w:val="14"/>
          <w:szCs w:val="14"/>
          <w:color w:val="auto"/>
        </w:rPr>
      </w:pPr>
    </w:p>
    <w:p>
      <w:pPr>
        <w:ind w:left="340" w:hanging="332"/>
        <w:spacing w:after="0" w:line="281"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Market value is based on $53.46, the December 30, 2022 closing price of shares of our common stock, multiplied by the number of unvested PSUs or RSUs reflected in the previous column.</w:t>
      </w:r>
    </w:p>
    <w:p>
      <w:pPr>
        <w:spacing w:after="0" w:line="1" w:lineRule="exact"/>
        <w:rPr>
          <w:rFonts w:ascii="Arial" w:cs="Arial" w:eastAsia="Arial" w:hAnsi="Arial"/>
          <w:sz w:val="14"/>
          <w:szCs w:val="14"/>
          <w:color w:val="auto"/>
        </w:rPr>
      </w:pPr>
    </w:p>
    <w:p>
      <w:pPr>
        <w:ind w:left="340" w:hanging="332"/>
        <w:spacing w:after="0" w:line="281"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Reflects the target number of FCF Margin PSUs and ROCE PSUs that were issued in January 2021 and that will vest, if at all, in January 2024, subject to the achievement of performance conditions.</w:t>
      </w:r>
    </w:p>
    <w:p>
      <w:pPr>
        <w:spacing w:after="0" w:line="1" w:lineRule="exact"/>
        <w:rPr>
          <w:rFonts w:ascii="Arial" w:cs="Arial" w:eastAsia="Arial" w:hAnsi="Arial"/>
          <w:sz w:val="14"/>
          <w:szCs w:val="14"/>
          <w:color w:val="auto"/>
        </w:rPr>
      </w:pPr>
    </w:p>
    <w:p>
      <w:pPr>
        <w:ind w:left="340" w:hanging="332"/>
        <w:spacing w:after="0" w:line="262"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Reflects the number of three-year RSUs that were issued in January 2021 and that will vest on January 20, 2024, subject to continued employment with SLB through that date.</w:t>
      </w:r>
    </w:p>
    <w:p>
      <w:pPr>
        <w:spacing w:after="0" w:line="202" w:lineRule="exact"/>
        <w:rPr>
          <w:rFonts w:ascii="Arial" w:cs="Arial" w:eastAsia="Arial" w:hAnsi="Arial"/>
          <w:sz w:val="14"/>
          <w:szCs w:val="14"/>
          <w:color w:val="auto"/>
        </w:rPr>
      </w:pPr>
    </w:p>
    <w:p>
      <w:pPr>
        <w:ind w:left="340" w:hanging="332"/>
        <w:spacing w:after="0" w:line="262"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Reflects the target number of TSR PSUs that were issued in February 2021 and that will vest, if at all, in January 2024, subject to the achievement of performance conditions.</w:t>
      </w:r>
    </w:p>
    <w:p>
      <w:pPr>
        <w:spacing w:after="0" w:line="202" w:lineRule="exact"/>
        <w:rPr>
          <w:rFonts w:ascii="Arial" w:cs="Arial" w:eastAsia="Arial" w:hAnsi="Arial"/>
          <w:sz w:val="14"/>
          <w:szCs w:val="14"/>
          <w:color w:val="auto"/>
        </w:rPr>
      </w:pPr>
    </w:p>
    <w:p>
      <w:pPr>
        <w:ind w:left="340" w:hanging="332"/>
        <w:spacing w:after="0" w:line="281"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Reflects the target number of FCF Margin PSUs, ROCE PSUs, and TSR PSUs that were issued in January 2022 and, solely to Mr. Merad, April 2022, and that will vest, if at all, in January 2025, subject to the achievement of performance conditions.</w:t>
      </w:r>
    </w:p>
    <w:p>
      <w:pPr>
        <w:spacing w:after="0" w:line="1" w:lineRule="exact"/>
        <w:rPr>
          <w:rFonts w:ascii="Arial" w:cs="Arial" w:eastAsia="Arial" w:hAnsi="Arial"/>
          <w:sz w:val="14"/>
          <w:szCs w:val="14"/>
          <w:color w:val="auto"/>
        </w:rPr>
      </w:pPr>
    </w:p>
    <w:p>
      <w:pPr>
        <w:ind w:left="340" w:hanging="332"/>
        <w:spacing w:after="0" w:line="262"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Reflects the number of three-year RSUs that were issued in January 2022 and that will vest on January 19, 2025, subject to continued employment with SLB through that date.</w:t>
      </w:r>
    </w:p>
    <w:p>
      <w:pPr>
        <w:spacing w:after="0" w:line="202" w:lineRule="exact"/>
        <w:rPr>
          <w:rFonts w:ascii="Arial" w:cs="Arial" w:eastAsia="Arial" w:hAnsi="Arial"/>
          <w:sz w:val="14"/>
          <w:szCs w:val="14"/>
          <w:color w:val="auto"/>
        </w:rPr>
      </w:pPr>
    </w:p>
    <w:p>
      <w:pPr>
        <w:ind w:left="340" w:hanging="332"/>
        <w:spacing w:after="0" w:line="281"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Reflects the target number of free cash flow conversion PSUs and ROCE PSUs that were issued in January 2020 and, solely to Ms. Ralston, December 2020, and that were scheduled to vest in January 2023, subject to the achievement of performance conditions.</w:t>
      </w:r>
    </w:p>
    <w:p>
      <w:pPr>
        <w:spacing w:after="0" w:line="1" w:lineRule="exact"/>
        <w:rPr>
          <w:rFonts w:ascii="Arial" w:cs="Arial" w:eastAsia="Arial" w:hAnsi="Arial"/>
          <w:sz w:val="14"/>
          <w:szCs w:val="14"/>
          <w:color w:val="auto"/>
        </w:rPr>
      </w:pPr>
    </w:p>
    <w:p>
      <w:pPr>
        <w:ind w:left="340" w:hanging="332"/>
        <w:spacing w:after="0" w:line="281"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Reflects the number of three-year RSUs that were issued to Mr. Merad in April 2022 and that will vest on April 19, 2025, subject to his continued employment with SLB through that date.</w:t>
      </w:r>
    </w:p>
    <w:p>
      <w:pPr>
        <w:spacing w:after="0" w:line="1" w:lineRule="exact"/>
        <w:rPr>
          <w:rFonts w:ascii="Arial" w:cs="Arial" w:eastAsia="Arial" w:hAnsi="Arial"/>
          <w:sz w:val="14"/>
          <w:szCs w:val="14"/>
          <w:color w:val="auto"/>
        </w:rPr>
      </w:pPr>
    </w:p>
    <w:p>
      <w:pPr>
        <w:jc w:val="both"/>
        <w:ind w:left="340" w:hanging="332"/>
        <w:spacing w:after="0" w:line="263"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 December 2020, SLB issued 103,810 RSUs to Ms. Ralston in connection with her appointment as Chief Legal Officer, of which 34,603 RSUs vested on December 1, 2021 and 34,603 RSUs vested on December 1, 2022. The remaining 34,604 RSUs will vest on December 1, 2023, subject to Ms. Ralston’s continued employment with SLB through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140970</wp:posOffset>
            </wp:positionV>
            <wp:extent cx="471805" cy="282575"/>
            <wp:wrapNone/>
            <wp:docPr id="3572" name="Picture 3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2"/>
                    <pic:cNvPicPr>
                      <a:picLocks noChangeAspect="1" noChangeArrowheads="1"/>
                    </pic:cNvPicPr>
                  </pic:nvPicPr>
                  <pic:blipFill>
                    <a:blip r:embed="rId3579">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Pr>
          <w:p>
            <w:pPr>
              <w:spacing w:after="0"/>
              <w:rPr>
                <w:sz w:val="9"/>
                <w:szCs w:val="9"/>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53</w:t>
            </w:r>
          </w:p>
        </w:tc>
        <w:tc>
          <w:tcPr>
            <w:tcW w:w="44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5"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16458B"/>
        </w:rPr>
        <w:t>Option Exercises and Stock Vested in 2022</w:t>
      </w:r>
    </w:p>
    <w:p>
      <w:pPr>
        <w:spacing w:after="0" w:line="21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following table provides additional information regarding stock options that were exercised and PSU and RSU awards that vested during 2022 for our NEOs.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80" w:type="dxa"/>
            <w:vAlign w:val="bottom"/>
          </w:tcPr>
          <w:p>
            <w:pPr>
              <w:spacing w:after="0"/>
              <w:rPr>
                <w:sz w:val="18"/>
                <w:szCs w:val="18"/>
                <w:color w:val="auto"/>
              </w:rPr>
            </w:pPr>
          </w:p>
        </w:tc>
        <w:tc>
          <w:tcPr>
            <w:tcW w:w="3300" w:type="dxa"/>
            <w:vAlign w:val="bottom"/>
            <w:gridSpan w:val="3"/>
          </w:tcPr>
          <w:p>
            <w:pPr>
              <w:ind w:left="920"/>
              <w:spacing w:after="0"/>
              <w:rPr>
                <w:sz w:val="20"/>
                <w:szCs w:val="20"/>
                <w:color w:val="auto"/>
              </w:rPr>
            </w:pPr>
            <w:r>
              <w:rPr>
                <w:rFonts w:ascii="Arial" w:cs="Arial" w:eastAsia="Arial" w:hAnsi="Arial"/>
                <w:sz w:val="16"/>
                <w:szCs w:val="16"/>
                <w:b w:val="1"/>
                <w:bCs w:val="1"/>
                <w:color w:val="0233A1"/>
              </w:rPr>
              <w:t>Option Awards</w:t>
            </w:r>
          </w:p>
        </w:tc>
        <w:tc>
          <w:tcPr>
            <w:tcW w:w="3160" w:type="dxa"/>
            <w:vAlign w:val="bottom"/>
            <w:gridSpan w:val="2"/>
          </w:tcPr>
          <w:p>
            <w:pPr>
              <w:jc w:val="right"/>
              <w:ind w:right="959"/>
              <w:spacing w:after="0"/>
              <w:rPr>
                <w:sz w:val="20"/>
                <w:szCs w:val="20"/>
                <w:color w:val="auto"/>
              </w:rPr>
            </w:pPr>
            <w:r>
              <w:rPr>
                <w:rFonts w:ascii="Arial" w:cs="Arial" w:eastAsia="Arial" w:hAnsi="Arial"/>
                <w:sz w:val="16"/>
                <w:szCs w:val="16"/>
                <w:b w:val="1"/>
                <w:bCs w:val="1"/>
                <w:color w:val="0233A1"/>
              </w:rPr>
              <w:t>Stock Awards</w:t>
            </w:r>
          </w:p>
        </w:tc>
      </w:tr>
      <w:tr>
        <w:trPr>
          <w:trHeight w:val="168"/>
        </w:trPr>
        <w:tc>
          <w:tcPr>
            <w:tcW w:w="4780" w:type="dxa"/>
            <w:vAlign w:val="bottom"/>
          </w:tcPr>
          <w:p>
            <w:pPr>
              <w:spacing w:after="0"/>
              <w:rPr>
                <w:sz w:val="14"/>
                <w:szCs w:val="14"/>
                <w:color w:val="auto"/>
              </w:rPr>
            </w:pPr>
          </w:p>
        </w:tc>
        <w:tc>
          <w:tcPr>
            <w:tcW w:w="1760" w:type="dxa"/>
            <w:vAlign w:val="bottom"/>
            <w:tcBorders>
              <w:top w:val="single" w:sz="8" w:color="0233A1"/>
            </w:tcBorders>
          </w:tcPr>
          <w:p>
            <w:pPr>
              <w:jc w:val="right"/>
              <w:ind w:right="19"/>
              <w:spacing w:after="0" w:line="168" w:lineRule="exact"/>
              <w:rPr>
                <w:sz w:val="20"/>
                <w:szCs w:val="20"/>
                <w:color w:val="auto"/>
              </w:rPr>
            </w:pPr>
            <w:r>
              <w:rPr>
                <w:rFonts w:ascii="Arial" w:cs="Arial" w:eastAsia="Arial" w:hAnsi="Arial"/>
                <w:sz w:val="16"/>
                <w:szCs w:val="16"/>
                <w:b w:val="1"/>
                <w:bCs w:val="1"/>
                <w:color w:val="0233A1"/>
              </w:rPr>
              <w:t>Number of Shares</w:t>
            </w:r>
          </w:p>
        </w:tc>
        <w:tc>
          <w:tcPr>
            <w:tcW w:w="1220" w:type="dxa"/>
            <w:vAlign w:val="bottom"/>
            <w:tcBorders>
              <w:top w:val="single" w:sz="8" w:color="0233A1"/>
            </w:tcBorders>
          </w:tcPr>
          <w:p>
            <w:pPr>
              <w:jc w:val="right"/>
              <w:spacing w:after="0" w:line="168" w:lineRule="exact"/>
              <w:rPr>
                <w:sz w:val="20"/>
                <w:szCs w:val="20"/>
                <w:color w:val="auto"/>
              </w:rPr>
            </w:pPr>
            <w:r>
              <w:rPr>
                <w:rFonts w:ascii="Arial" w:cs="Arial" w:eastAsia="Arial" w:hAnsi="Arial"/>
                <w:sz w:val="16"/>
                <w:szCs w:val="16"/>
                <w:b w:val="1"/>
                <w:bCs w:val="1"/>
                <w:color w:val="0233A1"/>
              </w:rPr>
              <w:t>Value Realized</w:t>
            </w:r>
          </w:p>
        </w:tc>
        <w:tc>
          <w:tcPr>
            <w:tcW w:w="320" w:type="dxa"/>
            <w:vAlign w:val="bottom"/>
          </w:tcPr>
          <w:p>
            <w:pPr>
              <w:spacing w:after="0"/>
              <w:rPr>
                <w:sz w:val="14"/>
                <w:szCs w:val="14"/>
                <w:color w:val="auto"/>
              </w:rPr>
            </w:pPr>
          </w:p>
        </w:tc>
        <w:tc>
          <w:tcPr>
            <w:tcW w:w="1860" w:type="dxa"/>
            <w:vAlign w:val="bottom"/>
            <w:tcBorders>
              <w:top w:val="single" w:sz="8" w:color="0233A1"/>
            </w:tcBorders>
          </w:tcPr>
          <w:p>
            <w:pPr>
              <w:jc w:val="right"/>
              <w:ind w:right="199"/>
              <w:spacing w:after="0" w:line="168" w:lineRule="exact"/>
              <w:rPr>
                <w:sz w:val="20"/>
                <w:szCs w:val="20"/>
                <w:color w:val="auto"/>
              </w:rPr>
            </w:pPr>
            <w:r>
              <w:rPr>
                <w:rFonts w:ascii="Arial" w:cs="Arial" w:eastAsia="Arial" w:hAnsi="Arial"/>
                <w:sz w:val="16"/>
                <w:szCs w:val="16"/>
                <w:b w:val="1"/>
                <w:bCs w:val="1"/>
                <w:color w:val="0233A1"/>
              </w:rPr>
              <w:t>Number of Shares</w:t>
            </w:r>
          </w:p>
        </w:tc>
        <w:tc>
          <w:tcPr>
            <w:tcW w:w="1300" w:type="dxa"/>
            <w:vAlign w:val="bottom"/>
            <w:tcBorders>
              <w:top w:val="single" w:sz="8" w:color="0233A1"/>
            </w:tcBorders>
          </w:tcPr>
          <w:p>
            <w:pPr>
              <w:jc w:val="right"/>
              <w:spacing w:after="0" w:line="168" w:lineRule="exact"/>
              <w:rPr>
                <w:sz w:val="20"/>
                <w:szCs w:val="20"/>
                <w:color w:val="auto"/>
              </w:rPr>
            </w:pPr>
            <w:r>
              <w:rPr>
                <w:rFonts w:ascii="Arial" w:cs="Arial" w:eastAsia="Arial" w:hAnsi="Arial"/>
                <w:sz w:val="16"/>
                <w:szCs w:val="16"/>
                <w:b w:val="1"/>
                <w:bCs w:val="1"/>
                <w:color w:val="0233A1"/>
              </w:rPr>
              <w:t>Value Realized</w:t>
            </w:r>
          </w:p>
        </w:tc>
      </w:tr>
      <w:tr>
        <w:trPr>
          <w:trHeight w:val="189"/>
        </w:trPr>
        <w:tc>
          <w:tcPr>
            <w:tcW w:w="4780" w:type="dxa"/>
            <w:vAlign w:val="bottom"/>
          </w:tcPr>
          <w:p>
            <w:pPr>
              <w:spacing w:after="0"/>
              <w:rPr>
                <w:sz w:val="16"/>
                <w:szCs w:val="16"/>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b w:val="1"/>
                <w:bCs w:val="1"/>
                <w:color w:val="0233A1"/>
              </w:rPr>
              <w:t>Acquired on Exercise</w:t>
            </w:r>
          </w:p>
        </w:tc>
        <w:tc>
          <w:tcPr>
            <w:tcW w:w="15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0233A1"/>
              </w:rPr>
              <w:t>on Exercise</w:t>
            </w:r>
          </w:p>
        </w:tc>
        <w:tc>
          <w:tcPr>
            <w:tcW w:w="1860" w:type="dxa"/>
            <w:vAlign w:val="bottom"/>
          </w:tcPr>
          <w:p>
            <w:pPr>
              <w:jc w:val="right"/>
              <w:ind w:right="199"/>
              <w:spacing w:after="0"/>
              <w:rPr>
                <w:sz w:val="20"/>
                <w:szCs w:val="20"/>
                <w:color w:val="auto"/>
              </w:rPr>
            </w:pPr>
            <w:r>
              <w:rPr>
                <w:rFonts w:ascii="Arial" w:cs="Arial" w:eastAsia="Arial" w:hAnsi="Arial"/>
                <w:sz w:val="16"/>
                <w:szCs w:val="16"/>
                <w:b w:val="1"/>
                <w:bCs w:val="1"/>
                <w:color w:val="0233A1"/>
              </w:rPr>
              <w:t>Acquired on Vesting</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0233A1"/>
              </w:rPr>
              <w:t>on Vesting</w:t>
            </w:r>
          </w:p>
        </w:tc>
      </w:tr>
      <w:tr>
        <w:trPr>
          <w:trHeight w:val="203"/>
        </w:trPr>
        <w:tc>
          <w:tcPr>
            <w:tcW w:w="478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Name</w:t>
            </w:r>
          </w:p>
        </w:tc>
        <w:tc>
          <w:tcPr>
            <w:tcW w:w="1760" w:type="dxa"/>
            <w:vAlign w:val="bottom"/>
            <w:tcBorders>
              <w:bottom w:val="single" w:sz="8" w:color="0233A1"/>
            </w:tcBorders>
          </w:tcPr>
          <w:p>
            <w:pPr>
              <w:jc w:val="right"/>
              <w:ind w:right="19"/>
              <w:spacing w:after="0"/>
              <w:rPr>
                <w:sz w:val="20"/>
                <w:szCs w:val="20"/>
                <w:color w:val="auto"/>
              </w:rPr>
            </w:pPr>
            <w:r>
              <w:rPr>
                <w:rFonts w:ascii="Arial" w:cs="Arial" w:eastAsia="Arial" w:hAnsi="Arial"/>
                <w:sz w:val="16"/>
                <w:szCs w:val="16"/>
                <w:b w:val="1"/>
                <w:bCs w:val="1"/>
                <w:color w:val="0233A1"/>
              </w:rPr>
              <w:t>(#)</w:t>
            </w:r>
          </w:p>
        </w:tc>
        <w:tc>
          <w:tcPr>
            <w:tcW w:w="1540" w:type="dxa"/>
            <w:vAlign w:val="bottom"/>
            <w:tcBorders>
              <w:bottom w:val="single" w:sz="8" w:color="0233A1"/>
            </w:tcBorders>
            <w:gridSpan w:val="2"/>
          </w:tcPr>
          <w:p>
            <w:pPr>
              <w:jc w:val="right"/>
              <w:ind w:right="320"/>
              <w:spacing w:after="0"/>
              <w:rPr>
                <w:sz w:val="20"/>
                <w:szCs w:val="20"/>
                <w:color w:val="auto"/>
              </w:rPr>
            </w:pPr>
            <w:r>
              <w:rPr>
                <w:rFonts w:ascii="Arial" w:cs="Arial" w:eastAsia="Arial" w:hAnsi="Arial"/>
                <w:sz w:val="16"/>
                <w:szCs w:val="16"/>
                <w:b w:val="1"/>
                <w:bCs w:val="1"/>
                <w:color w:val="0233A1"/>
              </w:rPr>
              <w:t>($)</w:t>
            </w:r>
          </w:p>
        </w:tc>
        <w:tc>
          <w:tcPr>
            <w:tcW w:w="1860" w:type="dxa"/>
            <w:vAlign w:val="bottom"/>
            <w:tcBorders>
              <w:bottom w:val="single" w:sz="8" w:color="0233A1"/>
            </w:tcBorders>
          </w:tcPr>
          <w:p>
            <w:pPr>
              <w:jc w:val="right"/>
              <w:ind w:right="199"/>
              <w:spacing w:after="0"/>
              <w:rPr>
                <w:sz w:val="20"/>
                <w:szCs w:val="20"/>
                <w:color w:val="auto"/>
              </w:rPr>
            </w:pPr>
            <w:r>
              <w:rPr>
                <w:rFonts w:ascii="Arial" w:cs="Arial" w:eastAsia="Arial" w:hAnsi="Arial"/>
                <w:sz w:val="16"/>
                <w:szCs w:val="16"/>
                <w:b w:val="1"/>
                <w:bCs w:val="1"/>
                <w:color w:val="0233A1"/>
              </w:rPr>
              <w:t>(#)</w:t>
            </w:r>
          </w:p>
        </w:tc>
        <w:tc>
          <w:tcPr>
            <w:tcW w:w="130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r>
      <w:tr>
        <w:trPr>
          <w:trHeight w:val="222"/>
        </w:trPr>
        <w:tc>
          <w:tcPr>
            <w:tcW w:w="478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39"/>
              <w:spacing w:after="0" w:line="222" w:lineRule="exact"/>
              <w:rPr>
                <w:sz w:val="20"/>
                <w:szCs w:val="20"/>
                <w:color w:val="auto"/>
              </w:rPr>
            </w:pPr>
            <w:r>
              <w:rPr>
                <w:rFonts w:ascii="Arial" w:cs="Arial" w:eastAsia="Arial" w:hAnsi="Arial"/>
                <w:sz w:val="16"/>
                <w:szCs w:val="16"/>
                <w:color w:val="auto"/>
              </w:rPr>
              <w:t>903,787</w:t>
            </w:r>
            <w:r>
              <w:rPr>
                <w:rFonts w:ascii="Arial" w:cs="Arial" w:eastAsia="Arial" w:hAnsi="Arial"/>
                <w:sz w:val="25"/>
                <w:szCs w:val="25"/>
                <w:color w:val="auto"/>
                <w:vertAlign w:val="superscript"/>
              </w:rPr>
              <w:t>(1)</w:t>
            </w:r>
          </w:p>
        </w:tc>
        <w:tc>
          <w:tcPr>
            <w:tcW w:w="1300" w:type="dxa"/>
            <w:vAlign w:val="bottom"/>
          </w:tcPr>
          <w:p>
            <w:pPr>
              <w:jc w:val="right"/>
              <w:spacing w:after="0"/>
              <w:rPr>
                <w:sz w:val="20"/>
                <w:szCs w:val="20"/>
                <w:color w:val="auto"/>
              </w:rPr>
            </w:pPr>
            <w:r>
              <w:rPr>
                <w:rFonts w:ascii="Arial" w:cs="Arial" w:eastAsia="Arial" w:hAnsi="Arial"/>
                <w:sz w:val="16"/>
                <w:szCs w:val="16"/>
                <w:color w:val="auto"/>
              </w:rPr>
              <w:t>33,181,010</w:t>
            </w:r>
          </w:p>
        </w:tc>
      </w:tr>
      <w:tr>
        <w:trPr>
          <w:trHeight w:val="215"/>
        </w:trPr>
        <w:tc>
          <w:tcPr>
            <w:tcW w:w="4780" w:type="dxa"/>
            <w:vAlign w:val="bottom"/>
          </w:tcPr>
          <w:p>
            <w:pPr>
              <w:ind w:left="60"/>
              <w:spacing w:after="0"/>
              <w:rPr>
                <w:sz w:val="20"/>
                <w:szCs w:val="20"/>
                <w:color w:val="auto"/>
              </w:rPr>
            </w:pPr>
            <w:r>
              <w:rPr>
                <w:rFonts w:ascii="Arial" w:cs="Arial" w:eastAsia="Arial" w:hAnsi="Arial"/>
                <w:sz w:val="16"/>
                <w:szCs w:val="16"/>
                <w:color w:val="auto"/>
              </w:rPr>
              <w:t>S. Biguet</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99"/>
              <w:spacing w:after="0"/>
              <w:rPr>
                <w:sz w:val="20"/>
                <w:szCs w:val="20"/>
                <w:color w:val="auto"/>
              </w:rPr>
            </w:pPr>
            <w:r>
              <w:rPr>
                <w:rFonts w:ascii="Arial" w:cs="Arial" w:eastAsia="Arial" w:hAnsi="Arial"/>
                <w:sz w:val="16"/>
                <w:szCs w:val="16"/>
                <w:color w:val="auto"/>
              </w:rPr>
              <w:t>90,720</w:t>
            </w:r>
          </w:p>
        </w:tc>
        <w:tc>
          <w:tcPr>
            <w:tcW w:w="1300" w:type="dxa"/>
            <w:vAlign w:val="bottom"/>
          </w:tcPr>
          <w:p>
            <w:pPr>
              <w:jc w:val="right"/>
              <w:spacing w:after="0"/>
              <w:rPr>
                <w:sz w:val="20"/>
                <w:szCs w:val="20"/>
                <w:color w:val="auto"/>
              </w:rPr>
            </w:pPr>
            <w:r>
              <w:rPr>
                <w:rFonts w:ascii="Arial" w:cs="Arial" w:eastAsia="Arial" w:hAnsi="Arial"/>
                <w:sz w:val="16"/>
                <w:szCs w:val="16"/>
                <w:color w:val="auto"/>
              </w:rPr>
              <w:t>3,330,631</w:t>
            </w:r>
          </w:p>
        </w:tc>
      </w:tr>
      <w:tr>
        <w:trPr>
          <w:trHeight w:val="216"/>
        </w:trPr>
        <w:tc>
          <w:tcPr>
            <w:tcW w:w="478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99"/>
              <w:spacing w:after="0"/>
              <w:rPr>
                <w:sz w:val="20"/>
                <w:szCs w:val="20"/>
                <w:color w:val="auto"/>
              </w:rPr>
            </w:pPr>
            <w:r>
              <w:rPr>
                <w:rFonts w:ascii="Arial" w:cs="Arial" w:eastAsia="Arial" w:hAnsi="Arial"/>
                <w:sz w:val="16"/>
                <w:szCs w:val="16"/>
                <w:color w:val="auto"/>
              </w:rPr>
              <w:t>269,808</w:t>
            </w:r>
          </w:p>
        </w:tc>
        <w:tc>
          <w:tcPr>
            <w:tcW w:w="1300" w:type="dxa"/>
            <w:vAlign w:val="bottom"/>
          </w:tcPr>
          <w:p>
            <w:pPr>
              <w:jc w:val="right"/>
              <w:spacing w:after="0"/>
              <w:rPr>
                <w:sz w:val="20"/>
                <w:szCs w:val="20"/>
                <w:color w:val="auto"/>
              </w:rPr>
            </w:pPr>
            <w:r>
              <w:rPr>
                <w:rFonts w:ascii="Arial" w:cs="Arial" w:eastAsia="Arial" w:hAnsi="Arial"/>
                <w:sz w:val="16"/>
                <w:szCs w:val="16"/>
                <w:color w:val="auto"/>
              </w:rPr>
              <w:t>10,203,307</w:t>
            </w:r>
          </w:p>
        </w:tc>
      </w:tr>
      <w:tr>
        <w:trPr>
          <w:trHeight w:val="216"/>
        </w:trPr>
        <w:tc>
          <w:tcPr>
            <w:tcW w:w="4780" w:type="dxa"/>
            <w:vAlign w:val="bottom"/>
          </w:tcPr>
          <w:p>
            <w:pPr>
              <w:ind w:left="60"/>
              <w:spacing w:after="0"/>
              <w:rPr>
                <w:sz w:val="20"/>
                <w:szCs w:val="20"/>
                <w:color w:val="auto"/>
              </w:rPr>
            </w:pPr>
            <w:r>
              <w:rPr>
                <w:rFonts w:ascii="Arial" w:cs="Arial" w:eastAsia="Arial" w:hAnsi="Arial"/>
                <w:sz w:val="16"/>
                <w:szCs w:val="16"/>
                <w:color w:val="auto"/>
              </w:rPr>
              <w:t>A. Merad</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99"/>
              <w:spacing w:after="0"/>
              <w:rPr>
                <w:sz w:val="20"/>
                <w:szCs w:val="20"/>
                <w:color w:val="auto"/>
              </w:rPr>
            </w:pPr>
            <w:r>
              <w:rPr>
                <w:rFonts w:ascii="Arial" w:cs="Arial" w:eastAsia="Arial" w:hAnsi="Arial"/>
                <w:sz w:val="16"/>
                <w:szCs w:val="16"/>
                <w:color w:val="auto"/>
              </w:rPr>
              <w:t>193,536</w:t>
            </w:r>
          </w:p>
        </w:tc>
        <w:tc>
          <w:tcPr>
            <w:tcW w:w="1300" w:type="dxa"/>
            <w:vAlign w:val="bottom"/>
          </w:tcPr>
          <w:p>
            <w:pPr>
              <w:jc w:val="right"/>
              <w:spacing w:after="0"/>
              <w:rPr>
                <w:sz w:val="20"/>
                <w:szCs w:val="20"/>
                <w:color w:val="auto"/>
              </w:rPr>
            </w:pPr>
            <w:r>
              <w:rPr>
                <w:rFonts w:ascii="Arial" w:cs="Arial" w:eastAsia="Arial" w:hAnsi="Arial"/>
                <w:sz w:val="16"/>
                <w:szCs w:val="16"/>
                <w:color w:val="auto"/>
              </w:rPr>
              <w:t>7,105,347</w:t>
            </w:r>
          </w:p>
        </w:tc>
      </w:tr>
      <w:tr>
        <w:trPr>
          <w:trHeight w:val="216"/>
        </w:trPr>
        <w:tc>
          <w:tcPr>
            <w:tcW w:w="4780" w:type="dxa"/>
            <w:vAlign w:val="bottom"/>
          </w:tcPr>
          <w:p>
            <w:pPr>
              <w:ind w:left="60"/>
              <w:spacing w:after="0"/>
              <w:rPr>
                <w:sz w:val="20"/>
                <w:szCs w:val="20"/>
                <w:color w:val="auto"/>
              </w:rPr>
            </w:pPr>
            <w:r>
              <w:rPr>
                <w:rFonts w:ascii="Arial" w:cs="Arial" w:eastAsia="Arial" w:hAnsi="Arial"/>
                <w:sz w:val="16"/>
                <w:szCs w:val="16"/>
                <w:color w:val="auto"/>
              </w:rPr>
              <w:t>D. Ralston</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99"/>
              <w:spacing w:after="0"/>
              <w:rPr>
                <w:sz w:val="20"/>
                <w:szCs w:val="20"/>
                <w:color w:val="auto"/>
              </w:rPr>
            </w:pPr>
            <w:r>
              <w:rPr>
                <w:rFonts w:ascii="Arial" w:cs="Arial" w:eastAsia="Arial" w:hAnsi="Arial"/>
                <w:sz w:val="16"/>
                <w:szCs w:val="16"/>
                <w:color w:val="auto"/>
              </w:rPr>
              <w:t>34,603</w:t>
            </w:r>
          </w:p>
        </w:tc>
        <w:tc>
          <w:tcPr>
            <w:tcW w:w="1300" w:type="dxa"/>
            <w:vAlign w:val="bottom"/>
          </w:tcPr>
          <w:p>
            <w:pPr>
              <w:jc w:val="right"/>
              <w:spacing w:after="0"/>
              <w:rPr>
                <w:sz w:val="20"/>
                <w:szCs w:val="20"/>
                <w:color w:val="auto"/>
              </w:rPr>
            </w:pPr>
            <w:r>
              <w:rPr>
                <w:rFonts w:ascii="Arial" w:cs="Arial" w:eastAsia="Arial" w:hAnsi="Arial"/>
                <w:sz w:val="16"/>
                <w:szCs w:val="16"/>
                <w:color w:val="auto"/>
              </w:rPr>
              <w:t>1,802,816</w:t>
            </w:r>
          </w:p>
        </w:tc>
      </w:tr>
      <w:tr>
        <w:trPr>
          <w:trHeight w:val="225"/>
        </w:trPr>
        <w:tc>
          <w:tcPr>
            <w:tcW w:w="478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A. Belani</w:t>
            </w:r>
          </w:p>
        </w:tc>
        <w:tc>
          <w:tcPr>
            <w:tcW w:w="1760" w:type="dxa"/>
            <w:vAlign w:val="bottom"/>
            <w:tcBorders>
              <w:bottom w:val="single" w:sz="8" w:color="0233A1"/>
            </w:tcBorders>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233A1"/>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0233A1"/>
            </w:tcBorders>
          </w:tcPr>
          <w:p>
            <w:pPr>
              <w:jc w:val="right"/>
              <w:ind w:right="199"/>
              <w:spacing w:after="0"/>
              <w:rPr>
                <w:sz w:val="20"/>
                <w:szCs w:val="20"/>
                <w:color w:val="auto"/>
              </w:rPr>
            </w:pPr>
            <w:r>
              <w:rPr>
                <w:rFonts w:ascii="Arial" w:cs="Arial" w:eastAsia="Arial" w:hAnsi="Arial"/>
                <w:sz w:val="16"/>
                <w:szCs w:val="16"/>
                <w:color w:val="auto"/>
              </w:rPr>
              <w:t>217,728</w:t>
            </w:r>
          </w:p>
        </w:tc>
        <w:tc>
          <w:tcPr>
            <w:tcW w:w="130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7,993,515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3573" name="Picture 3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3"/>
                    <pic:cNvPicPr>
                      <a:picLocks noChangeAspect="1" noChangeArrowheads="1"/>
                    </pic:cNvPicPr>
                  </pic:nvPicPr>
                  <pic:blipFill>
                    <a:blip r:embed="rId35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8255"/>
            <wp:wrapNone/>
            <wp:docPr id="3574" name="Picture 3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4"/>
                    <pic:cNvPicPr>
                      <a:picLocks noChangeAspect="1" noChangeArrowheads="1"/>
                    </pic:cNvPicPr>
                  </pic:nvPicPr>
                  <pic:blipFill>
                    <a:blip r:embed="rId35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255"/>
            <wp:wrapNone/>
            <wp:docPr id="3575" name="Picture 3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5"/>
                    <pic:cNvPicPr>
                      <a:picLocks noChangeAspect="1" noChangeArrowheads="1"/>
                    </pic:cNvPicPr>
                  </pic:nvPicPr>
                  <pic:blipFill>
                    <a:blip r:embed="rId35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8255"/>
            <wp:wrapNone/>
            <wp:docPr id="3576" name="Picture 3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6"/>
                    <pic:cNvPicPr>
                      <a:picLocks noChangeAspect="1" noChangeArrowheads="1"/>
                    </pic:cNvPicPr>
                  </pic:nvPicPr>
                  <pic:blipFill>
                    <a:blip r:embed="rId35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8890"/>
            <wp:wrapNone/>
            <wp:docPr id="3577" name="Picture 3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7"/>
                    <pic:cNvPicPr>
                      <a:picLocks noChangeAspect="1" noChangeArrowheads="1"/>
                    </pic:cNvPicPr>
                  </pic:nvPicPr>
                  <pic:blipFill>
                    <a:blip r:embed="rId35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 w:lineRule="exact"/>
        <w:rPr>
          <w:sz w:val="20"/>
          <w:szCs w:val="20"/>
          <w:color w:val="auto"/>
        </w:rPr>
      </w:pPr>
    </w:p>
    <w:p>
      <w:pPr>
        <w:jc w:val="both"/>
        <w:ind w:left="340" w:hanging="332"/>
        <w:spacing w:after="0" w:line="256" w:lineRule="auto"/>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Reflects shares acquired upon vesting in 2022 with respect to three PSU awards made to Mr. Le Peuch in January 2019, April 2019 and August 2019. In connection with Mr. Le Peuch’s promotion to CEO in August 2019, he received a PSU award with a target value of $10.5 million, which served as and was granted in lieu of any 2020 LTI award. Because Mr. Le Peuch did not receive any LTI award in 2020, he will not vest in any PSUs or RSUs in 2023. As a result, the Stock Awards columns of the “Option Exercises and Stock Vested in 2023” table in our 2024 proxy statement will reflect zero shares acquired on vesting and zero value received on vesting for Mr. Le Peuch.</w:t>
      </w:r>
    </w:p>
    <w:p>
      <w:pPr>
        <w:spacing w:after="0" w:line="357" w:lineRule="exact"/>
        <w:rPr>
          <w:sz w:val="20"/>
          <w:szCs w:val="20"/>
          <w:color w:val="auto"/>
        </w:rPr>
      </w:pPr>
    </w:p>
    <w:p>
      <w:pPr>
        <w:spacing w:after="0"/>
        <w:rPr>
          <w:sz w:val="20"/>
          <w:szCs w:val="20"/>
          <w:color w:val="auto"/>
        </w:rPr>
      </w:pPr>
      <w:r>
        <w:rPr>
          <w:rFonts w:ascii="Arial" w:cs="Arial" w:eastAsia="Arial" w:hAnsi="Arial"/>
          <w:sz w:val="29"/>
          <w:szCs w:val="29"/>
          <w:color w:val="16458B"/>
        </w:rPr>
        <w:t>Pension Benefits</w:t>
      </w:r>
    </w:p>
    <w:p>
      <w:pPr>
        <w:spacing w:after="0" w:line="21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maintain the following pension plans for our NEOs and other employees who began employment with SLB at times when new hires were eligible to participate. These plans provide for lifetime pensions upon retirement, based on years of service:</w:t>
      </w:r>
    </w:p>
    <w:p>
      <w:pPr>
        <w:spacing w:after="0" w:line="129" w:lineRule="exact"/>
        <w:rPr>
          <w:sz w:val="20"/>
          <w:szCs w:val="20"/>
          <w:color w:val="auto"/>
        </w:rPr>
      </w:pPr>
    </w:p>
    <w:p>
      <w:pPr>
        <w:ind w:left="500" w:hanging="168"/>
        <w:spacing w:after="0"/>
        <w:tabs>
          <w:tab w:leader="none" w:pos="500" w:val="left"/>
        </w:tabs>
        <w:numPr>
          <w:ilvl w:val="0"/>
          <w:numId w:val="57"/>
        </w:numPr>
        <w:rPr>
          <w:rFonts w:ascii="Arial" w:cs="Arial" w:eastAsia="Arial" w:hAnsi="Arial"/>
          <w:sz w:val="16"/>
          <w:szCs w:val="16"/>
          <w:b w:val="1"/>
          <w:bCs w:val="1"/>
          <w:color w:val="0233A1"/>
        </w:rPr>
      </w:pPr>
      <w:r>
        <w:rPr>
          <w:rFonts w:ascii="Arial" w:cs="Arial" w:eastAsia="Arial" w:hAnsi="Arial"/>
          <w:sz w:val="16"/>
          <w:szCs w:val="16"/>
          <w:color w:val="auto"/>
        </w:rPr>
        <w:t xml:space="preserve">Schlumberger Technology Corporation Pension Plan </w:t>
      </w:r>
      <w:r>
        <w:rPr>
          <w:rFonts w:ascii="Arial" w:cs="Arial" w:eastAsia="Arial" w:hAnsi="Arial"/>
          <w:sz w:val="16"/>
          <w:szCs w:val="16"/>
          <w:b w:val="1"/>
          <w:bCs w:val="1"/>
          <w:color w:val="auto"/>
        </w:rPr>
        <w:t>(STC Pension Plan)</w:t>
      </w:r>
      <w:r>
        <w:rPr>
          <w:rFonts w:ascii="Arial" w:cs="Arial" w:eastAsia="Arial" w:hAnsi="Arial"/>
          <w:sz w:val="16"/>
          <w:szCs w:val="16"/>
          <w:color w:val="auto"/>
        </w:rPr>
        <w:t>;</w:t>
      </w:r>
    </w:p>
    <w:p>
      <w:pPr>
        <w:spacing w:after="0" w:line="99" w:lineRule="exact"/>
        <w:rPr>
          <w:rFonts w:ascii="Arial" w:cs="Arial" w:eastAsia="Arial" w:hAnsi="Arial"/>
          <w:sz w:val="16"/>
          <w:szCs w:val="16"/>
          <w:b w:val="1"/>
          <w:bCs w:val="1"/>
          <w:color w:val="0233A1"/>
        </w:rPr>
      </w:pPr>
    </w:p>
    <w:p>
      <w:pPr>
        <w:ind w:left="500" w:hanging="168"/>
        <w:spacing w:after="0"/>
        <w:tabs>
          <w:tab w:leader="none" w:pos="500" w:val="left"/>
        </w:tabs>
        <w:numPr>
          <w:ilvl w:val="0"/>
          <w:numId w:val="57"/>
        </w:numPr>
        <w:rPr>
          <w:rFonts w:ascii="Arial" w:cs="Arial" w:eastAsia="Arial" w:hAnsi="Arial"/>
          <w:sz w:val="16"/>
          <w:szCs w:val="16"/>
          <w:b w:val="1"/>
          <w:bCs w:val="1"/>
          <w:color w:val="0233A1"/>
        </w:rPr>
      </w:pPr>
      <w:r>
        <w:rPr>
          <w:rFonts w:ascii="Arial" w:cs="Arial" w:eastAsia="Arial" w:hAnsi="Arial"/>
          <w:sz w:val="16"/>
          <w:szCs w:val="16"/>
          <w:color w:val="auto"/>
        </w:rPr>
        <w:t xml:space="preserve">Schlumberger Technology Corporation Supplementary Benefit Plan </w:t>
      </w:r>
      <w:r>
        <w:rPr>
          <w:rFonts w:ascii="Arial" w:cs="Arial" w:eastAsia="Arial" w:hAnsi="Arial"/>
          <w:sz w:val="16"/>
          <w:szCs w:val="16"/>
          <w:b w:val="1"/>
          <w:bCs w:val="1"/>
          <w:color w:val="auto"/>
        </w:rPr>
        <w:t>(STC Supplementary Plan)</w:t>
      </w:r>
      <w:r>
        <w:rPr>
          <w:rFonts w:ascii="Arial" w:cs="Arial" w:eastAsia="Arial" w:hAnsi="Arial"/>
          <w:sz w:val="16"/>
          <w:szCs w:val="16"/>
          <w:color w:val="auto"/>
        </w:rPr>
        <w:t>;</w:t>
      </w:r>
    </w:p>
    <w:p>
      <w:pPr>
        <w:spacing w:after="0" w:line="99" w:lineRule="exact"/>
        <w:rPr>
          <w:rFonts w:ascii="Arial" w:cs="Arial" w:eastAsia="Arial" w:hAnsi="Arial"/>
          <w:sz w:val="16"/>
          <w:szCs w:val="16"/>
          <w:b w:val="1"/>
          <w:bCs w:val="1"/>
          <w:color w:val="0233A1"/>
        </w:rPr>
      </w:pPr>
    </w:p>
    <w:p>
      <w:pPr>
        <w:ind w:left="500" w:hanging="168"/>
        <w:spacing w:after="0"/>
        <w:tabs>
          <w:tab w:leader="none" w:pos="500" w:val="left"/>
        </w:tabs>
        <w:numPr>
          <w:ilvl w:val="0"/>
          <w:numId w:val="57"/>
        </w:numPr>
        <w:rPr>
          <w:rFonts w:ascii="Arial" w:cs="Arial" w:eastAsia="Arial" w:hAnsi="Arial"/>
          <w:sz w:val="16"/>
          <w:szCs w:val="16"/>
          <w:b w:val="1"/>
          <w:bCs w:val="1"/>
          <w:color w:val="0233A1"/>
        </w:rPr>
      </w:pPr>
      <w:r>
        <w:rPr>
          <w:rFonts w:ascii="Arial" w:cs="Arial" w:eastAsia="Arial" w:hAnsi="Arial"/>
          <w:sz w:val="16"/>
          <w:szCs w:val="16"/>
          <w:color w:val="auto"/>
        </w:rPr>
        <w:t xml:space="preserve">Schlumberger Limited Supplementary Benefit Plan </w:t>
      </w:r>
      <w:r>
        <w:rPr>
          <w:rFonts w:ascii="Arial" w:cs="Arial" w:eastAsia="Arial" w:hAnsi="Arial"/>
          <w:sz w:val="16"/>
          <w:szCs w:val="16"/>
          <w:b w:val="1"/>
          <w:bCs w:val="1"/>
          <w:color w:val="auto"/>
        </w:rPr>
        <w:t>(SL Supplementary Plan)</w:t>
      </w:r>
      <w:r>
        <w:rPr>
          <w:rFonts w:ascii="Arial" w:cs="Arial" w:eastAsia="Arial" w:hAnsi="Arial"/>
          <w:sz w:val="16"/>
          <w:szCs w:val="16"/>
          <w:color w:val="auto"/>
        </w:rPr>
        <w:t>; and</w:t>
      </w:r>
    </w:p>
    <w:p>
      <w:pPr>
        <w:spacing w:after="0" w:line="99" w:lineRule="exact"/>
        <w:rPr>
          <w:rFonts w:ascii="Arial" w:cs="Arial" w:eastAsia="Arial" w:hAnsi="Arial"/>
          <w:sz w:val="16"/>
          <w:szCs w:val="16"/>
          <w:b w:val="1"/>
          <w:bCs w:val="1"/>
          <w:color w:val="0233A1"/>
        </w:rPr>
      </w:pPr>
    </w:p>
    <w:p>
      <w:pPr>
        <w:ind w:left="500" w:hanging="168"/>
        <w:spacing w:after="0"/>
        <w:tabs>
          <w:tab w:leader="none" w:pos="500" w:val="left"/>
        </w:tabs>
        <w:numPr>
          <w:ilvl w:val="0"/>
          <w:numId w:val="57"/>
        </w:numPr>
        <w:rPr>
          <w:rFonts w:ascii="Arial" w:cs="Arial" w:eastAsia="Arial" w:hAnsi="Arial"/>
          <w:sz w:val="16"/>
          <w:szCs w:val="16"/>
          <w:b w:val="1"/>
          <w:bCs w:val="1"/>
          <w:color w:val="0233A1"/>
        </w:rPr>
      </w:pPr>
      <w:r>
        <w:rPr>
          <w:rFonts w:ascii="Arial" w:cs="Arial" w:eastAsia="Arial" w:hAnsi="Arial"/>
          <w:sz w:val="16"/>
          <w:szCs w:val="16"/>
          <w:color w:val="auto"/>
        </w:rPr>
        <w:t xml:space="preserve">Schlumberger International Staff Pension Plan </w:t>
      </w:r>
      <w:r>
        <w:rPr>
          <w:rFonts w:ascii="Arial" w:cs="Arial" w:eastAsia="Arial" w:hAnsi="Arial"/>
          <w:sz w:val="16"/>
          <w:szCs w:val="16"/>
          <w:b w:val="1"/>
          <w:bCs w:val="1"/>
          <w:color w:val="auto"/>
        </w:rPr>
        <w:t>(International Staff Pension Plan)</w:t>
      </w:r>
      <w:r>
        <w:rPr>
          <w:rFonts w:ascii="Arial" w:cs="Arial" w:eastAsia="Arial" w:hAnsi="Arial"/>
          <w:sz w:val="16"/>
          <w:szCs w:val="16"/>
          <w:color w:val="auto"/>
        </w:rPr>
        <w: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and the discussion below provide information regarding pension benefits payable to our NEOs.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620" w:type="dxa"/>
            <w:vAlign w:val="bottom"/>
          </w:tcPr>
          <w:p>
            <w:pPr>
              <w:jc w:val="right"/>
              <w:ind w:right="159"/>
              <w:spacing w:after="0"/>
              <w:rPr>
                <w:sz w:val="20"/>
                <w:szCs w:val="20"/>
                <w:color w:val="auto"/>
              </w:rPr>
            </w:pPr>
            <w:r>
              <w:rPr>
                <w:rFonts w:ascii="Arial" w:cs="Arial" w:eastAsia="Arial" w:hAnsi="Arial"/>
                <w:sz w:val="16"/>
                <w:szCs w:val="16"/>
                <w:b w:val="1"/>
                <w:bCs w:val="1"/>
                <w:color w:val="0233A1"/>
              </w:rPr>
              <w:t>Number of Years</w:t>
            </w:r>
          </w:p>
        </w:tc>
        <w:tc>
          <w:tcPr>
            <w:tcW w:w="1580" w:type="dxa"/>
            <w:vAlign w:val="bottom"/>
          </w:tcPr>
          <w:p>
            <w:pPr>
              <w:jc w:val="right"/>
              <w:ind w:right="159"/>
              <w:spacing w:after="0"/>
              <w:rPr>
                <w:sz w:val="20"/>
                <w:szCs w:val="20"/>
                <w:color w:val="auto"/>
              </w:rPr>
            </w:pPr>
            <w:r>
              <w:rPr>
                <w:rFonts w:ascii="Arial" w:cs="Arial" w:eastAsia="Arial" w:hAnsi="Arial"/>
                <w:sz w:val="16"/>
                <w:szCs w:val="16"/>
                <w:b w:val="1"/>
                <w:bCs w:val="1"/>
                <w:color w:val="0233A1"/>
              </w:rPr>
              <w:t>Present Value of</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620" w:type="dxa"/>
            <w:vAlign w:val="bottom"/>
          </w:tcPr>
          <w:p>
            <w:pPr>
              <w:jc w:val="right"/>
              <w:ind w:right="159"/>
              <w:spacing w:after="0"/>
              <w:rPr>
                <w:sz w:val="20"/>
                <w:szCs w:val="20"/>
                <w:color w:val="auto"/>
              </w:rPr>
            </w:pPr>
            <w:r>
              <w:rPr>
                <w:rFonts w:ascii="Arial" w:cs="Arial" w:eastAsia="Arial" w:hAnsi="Arial"/>
                <w:sz w:val="16"/>
                <w:szCs w:val="16"/>
                <w:b w:val="1"/>
                <w:bCs w:val="1"/>
                <w:color w:val="0233A1"/>
              </w:rPr>
              <w:t>of Credited</w:t>
            </w:r>
          </w:p>
        </w:tc>
        <w:tc>
          <w:tcPr>
            <w:tcW w:w="1580" w:type="dxa"/>
            <w:vAlign w:val="bottom"/>
          </w:tcPr>
          <w:p>
            <w:pPr>
              <w:jc w:val="right"/>
              <w:ind w:right="159"/>
              <w:spacing w:after="0"/>
              <w:rPr>
                <w:sz w:val="20"/>
                <w:szCs w:val="20"/>
                <w:color w:val="auto"/>
              </w:rPr>
            </w:pPr>
            <w:r>
              <w:rPr>
                <w:rFonts w:ascii="Arial" w:cs="Arial" w:eastAsia="Arial" w:hAnsi="Arial"/>
                <w:sz w:val="16"/>
                <w:szCs w:val="16"/>
                <w:b w:val="1"/>
                <w:bCs w:val="1"/>
                <w:color w:val="0233A1"/>
              </w:rPr>
              <w:t>Accumulated</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0233A1"/>
              </w:rPr>
              <w:t>Payments</w:t>
            </w:r>
          </w:p>
        </w:tc>
        <w:tc>
          <w:tcPr>
            <w:tcW w:w="0" w:type="dxa"/>
            <w:vAlign w:val="bottom"/>
          </w:tcPr>
          <w:p>
            <w:pPr>
              <w:spacing w:after="0"/>
              <w:rPr>
                <w:sz w:val="1"/>
                <w:szCs w:val="1"/>
                <w:color w:val="auto"/>
              </w:rPr>
            </w:pPr>
          </w:p>
        </w:tc>
      </w:tr>
      <w:tr>
        <w:trPr>
          <w:trHeight w:val="205"/>
        </w:trPr>
        <w:tc>
          <w:tcPr>
            <w:tcW w:w="1940" w:type="dxa"/>
            <w:vAlign w:val="bottom"/>
            <w:vMerge w:val="restart"/>
          </w:tcPr>
          <w:p>
            <w:pPr>
              <w:ind w:left="60"/>
              <w:spacing w:after="0"/>
              <w:rPr>
                <w:sz w:val="20"/>
                <w:szCs w:val="20"/>
                <w:color w:val="auto"/>
              </w:rPr>
            </w:pPr>
            <w:r>
              <w:rPr>
                <w:rFonts w:ascii="Arial" w:cs="Arial" w:eastAsia="Arial" w:hAnsi="Arial"/>
                <w:sz w:val="16"/>
                <w:szCs w:val="16"/>
                <w:b w:val="1"/>
                <w:bCs w:val="1"/>
                <w:color w:val="0233A1"/>
              </w:rPr>
              <w:t>Name</w:t>
            </w:r>
          </w:p>
        </w:tc>
        <w:tc>
          <w:tcPr>
            <w:tcW w:w="4080" w:type="dxa"/>
            <w:vAlign w:val="bottom"/>
            <w:vMerge w:val="restart"/>
          </w:tcPr>
          <w:p>
            <w:pPr>
              <w:ind w:left="720"/>
              <w:spacing w:after="0"/>
              <w:rPr>
                <w:sz w:val="20"/>
                <w:szCs w:val="20"/>
                <w:color w:val="auto"/>
              </w:rPr>
            </w:pPr>
            <w:r>
              <w:rPr>
                <w:rFonts w:ascii="Arial" w:cs="Arial" w:eastAsia="Arial" w:hAnsi="Arial"/>
                <w:sz w:val="16"/>
                <w:szCs w:val="16"/>
                <w:b w:val="1"/>
                <w:bCs w:val="1"/>
                <w:color w:val="0233A1"/>
              </w:rPr>
              <w:t>Plan Name</w:t>
            </w:r>
          </w:p>
        </w:tc>
        <w:tc>
          <w:tcPr>
            <w:tcW w:w="2620" w:type="dxa"/>
            <w:vAlign w:val="bottom"/>
          </w:tcPr>
          <w:p>
            <w:pPr>
              <w:jc w:val="right"/>
              <w:spacing w:after="0" w:line="205" w:lineRule="exact"/>
              <w:rPr>
                <w:sz w:val="20"/>
                <w:szCs w:val="20"/>
                <w:color w:val="auto"/>
              </w:rPr>
            </w:pPr>
            <w:r>
              <w:rPr>
                <w:rFonts w:ascii="Arial" w:cs="Arial" w:eastAsia="Arial" w:hAnsi="Arial"/>
                <w:sz w:val="15"/>
                <w:szCs w:val="15"/>
                <w:b w:val="1"/>
                <w:bCs w:val="1"/>
                <w:color w:val="0233A1"/>
              </w:rPr>
              <w:t>Service</w:t>
            </w:r>
            <w:r>
              <w:rPr>
                <w:rFonts w:ascii="Arial" w:cs="Arial" w:eastAsia="Arial" w:hAnsi="Arial"/>
                <w:sz w:val="23"/>
                <w:szCs w:val="23"/>
                <w:b w:val="1"/>
                <w:bCs w:val="1"/>
                <w:color w:val="0233A1"/>
                <w:vertAlign w:val="subscript"/>
              </w:rPr>
              <w:t>(1)</w:t>
            </w:r>
          </w:p>
        </w:tc>
        <w:tc>
          <w:tcPr>
            <w:tcW w:w="1580" w:type="dxa"/>
            <w:vAlign w:val="bottom"/>
          </w:tcPr>
          <w:p>
            <w:pPr>
              <w:jc w:val="right"/>
              <w:spacing w:after="0" w:line="205" w:lineRule="exact"/>
              <w:rPr>
                <w:sz w:val="20"/>
                <w:szCs w:val="20"/>
                <w:color w:val="auto"/>
              </w:rPr>
            </w:pPr>
            <w:r>
              <w:rPr>
                <w:rFonts w:ascii="Arial" w:cs="Arial" w:eastAsia="Arial" w:hAnsi="Arial"/>
                <w:sz w:val="15"/>
                <w:szCs w:val="15"/>
                <w:b w:val="1"/>
                <w:bCs w:val="1"/>
                <w:color w:val="0233A1"/>
              </w:rPr>
              <w:t>Benefits</w:t>
            </w:r>
            <w:r>
              <w:rPr>
                <w:rFonts w:ascii="Arial" w:cs="Arial" w:eastAsia="Arial" w:hAnsi="Arial"/>
                <w:sz w:val="23"/>
                <w:szCs w:val="23"/>
                <w:b w:val="1"/>
                <w:bCs w:val="1"/>
                <w:color w:val="0233A1"/>
                <w:vertAlign w:val="subscript"/>
              </w:rPr>
              <w:t>(2)</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0233A1"/>
              </w:rPr>
              <w:t>During Last</w:t>
            </w:r>
          </w:p>
        </w:tc>
        <w:tc>
          <w:tcPr>
            <w:tcW w:w="0" w:type="dxa"/>
            <w:vAlign w:val="bottom"/>
          </w:tcPr>
          <w:p>
            <w:pPr>
              <w:spacing w:after="0"/>
              <w:rPr>
                <w:sz w:val="1"/>
                <w:szCs w:val="1"/>
                <w:color w:val="auto"/>
              </w:rPr>
            </w:pPr>
          </w:p>
        </w:tc>
      </w:tr>
      <w:tr>
        <w:trPr>
          <w:trHeight w:val="187"/>
        </w:trPr>
        <w:tc>
          <w:tcPr>
            <w:tcW w:w="1940" w:type="dxa"/>
            <w:vAlign w:val="bottom"/>
            <w:tcBorders>
              <w:bottom w:val="single" w:sz="8" w:color="0233A1"/>
            </w:tcBorders>
            <w:vMerge w:val="continue"/>
          </w:tcPr>
          <w:p>
            <w:pPr>
              <w:spacing w:after="0"/>
              <w:rPr>
                <w:sz w:val="16"/>
                <w:szCs w:val="16"/>
                <w:color w:val="auto"/>
              </w:rPr>
            </w:pPr>
          </w:p>
        </w:tc>
        <w:tc>
          <w:tcPr>
            <w:tcW w:w="4080" w:type="dxa"/>
            <w:vAlign w:val="bottom"/>
            <w:tcBorders>
              <w:bottom w:val="single" w:sz="8" w:color="0233A1"/>
            </w:tcBorders>
            <w:vMerge w:val="continue"/>
          </w:tcPr>
          <w:p>
            <w:pPr>
              <w:spacing w:after="0"/>
              <w:rPr>
                <w:sz w:val="16"/>
                <w:szCs w:val="16"/>
                <w:color w:val="auto"/>
              </w:rPr>
            </w:pPr>
          </w:p>
        </w:tc>
        <w:tc>
          <w:tcPr>
            <w:tcW w:w="2620" w:type="dxa"/>
            <w:vAlign w:val="bottom"/>
            <w:tcBorders>
              <w:bottom w:val="single" w:sz="8" w:color="0233A1"/>
            </w:tcBorders>
          </w:tcPr>
          <w:p>
            <w:pPr>
              <w:jc w:val="right"/>
              <w:ind w:right="159"/>
              <w:spacing w:after="0"/>
              <w:rPr>
                <w:sz w:val="20"/>
                <w:szCs w:val="20"/>
                <w:color w:val="auto"/>
              </w:rPr>
            </w:pPr>
            <w:r>
              <w:rPr>
                <w:rFonts w:ascii="Arial" w:cs="Arial" w:eastAsia="Arial" w:hAnsi="Arial"/>
                <w:sz w:val="16"/>
                <w:szCs w:val="16"/>
                <w:b w:val="1"/>
                <w:bCs w:val="1"/>
                <w:color w:val="0233A1"/>
              </w:rPr>
              <w:t>(#)</w:t>
            </w:r>
          </w:p>
        </w:tc>
        <w:tc>
          <w:tcPr>
            <w:tcW w:w="1580" w:type="dxa"/>
            <w:vAlign w:val="bottom"/>
            <w:tcBorders>
              <w:bottom w:val="single" w:sz="8" w:color="0233A1"/>
            </w:tcBorders>
          </w:tcPr>
          <w:p>
            <w:pPr>
              <w:jc w:val="right"/>
              <w:ind w:right="159"/>
              <w:spacing w:after="0"/>
              <w:rPr>
                <w:sz w:val="20"/>
                <w:szCs w:val="20"/>
                <w:color w:val="auto"/>
              </w:rPr>
            </w:pPr>
            <w:r>
              <w:rPr>
                <w:rFonts w:ascii="Arial" w:cs="Arial" w:eastAsia="Arial" w:hAnsi="Arial"/>
                <w:sz w:val="16"/>
                <w:szCs w:val="16"/>
                <w:b w:val="1"/>
                <w:bCs w:val="1"/>
                <w:color w:val="0233A1"/>
              </w:rPr>
              <w:t>($)</w:t>
            </w:r>
          </w:p>
        </w:tc>
        <w:tc>
          <w:tcPr>
            <w:tcW w:w="102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Fiscal Year</w:t>
            </w:r>
          </w:p>
        </w:tc>
        <w:tc>
          <w:tcPr>
            <w:tcW w:w="0" w:type="dxa"/>
            <w:vAlign w:val="bottom"/>
          </w:tcPr>
          <w:p>
            <w:pPr>
              <w:spacing w:after="0"/>
              <w:rPr>
                <w:sz w:val="1"/>
                <w:szCs w:val="1"/>
                <w:color w:val="auto"/>
              </w:rPr>
            </w:pPr>
          </w:p>
        </w:tc>
      </w:tr>
      <w:tr>
        <w:trPr>
          <w:trHeight w:val="195"/>
        </w:trPr>
        <w:tc>
          <w:tcPr>
            <w:tcW w:w="194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4080" w:type="dxa"/>
            <w:vAlign w:val="bottom"/>
          </w:tcPr>
          <w:p>
            <w:pPr>
              <w:ind w:left="720"/>
              <w:spacing w:after="0"/>
              <w:rPr>
                <w:sz w:val="20"/>
                <w:szCs w:val="20"/>
                <w:color w:val="auto"/>
              </w:rPr>
            </w:pPr>
            <w:r>
              <w:rPr>
                <w:rFonts w:ascii="Arial" w:cs="Arial" w:eastAsia="Arial" w:hAnsi="Arial"/>
                <w:sz w:val="16"/>
                <w:szCs w:val="16"/>
                <w:color w:val="auto"/>
              </w:rPr>
              <w:t>STC Pension Plan</w:t>
            </w:r>
          </w:p>
        </w:tc>
        <w:tc>
          <w:tcPr>
            <w:tcW w:w="2620" w:type="dxa"/>
            <w:vAlign w:val="bottom"/>
          </w:tcPr>
          <w:p>
            <w:pPr>
              <w:jc w:val="right"/>
              <w:ind w:right="159"/>
              <w:spacing w:after="0"/>
              <w:rPr>
                <w:sz w:val="20"/>
                <w:szCs w:val="20"/>
                <w:color w:val="auto"/>
              </w:rPr>
            </w:pPr>
            <w:r>
              <w:rPr>
                <w:rFonts w:ascii="Arial" w:cs="Arial" w:eastAsia="Arial" w:hAnsi="Arial"/>
                <w:sz w:val="16"/>
                <w:szCs w:val="16"/>
                <w:color w:val="auto"/>
              </w:rPr>
              <w:t>12.75</w:t>
            </w: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786,105</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940" w:type="dxa"/>
            <w:vAlign w:val="bottom"/>
          </w:tcPr>
          <w:p>
            <w:pPr>
              <w:spacing w:after="0"/>
              <w:rPr>
                <w:sz w:val="18"/>
                <w:szCs w:val="18"/>
                <w:color w:val="auto"/>
              </w:rPr>
            </w:pPr>
          </w:p>
        </w:tc>
        <w:tc>
          <w:tcPr>
            <w:tcW w:w="4080" w:type="dxa"/>
            <w:vAlign w:val="bottom"/>
          </w:tcPr>
          <w:p>
            <w:pPr>
              <w:ind w:left="720"/>
              <w:spacing w:after="0"/>
              <w:rPr>
                <w:sz w:val="20"/>
                <w:szCs w:val="20"/>
                <w:color w:val="auto"/>
              </w:rPr>
            </w:pPr>
            <w:r>
              <w:rPr>
                <w:rFonts w:ascii="Arial" w:cs="Arial" w:eastAsia="Arial" w:hAnsi="Arial"/>
                <w:sz w:val="16"/>
                <w:szCs w:val="16"/>
                <w:color w:val="auto"/>
              </w:rPr>
              <w:t>STC Supplementary Plan</w:t>
            </w:r>
          </w:p>
        </w:tc>
        <w:tc>
          <w:tcPr>
            <w:tcW w:w="2620" w:type="dxa"/>
            <w:vAlign w:val="bottom"/>
          </w:tcPr>
          <w:p>
            <w:pPr>
              <w:jc w:val="right"/>
              <w:ind w:right="159"/>
              <w:spacing w:after="0"/>
              <w:rPr>
                <w:sz w:val="20"/>
                <w:szCs w:val="20"/>
                <w:color w:val="auto"/>
              </w:rPr>
            </w:pPr>
            <w:r>
              <w:rPr>
                <w:rFonts w:ascii="Arial" w:cs="Arial" w:eastAsia="Arial" w:hAnsi="Arial"/>
                <w:sz w:val="16"/>
                <w:szCs w:val="16"/>
                <w:color w:val="auto"/>
              </w:rPr>
              <w:t>7.25</w:t>
            </w: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1,069,300</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080" w:type="dxa"/>
            <w:vAlign w:val="bottom"/>
          </w:tcPr>
          <w:p>
            <w:pPr>
              <w:ind w:left="720"/>
              <w:spacing w:after="0"/>
              <w:rPr>
                <w:sz w:val="20"/>
                <w:szCs w:val="20"/>
                <w:color w:val="auto"/>
              </w:rPr>
            </w:pPr>
            <w:r>
              <w:rPr>
                <w:rFonts w:ascii="Arial" w:cs="Arial" w:eastAsia="Arial" w:hAnsi="Arial"/>
                <w:sz w:val="16"/>
                <w:szCs w:val="16"/>
                <w:color w:val="auto"/>
              </w:rPr>
              <w:t>SL Supplementary Plan</w:t>
            </w:r>
          </w:p>
        </w:tc>
        <w:tc>
          <w:tcPr>
            <w:tcW w:w="2620" w:type="dxa"/>
            <w:vAlign w:val="bottom"/>
          </w:tcPr>
          <w:p>
            <w:pPr>
              <w:jc w:val="right"/>
              <w:ind w:right="159"/>
              <w:spacing w:after="0"/>
              <w:rPr>
                <w:sz w:val="20"/>
                <w:szCs w:val="20"/>
                <w:color w:val="auto"/>
              </w:rPr>
            </w:pPr>
            <w:r>
              <w:rPr>
                <w:rFonts w:ascii="Arial" w:cs="Arial" w:eastAsia="Arial" w:hAnsi="Arial"/>
                <w:sz w:val="16"/>
                <w:szCs w:val="16"/>
                <w:color w:val="auto"/>
              </w:rPr>
              <w:t>4.00</w:t>
            </w: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3,456,270</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080" w:type="dxa"/>
            <w:vAlign w:val="bottom"/>
          </w:tcPr>
          <w:p>
            <w:pPr>
              <w:ind w:left="720"/>
              <w:spacing w:after="0"/>
              <w:rPr>
                <w:sz w:val="20"/>
                <w:szCs w:val="20"/>
                <w:color w:val="auto"/>
              </w:rPr>
            </w:pPr>
            <w:r>
              <w:rPr>
                <w:rFonts w:ascii="Arial" w:cs="Arial" w:eastAsia="Arial" w:hAnsi="Arial"/>
                <w:sz w:val="16"/>
                <w:szCs w:val="16"/>
                <w:color w:val="auto"/>
              </w:rPr>
              <w:t>International Staff Pension Plan</w:t>
            </w:r>
          </w:p>
        </w:tc>
        <w:tc>
          <w:tcPr>
            <w:tcW w:w="2620" w:type="dxa"/>
            <w:vAlign w:val="bottom"/>
          </w:tcPr>
          <w:p>
            <w:pPr>
              <w:jc w:val="right"/>
              <w:ind w:right="159"/>
              <w:spacing w:after="0"/>
              <w:rPr>
                <w:sz w:val="20"/>
                <w:szCs w:val="20"/>
                <w:color w:val="auto"/>
              </w:rPr>
            </w:pPr>
            <w:r>
              <w:rPr>
                <w:rFonts w:ascii="Arial" w:cs="Arial" w:eastAsia="Arial" w:hAnsi="Arial"/>
                <w:sz w:val="16"/>
                <w:szCs w:val="16"/>
                <w:color w:val="auto"/>
              </w:rPr>
              <w:t>6.50</w:t>
            </w: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2,014,993</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940" w:type="dxa"/>
            <w:vAlign w:val="bottom"/>
          </w:tcPr>
          <w:p>
            <w:pPr>
              <w:ind w:left="60"/>
              <w:spacing w:after="0"/>
              <w:rPr>
                <w:sz w:val="20"/>
                <w:szCs w:val="20"/>
                <w:color w:val="auto"/>
              </w:rPr>
            </w:pPr>
            <w:r>
              <w:rPr>
                <w:rFonts w:ascii="Arial" w:cs="Arial" w:eastAsia="Arial" w:hAnsi="Arial"/>
                <w:sz w:val="16"/>
                <w:szCs w:val="16"/>
                <w:color w:val="auto"/>
              </w:rPr>
              <w:t>S. Biguet</w:t>
            </w:r>
          </w:p>
        </w:tc>
        <w:tc>
          <w:tcPr>
            <w:tcW w:w="4080" w:type="dxa"/>
            <w:vAlign w:val="bottom"/>
          </w:tcPr>
          <w:p>
            <w:pPr>
              <w:ind w:left="720"/>
              <w:spacing w:after="0"/>
              <w:rPr>
                <w:sz w:val="20"/>
                <w:szCs w:val="20"/>
                <w:color w:val="auto"/>
              </w:rPr>
            </w:pPr>
            <w:r>
              <w:rPr>
                <w:rFonts w:ascii="Arial" w:cs="Arial" w:eastAsia="Arial" w:hAnsi="Arial"/>
                <w:sz w:val="16"/>
                <w:szCs w:val="16"/>
                <w:color w:val="auto"/>
              </w:rPr>
              <w:t>STC Pension Plan</w:t>
            </w:r>
          </w:p>
        </w:tc>
        <w:tc>
          <w:tcPr>
            <w:tcW w:w="2620" w:type="dxa"/>
            <w:vAlign w:val="bottom"/>
          </w:tcPr>
          <w:p>
            <w:pPr>
              <w:jc w:val="right"/>
              <w:ind w:right="159"/>
              <w:spacing w:after="0"/>
              <w:rPr>
                <w:sz w:val="20"/>
                <w:szCs w:val="20"/>
                <w:color w:val="auto"/>
              </w:rPr>
            </w:pPr>
            <w:r>
              <w:rPr>
                <w:rFonts w:ascii="Arial" w:cs="Arial" w:eastAsia="Arial" w:hAnsi="Arial"/>
                <w:sz w:val="16"/>
                <w:szCs w:val="16"/>
                <w:color w:val="auto"/>
              </w:rPr>
              <w:t>8.41</w:t>
            </w: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494,481</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080" w:type="dxa"/>
            <w:vAlign w:val="bottom"/>
          </w:tcPr>
          <w:p>
            <w:pPr>
              <w:ind w:left="720"/>
              <w:spacing w:after="0"/>
              <w:rPr>
                <w:sz w:val="20"/>
                <w:szCs w:val="20"/>
                <w:color w:val="auto"/>
              </w:rPr>
            </w:pPr>
            <w:r>
              <w:rPr>
                <w:rFonts w:ascii="Arial" w:cs="Arial" w:eastAsia="Arial" w:hAnsi="Arial"/>
                <w:sz w:val="16"/>
                <w:szCs w:val="16"/>
                <w:color w:val="auto"/>
              </w:rPr>
              <w:t>SL Supplementary Plan</w:t>
            </w:r>
          </w:p>
        </w:tc>
        <w:tc>
          <w:tcPr>
            <w:tcW w:w="2620" w:type="dxa"/>
            <w:vAlign w:val="bottom"/>
          </w:tcPr>
          <w:p>
            <w:pPr>
              <w:jc w:val="right"/>
              <w:ind w:right="159"/>
              <w:spacing w:after="0"/>
              <w:rPr>
                <w:sz w:val="20"/>
                <w:szCs w:val="20"/>
                <w:color w:val="auto"/>
              </w:rPr>
            </w:pPr>
            <w:r>
              <w:rPr>
                <w:rFonts w:ascii="Arial" w:cs="Arial" w:eastAsia="Arial" w:hAnsi="Arial"/>
                <w:sz w:val="16"/>
                <w:szCs w:val="16"/>
                <w:color w:val="auto"/>
              </w:rPr>
              <w:t>6.00</w:t>
            </w: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1,710,367</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080" w:type="dxa"/>
            <w:vAlign w:val="bottom"/>
          </w:tcPr>
          <w:p>
            <w:pPr>
              <w:ind w:left="720"/>
              <w:spacing w:after="0"/>
              <w:rPr>
                <w:sz w:val="20"/>
                <w:szCs w:val="20"/>
                <w:color w:val="auto"/>
              </w:rPr>
            </w:pPr>
            <w:r>
              <w:rPr>
                <w:rFonts w:ascii="Arial" w:cs="Arial" w:eastAsia="Arial" w:hAnsi="Arial"/>
                <w:sz w:val="16"/>
                <w:szCs w:val="16"/>
                <w:color w:val="auto"/>
              </w:rPr>
              <w:t>International Staff Pension Plan</w:t>
            </w:r>
          </w:p>
        </w:tc>
        <w:tc>
          <w:tcPr>
            <w:tcW w:w="2620" w:type="dxa"/>
            <w:vAlign w:val="bottom"/>
          </w:tcPr>
          <w:p>
            <w:pPr>
              <w:jc w:val="right"/>
              <w:ind w:right="159"/>
              <w:spacing w:after="0"/>
              <w:rPr>
                <w:sz w:val="20"/>
                <w:szCs w:val="20"/>
                <w:color w:val="auto"/>
              </w:rPr>
            </w:pPr>
            <w:r>
              <w:rPr>
                <w:rFonts w:ascii="Arial" w:cs="Arial" w:eastAsia="Arial" w:hAnsi="Arial"/>
                <w:sz w:val="16"/>
                <w:szCs w:val="16"/>
                <w:color w:val="auto"/>
              </w:rPr>
              <w:t>3.70</w:t>
            </w: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181,607</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94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4080" w:type="dxa"/>
            <w:vAlign w:val="bottom"/>
          </w:tcPr>
          <w:p>
            <w:pPr>
              <w:ind w:left="720"/>
              <w:spacing w:after="0"/>
              <w:rPr>
                <w:sz w:val="20"/>
                <w:szCs w:val="20"/>
                <w:color w:val="auto"/>
              </w:rPr>
            </w:pPr>
            <w:r>
              <w:rPr>
                <w:rFonts w:ascii="Arial" w:cs="Arial" w:eastAsia="Arial" w:hAnsi="Arial"/>
                <w:sz w:val="16"/>
                <w:szCs w:val="16"/>
                <w:color w:val="auto"/>
              </w:rPr>
              <w:t>International Staff Pension Plan</w:t>
            </w:r>
          </w:p>
        </w:tc>
        <w:tc>
          <w:tcPr>
            <w:tcW w:w="2620" w:type="dxa"/>
            <w:vAlign w:val="bottom"/>
          </w:tcPr>
          <w:p>
            <w:pPr>
              <w:jc w:val="right"/>
              <w:ind w:right="159"/>
              <w:spacing w:after="0"/>
              <w:rPr>
                <w:sz w:val="20"/>
                <w:szCs w:val="20"/>
                <w:color w:val="auto"/>
              </w:rPr>
            </w:pPr>
            <w:r>
              <w:rPr>
                <w:rFonts w:ascii="Arial" w:cs="Arial" w:eastAsia="Arial" w:hAnsi="Arial"/>
                <w:sz w:val="16"/>
                <w:szCs w:val="16"/>
                <w:color w:val="auto"/>
              </w:rPr>
              <w:t>16.20</w:t>
            </w: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1,273,524</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940" w:type="dxa"/>
            <w:vAlign w:val="bottom"/>
          </w:tcPr>
          <w:p>
            <w:pPr>
              <w:ind w:left="60"/>
              <w:spacing w:after="0"/>
              <w:rPr>
                <w:sz w:val="20"/>
                <w:szCs w:val="20"/>
                <w:color w:val="auto"/>
              </w:rPr>
            </w:pPr>
            <w:r>
              <w:rPr>
                <w:rFonts w:ascii="Arial" w:cs="Arial" w:eastAsia="Arial" w:hAnsi="Arial"/>
                <w:sz w:val="16"/>
                <w:szCs w:val="16"/>
                <w:color w:val="auto"/>
              </w:rPr>
              <w:t>A. Merad</w:t>
            </w:r>
          </w:p>
        </w:tc>
        <w:tc>
          <w:tcPr>
            <w:tcW w:w="4080" w:type="dxa"/>
            <w:vAlign w:val="bottom"/>
          </w:tcPr>
          <w:p>
            <w:pPr>
              <w:ind w:left="720"/>
              <w:spacing w:after="0"/>
              <w:rPr>
                <w:sz w:val="20"/>
                <w:szCs w:val="20"/>
                <w:color w:val="auto"/>
              </w:rPr>
            </w:pPr>
            <w:r>
              <w:rPr>
                <w:rFonts w:ascii="Arial" w:cs="Arial" w:eastAsia="Arial" w:hAnsi="Arial"/>
                <w:sz w:val="16"/>
                <w:szCs w:val="16"/>
                <w:color w:val="auto"/>
              </w:rPr>
              <w:t>International Staff Pension Plan</w:t>
            </w:r>
          </w:p>
        </w:tc>
        <w:tc>
          <w:tcPr>
            <w:tcW w:w="2620" w:type="dxa"/>
            <w:vAlign w:val="bottom"/>
          </w:tcPr>
          <w:p>
            <w:pPr>
              <w:jc w:val="right"/>
              <w:ind w:right="159"/>
              <w:spacing w:after="0"/>
              <w:rPr>
                <w:sz w:val="20"/>
                <w:szCs w:val="20"/>
                <w:color w:val="auto"/>
              </w:rPr>
            </w:pPr>
            <w:r>
              <w:rPr>
                <w:rFonts w:ascii="Arial" w:cs="Arial" w:eastAsia="Arial" w:hAnsi="Arial"/>
                <w:sz w:val="16"/>
                <w:szCs w:val="16"/>
                <w:color w:val="auto"/>
              </w:rPr>
              <w:t>14.90</w:t>
            </w: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804,454</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940" w:type="dxa"/>
            <w:vAlign w:val="bottom"/>
          </w:tcPr>
          <w:p>
            <w:pPr>
              <w:ind w:left="60"/>
              <w:spacing w:after="0"/>
              <w:rPr>
                <w:sz w:val="20"/>
                <w:szCs w:val="20"/>
                <w:color w:val="auto"/>
              </w:rPr>
            </w:pPr>
            <w:r>
              <w:rPr>
                <w:rFonts w:ascii="Arial" w:cs="Arial" w:eastAsia="Arial" w:hAnsi="Arial"/>
                <w:sz w:val="16"/>
                <w:szCs w:val="16"/>
                <w:color w:val="auto"/>
              </w:rPr>
              <w:t>D. Ralston</w:t>
            </w:r>
          </w:p>
        </w:tc>
        <w:tc>
          <w:tcPr>
            <w:tcW w:w="4080" w:type="dxa"/>
            <w:vAlign w:val="bottom"/>
          </w:tcPr>
          <w:p>
            <w:pPr>
              <w:ind w:left="720"/>
              <w:spacing w:after="0"/>
              <w:rPr>
                <w:sz w:val="20"/>
                <w:szCs w:val="20"/>
                <w:color w:val="auto"/>
              </w:rPr>
            </w:pPr>
            <w:r>
              <w:rPr>
                <w:rFonts w:ascii="Arial" w:cs="Arial" w:eastAsia="Arial" w:hAnsi="Arial"/>
                <w:sz w:val="16"/>
                <w:szCs w:val="16"/>
                <w:color w:val="auto"/>
              </w:rPr>
              <w:t>SL Supplementary Plan</w:t>
            </w:r>
          </w:p>
        </w:tc>
        <w:tc>
          <w:tcPr>
            <w:tcW w:w="2620" w:type="dxa"/>
            <w:vAlign w:val="bottom"/>
          </w:tcPr>
          <w:p>
            <w:pPr>
              <w:jc w:val="right"/>
              <w:ind w:right="159"/>
              <w:spacing w:after="0"/>
              <w:rPr>
                <w:sz w:val="20"/>
                <w:szCs w:val="20"/>
                <w:color w:val="auto"/>
              </w:rPr>
            </w:pPr>
            <w:r>
              <w:rPr>
                <w:rFonts w:ascii="Arial" w:cs="Arial" w:eastAsia="Arial" w:hAnsi="Arial"/>
                <w:sz w:val="16"/>
                <w:szCs w:val="16"/>
                <w:color w:val="auto"/>
              </w:rPr>
              <w:t>7.50</w:t>
            </w: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495,412</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940" w:type="dxa"/>
            <w:vAlign w:val="bottom"/>
          </w:tcPr>
          <w:p>
            <w:pPr>
              <w:ind w:left="60"/>
              <w:spacing w:after="0"/>
              <w:rPr>
                <w:sz w:val="20"/>
                <w:szCs w:val="20"/>
                <w:color w:val="auto"/>
              </w:rPr>
            </w:pPr>
            <w:r>
              <w:rPr>
                <w:rFonts w:ascii="Arial" w:cs="Arial" w:eastAsia="Arial" w:hAnsi="Arial"/>
                <w:sz w:val="16"/>
                <w:szCs w:val="16"/>
                <w:color w:val="auto"/>
              </w:rPr>
              <w:t>A. Belani</w:t>
            </w:r>
          </w:p>
        </w:tc>
        <w:tc>
          <w:tcPr>
            <w:tcW w:w="4080" w:type="dxa"/>
            <w:vAlign w:val="bottom"/>
          </w:tcPr>
          <w:p>
            <w:pPr>
              <w:ind w:left="720"/>
              <w:spacing w:after="0"/>
              <w:rPr>
                <w:sz w:val="20"/>
                <w:szCs w:val="20"/>
                <w:color w:val="auto"/>
              </w:rPr>
            </w:pPr>
            <w:r>
              <w:rPr>
                <w:rFonts w:ascii="Arial" w:cs="Arial" w:eastAsia="Arial" w:hAnsi="Arial"/>
                <w:sz w:val="16"/>
                <w:szCs w:val="16"/>
                <w:color w:val="auto"/>
              </w:rPr>
              <w:t>STC Pension Plan</w:t>
            </w:r>
          </w:p>
        </w:tc>
        <w:tc>
          <w:tcPr>
            <w:tcW w:w="2620" w:type="dxa"/>
            <w:vAlign w:val="bottom"/>
          </w:tcPr>
          <w:p>
            <w:pPr>
              <w:jc w:val="right"/>
              <w:ind w:right="159"/>
              <w:spacing w:after="0"/>
              <w:rPr>
                <w:sz w:val="20"/>
                <w:szCs w:val="20"/>
                <w:color w:val="auto"/>
              </w:rPr>
            </w:pPr>
            <w:r>
              <w:rPr>
                <w:rFonts w:ascii="Arial" w:cs="Arial" w:eastAsia="Arial" w:hAnsi="Arial"/>
                <w:sz w:val="16"/>
                <w:szCs w:val="16"/>
                <w:color w:val="auto"/>
              </w:rPr>
              <w:t>20.33</w:t>
            </w: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1,192,840</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080" w:type="dxa"/>
            <w:vAlign w:val="bottom"/>
          </w:tcPr>
          <w:p>
            <w:pPr>
              <w:ind w:left="720"/>
              <w:spacing w:after="0"/>
              <w:rPr>
                <w:sz w:val="20"/>
                <w:szCs w:val="20"/>
                <w:color w:val="auto"/>
              </w:rPr>
            </w:pPr>
            <w:r>
              <w:rPr>
                <w:rFonts w:ascii="Arial" w:cs="Arial" w:eastAsia="Arial" w:hAnsi="Arial"/>
                <w:sz w:val="16"/>
                <w:szCs w:val="16"/>
                <w:color w:val="auto"/>
              </w:rPr>
              <w:t>STC Supplementary Plan</w:t>
            </w:r>
          </w:p>
        </w:tc>
        <w:tc>
          <w:tcPr>
            <w:tcW w:w="2620" w:type="dxa"/>
            <w:vAlign w:val="bottom"/>
          </w:tcPr>
          <w:p>
            <w:pPr>
              <w:jc w:val="right"/>
              <w:ind w:right="159"/>
              <w:spacing w:after="0"/>
              <w:rPr>
                <w:sz w:val="20"/>
                <w:szCs w:val="20"/>
                <w:color w:val="auto"/>
              </w:rPr>
            </w:pPr>
            <w:r>
              <w:rPr>
                <w:rFonts w:ascii="Arial" w:cs="Arial" w:eastAsia="Arial" w:hAnsi="Arial"/>
                <w:sz w:val="16"/>
                <w:szCs w:val="16"/>
                <w:color w:val="auto"/>
              </w:rPr>
              <w:t>2.58</w:t>
            </w: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100,006</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080" w:type="dxa"/>
            <w:vAlign w:val="bottom"/>
          </w:tcPr>
          <w:p>
            <w:pPr>
              <w:ind w:left="720"/>
              <w:spacing w:after="0"/>
              <w:rPr>
                <w:sz w:val="20"/>
                <w:szCs w:val="20"/>
                <w:color w:val="auto"/>
              </w:rPr>
            </w:pPr>
            <w:r>
              <w:rPr>
                <w:rFonts w:ascii="Arial" w:cs="Arial" w:eastAsia="Arial" w:hAnsi="Arial"/>
                <w:sz w:val="16"/>
                <w:szCs w:val="16"/>
                <w:color w:val="auto"/>
              </w:rPr>
              <w:t>SL Supplementary Plan</w:t>
            </w:r>
          </w:p>
        </w:tc>
        <w:tc>
          <w:tcPr>
            <w:tcW w:w="2620" w:type="dxa"/>
            <w:vAlign w:val="bottom"/>
          </w:tcPr>
          <w:p>
            <w:pPr>
              <w:jc w:val="right"/>
              <w:ind w:right="159"/>
              <w:spacing w:after="0"/>
              <w:rPr>
                <w:sz w:val="20"/>
                <w:szCs w:val="20"/>
                <w:color w:val="auto"/>
              </w:rPr>
            </w:pPr>
            <w:r>
              <w:rPr>
                <w:rFonts w:ascii="Arial" w:cs="Arial" w:eastAsia="Arial" w:hAnsi="Arial"/>
                <w:sz w:val="16"/>
                <w:szCs w:val="16"/>
                <w:color w:val="auto"/>
              </w:rPr>
              <w:t>17.75</w:t>
            </w: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5,577,768</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1940" w:type="dxa"/>
            <w:vAlign w:val="bottom"/>
            <w:tcBorders>
              <w:bottom w:val="single" w:sz="8" w:color="0233A1"/>
            </w:tcBorders>
          </w:tcPr>
          <w:p>
            <w:pPr>
              <w:spacing w:after="0"/>
              <w:rPr>
                <w:sz w:val="19"/>
                <w:szCs w:val="19"/>
                <w:color w:val="auto"/>
              </w:rPr>
            </w:pPr>
          </w:p>
        </w:tc>
        <w:tc>
          <w:tcPr>
            <w:tcW w:w="4080" w:type="dxa"/>
            <w:vAlign w:val="bottom"/>
            <w:tcBorders>
              <w:bottom w:val="single" w:sz="8" w:color="0233A1"/>
            </w:tcBorders>
          </w:tcPr>
          <w:p>
            <w:pPr>
              <w:ind w:left="720"/>
              <w:spacing w:after="0"/>
              <w:rPr>
                <w:sz w:val="20"/>
                <w:szCs w:val="20"/>
                <w:color w:val="auto"/>
              </w:rPr>
            </w:pPr>
            <w:r>
              <w:rPr>
                <w:rFonts w:ascii="Arial" w:cs="Arial" w:eastAsia="Arial" w:hAnsi="Arial"/>
                <w:sz w:val="16"/>
                <w:szCs w:val="16"/>
                <w:color w:val="auto"/>
              </w:rPr>
              <w:t>International Staff Pension Plan</w:t>
            </w:r>
          </w:p>
        </w:tc>
        <w:tc>
          <w:tcPr>
            <w:tcW w:w="2620" w:type="dxa"/>
            <w:vAlign w:val="bottom"/>
            <w:tcBorders>
              <w:bottom w:val="single" w:sz="8" w:color="0233A1"/>
            </w:tcBorders>
          </w:tcPr>
          <w:p>
            <w:pPr>
              <w:jc w:val="right"/>
              <w:ind w:right="159"/>
              <w:spacing w:after="0"/>
              <w:rPr>
                <w:sz w:val="20"/>
                <w:szCs w:val="20"/>
                <w:color w:val="auto"/>
              </w:rPr>
            </w:pPr>
            <w:r>
              <w:rPr>
                <w:rFonts w:ascii="Arial" w:cs="Arial" w:eastAsia="Arial" w:hAnsi="Arial"/>
                <w:sz w:val="16"/>
                <w:szCs w:val="16"/>
                <w:color w:val="auto"/>
              </w:rPr>
              <w:t>10.00</w:t>
            </w:r>
          </w:p>
        </w:tc>
        <w:tc>
          <w:tcPr>
            <w:tcW w:w="1580" w:type="dxa"/>
            <w:vAlign w:val="bottom"/>
            <w:tcBorders>
              <w:bottom w:val="single" w:sz="8" w:color="0233A1"/>
            </w:tcBorders>
          </w:tcPr>
          <w:p>
            <w:pPr>
              <w:jc w:val="right"/>
              <w:ind w:right="159"/>
              <w:spacing w:after="0"/>
              <w:rPr>
                <w:sz w:val="20"/>
                <w:szCs w:val="20"/>
                <w:color w:val="auto"/>
              </w:rPr>
            </w:pPr>
            <w:r>
              <w:rPr>
                <w:rFonts w:ascii="Arial" w:cs="Arial" w:eastAsia="Arial" w:hAnsi="Arial"/>
                <w:sz w:val="16"/>
                <w:szCs w:val="16"/>
                <w:color w:val="auto"/>
              </w:rPr>
              <w:t>490,506</w:t>
            </w:r>
          </w:p>
        </w:tc>
        <w:tc>
          <w:tcPr>
            <w:tcW w:w="102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-153670</wp:posOffset>
            </wp:positionV>
            <wp:extent cx="5520690" cy="8890"/>
            <wp:wrapNone/>
            <wp:docPr id="3578" name="Picture 3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8"/>
                    <pic:cNvPicPr>
                      <a:picLocks noChangeAspect="1" noChangeArrowheads="1"/>
                    </pic:cNvPicPr>
                  </pic:nvPicPr>
                  <pic:blipFill>
                    <a:blip r:embed="rId3585">
                      <a:extLst>
                        <a:ext uri="{28A0092B-C50C-407E-A947-70E740481C1C}"/>
                      </a:extLst>
                    </a:blip>
                    <a:srcRect/>
                    <a:stretch>
                      <a:fillRect/>
                    </a:stretch>
                  </pic:blipFill>
                  <pic:spPr bwMode="auto">
                    <a:xfrm>
                      <a:off x="0" y="0"/>
                      <a:ext cx="5520690" cy="8890"/>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-290830</wp:posOffset>
            </wp:positionV>
            <wp:extent cx="5520690" cy="8255"/>
            <wp:wrapNone/>
            <wp:docPr id="3579" name="Picture 3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9"/>
                    <pic:cNvPicPr>
                      <a:picLocks noChangeAspect="1" noChangeArrowheads="1"/>
                    </pic:cNvPicPr>
                  </pic:nvPicPr>
                  <pic:blipFill>
                    <a:blip r:embed="rId3586">
                      <a:extLst>
                        <a:ext uri="{28A0092B-C50C-407E-A947-70E740481C1C}"/>
                      </a:extLst>
                    </a:blip>
                    <a:srcRect/>
                    <a:stretch>
                      <a:fillRect/>
                    </a:stretch>
                  </pic:blipFill>
                  <pic:spPr bwMode="auto">
                    <a:xfrm>
                      <a:off x="0" y="0"/>
                      <a:ext cx="55206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-427990</wp:posOffset>
            </wp:positionV>
            <wp:extent cx="5520690" cy="8255"/>
            <wp:wrapNone/>
            <wp:docPr id="3580" name="Picture 3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0"/>
                    <pic:cNvPicPr>
                      <a:picLocks noChangeAspect="1" noChangeArrowheads="1"/>
                    </pic:cNvPicPr>
                  </pic:nvPicPr>
                  <pic:blipFill>
                    <a:blip r:embed="rId3587">
                      <a:extLst>
                        <a:ext uri="{28A0092B-C50C-407E-A947-70E740481C1C}"/>
                      </a:extLst>
                    </a:blip>
                    <a:srcRect/>
                    <a:stretch>
                      <a:fillRect/>
                    </a:stretch>
                  </pic:blipFill>
                  <pic:spPr bwMode="auto">
                    <a:xfrm>
                      <a:off x="0" y="0"/>
                      <a:ext cx="55206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8890"/>
            <wp:wrapNone/>
            <wp:docPr id="3581" name="Picture 3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1"/>
                    <pic:cNvPicPr>
                      <a:picLocks noChangeAspect="1" noChangeArrowheads="1"/>
                    </pic:cNvPicPr>
                  </pic:nvPicPr>
                  <pic:blipFill>
                    <a:blip r:embed="rId358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8255"/>
            <wp:wrapNone/>
            <wp:docPr id="3582" name="Picture 3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2"/>
                    <pic:cNvPicPr>
                      <a:picLocks noChangeAspect="1" noChangeArrowheads="1"/>
                    </pic:cNvPicPr>
                  </pic:nvPicPr>
                  <pic:blipFill>
                    <a:blip r:embed="rId35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132320" cy="8255"/>
            <wp:wrapNone/>
            <wp:docPr id="3583" name="Picture 3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3"/>
                    <pic:cNvPicPr>
                      <a:picLocks noChangeAspect="1" noChangeArrowheads="1"/>
                    </pic:cNvPicPr>
                  </pic:nvPicPr>
                  <pic:blipFill>
                    <a:blip r:embed="rId35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8890"/>
            <wp:wrapNone/>
            <wp:docPr id="3584" name="Picture 3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4"/>
                    <pic:cNvPicPr>
                      <a:picLocks noChangeAspect="1" noChangeArrowheads="1"/>
                    </pic:cNvPicPr>
                  </pic:nvPicPr>
                  <pic:blipFill>
                    <a:blip r:embed="rId359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-1113790</wp:posOffset>
            </wp:positionV>
            <wp:extent cx="5520690" cy="8255"/>
            <wp:wrapNone/>
            <wp:docPr id="3585" name="Picture 3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5"/>
                    <pic:cNvPicPr>
                      <a:picLocks noChangeAspect="1" noChangeArrowheads="1"/>
                    </pic:cNvPicPr>
                  </pic:nvPicPr>
                  <pic:blipFill>
                    <a:blip r:embed="rId3592">
                      <a:extLst>
                        <a:ext uri="{28A0092B-C50C-407E-A947-70E740481C1C}"/>
                      </a:extLst>
                    </a:blip>
                    <a:srcRect/>
                    <a:stretch>
                      <a:fillRect/>
                    </a:stretch>
                  </pic:blipFill>
                  <pic:spPr bwMode="auto">
                    <a:xfrm>
                      <a:off x="0" y="0"/>
                      <a:ext cx="55206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-1250950</wp:posOffset>
            </wp:positionV>
            <wp:extent cx="5520690" cy="8890"/>
            <wp:wrapNone/>
            <wp:docPr id="3586" name="Picture 3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6"/>
                    <pic:cNvPicPr>
                      <a:picLocks noChangeAspect="1" noChangeArrowheads="1"/>
                    </pic:cNvPicPr>
                  </pic:nvPicPr>
                  <pic:blipFill>
                    <a:blip r:embed="rId3593">
                      <a:extLst>
                        <a:ext uri="{28A0092B-C50C-407E-A947-70E740481C1C}"/>
                      </a:extLst>
                    </a:blip>
                    <a:srcRect/>
                    <a:stretch>
                      <a:fillRect/>
                    </a:stretch>
                  </pic:blipFill>
                  <pic:spPr bwMode="auto">
                    <a:xfrm>
                      <a:off x="0" y="0"/>
                      <a:ext cx="5520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-1388110</wp:posOffset>
            </wp:positionV>
            <wp:extent cx="7132320" cy="8255"/>
            <wp:wrapNone/>
            <wp:docPr id="3587" name="Picture 3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7"/>
                    <pic:cNvPicPr>
                      <a:picLocks noChangeAspect="1" noChangeArrowheads="1"/>
                    </pic:cNvPicPr>
                  </pic:nvPicPr>
                  <pic:blipFill>
                    <a:blip r:embed="rId35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-1525270</wp:posOffset>
            </wp:positionV>
            <wp:extent cx="5520690" cy="8255"/>
            <wp:wrapNone/>
            <wp:docPr id="3588" name="Picture 3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8"/>
                    <pic:cNvPicPr>
                      <a:picLocks noChangeAspect="1" noChangeArrowheads="1"/>
                    </pic:cNvPicPr>
                  </pic:nvPicPr>
                  <pic:blipFill>
                    <a:blip r:embed="rId3595">
                      <a:extLst>
                        <a:ext uri="{28A0092B-C50C-407E-A947-70E740481C1C}"/>
                      </a:extLst>
                    </a:blip>
                    <a:srcRect/>
                    <a:stretch>
                      <a:fillRect/>
                    </a:stretch>
                  </pic:blipFill>
                  <pic:spPr bwMode="auto">
                    <a:xfrm>
                      <a:off x="0" y="0"/>
                      <a:ext cx="55206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-1662430</wp:posOffset>
            </wp:positionV>
            <wp:extent cx="5520690" cy="8890"/>
            <wp:wrapNone/>
            <wp:docPr id="3589" name="Picture 3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9"/>
                    <pic:cNvPicPr>
                      <a:picLocks noChangeAspect="1" noChangeArrowheads="1"/>
                    </pic:cNvPicPr>
                  </pic:nvPicPr>
                  <pic:blipFill>
                    <a:blip r:embed="rId3596">
                      <a:extLst>
                        <a:ext uri="{28A0092B-C50C-407E-A947-70E740481C1C}"/>
                      </a:extLst>
                    </a:blip>
                    <a:srcRect/>
                    <a:stretch>
                      <a:fillRect/>
                    </a:stretch>
                  </pic:blipFill>
                  <pic:spPr bwMode="auto">
                    <a:xfrm>
                      <a:off x="0" y="0"/>
                      <a:ext cx="5520690" cy="8890"/>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-1799590</wp:posOffset>
            </wp:positionV>
            <wp:extent cx="5520690" cy="8255"/>
            <wp:wrapNone/>
            <wp:docPr id="3590" name="Picture 3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0"/>
                    <pic:cNvPicPr>
                      <a:picLocks noChangeAspect="1" noChangeArrowheads="1"/>
                    </pic:cNvPicPr>
                  </pic:nvPicPr>
                  <pic:blipFill>
                    <a:blip r:embed="rId3597">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38"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“Number of Years of Credited Service” column reflects each NEO’s actual years of service as a participant in each plan.</w:t>
      </w:r>
    </w:p>
    <w:p>
      <w:pPr>
        <w:spacing w:after="0" w:line="55"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present value of accumulated benefits is calculated using the Pri-2012 healthy retiree amount-weighted table for participants and the contingent survivor amount-weighted table for spouses, both with generational projection using SSA-2022, and a discount rate of 5.50% at December 31, 2022. Retirement in each case is assumed to be the earlier of normal retirement age or December 31, 2022 if the NEO is employed after normal retirement age, or, as to our U.S. plans, the date that the sum of the NEO’s age plus years of service has reached, or is expected to reach, 85, but not before the NEO reaches age 55. Additional assumptions that we use in calculating the present value of accumulated benefits are incorporated herein by reference to Note 16, “Pension and Other Postretirement Benefit Plans” to the Consolidated Financial Statements contained in our Annual Report on Form 10-K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471170" cy="282575"/>
            <wp:wrapNone/>
            <wp:docPr id="3591" name="Picture 3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1"/>
                    <pic:cNvPicPr>
                      <a:picLocks noChangeAspect="1" noChangeArrowheads="1"/>
                    </pic:cNvPicPr>
                  </pic:nvPicPr>
                  <pic:blipFill>
                    <a:blip r:embed="rId3598">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38"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54</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-46990</wp:posOffset>
            </wp:positionV>
            <wp:extent cx="5417820" cy="17145"/>
            <wp:wrapNone/>
            <wp:docPr id="3592" name="Picture 3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2"/>
                    <pic:cNvPicPr>
                      <a:picLocks noChangeAspect="1" noChangeArrowheads="1"/>
                    </pic:cNvPicPr>
                  </pic:nvPicPr>
                  <pic:blipFill>
                    <a:blip r:embed="rId3599">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3593" name="Picture 3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3"/>
                    <pic:cNvPicPr>
                      <a:picLocks noChangeAspect="1" noChangeArrowheads="1"/>
                    </pic:cNvPicPr>
                  </pic:nvPicPr>
                  <pic:blipFill>
                    <a:blip r:embed="rId36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0233A1"/>
        </w:rPr>
        <w:t>Tax-Qualified Pension Plan</w:t>
      </w:r>
    </w:p>
    <w:p>
      <w:pPr>
        <w:spacing w:after="0" w:line="20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The STC Pension Plan is a U.S. tax-qualified pension plan, funded through cash contributions made by SLB based on actuarial valuations and regulatory requirements. Benefits under the STC Pension Plan are based on an employee’s admissible compensation (generally base salary and cash incentive) for each year in which an employee participates in the plan, and the employee’s length of service with SLB.</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Since 1989, the benefit earned under the STC Pension Plan has been 1.5% of admissible compensation for service prior to the employee’s completion of 15 years of active service and 2.0% of admissible compensation for service after completion of 15 years of active service. Normal retirement under the plan is at age 65; however, early retirement with a reduced benefit is possible at age 55 or as early as age 50 with 20 years of service. Mr. Biguet is eligible for early retirement with a reduced pension. Additionally, under the “rule of 85”, an employee or executive officer who terminates employment after age 55 and whose combined age and service is 85 or more, is eligible for retirement with an unreduced pension. Messrs. Le Peuch and Belani are eligible for retirement with an unreduced pension under the rule of 85. The benefits are usually paid as a lifetime annuity.</w:t>
      </w:r>
    </w:p>
    <w:p>
      <w:pPr>
        <w:spacing w:after="0" w:line="15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In 2004, we amended the STC Pension Plan to generally provide that employees hired on or after October 1, 2004 would not be eligible to participate. Newly hired employees are eligible to participate in an enhanced defined contribution plan, which provides a Company matching contribution depending on an employee’s 401(k) contribution, as well as a Company discretionary profit sharing contribution based on our profitability in a given year.</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color w:val="0233A1"/>
        </w:rPr>
        <w:t>Supplementary Benefit Plans—Nonqualified Pension</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SL Supplementary Plan and the STC Supplementary Plan each provide non-tax-qualified pension benefits. Each of these plans, which have substantially identical terms, provides an eligible employee with benefits equal to the benefits that the employee is unable to receive under a qualified pension plan due to the Internal Revenue Code limits on (1) annual compensation that can be taken into account under qualified plans and (2) annual benefits that can be provided under qualified plans.</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retirement eligibility rules under SLB’s nonqualified pension plans are the same as under the STC Pension Plan. These benefits are subject to forfeiture if the employee leaves SLB before the age of 50 with five years of service, engages in certain dishonest acts or has violated a confidentiality arrangement with us. Reduced benefits are paid to an employee upon separation from service, provided the employee has attained the age of 55, or if earlier, age 50 with 20 years of service. Messrs. Le Peuch and Belani are eligible for retirement with an unreduced pension under the rule of 85, described above. Mr. Biguet and Ms. Ralston are eligible for early retirement with a reduced pension. These nonqualified plan benefits are payable in cash from SLB’s general assets and are intended to qualify as “excess benefit plans” exempt from certain requirements of Title I of the Employee Retirement Income Security Act of 1974.</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color w:val="0233A1"/>
        </w:rPr>
        <w:t>International Staff Pension Plan</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We maintain the International Staff Pension Plan for certain employees who work in many different countries over the course of their careers, and who otherwise would be unable to accumulate any meaningful pension. Most of the NEOs have either been in the International Staff Pension Plan at some time during their career prior to becoming an executive officer or are in the plan because of their current assignment. This plan provides for a lifetime annuity upon retirement based on a specified number of years of service. The plan is funded through cash contributions made by SLB together with mandatory contributions by employees.</w:t>
      </w:r>
    </w:p>
    <w:p>
      <w:pPr>
        <w:spacing w:after="0" w:line="15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Prior to 2010, benefits under this plan were based on a participant’s admissible compensation (base salary, geographical or rotational coefficient, as applicable, and cash incentive) for each year in which the employee participated in the plan and the employee’s length of service. The benefit earned up to year-end 2009 is 2.4% of admissible compensation prior to completion of 15 years of service, and 3.2% of admissible compensation for each year of service after 15 years. Following the completion of 20 years of service, the benefit earned with respect to the first 15 years of service is increased to 3.2%. Benefits are payable upon normal retirement age, at or after age 55, or upon early retirement with a reduction, at or after age 50 with 20 years of service. With respect to pension rights accrued prior to 2010, Messrs. Le Peuch and Belani are eligible for normal retirement with no reduction, and Messrs. Al Mogharbel and Biguet are eligible for early retirement with a reduced pension. Since January 1, 2010, the benefit earned has been equal to 3.5% of admissible compensation regardless of an employee’s years of service. Benefits earned on or after this date are payable upon normal retirement age, at or after age 60, or upon early retirement at or after age 55 with a reduced pension. With respect to pension rights accrued in 2010 or later, Messrs. Al Mogharbel, Biguet, and Merad will become eligible for normal retirement upon reaching age 60 and early retirement upon reaching 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154940</wp:posOffset>
            </wp:positionV>
            <wp:extent cx="471805" cy="282575"/>
            <wp:wrapNone/>
            <wp:docPr id="3594" name="Picture 3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4"/>
                    <pic:cNvPicPr>
                      <a:picLocks noChangeAspect="1" noChangeArrowheads="1"/>
                    </pic:cNvPicPr>
                  </pic:nvPicPr>
                  <pic:blipFill>
                    <a:blip r:embed="rId3601">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Pr>
          <w:p>
            <w:pPr>
              <w:spacing w:after="0"/>
              <w:rPr>
                <w:sz w:val="9"/>
                <w:szCs w:val="9"/>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55</w:t>
            </w:r>
          </w:p>
        </w:tc>
        <w:tc>
          <w:tcPr>
            <w:tcW w:w="44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16458B"/>
        </w:rPr>
        <w:t>Nonqualified Deferred Compensation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and the discussion below provide information regarding nonqualified deferred compensation payable to our NEOs.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480" w:type="dxa"/>
            <w:vAlign w:val="bottom"/>
          </w:tcPr>
          <w:p>
            <w:pPr>
              <w:jc w:val="right"/>
              <w:ind w:right="199"/>
              <w:spacing w:after="0"/>
              <w:rPr>
                <w:sz w:val="20"/>
                <w:szCs w:val="20"/>
                <w:color w:val="auto"/>
              </w:rPr>
            </w:pPr>
            <w:r>
              <w:rPr>
                <w:rFonts w:ascii="Arial" w:cs="Arial" w:eastAsia="Arial" w:hAnsi="Arial"/>
                <w:sz w:val="16"/>
                <w:szCs w:val="16"/>
                <w:b w:val="1"/>
                <w:bCs w:val="1"/>
                <w:color w:val="0233A1"/>
              </w:rPr>
              <w:t>Executive</w:t>
            </w:r>
          </w:p>
        </w:tc>
        <w:tc>
          <w:tcPr>
            <w:tcW w:w="1440" w:type="dxa"/>
            <w:vAlign w:val="bottom"/>
          </w:tcPr>
          <w:p>
            <w:pPr>
              <w:jc w:val="right"/>
              <w:ind w:right="199"/>
              <w:spacing w:after="0"/>
              <w:rPr>
                <w:sz w:val="20"/>
                <w:szCs w:val="20"/>
                <w:color w:val="auto"/>
              </w:rPr>
            </w:pPr>
            <w:r>
              <w:rPr>
                <w:rFonts w:ascii="Arial" w:cs="Arial" w:eastAsia="Arial" w:hAnsi="Arial"/>
                <w:sz w:val="16"/>
                <w:szCs w:val="16"/>
                <w:b w:val="1"/>
                <w:bCs w:val="1"/>
                <w:color w:val="0233A1"/>
              </w:rPr>
              <w:t>Company</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0233A1"/>
              </w:rPr>
              <w:t>Aggregate</w:t>
            </w: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0233A1"/>
              </w:rPr>
              <w:t>Aggregate</w:t>
            </w: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0233A1"/>
              </w:rPr>
              <w:t>Aggregate</w:t>
            </w:r>
          </w:p>
        </w:tc>
      </w:tr>
      <w:tr>
        <w:trPr>
          <w:trHeight w:val="189"/>
        </w:trPr>
        <w:tc>
          <w:tcPr>
            <w:tcW w:w="15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480" w:type="dxa"/>
            <w:vAlign w:val="bottom"/>
          </w:tcPr>
          <w:p>
            <w:pPr>
              <w:jc w:val="right"/>
              <w:ind w:right="199"/>
              <w:spacing w:after="0"/>
              <w:rPr>
                <w:sz w:val="20"/>
                <w:szCs w:val="20"/>
                <w:color w:val="auto"/>
              </w:rPr>
            </w:pPr>
            <w:r>
              <w:rPr>
                <w:rFonts w:ascii="Arial" w:cs="Arial" w:eastAsia="Arial" w:hAnsi="Arial"/>
                <w:sz w:val="16"/>
                <w:szCs w:val="16"/>
                <w:b w:val="1"/>
                <w:bCs w:val="1"/>
                <w:color w:val="0233A1"/>
              </w:rPr>
              <w:t>Contributions</w:t>
            </w:r>
          </w:p>
        </w:tc>
        <w:tc>
          <w:tcPr>
            <w:tcW w:w="1440" w:type="dxa"/>
            <w:vAlign w:val="bottom"/>
          </w:tcPr>
          <w:p>
            <w:pPr>
              <w:jc w:val="right"/>
              <w:ind w:right="199"/>
              <w:spacing w:after="0"/>
              <w:rPr>
                <w:sz w:val="20"/>
                <w:szCs w:val="20"/>
                <w:color w:val="auto"/>
              </w:rPr>
            </w:pPr>
            <w:r>
              <w:rPr>
                <w:rFonts w:ascii="Arial" w:cs="Arial" w:eastAsia="Arial" w:hAnsi="Arial"/>
                <w:sz w:val="16"/>
                <w:szCs w:val="16"/>
                <w:b w:val="1"/>
                <w:bCs w:val="1"/>
                <w:color w:val="0233A1"/>
              </w:rPr>
              <w:t>Contributions</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0233A1"/>
              </w:rPr>
              <w:t>Earnings</w:t>
            </w: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0233A1"/>
              </w:rPr>
              <w:t>Withdrawals/</w:t>
            </w: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0233A1"/>
              </w:rPr>
              <w:t>Balance at</w:t>
            </w:r>
          </w:p>
        </w:tc>
      </w:tr>
      <w:tr>
        <w:trPr>
          <w:trHeight w:val="163"/>
        </w:trPr>
        <w:tc>
          <w:tcPr>
            <w:tcW w:w="15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80" w:type="dxa"/>
            <w:vAlign w:val="bottom"/>
          </w:tcPr>
          <w:p>
            <w:pPr>
              <w:jc w:val="right"/>
              <w:ind w:right="199"/>
              <w:spacing w:after="0" w:line="163" w:lineRule="exact"/>
              <w:rPr>
                <w:sz w:val="20"/>
                <w:szCs w:val="20"/>
                <w:color w:val="auto"/>
              </w:rPr>
            </w:pPr>
            <w:r>
              <w:rPr>
                <w:rFonts w:ascii="Arial" w:cs="Arial" w:eastAsia="Arial" w:hAnsi="Arial"/>
                <w:sz w:val="16"/>
                <w:szCs w:val="16"/>
                <w:b w:val="1"/>
                <w:bCs w:val="1"/>
                <w:color w:val="0233A1"/>
              </w:rPr>
              <w:t>in Last FY</w:t>
            </w:r>
          </w:p>
        </w:tc>
        <w:tc>
          <w:tcPr>
            <w:tcW w:w="1440" w:type="dxa"/>
            <w:vAlign w:val="bottom"/>
          </w:tcPr>
          <w:p>
            <w:pPr>
              <w:jc w:val="right"/>
              <w:ind w:right="199"/>
              <w:spacing w:after="0" w:line="163" w:lineRule="exact"/>
              <w:rPr>
                <w:sz w:val="20"/>
                <w:szCs w:val="20"/>
                <w:color w:val="auto"/>
              </w:rPr>
            </w:pPr>
            <w:r>
              <w:rPr>
                <w:rFonts w:ascii="Arial" w:cs="Arial" w:eastAsia="Arial" w:hAnsi="Arial"/>
                <w:sz w:val="16"/>
                <w:szCs w:val="16"/>
                <w:b w:val="1"/>
                <w:bCs w:val="1"/>
                <w:color w:val="0233A1"/>
              </w:rPr>
              <w:t>in Last FY</w:t>
            </w:r>
          </w:p>
        </w:tc>
        <w:tc>
          <w:tcPr>
            <w:tcW w:w="1060" w:type="dxa"/>
            <w:vAlign w:val="bottom"/>
          </w:tcPr>
          <w:p>
            <w:pPr>
              <w:jc w:val="right"/>
              <w:ind w:right="59"/>
              <w:spacing w:after="0" w:line="163" w:lineRule="exact"/>
              <w:rPr>
                <w:sz w:val="20"/>
                <w:szCs w:val="20"/>
                <w:color w:val="auto"/>
              </w:rPr>
            </w:pPr>
            <w:r>
              <w:rPr>
                <w:rFonts w:ascii="Arial" w:cs="Arial" w:eastAsia="Arial" w:hAnsi="Arial"/>
                <w:sz w:val="16"/>
                <w:szCs w:val="16"/>
                <w:b w:val="1"/>
                <w:bCs w:val="1"/>
                <w:color w:val="0233A1"/>
              </w:rPr>
              <w:t>in Last FY</w:t>
            </w:r>
          </w:p>
        </w:tc>
        <w:tc>
          <w:tcPr>
            <w:tcW w:w="1280" w:type="dxa"/>
            <w:vAlign w:val="bottom"/>
          </w:tcPr>
          <w:p>
            <w:pPr>
              <w:jc w:val="right"/>
              <w:ind w:right="79"/>
              <w:spacing w:after="0" w:line="163" w:lineRule="exact"/>
              <w:rPr>
                <w:sz w:val="20"/>
                <w:szCs w:val="20"/>
                <w:color w:val="auto"/>
              </w:rPr>
            </w:pPr>
            <w:r>
              <w:rPr>
                <w:rFonts w:ascii="Arial" w:cs="Arial" w:eastAsia="Arial" w:hAnsi="Arial"/>
                <w:sz w:val="16"/>
                <w:szCs w:val="16"/>
                <w:b w:val="1"/>
                <w:bCs w:val="1"/>
                <w:color w:val="0233A1"/>
              </w:rPr>
              <w:t>Distributions</w:t>
            </w:r>
          </w:p>
        </w:tc>
        <w:tc>
          <w:tcPr>
            <w:tcW w:w="1240" w:type="dxa"/>
            <w:vAlign w:val="bottom"/>
          </w:tcPr>
          <w:p>
            <w:pPr>
              <w:jc w:val="right"/>
              <w:ind w:right="179"/>
              <w:spacing w:after="0" w:line="163" w:lineRule="exact"/>
              <w:rPr>
                <w:sz w:val="20"/>
                <w:szCs w:val="20"/>
                <w:color w:val="auto"/>
              </w:rPr>
            </w:pPr>
            <w:r>
              <w:rPr>
                <w:rFonts w:ascii="Arial" w:cs="Arial" w:eastAsia="Arial" w:hAnsi="Arial"/>
                <w:sz w:val="16"/>
                <w:szCs w:val="16"/>
                <w:b w:val="1"/>
                <w:bCs w:val="1"/>
                <w:color w:val="0233A1"/>
              </w:rPr>
              <w:t>Last FYE</w:t>
            </w:r>
          </w:p>
        </w:tc>
      </w:tr>
      <w:tr>
        <w:trPr>
          <w:trHeight w:val="230"/>
        </w:trPr>
        <w:tc>
          <w:tcPr>
            <w:tcW w:w="158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Name</w:t>
            </w:r>
          </w:p>
        </w:tc>
        <w:tc>
          <w:tcPr>
            <w:tcW w:w="3160" w:type="dxa"/>
            <w:vAlign w:val="bottom"/>
            <w:tcBorders>
              <w:bottom w:val="single" w:sz="8" w:color="0233A1"/>
            </w:tcBorders>
          </w:tcPr>
          <w:p>
            <w:pPr>
              <w:ind w:left="380"/>
              <w:spacing w:after="0"/>
              <w:rPr>
                <w:sz w:val="20"/>
                <w:szCs w:val="20"/>
                <w:color w:val="auto"/>
              </w:rPr>
            </w:pPr>
            <w:r>
              <w:rPr>
                <w:rFonts w:ascii="Arial" w:cs="Arial" w:eastAsia="Arial" w:hAnsi="Arial"/>
                <w:sz w:val="16"/>
                <w:szCs w:val="16"/>
                <w:b w:val="1"/>
                <w:bCs w:val="1"/>
                <w:color w:val="0233A1"/>
              </w:rPr>
              <w:t>Plan Name</w:t>
            </w:r>
          </w:p>
        </w:tc>
        <w:tc>
          <w:tcPr>
            <w:tcW w:w="1480" w:type="dxa"/>
            <w:vAlign w:val="bottom"/>
            <w:tcBorders>
              <w:bottom w:val="single" w:sz="8" w:color="0233A1"/>
            </w:tcBorders>
          </w:tcPr>
          <w:p>
            <w:pPr>
              <w:jc w:val="right"/>
              <w:ind w:right="39"/>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(1)</w:t>
            </w:r>
          </w:p>
        </w:tc>
        <w:tc>
          <w:tcPr>
            <w:tcW w:w="1440" w:type="dxa"/>
            <w:vAlign w:val="bottom"/>
            <w:tcBorders>
              <w:bottom w:val="single" w:sz="8" w:color="0233A1"/>
            </w:tcBorders>
          </w:tcPr>
          <w:p>
            <w:pPr>
              <w:jc w:val="right"/>
              <w:ind w:right="39"/>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(2)</w:t>
            </w:r>
          </w:p>
        </w:tc>
        <w:tc>
          <w:tcPr>
            <w:tcW w:w="1060" w:type="dxa"/>
            <w:vAlign w:val="bottom"/>
            <w:tcBorders>
              <w:bottom w:val="single" w:sz="8" w:color="0233A1"/>
            </w:tcBorders>
          </w:tcPr>
          <w:p>
            <w:pPr>
              <w:jc w:val="right"/>
              <w:ind w:right="59"/>
              <w:spacing w:after="0"/>
              <w:rPr>
                <w:sz w:val="20"/>
                <w:szCs w:val="20"/>
                <w:color w:val="auto"/>
              </w:rPr>
            </w:pPr>
            <w:r>
              <w:rPr>
                <w:rFonts w:ascii="Arial" w:cs="Arial" w:eastAsia="Arial" w:hAnsi="Arial"/>
                <w:sz w:val="16"/>
                <w:szCs w:val="16"/>
                <w:b w:val="1"/>
                <w:bCs w:val="1"/>
                <w:color w:val="0233A1"/>
              </w:rPr>
              <w:t>($)</w:t>
            </w:r>
          </w:p>
        </w:tc>
        <w:tc>
          <w:tcPr>
            <w:tcW w:w="1280" w:type="dxa"/>
            <w:vAlign w:val="bottom"/>
            <w:tcBorders>
              <w:bottom w:val="single" w:sz="8" w:color="0233A1"/>
            </w:tcBorders>
          </w:tcPr>
          <w:p>
            <w:pPr>
              <w:jc w:val="right"/>
              <w:ind w:right="79"/>
              <w:spacing w:after="0"/>
              <w:rPr>
                <w:sz w:val="20"/>
                <w:szCs w:val="20"/>
                <w:color w:val="auto"/>
              </w:rPr>
            </w:pPr>
            <w:r>
              <w:rPr>
                <w:rFonts w:ascii="Arial" w:cs="Arial" w:eastAsia="Arial" w:hAnsi="Arial"/>
                <w:sz w:val="16"/>
                <w:szCs w:val="16"/>
                <w:b w:val="1"/>
                <w:bCs w:val="1"/>
                <w:color w:val="0233A1"/>
              </w:rPr>
              <w:t>($)</w:t>
            </w:r>
          </w:p>
        </w:tc>
        <w:tc>
          <w:tcPr>
            <w:tcW w:w="1240" w:type="dxa"/>
            <w:vAlign w:val="bottom"/>
            <w:tcBorders>
              <w:bottom w:val="single" w:sz="8" w:color="0233A1"/>
            </w:tcBorders>
          </w:tcPr>
          <w:p>
            <w:pPr>
              <w:jc w:val="right"/>
              <w:ind w:right="19"/>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(3)</w:t>
            </w:r>
          </w:p>
        </w:tc>
      </w:tr>
      <w:tr>
        <w:trPr>
          <w:trHeight w:val="182"/>
        </w:trPr>
        <w:tc>
          <w:tcPr>
            <w:tcW w:w="1580" w:type="dxa"/>
            <w:vAlign w:val="bottom"/>
          </w:tcPr>
          <w:p>
            <w:pPr>
              <w:ind w:left="60"/>
              <w:spacing w:after="0" w:line="182" w:lineRule="exact"/>
              <w:rPr>
                <w:sz w:val="20"/>
                <w:szCs w:val="20"/>
                <w:color w:val="auto"/>
              </w:rPr>
            </w:pPr>
            <w:r>
              <w:rPr>
                <w:rFonts w:ascii="Arial" w:cs="Arial" w:eastAsia="Arial" w:hAnsi="Arial"/>
                <w:sz w:val="16"/>
                <w:szCs w:val="16"/>
                <w:color w:val="auto"/>
              </w:rPr>
              <w:t>O. Le Peuch</w:t>
            </w:r>
          </w:p>
        </w:tc>
        <w:tc>
          <w:tcPr>
            <w:tcW w:w="3160" w:type="dxa"/>
            <w:vAlign w:val="bottom"/>
          </w:tcPr>
          <w:p>
            <w:pPr>
              <w:ind w:left="380"/>
              <w:spacing w:after="0" w:line="182" w:lineRule="exact"/>
              <w:rPr>
                <w:sz w:val="20"/>
                <w:szCs w:val="20"/>
                <w:color w:val="auto"/>
              </w:rPr>
            </w:pPr>
            <w:r>
              <w:rPr>
                <w:rFonts w:ascii="Arial" w:cs="Arial" w:eastAsia="Arial" w:hAnsi="Arial"/>
                <w:sz w:val="16"/>
                <w:szCs w:val="16"/>
                <w:color w:val="auto"/>
              </w:rPr>
              <w:t>SL Supplementary Plan</w:t>
            </w:r>
          </w:p>
        </w:tc>
        <w:tc>
          <w:tcPr>
            <w:tcW w:w="1480" w:type="dxa"/>
            <w:vAlign w:val="bottom"/>
          </w:tcPr>
          <w:p>
            <w:pPr>
              <w:jc w:val="right"/>
              <w:ind w:right="199"/>
              <w:spacing w:after="0" w:line="182" w:lineRule="exact"/>
              <w:rPr>
                <w:sz w:val="20"/>
                <w:szCs w:val="20"/>
                <w:color w:val="auto"/>
              </w:rPr>
            </w:pPr>
            <w:r>
              <w:rPr>
                <w:rFonts w:ascii="Arial" w:cs="Arial" w:eastAsia="Arial" w:hAnsi="Arial"/>
                <w:sz w:val="16"/>
                <w:szCs w:val="16"/>
                <w:color w:val="auto"/>
              </w:rPr>
              <w:t>—</w:t>
            </w:r>
          </w:p>
        </w:tc>
        <w:tc>
          <w:tcPr>
            <w:tcW w:w="1440" w:type="dxa"/>
            <w:vAlign w:val="bottom"/>
          </w:tcPr>
          <w:p>
            <w:pPr>
              <w:jc w:val="right"/>
              <w:ind w:right="199"/>
              <w:spacing w:after="0" w:line="182"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line="182" w:lineRule="exact"/>
              <w:rPr>
                <w:sz w:val="20"/>
                <w:szCs w:val="20"/>
                <w:color w:val="auto"/>
              </w:rPr>
            </w:pPr>
            <w:r>
              <w:rPr>
                <w:rFonts w:ascii="Arial" w:cs="Arial" w:eastAsia="Arial" w:hAnsi="Arial"/>
                <w:sz w:val="16"/>
                <w:szCs w:val="16"/>
                <w:color w:val="auto"/>
              </w:rPr>
              <w:t>(16,380)</w:t>
            </w:r>
          </w:p>
        </w:tc>
        <w:tc>
          <w:tcPr>
            <w:tcW w:w="1280" w:type="dxa"/>
            <w:vAlign w:val="bottom"/>
          </w:tcPr>
          <w:p>
            <w:pPr>
              <w:jc w:val="right"/>
              <w:ind w:right="79"/>
              <w:spacing w:after="0" w:line="182"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179"/>
              <w:spacing w:after="0" w:line="182" w:lineRule="exact"/>
              <w:rPr>
                <w:sz w:val="20"/>
                <w:szCs w:val="20"/>
                <w:color w:val="auto"/>
              </w:rPr>
            </w:pPr>
            <w:r>
              <w:rPr>
                <w:rFonts w:ascii="Arial" w:cs="Arial" w:eastAsia="Arial" w:hAnsi="Arial"/>
                <w:sz w:val="16"/>
                <w:szCs w:val="16"/>
                <w:color w:val="auto"/>
              </w:rPr>
              <w:t>99,926</w:t>
            </w:r>
          </w:p>
        </w:tc>
      </w:tr>
      <w:tr>
        <w:trPr>
          <w:trHeight w:val="203"/>
        </w:trPr>
        <w:tc>
          <w:tcPr>
            <w:tcW w:w="1580" w:type="dxa"/>
            <w:vAlign w:val="bottom"/>
          </w:tcPr>
          <w:p>
            <w:pPr>
              <w:spacing w:after="0"/>
              <w:rPr>
                <w:sz w:val="17"/>
                <w:szCs w:val="17"/>
                <w:color w:val="auto"/>
              </w:rPr>
            </w:pPr>
          </w:p>
        </w:tc>
        <w:tc>
          <w:tcPr>
            <w:tcW w:w="3160" w:type="dxa"/>
            <w:vAlign w:val="bottom"/>
          </w:tcPr>
          <w:p>
            <w:pPr>
              <w:ind w:left="380"/>
              <w:spacing w:after="0"/>
              <w:rPr>
                <w:sz w:val="20"/>
                <w:szCs w:val="20"/>
                <w:color w:val="auto"/>
              </w:rPr>
            </w:pPr>
            <w:r>
              <w:rPr>
                <w:rFonts w:ascii="Arial" w:cs="Arial" w:eastAsia="Arial" w:hAnsi="Arial"/>
                <w:sz w:val="16"/>
                <w:szCs w:val="16"/>
                <w:color w:val="auto"/>
              </w:rPr>
              <w:t>International Staff Profit Sharing Plan</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(261,045)</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1,436,099</w:t>
            </w:r>
          </w:p>
        </w:tc>
      </w:tr>
      <w:tr>
        <w:trPr>
          <w:trHeight w:val="203"/>
        </w:trPr>
        <w:tc>
          <w:tcPr>
            <w:tcW w:w="1580" w:type="dxa"/>
            <w:vAlign w:val="bottom"/>
          </w:tcPr>
          <w:p>
            <w:pPr>
              <w:spacing w:after="0"/>
              <w:rPr>
                <w:sz w:val="17"/>
                <w:szCs w:val="17"/>
                <w:color w:val="auto"/>
              </w:rPr>
            </w:pPr>
          </w:p>
        </w:tc>
        <w:tc>
          <w:tcPr>
            <w:tcW w:w="3160" w:type="dxa"/>
            <w:vAlign w:val="bottom"/>
          </w:tcPr>
          <w:p>
            <w:pPr>
              <w:ind w:left="380"/>
              <w:spacing w:after="0"/>
              <w:rPr>
                <w:sz w:val="20"/>
                <w:szCs w:val="20"/>
                <w:color w:val="auto"/>
              </w:rPr>
            </w:pPr>
            <w:r>
              <w:rPr>
                <w:rFonts w:ascii="Arial" w:cs="Arial" w:eastAsia="Arial" w:hAnsi="Arial"/>
                <w:sz w:val="16"/>
                <w:szCs w:val="16"/>
                <w:color w:val="auto"/>
              </w:rPr>
              <w:t>Restoration Savings Plan</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2,580,550</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154,833</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(559,780)</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5,557,957</w:t>
            </w:r>
          </w:p>
        </w:tc>
      </w:tr>
      <w:tr>
        <w:trPr>
          <w:trHeight w:val="203"/>
        </w:trPr>
        <w:tc>
          <w:tcPr>
            <w:tcW w:w="1580" w:type="dxa"/>
            <w:vAlign w:val="bottom"/>
          </w:tcPr>
          <w:p>
            <w:pPr>
              <w:ind w:left="60"/>
              <w:spacing w:after="0"/>
              <w:rPr>
                <w:sz w:val="20"/>
                <w:szCs w:val="20"/>
                <w:color w:val="auto"/>
              </w:rPr>
            </w:pPr>
            <w:r>
              <w:rPr>
                <w:rFonts w:ascii="Arial" w:cs="Arial" w:eastAsia="Arial" w:hAnsi="Arial"/>
                <w:sz w:val="16"/>
                <w:szCs w:val="16"/>
                <w:color w:val="auto"/>
              </w:rPr>
              <w:t>S. Biguet</w:t>
            </w:r>
          </w:p>
        </w:tc>
        <w:tc>
          <w:tcPr>
            <w:tcW w:w="3160" w:type="dxa"/>
            <w:vAlign w:val="bottom"/>
          </w:tcPr>
          <w:p>
            <w:pPr>
              <w:ind w:left="380"/>
              <w:spacing w:after="0"/>
              <w:rPr>
                <w:sz w:val="20"/>
                <w:szCs w:val="20"/>
                <w:color w:val="auto"/>
              </w:rPr>
            </w:pPr>
            <w:r>
              <w:rPr>
                <w:rFonts w:ascii="Arial" w:cs="Arial" w:eastAsia="Arial" w:hAnsi="Arial"/>
                <w:sz w:val="16"/>
                <w:szCs w:val="16"/>
                <w:color w:val="auto"/>
              </w:rPr>
              <w:t>SL Supplementary Plan</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(524)</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17,900</w:t>
            </w:r>
          </w:p>
        </w:tc>
      </w:tr>
      <w:tr>
        <w:trPr>
          <w:trHeight w:val="203"/>
        </w:trPr>
        <w:tc>
          <w:tcPr>
            <w:tcW w:w="1580" w:type="dxa"/>
            <w:vAlign w:val="bottom"/>
          </w:tcPr>
          <w:p>
            <w:pPr>
              <w:spacing w:after="0"/>
              <w:rPr>
                <w:sz w:val="17"/>
                <w:szCs w:val="17"/>
                <w:color w:val="auto"/>
              </w:rPr>
            </w:pPr>
          </w:p>
        </w:tc>
        <w:tc>
          <w:tcPr>
            <w:tcW w:w="3160" w:type="dxa"/>
            <w:vAlign w:val="bottom"/>
          </w:tcPr>
          <w:p>
            <w:pPr>
              <w:ind w:left="380"/>
              <w:spacing w:after="0"/>
              <w:rPr>
                <w:sz w:val="20"/>
                <w:szCs w:val="20"/>
                <w:color w:val="auto"/>
              </w:rPr>
            </w:pPr>
            <w:r>
              <w:rPr>
                <w:rFonts w:ascii="Arial" w:cs="Arial" w:eastAsia="Arial" w:hAnsi="Arial"/>
                <w:sz w:val="16"/>
                <w:szCs w:val="16"/>
                <w:color w:val="auto"/>
              </w:rPr>
              <w:t>International Staff Profit Sharing Plan</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(73,044)</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424,370</w:t>
            </w:r>
          </w:p>
        </w:tc>
      </w:tr>
      <w:tr>
        <w:trPr>
          <w:trHeight w:val="203"/>
        </w:trPr>
        <w:tc>
          <w:tcPr>
            <w:tcW w:w="1580" w:type="dxa"/>
            <w:vAlign w:val="bottom"/>
          </w:tcPr>
          <w:p>
            <w:pPr>
              <w:spacing w:after="0"/>
              <w:rPr>
                <w:sz w:val="17"/>
                <w:szCs w:val="17"/>
                <w:color w:val="auto"/>
              </w:rPr>
            </w:pPr>
          </w:p>
        </w:tc>
        <w:tc>
          <w:tcPr>
            <w:tcW w:w="3160" w:type="dxa"/>
            <w:vAlign w:val="bottom"/>
          </w:tcPr>
          <w:p>
            <w:pPr>
              <w:ind w:left="380"/>
              <w:spacing w:after="0"/>
              <w:rPr>
                <w:sz w:val="20"/>
                <w:szCs w:val="20"/>
                <w:color w:val="auto"/>
              </w:rPr>
            </w:pPr>
            <w:r>
              <w:rPr>
                <w:rFonts w:ascii="Arial" w:cs="Arial" w:eastAsia="Arial" w:hAnsi="Arial"/>
                <w:sz w:val="16"/>
                <w:szCs w:val="16"/>
                <w:color w:val="auto"/>
              </w:rPr>
              <w:t>Restoration Savings Plan</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560,952</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60,102</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(175,502)</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1,500,536</w:t>
            </w:r>
          </w:p>
        </w:tc>
      </w:tr>
      <w:tr>
        <w:trPr>
          <w:trHeight w:val="203"/>
        </w:trPr>
        <w:tc>
          <w:tcPr>
            <w:tcW w:w="158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3160" w:type="dxa"/>
            <w:vAlign w:val="bottom"/>
          </w:tcPr>
          <w:p>
            <w:pPr>
              <w:ind w:left="380"/>
              <w:spacing w:after="0"/>
              <w:rPr>
                <w:sz w:val="20"/>
                <w:szCs w:val="20"/>
                <w:color w:val="auto"/>
              </w:rPr>
            </w:pPr>
            <w:r>
              <w:rPr>
                <w:rFonts w:ascii="Arial" w:cs="Arial" w:eastAsia="Arial" w:hAnsi="Arial"/>
                <w:sz w:val="16"/>
                <w:szCs w:val="16"/>
                <w:color w:val="auto"/>
              </w:rPr>
              <w:t>SL Supplementary Plan</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(28,879)</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162,210</w:t>
            </w:r>
          </w:p>
        </w:tc>
      </w:tr>
      <w:tr>
        <w:trPr>
          <w:trHeight w:val="203"/>
        </w:trPr>
        <w:tc>
          <w:tcPr>
            <w:tcW w:w="1580" w:type="dxa"/>
            <w:vAlign w:val="bottom"/>
          </w:tcPr>
          <w:p>
            <w:pPr>
              <w:spacing w:after="0"/>
              <w:rPr>
                <w:sz w:val="17"/>
                <w:szCs w:val="17"/>
                <w:color w:val="auto"/>
              </w:rPr>
            </w:pPr>
          </w:p>
        </w:tc>
        <w:tc>
          <w:tcPr>
            <w:tcW w:w="3160" w:type="dxa"/>
            <w:vAlign w:val="bottom"/>
          </w:tcPr>
          <w:p>
            <w:pPr>
              <w:ind w:left="380"/>
              <w:spacing w:after="0"/>
              <w:rPr>
                <w:sz w:val="20"/>
                <w:szCs w:val="20"/>
                <w:color w:val="auto"/>
              </w:rPr>
            </w:pPr>
            <w:r>
              <w:rPr>
                <w:rFonts w:ascii="Arial" w:cs="Arial" w:eastAsia="Arial" w:hAnsi="Arial"/>
                <w:sz w:val="16"/>
                <w:szCs w:val="16"/>
                <w:color w:val="auto"/>
              </w:rPr>
              <w:t>International Staff Profit Sharing Plan</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(130,915)</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720,209</w:t>
            </w:r>
          </w:p>
        </w:tc>
      </w:tr>
      <w:tr>
        <w:trPr>
          <w:trHeight w:val="203"/>
        </w:trPr>
        <w:tc>
          <w:tcPr>
            <w:tcW w:w="1580" w:type="dxa"/>
            <w:vAlign w:val="bottom"/>
          </w:tcPr>
          <w:p>
            <w:pPr>
              <w:spacing w:after="0"/>
              <w:rPr>
                <w:sz w:val="17"/>
                <w:szCs w:val="17"/>
                <w:color w:val="auto"/>
              </w:rPr>
            </w:pPr>
          </w:p>
        </w:tc>
        <w:tc>
          <w:tcPr>
            <w:tcW w:w="3160" w:type="dxa"/>
            <w:vAlign w:val="bottom"/>
          </w:tcPr>
          <w:p>
            <w:pPr>
              <w:ind w:left="380"/>
              <w:spacing w:after="0"/>
              <w:rPr>
                <w:sz w:val="20"/>
                <w:szCs w:val="20"/>
                <w:color w:val="auto"/>
              </w:rPr>
            </w:pPr>
            <w:r>
              <w:rPr>
                <w:rFonts w:ascii="Arial" w:cs="Arial" w:eastAsia="Arial" w:hAnsi="Arial"/>
                <w:sz w:val="16"/>
                <w:szCs w:val="16"/>
                <w:color w:val="auto"/>
              </w:rPr>
              <w:t>Restoration Savings Plan</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231,085</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138,651</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(272,152)</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2,683,405</w:t>
            </w:r>
          </w:p>
        </w:tc>
      </w:tr>
      <w:tr>
        <w:trPr>
          <w:trHeight w:val="203"/>
        </w:trPr>
        <w:tc>
          <w:tcPr>
            <w:tcW w:w="1580" w:type="dxa"/>
            <w:vAlign w:val="bottom"/>
          </w:tcPr>
          <w:p>
            <w:pPr>
              <w:ind w:left="60"/>
              <w:spacing w:after="0"/>
              <w:rPr>
                <w:sz w:val="20"/>
                <w:szCs w:val="20"/>
                <w:color w:val="auto"/>
              </w:rPr>
            </w:pPr>
            <w:r>
              <w:rPr>
                <w:rFonts w:ascii="Arial" w:cs="Arial" w:eastAsia="Arial" w:hAnsi="Arial"/>
                <w:sz w:val="16"/>
                <w:szCs w:val="16"/>
                <w:color w:val="auto"/>
              </w:rPr>
              <w:t>A. Merad</w:t>
            </w:r>
          </w:p>
        </w:tc>
        <w:tc>
          <w:tcPr>
            <w:tcW w:w="3160" w:type="dxa"/>
            <w:vAlign w:val="bottom"/>
          </w:tcPr>
          <w:p>
            <w:pPr>
              <w:ind w:left="380"/>
              <w:spacing w:after="0"/>
              <w:rPr>
                <w:sz w:val="20"/>
                <w:szCs w:val="20"/>
                <w:color w:val="auto"/>
              </w:rPr>
            </w:pPr>
            <w:r>
              <w:rPr>
                <w:rFonts w:ascii="Arial" w:cs="Arial" w:eastAsia="Arial" w:hAnsi="Arial"/>
                <w:sz w:val="16"/>
                <w:szCs w:val="16"/>
                <w:color w:val="auto"/>
              </w:rPr>
              <w:t>SL Supplementary Plan</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(528)</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2,965</w:t>
            </w:r>
          </w:p>
        </w:tc>
      </w:tr>
      <w:tr>
        <w:trPr>
          <w:trHeight w:val="203"/>
        </w:trPr>
        <w:tc>
          <w:tcPr>
            <w:tcW w:w="1580" w:type="dxa"/>
            <w:vAlign w:val="bottom"/>
          </w:tcPr>
          <w:p>
            <w:pPr>
              <w:spacing w:after="0"/>
              <w:rPr>
                <w:sz w:val="17"/>
                <w:szCs w:val="17"/>
                <w:color w:val="auto"/>
              </w:rPr>
            </w:pPr>
          </w:p>
        </w:tc>
        <w:tc>
          <w:tcPr>
            <w:tcW w:w="3160" w:type="dxa"/>
            <w:vAlign w:val="bottom"/>
          </w:tcPr>
          <w:p>
            <w:pPr>
              <w:ind w:left="380"/>
              <w:spacing w:after="0"/>
              <w:rPr>
                <w:sz w:val="20"/>
                <w:szCs w:val="20"/>
                <w:color w:val="auto"/>
              </w:rPr>
            </w:pPr>
            <w:r>
              <w:rPr>
                <w:rFonts w:ascii="Arial" w:cs="Arial" w:eastAsia="Arial" w:hAnsi="Arial"/>
                <w:sz w:val="16"/>
                <w:szCs w:val="16"/>
                <w:color w:val="auto"/>
              </w:rPr>
              <w:t>International Staff Profit Sharing Plan</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(96,699)</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531,972</w:t>
            </w:r>
          </w:p>
        </w:tc>
      </w:tr>
      <w:tr>
        <w:trPr>
          <w:trHeight w:val="203"/>
        </w:trPr>
        <w:tc>
          <w:tcPr>
            <w:tcW w:w="1580" w:type="dxa"/>
            <w:vAlign w:val="bottom"/>
          </w:tcPr>
          <w:p>
            <w:pPr>
              <w:spacing w:after="0"/>
              <w:rPr>
                <w:sz w:val="17"/>
                <w:szCs w:val="17"/>
                <w:color w:val="auto"/>
              </w:rPr>
            </w:pPr>
          </w:p>
        </w:tc>
        <w:tc>
          <w:tcPr>
            <w:tcW w:w="3160" w:type="dxa"/>
            <w:vAlign w:val="bottom"/>
          </w:tcPr>
          <w:p>
            <w:pPr>
              <w:ind w:left="380"/>
              <w:spacing w:after="0"/>
              <w:rPr>
                <w:sz w:val="20"/>
                <w:szCs w:val="20"/>
                <w:color w:val="auto"/>
              </w:rPr>
            </w:pPr>
            <w:r>
              <w:rPr>
                <w:rFonts w:ascii="Arial" w:cs="Arial" w:eastAsia="Arial" w:hAnsi="Arial"/>
                <w:sz w:val="16"/>
                <w:szCs w:val="16"/>
                <w:color w:val="auto"/>
              </w:rPr>
              <w:t>Restoration Savings Plan</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111,941</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111,941</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29,968</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643,578</w:t>
            </w:r>
          </w:p>
        </w:tc>
      </w:tr>
      <w:tr>
        <w:trPr>
          <w:trHeight w:val="203"/>
        </w:trPr>
        <w:tc>
          <w:tcPr>
            <w:tcW w:w="1580" w:type="dxa"/>
            <w:vAlign w:val="bottom"/>
          </w:tcPr>
          <w:p>
            <w:pPr>
              <w:ind w:left="60"/>
              <w:spacing w:after="0"/>
              <w:rPr>
                <w:sz w:val="20"/>
                <w:szCs w:val="20"/>
                <w:color w:val="auto"/>
              </w:rPr>
            </w:pPr>
            <w:r>
              <w:rPr>
                <w:rFonts w:ascii="Arial" w:cs="Arial" w:eastAsia="Arial" w:hAnsi="Arial"/>
                <w:sz w:val="16"/>
                <w:szCs w:val="16"/>
                <w:color w:val="auto"/>
              </w:rPr>
              <w:t>D. Ralston</w:t>
            </w:r>
          </w:p>
        </w:tc>
        <w:tc>
          <w:tcPr>
            <w:tcW w:w="3160" w:type="dxa"/>
            <w:vAlign w:val="bottom"/>
          </w:tcPr>
          <w:p>
            <w:pPr>
              <w:ind w:left="380"/>
              <w:spacing w:after="0"/>
              <w:rPr>
                <w:sz w:val="20"/>
                <w:szCs w:val="20"/>
                <w:color w:val="auto"/>
              </w:rPr>
            </w:pPr>
            <w:r>
              <w:rPr>
                <w:rFonts w:ascii="Arial" w:cs="Arial" w:eastAsia="Arial" w:hAnsi="Arial"/>
                <w:sz w:val="16"/>
                <w:szCs w:val="16"/>
                <w:color w:val="auto"/>
              </w:rPr>
              <w:t>Restoration Savings Plan</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187,492</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56,248</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21,880</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281,625</w:t>
            </w:r>
          </w:p>
        </w:tc>
      </w:tr>
      <w:tr>
        <w:trPr>
          <w:trHeight w:val="203"/>
        </w:trPr>
        <w:tc>
          <w:tcPr>
            <w:tcW w:w="1580" w:type="dxa"/>
            <w:vAlign w:val="bottom"/>
          </w:tcPr>
          <w:p>
            <w:pPr>
              <w:ind w:left="60"/>
              <w:spacing w:after="0"/>
              <w:rPr>
                <w:sz w:val="20"/>
                <w:szCs w:val="20"/>
                <w:color w:val="auto"/>
              </w:rPr>
            </w:pPr>
            <w:r>
              <w:rPr>
                <w:rFonts w:ascii="Arial" w:cs="Arial" w:eastAsia="Arial" w:hAnsi="Arial"/>
                <w:sz w:val="16"/>
                <w:szCs w:val="16"/>
                <w:color w:val="auto"/>
              </w:rPr>
              <w:t>A. Belani</w:t>
            </w:r>
          </w:p>
        </w:tc>
        <w:tc>
          <w:tcPr>
            <w:tcW w:w="3160" w:type="dxa"/>
            <w:vAlign w:val="bottom"/>
          </w:tcPr>
          <w:p>
            <w:pPr>
              <w:ind w:left="380"/>
              <w:spacing w:after="0"/>
              <w:rPr>
                <w:sz w:val="20"/>
                <w:szCs w:val="20"/>
                <w:color w:val="auto"/>
              </w:rPr>
            </w:pPr>
            <w:r>
              <w:rPr>
                <w:rFonts w:ascii="Arial" w:cs="Arial" w:eastAsia="Arial" w:hAnsi="Arial"/>
                <w:sz w:val="16"/>
                <w:szCs w:val="16"/>
                <w:color w:val="auto"/>
              </w:rPr>
              <w:t>SL Supplementary Plan</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(111,626)</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726,834</w:t>
            </w:r>
          </w:p>
        </w:tc>
      </w:tr>
      <w:tr>
        <w:trPr>
          <w:trHeight w:val="203"/>
        </w:trPr>
        <w:tc>
          <w:tcPr>
            <w:tcW w:w="1580" w:type="dxa"/>
            <w:vAlign w:val="bottom"/>
          </w:tcPr>
          <w:p>
            <w:pPr>
              <w:spacing w:after="0"/>
              <w:rPr>
                <w:sz w:val="17"/>
                <w:szCs w:val="17"/>
                <w:color w:val="auto"/>
              </w:rPr>
            </w:pPr>
          </w:p>
        </w:tc>
        <w:tc>
          <w:tcPr>
            <w:tcW w:w="3160" w:type="dxa"/>
            <w:vAlign w:val="bottom"/>
          </w:tcPr>
          <w:p>
            <w:pPr>
              <w:ind w:left="380"/>
              <w:spacing w:after="0"/>
              <w:rPr>
                <w:sz w:val="20"/>
                <w:szCs w:val="20"/>
                <w:color w:val="auto"/>
              </w:rPr>
            </w:pPr>
            <w:r>
              <w:rPr>
                <w:rFonts w:ascii="Arial" w:cs="Arial" w:eastAsia="Arial" w:hAnsi="Arial"/>
                <w:sz w:val="16"/>
                <w:szCs w:val="16"/>
                <w:color w:val="auto"/>
              </w:rPr>
              <w:t>International Staff Profit Sharing Plan</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(197,662)</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1,325,613</w:t>
            </w:r>
          </w:p>
        </w:tc>
      </w:tr>
      <w:tr>
        <w:trPr>
          <w:trHeight w:val="210"/>
        </w:trPr>
        <w:tc>
          <w:tcPr>
            <w:tcW w:w="1580" w:type="dxa"/>
            <w:vAlign w:val="bottom"/>
            <w:tcBorders>
              <w:bottom w:val="single" w:sz="8" w:color="0233A1"/>
            </w:tcBorders>
          </w:tcPr>
          <w:p>
            <w:pPr>
              <w:spacing w:after="0"/>
              <w:rPr>
                <w:sz w:val="18"/>
                <w:szCs w:val="18"/>
                <w:color w:val="auto"/>
              </w:rPr>
            </w:pPr>
          </w:p>
        </w:tc>
        <w:tc>
          <w:tcPr>
            <w:tcW w:w="3160" w:type="dxa"/>
            <w:vAlign w:val="bottom"/>
            <w:tcBorders>
              <w:bottom w:val="single" w:sz="8" w:color="0233A1"/>
            </w:tcBorders>
          </w:tcPr>
          <w:p>
            <w:pPr>
              <w:ind w:left="380"/>
              <w:spacing w:after="0"/>
              <w:rPr>
                <w:sz w:val="20"/>
                <w:szCs w:val="20"/>
                <w:color w:val="auto"/>
              </w:rPr>
            </w:pPr>
            <w:r>
              <w:rPr>
                <w:rFonts w:ascii="Arial" w:cs="Arial" w:eastAsia="Arial" w:hAnsi="Arial"/>
                <w:sz w:val="16"/>
                <w:szCs w:val="16"/>
                <w:color w:val="auto"/>
              </w:rPr>
              <w:t>Restoration Savings Plan</w:t>
            </w:r>
          </w:p>
        </w:tc>
        <w:tc>
          <w:tcPr>
            <w:tcW w:w="1480" w:type="dxa"/>
            <w:vAlign w:val="bottom"/>
            <w:tcBorders>
              <w:bottom w:val="single" w:sz="8" w:color="0233A1"/>
            </w:tcBorders>
          </w:tcPr>
          <w:p>
            <w:pPr>
              <w:jc w:val="right"/>
              <w:ind w:right="199"/>
              <w:spacing w:after="0"/>
              <w:rPr>
                <w:sz w:val="20"/>
                <w:szCs w:val="20"/>
                <w:color w:val="auto"/>
              </w:rPr>
            </w:pPr>
            <w:r>
              <w:rPr>
                <w:rFonts w:ascii="Arial" w:cs="Arial" w:eastAsia="Arial" w:hAnsi="Arial"/>
                <w:sz w:val="16"/>
                <w:szCs w:val="16"/>
                <w:color w:val="auto"/>
              </w:rPr>
              <w:t>135,951</w:t>
            </w:r>
          </w:p>
        </w:tc>
        <w:tc>
          <w:tcPr>
            <w:tcW w:w="1440" w:type="dxa"/>
            <w:vAlign w:val="bottom"/>
            <w:tcBorders>
              <w:bottom w:val="single" w:sz="8" w:color="0233A1"/>
            </w:tcBorders>
          </w:tcPr>
          <w:p>
            <w:pPr>
              <w:jc w:val="right"/>
              <w:ind w:right="199"/>
              <w:spacing w:after="0"/>
              <w:rPr>
                <w:sz w:val="20"/>
                <w:szCs w:val="20"/>
                <w:color w:val="auto"/>
              </w:rPr>
            </w:pPr>
            <w:r>
              <w:rPr>
                <w:rFonts w:ascii="Arial" w:cs="Arial" w:eastAsia="Arial" w:hAnsi="Arial"/>
                <w:sz w:val="16"/>
                <w:szCs w:val="16"/>
                <w:color w:val="auto"/>
              </w:rPr>
              <w:t>67,975</w:t>
            </w:r>
          </w:p>
        </w:tc>
        <w:tc>
          <w:tcPr>
            <w:tcW w:w="1060" w:type="dxa"/>
            <w:vAlign w:val="bottom"/>
            <w:tcBorders>
              <w:bottom w:val="single" w:sz="8" w:color="0233A1"/>
            </w:tcBorders>
          </w:tcPr>
          <w:p>
            <w:pPr>
              <w:jc w:val="right"/>
              <w:ind w:right="59"/>
              <w:spacing w:after="0"/>
              <w:rPr>
                <w:sz w:val="20"/>
                <w:szCs w:val="20"/>
                <w:color w:val="auto"/>
              </w:rPr>
            </w:pPr>
            <w:r>
              <w:rPr>
                <w:rFonts w:ascii="Arial" w:cs="Arial" w:eastAsia="Arial" w:hAnsi="Arial"/>
                <w:sz w:val="16"/>
                <w:szCs w:val="16"/>
                <w:color w:val="auto"/>
              </w:rPr>
              <w:t>(51,892)</w:t>
            </w:r>
          </w:p>
        </w:tc>
        <w:tc>
          <w:tcPr>
            <w:tcW w:w="1280" w:type="dxa"/>
            <w:vAlign w:val="bottom"/>
            <w:tcBorders>
              <w:bottom w:val="single" w:sz="8" w:color="0233A1"/>
            </w:tcBorders>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0233A1"/>
            </w:tcBorders>
          </w:tcPr>
          <w:p>
            <w:pPr>
              <w:jc w:val="right"/>
              <w:ind w:right="179"/>
              <w:spacing w:after="0"/>
              <w:rPr>
                <w:sz w:val="20"/>
                <w:szCs w:val="20"/>
                <w:color w:val="auto"/>
              </w:rPr>
            </w:pPr>
            <w:r>
              <w:rPr>
                <w:rFonts w:ascii="Arial" w:cs="Arial" w:eastAsia="Arial" w:hAnsi="Arial"/>
                <w:sz w:val="16"/>
                <w:szCs w:val="16"/>
                <w:color w:val="auto"/>
              </w:rPr>
              <w:t>3,649,483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-145415</wp:posOffset>
            </wp:positionV>
            <wp:extent cx="5932170" cy="8890"/>
            <wp:wrapNone/>
            <wp:docPr id="3595" name="Picture 3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5"/>
                    <pic:cNvPicPr>
                      <a:picLocks noChangeAspect="1" noChangeArrowheads="1"/>
                    </pic:cNvPicPr>
                  </pic:nvPicPr>
                  <pic:blipFill>
                    <a:blip r:embed="rId3602">
                      <a:extLst>
                        <a:ext uri="{28A0092B-C50C-407E-A947-70E740481C1C}"/>
                      </a:extLst>
                    </a:blip>
                    <a:srcRect/>
                    <a:stretch>
                      <a:fillRect/>
                    </a:stretch>
                  </pic:blipFill>
                  <pic:spPr bwMode="auto">
                    <a:xfrm>
                      <a:off x="0" y="0"/>
                      <a:ext cx="5932170" cy="889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-273685</wp:posOffset>
            </wp:positionV>
            <wp:extent cx="5932170" cy="8890"/>
            <wp:wrapNone/>
            <wp:docPr id="3596" name="Picture 3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6"/>
                    <pic:cNvPicPr>
                      <a:picLocks noChangeAspect="1" noChangeArrowheads="1"/>
                    </pic:cNvPicPr>
                  </pic:nvPicPr>
                  <pic:blipFill>
                    <a:blip r:embed="rId3603">
                      <a:extLst>
                        <a:ext uri="{28A0092B-C50C-407E-A947-70E740481C1C}"/>
                      </a:extLst>
                    </a:blip>
                    <a:srcRect/>
                    <a:stretch>
                      <a:fillRect/>
                    </a:stretch>
                  </pic:blipFill>
                  <pic:spPr bwMode="auto">
                    <a:xfrm>
                      <a:off x="0" y="0"/>
                      <a:ext cx="59321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3597" name="Picture 3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7"/>
                    <pic:cNvPicPr>
                      <a:picLocks noChangeAspect="1" noChangeArrowheads="1"/>
                    </pic:cNvPicPr>
                  </pic:nvPicPr>
                  <pic:blipFill>
                    <a:blip r:embed="rId36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255"/>
            <wp:wrapNone/>
            <wp:docPr id="3598" name="Picture 3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8"/>
                    <pic:cNvPicPr>
                      <a:picLocks noChangeAspect="1" noChangeArrowheads="1"/>
                    </pic:cNvPicPr>
                  </pic:nvPicPr>
                  <pic:blipFill>
                    <a:blip r:embed="rId36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-659130</wp:posOffset>
            </wp:positionV>
            <wp:extent cx="5932170" cy="8255"/>
            <wp:wrapNone/>
            <wp:docPr id="3599" name="Picture 3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9"/>
                    <pic:cNvPicPr>
                      <a:picLocks noChangeAspect="1" noChangeArrowheads="1"/>
                    </pic:cNvPicPr>
                  </pic:nvPicPr>
                  <pic:blipFill>
                    <a:blip r:embed="rId3606">
                      <a:extLst>
                        <a:ext uri="{28A0092B-C50C-407E-A947-70E740481C1C}"/>
                      </a:extLst>
                    </a:blip>
                    <a:srcRect/>
                    <a:stretch>
                      <a:fillRect/>
                    </a:stretch>
                  </pic:blipFill>
                  <pic:spPr bwMode="auto">
                    <a:xfrm>
                      <a:off x="0" y="0"/>
                      <a:ext cx="593217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-788035</wp:posOffset>
            </wp:positionV>
            <wp:extent cx="5932170" cy="8255"/>
            <wp:wrapNone/>
            <wp:docPr id="3600" name="Picture 3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0"/>
                    <pic:cNvPicPr>
                      <a:picLocks noChangeAspect="1" noChangeArrowheads="1"/>
                    </pic:cNvPicPr>
                  </pic:nvPicPr>
                  <pic:blipFill>
                    <a:blip r:embed="rId3607">
                      <a:extLst>
                        <a:ext uri="{28A0092B-C50C-407E-A947-70E740481C1C}"/>
                      </a:extLst>
                    </a:blip>
                    <a:srcRect/>
                    <a:stretch>
                      <a:fillRect/>
                    </a:stretch>
                  </pic:blipFill>
                  <pic:spPr bwMode="auto">
                    <a:xfrm>
                      <a:off x="0" y="0"/>
                      <a:ext cx="59321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-916305</wp:posOffset>
            </wp:positionV>
            <wp:extent cx="7132320" cy="8255"/>
            <wp:wrapNone/>
            <wp:docPr id="3601" name="Picture 3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1"/>
                    <pic:cNvPicPr>
                      <a:picLocks noChangeAspect="1" noChangeArrowheads="1"/>
                    </pic:cNvPicPr>
                  </pic:nvPicPr>
                  <pic:blipFill>
                    <a:blip r:embed="rId36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-1045210</wp:posOffset>
            </wp:positionV>
            <wp:extent cx="5932170" cy="8255"/>
            <wp:wrapNone/>
            <wp:docPr id="3602" name="Picture 3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2"/>
                    <pic:cNvPicPr>
                      <a:picLocks noChangeAspect="1" noChangeArrowheads="1"/>
                    </pic:cNvPicPr>
                  </pic:nvPicPr>
                  <pic:blipFill>
                    <a:blip r:embed="rId3609">
                      <a:extLst>
                        <a:ext uri="{28A0092B-C50C-407E-A947-70E740481C1C}"/>
                      </a:extLst>
                    </a:blip>
                    <a:srcRect/>
                    <a:stretch>
                      <a:fillRect/>
                    </a:stretch>
                  </pic:blipFill>
                  <pic:spPr bwMode="auto">
                    <a:xfrm>
                      <a:off x="0" y="0"/>
                      <a:ext cx="593217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-1173480</wp:posOffset>
            </wp:positionV>
            <wp:extent cx="5932170" cy="8255"/>
            <wp:wrapNone/>
            <wp:docPr id="3603" name="Picture 3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3"/>
                    <pic:cNvPicPr>
                      <a:picLocks noChangeAspect="1" noChangeArrowheads="1"/>
                    </pic:cNvPicPr>
                  </pic:nvPicPr>
                  <pic:blipFill>
                    <a:blip r:embed="rId3610">
                      <a:extLst>
                        <a:ext uri="{28A0092B-C50C-407E-A947-70E740481C1C}"/>
                      </a:extLst>
                    </a:blip>
                    <a:srcRect/>
                    <a:stretch>
                      <a:fillRect/>
                    </a:stretch>
                  </pic:blipFill>
                  <pic:spPr bwMode="auto">
                    <a:xfrm>
                      <a:off x="0" y="0"/>
                      <a:ext cx="59321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-1302385</wp:posOffset>
            </wp:positionV>
            <wp:extent cx="7132320" cy="8255"/>
            <wp:wrapNone/>
            <wp:docPr id="3604" name="Picture 3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4"/>
                    <pic:cNvPicPr>
                      <a:picLocks noChangeAspect="1" noChangeArrowheads="1"/>
                    </pic:cNvPicPr>
                  </pic:nvPicPr>
                  <pic:blipFill>
                    <a:blip r:embed="rId36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-1430655</wp:posOffset>
            </wp:positionV>
            <wp:extent cx="5932170" cy="8255"/>
            <wp:wrapNone/>
            <wp:docPr id="3605" name="Picture 3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5"/>
                    <pic:cNvPicPr>
                      <a:picLocks noChangeAspect="1" noChangeArrowheads="1"/>
                    </pic:cNvPicPr>
                  </pic:nvPicPr>
                  <pic:blipFill>
                    <a:blip r:embed="rId3612">
                      <a:extLst>
                        <a:ext uri="{28A0092B-C50C-407E-A947-70E740481C1C}"/>
                      </a:extLst>
                    </a:blip>
                    <a:srcRect/>
                    <a:stretch>
                      <a:fillRect/>
                    </a:stretch>
                  </pic:blipFill>
                  <pic:spPr bwMode="auto">
                    <a:xfrm>
                      <a:off x="0" y="0"/>
                      <a:ext cx="593217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-1559560</wp:posOffset>
            </wp:positionV>
            <wp:extent cx="5932170" cy="8255"/>
            <wp:wrapNone/>
            <wp:docPr id="3606" name="Picture 3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6"/>
                    <pic:cNvPicPr>
                      <a:picLocks noChangeAspect="1" noChangeArrowheads="1"/>
                    </pic:cNvPicPr>
                  </pic:nvPicPr>
                  <pic:blipFill>
                    <a:blip r:embed="rId3613">
                      <a:extLst>
                        <a:ext uri="{28A0092B-C50C-407E-A947-70E740481C1C}"/>
                      </a:extLst>
                    </a:blip>
                    <a:srcRect/>
                    <a:stretch>
                      <a:fillRect/>
                    </a:stretch>
                  </pic:blipFill>
                  <pic:spPr bwMode="auto">
                    <a:xfrm>
                      <a:off x="0" y="0"/>
                      <a:ext cx="59321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-1687830</wp:posOffset>
            </wp:positionV>
            <wp:extent cx="7132320" cy="8255"/>
            <wp:wrapNone/>
            <wp:docPr id="3607" name="Picture 3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7"/>
                    <pic:cNvPicPr>
                      <a:picLocks noChangeAspect="1" noChangeArrowheads="1"/>
                    </pic:cNvPicPr>
                  </pic:nvPicPr>
                  <pic:blipFill>
                    <a:blip r:embed="rId36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-1816735</wp:posOffset>
            </wp:positionV>
            <wp:extent cx="5932170" cy="8255"/>
            <wp:wrapNone/>
            <wp:docPr id="3608" name="Picture 3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8"/>
                    <pic:cNvPicPr>
                      <a:picLocks noChangeAspect="1" noChangeArrowheads="1"/>
                    </pic:cNvPicPr>
                  </pic:nvPicPr>
                  <pic:blipFill>
                    <a:blip r:embed="rId3615">
                      <a:extLst>
                        <a:ext uri="{28A0092B-C50C-407E-A947-70E740481C1C}"/>
                      </a:extLst>
                    </a:blip>
                    <a:srcRect/>
                    <a:stretch>
                      <a:fillRect/>
                    </a:stretch>
                  </pic:blipFill>
                  <pic:spPr bwMode="auto">
                    <a:xfrm>
                      <a:off x="0" y="0"/>
                      <a:ext cx="593217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-1945005</wp:posOffset>
            </wp:positionV>
            <wp:extent cx="5932170" cy="8255"/>
            <wp:wrapNone/>
            <wp:docPr id="3609" name="Picture 3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9"/>
                    <pic:cNvPicPr>
                      <a:picLocks noChangeAspect="1" noChangeArrowheads="1"/>
                    </pic:cNvPicPr>
                  </pic:nvPicPr>
                  <pic:blipFill>
                    <a:blip r:embed="rId3616">
                      <a:extLst>
                        <a:ext uri="{28A0092B-C50C-407E-A947-70E740481C1C}"/>
                      </a:extLst>
                    </a:blip>
                    <a:srcRect/>
                    <a:stretch>
                      <a:fillRect/>
                    </a:stretch>
                  </pic:blipFill>
                  <pic:spPr bwMode="auto">
                    <a:xfrm>
                      <a:off x="0" y="0"/>
                      <a:ext cx="5932170" cy="8255"/>
                    </a:xfrm>
                    <a:prstGeom prst="rect">
                      <a:avLst/>
                    </a:prstGeom>
                    <a:noFill/>
                  </pic:spPr>
                </pic:pic>
              </a:graphicData>
            </a:graphic>
          </wp:anchor>
        </w:drawing>
      </w:r>
    </w:p>
    <w:p>
      <w:pPr>
        <w:spacing w:after="0" w:line="38" w:lineRule="exact"/>
        <w:rPr>
          <w:sz w:val="20"/>
          <w:szCs w:val="20"/>
          <w:color w:val="auto"/>
        </w:rPr>
      </w:pPr>
    </w:p>
    <w:p>
      <w:pPr>
        <w:ind w:left="380" w:hanging="318"/>
        <w:spacing w:after="0"/>
        <w:tabs>
          <w:tab w:leader="none" w:pos="3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an NEO’s elective contributions to the Restoration Savings Plan of a portion of base salary and non-equity incentive plan compensation.</w:t>
      </w:r>
    </w:p>
    <w:p>
      <w:pPr>
        <w:spacing w:after="0" w:line="55" w:lineRule="exact"/>
        <w:rPr>
          <w:rFonts w:ascii="Arial" w:cs="Arial" w:eastAsia="Arial" w:hAnsi="Arial"/>
          <w:sz w:val="14"/>
          <w:szCs w:val="14"/>
          <w:color w:val="auto"/>
        </w:rPr>
      </w:pPr>
    </w:p>
    <w:p>
      <w:pPr>
        <w:ind w:left="380" w:right="380" w:hanging="318"/>
        <w:spacing w:after="0" w:line="281" w:lineRule="auto"/>
        <w:tabs>
          <w:tab w:leader="none" w:pos="3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SLB’s contributions to each NEO’s SL Supplementary Plan, International Staff Profit Sharing Plan and Restoration Savings Plan accounts, as applicable, which amounts are also reported as 2022 “All Other Compensation” in the Summary Compensation Table.</w:t>
      </w:r>
    </w:p>
    <w:p>
      <w:pPr>
        <w:spacing w:after="0" w:line="1" w:lineRule="exact"/>
        <w:rPr>
          <w:rFonts w:ascii="Arial" w:cs="Arial" w:eastAsia="Arial" w:hAnsi="Arial"/>
          <w:sz w:val="14"/>
          <w:szCs w:val="14"/>
          <w:color w:val="auto"/>
        </w:rPr>
      </w:pPr>
    </w:p>
    <w:p>
      <w:pPr>
        <w:ind w:left="380" w:hanging="318"/>
        <w:spacing w:after="0"/>
        <w:tabs>
          <w:tab w:leader="none" w:pos="3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each NEO’s account balances for the Restoration Savings Plan, the SL Supplementary Plan and the International Staff Profit Sharing Plan, as applicable.</w:t>
      </w:r>
    </w:p>
    <w:p>
      <w:pPr>
        <w:spacing w:after="0" w:line="298" w:lineRule="exact"/>
        <w:rPr>
          <w:sz w:val="20"/>
          <w:szCs w:val="20"/>
          <w:color w:val="auto"/>
        </w:rPr>
      </w:pPr>
    </w:p>
    <w:p>
      <w:pPr>
        <w:spacing w:after="0"/>
        <w:rPr>
          <w:sz w:val="20"/>
          <w:szCs w:val="20"/>
          <w:color w:val="auto"/>
        </w:rPr>
      </w:pPr>
      <w:r>
        <w:rPr>
          <w:rFonts w:ascii="Arial" w:cs="Arial" w:eastAsia="Arial" w:hAnsi="Arial"/>
          <w:sz w:val="25"/>
          <w:szCs w:val="25"/>
          <w:color w:val="0233A1"/>
        </w:rPr>
        <w:t>Supplementary Benefit Plans—Nonqualified Profit Sharing</w:t>
      </w:r>
    </w:p>
    <w:p>
      <w:pPr>
        <w:spacing w:after="0" w:line="20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SL Supplementary Plan provides eligible employees, including our NEOs, with certain non-tax-qualified defined contribution benefits, including discretionary Company profit sharing contributions that are not permissible under a tax-qualified plan due to Internal Revenue Code limits on (1) annual compensation that can be taken into account under the qualified plan and (2) annual benefits that can be provided under the qualified plan. These nonqualified plan benefits are credited with earnings and losses based on employee investment elections. An employee forfeits rights under the nonqualified plans if the employee terminates employment before completing four years of service, engages in certain dishonest acts or has violated a confidentiality arrangement with us. These nonqualified plan benefits are paid in a lump-sum payment following the end of the year in which the employee terminates active service, or the employee can elect to receive payment in installments of five or ten years following the termination of service.</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color w:val="0233A1"/>
        </w:rPr>
        <w:t>International Staff Profit Sharing Plan</w:t>
      </w:r>
    </w:p>
    <w:p>
      <w:pPr>
        <w:spacing w:after="0" w:line="2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SLB maintains the International Staff Profit Sharing Plan, which provides for an annual employer contribution based on admissible compensation (base salary, geographical or rotational coefficient, as applicable, and cash incentive). Amounts allocated to the participants’ accounts share in investment gains and/or losses of the trust fund and are generally distributed in a lump sum upon the satisfaction of certain conditions on termination of employment or, upon the employee’s election, may be converted to additional pension rights under the International Staff Pension Plan. Benefits earned under the International Staff Profit Sharing Plan will be forfeited upon a determination by the International Staff Profit Sharing Plan’s administrator that the employee’s separation from service was due to circumstances of fraud or misconduct detrimental to us or any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471170" cy="282575"/>
            <wp:wrapNone/>
            <wp:docPr id="3610" name="Picture 3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0"/>
                    <pic:cNvPicPr>
                      <a:picLocks noChangeAspect="1" noChangeArrowheads="1"/>
                    </pic:cNvPicPr>
                  </pic:nvPicPr>
                  <pic:blipFill>
                    <a:blip r:embed="rId3617">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43"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56</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-46990</wp:posOffset>
            </wp:positionV>
            <wp:extent cx="5417820" cy="17145"/>
            <wp:wrapNone/>
            <wp:docPr id="3611" name="Picture 3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1"/>
                    <pic:cNvPicPr>
                      <a:picLocks noChangeAspect="1" noChangeArrowheads="1"/>
                    </pic:cNvPicPr>
                  </pic:nvPicPr>
                  <pic:blipFill>
                    <a:blip r:embed="rId3618">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3612" name="Picture 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2"/>
                    <pic:cNvPicPr>
                      <a:picLocks noChangeAspect="1" noChangeArrowheads="1"/>
                    </pic:cNvPicPr>
                  </pic:nvPicPr>
                  <pic:blipFill>
                    <a:blip r:embed="rId36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0233A1"/>
        </w:rPr>
        <w:t>Restoration Savings Plan</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Restoration Savings Plan, a nonqualified deferred compensation plan, provides certain defined contribution benefits for our NEOs and other eligible employees. The Restoration Savings Plan allows an eligible employee to defer compensation (and receive an associated employer match) that the employee cannot otherwise defer under a tax-qualified plan because of Internal Revenue Code limits on the amount of compensation that can be taken into account. STC maintains the STC Restoration Savings Plan with substantially identical terms.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An eligible employee may elect in advance to defer a percentage (from 1% to 50%) of admissible compensation (generally base salary and cash incentive) over the Internal Revenue Code annual compensation limits. We make matching contributions with respect to each employee’s deferrals. For employees who participate in any SLB tax-qualified pension plan, the amount of the matching contribution equals 50% of the first 6% deferred by the employee. For employees who do not participate in any SLB tax-qualified pension plan, the matching contribution is 100% of the first 6% deferred by the employee. The match is made each payroll period and is not contingent on SLB’s profitability. Employees’ accounts are credited with earnings based on their investment elections. All NEOs are 100% vested in their Restoration Savings Plan matching contributions and related earnings.</w:t>
      </w:r>
    </w:p>
    <w:p>
      <w:pPr>
        <w:spacing w:after="0" w:line="15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An employee’s vested account balance is paid in a single lump sum (subject to tax withholding) following the participant’s death, qualifying disability, retirement or other qualifying termination of employment or, subject to certain limitations, the employee can elect to receive payment in installments of five or ten years following the termination of employment. However, employees forfeit all benefits under the plan if a determination is made that they have engaged in certain dishonest acts or violated a confidentiality arrangement with us. Payment to key employees is delayed six months following separation from service.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9"/>
          <w:szCs w:val="29"/>
          <w:color w:val="16458B"/>
        </w:rPr>
        <w:t>Potential Payments Upon Termination or Change in Control</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Our NEOs generally receive the same benefits as our other employees. As is the case with our other compensation arrangements, any differences are generally due to local (country-specific) requirements. In line with this practice, our NEOs do not have employment or severance agreements during their service with us as executive officers. Nor do our NEOs have change in control agreements or “golden parachutes”. Our NEOs serve at the will of the Board, which enables SLB to terminate their employment using judgment as to the necessity or terms of any severance arrangement and based on specific circumstances at the time they cease being executive officers. For details regarding our agreement with Mr. Belani, see “Compensation Discussion and Analysis—Elements of 2022 Total Direct Compensation—Other Benefits—Agreement with Senior Strategic Advisor” on page 44.</w:t>
      </w:r>
    </w:p>
    <w:p>
      <w:pPr>
        <w:spacing w:after="0" w:line="15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All employees who receive equity awards, including our NEOs, are subject to the same terms and conditions in the event of a termination or change in control, except for certain stock options that were assumed in connection with our acquisition of Cameron International Corporation (</w:t>
      </w:r>
      <w:r>
        <w:rPr>
          <w:rFonts w:ascii="Arial" w:cs="Arial" w:eastAsia="Arial" w:hAnsi="Arial"/>
          <w:sz w:val="16"/>
          <w:szCs w:val="16"/>
          <w:b w:val="1"/>
          <w:bCs w:val="1"/>
          <w:color w:val="auto"/>
        </w:rPr>
        <w:t>Cameron</w:t>
      </w:r>
      <w:r>
        <w:rPr>
          <w:rFonts w:ascii="Arial" w:cs="Arial" w:eastAsia="Arial" w:hAnsi="Arial"/>
          <w:sz w:val="16"/>
          <w:szCs w:val="16"/>
          <w:color w:val="auto"/>
        </w:rPr>
        <w:t>), none of which are held by our NEOs.</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color w:val="0233A1"/>
        </w:rPr>
        <w:t>Termination of Employment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PSUs and RSUs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a PSU or RSU holder’s employment with SLB terminates prior to an applicable vesting date, that holder’s PSUs and RSUs will be treated as follows:</w:t>
      </w:r>
    </w:p>
    <w:p>
      <w:pPr>
        <w:spacing w:after="0" w:line="194" w:lineRule="exact"/>
        <w:rPr>
          <w:sz w:val="20"/>
          <w:szCs w:val="20"/>
          <w:color w:val="auto"/>
        </w:rPr>
      </w:pPr>
    </w:p>
    <w:p>
      <w:pPr>
        <w:ind w:left="500" w:hanging="168"/>
        <w:spacing w:after="0" w:line="286" w:lineRule="auto"/>
        <w:tabs>
          <w:tab w:leader="none" w:pos="500" w:val="left"/>
        </w:tabs>
        <w:numPr>
          <w:ilvl w:val="0"/>
          <w:numId w:val="60"/>
        </w:numPr>
        <w:rPr>
          <w:rFonts w:ascii="Arial" w:cs="Arial" w:eastAsia="Arial" w:hAnsi="Arial"/>
          <w:sz w:val="16"/>
          <w:szCs w:val="16"/>
          <w:b w:val="1"/>
          <w:bCs w:val="1"/>
          <w:color w:val="0233A1"/>
        </w:rPr>
      </w:pPr>
      <w:r>
        <w:rPr>
          <w:rFonts w:ascii="Arial" w:cs="Arial" w:eastAsia="Arial" w:hAnsi="Arial"/>
          <w:sz w:val="16"/>
          <w:szCs w:val="16"/>
          <w:color w:val="auto"/>
        </w:rPr>
        <w:t>If the holder’s employment terminates due to death or disability, the target number of PSUs will immediately vest, and all unvested RSUs will immediately vest in full.</w:t>
      </w:r>
    </w:p>
    <w:p>
      <w:pPr>
        <w:spacing w:after="0" w:line="20" w:lineRule="exact"/>
        <w:rPr>
          <w:rFonts w:ascii="Arial" w:cs="Arial" w:eastAsia="Arial" w:hAnsi="Arial"/>
          <w:sz w:val="16"/>
          <w:szCs w:val="16"/>
          <w:b w:val="1"/>
          <w:bCs w:val="1"/>
          <w:color w:val="0233A1"/>
        </w:rPr>
      </w:pPr>
    </w:p>
    <w:p>
      <w:pPr>
        <w:jc w:val="both"/>
        <w:ind w:left="500" w:hanging="168"/>
        <w:spacing w:after="0" w:line="266" w:lineRule="auto"/>
        <w:tabs>
          <w:tab w:leader="none" w:pos="500" w:val="left"/>
        </w:tabs>
        <w:numPr>
          <w:ilvl w:val="0"/>
          <w:numId w:val="60"/>
        </w:numPr>
        <w:rPr>
          <w:rFonts w:ascii="Arial" w:cs="Arial" w:eastAsia="Arial" w:hAnsi="Arial"/>
          <w:sz w:val="16"/>
          <w:szCs w:val="16"/>
          <w:b w:val="1"/>
          <w:bCs w:val="1"/>
          <w:color w:val="0233A1"/>
        </w:rPr>
      </w:pPr>
      <w:r>
        <w:rPr>
          <w:rFonts w:ascii="Arial" w:cs="Arial" w:eastAsia="Arial" w:hAnsi="Arial"/>
          <w:sz w:val="16"/>
          <w:szCs w:val="16"/>
          <w:color w:val="auto"/>
        </w:rPr>
        <w:t>If the holder’s employment terminates due to retirement or, with Compensation Committee approval, early retirement or special retirement, the holder will vest in PSUs on the regularly scheduled vesting dates, with the number of PSUs determined as if the holder’s employment had not been terminated.</w:t>
      </w:r>
    </w:p>
    <w:p>
      <w:pPr>
        <w:spacing w:after="0" w:line="36" w:lineRule="exact"/>
        <w:rPr>
          <w:rFonts w:ascii="Arial" w:cs="Arial" w:eastAsia="Arial" w:hAnsi="Arial"/>
          <w:sz w:val="16"/>
          <w:szCs w:val="16"/>
          <w:b w:val="1"/>
          <w:bCs w:val="1"/>
          <w:color w:val="0233A1"/>
        </w:rPr>
      </w:pPr>
    </w:p>
    <w:p>
      <w:pPr>
        <w:ind w:left="500" w:hanging="168"/>
        <w:spacing w:after="0" w:line="286" w:lineRule="auto"/>
        <w:tabs>
          <w:tab w:leader="none" w:pos="500" w:val="left"/>
        </w:tabs>
        <w:numPr>
          <w:ilvl w:val="0"/>
          <w:numId w:val="60"/>
        </w:numPr>
        <w:rPr>
          <w:rFonts w:ascii="Arial" w:cs="Arial" w:eastAsia="Arial" w:hAnsi="Arial"/>
          <w:sz w:val="16"/>
          <w:szCs w:val="16"/>
          <w:b w:val="1"/>
          <w:bCs w:val="1"/>
          <w:color w:val="0233A1"/>
        </w:rPr>
      </w:pPr>
      <w:r>
        <w:rPr>
          <w:rFonts w:ascii="Arial" w:cs="Arial" w:eastAsia="Arial" w:hAnsi="Arial"/>
          <w:sz w:val="16"/>
          <w:szCs w:val="16"/>
          <w:color w:val="auto"/>
        </w:rPr>
        <w:t>If the holder’s employment terminates due to retirement or, with Compensation Committee approval, early retirement, the holder will vest in RSUs on the regularly scheduled vesting dates.</w:t>
      </w:r>
    </w:p>
    <w:p>
      <w:pPr>
        <w:spacing w:after="0" w:line="20" w:lineRule="exact"/>
        <w:rPr>
          <w:rFonts w:ascii="Arial" w:cs="Arial" w:eastAsia="Arial" w:hAnsi="Arial"/>
          <w:sz w:val="16"/>
          <w:szCs w:val="16"/>
          <w:b w:val="1"/>
          <w:bCs w:val="1"/>
          <w:color w:val="0233A1"/>
        </w:rPr>
      </w:pPr>
    </w:p>
    <w:p>
      <w:pPr>
        <w:ind w:left="500" w:hanging="168"/>
        <w:spacing w:after="0" w:line="286" w:lineRule="auto"/>
        <w:tabs>
          <w:tab w:leader="none" w:pos="500" w:val="left"/>
        </w:tabs>
        <w:numPr>
          <w:ilvl w:val="0"/>
          <w:numId w:val="60"/>
        </w:numPr>
        <w:rPr>
          <w:rFonts w:ascii="Arial" w:cs="Arial" w:eastAsia="Arial" w:hAnsi="Arial"/>
          <w:sz w:val="16"/>
          <w:szCs w:val="16"/>
          <w:b w:val="1"/>
          <w:bCs w:val="1"/>
          <w:color w:val="0233A1"/>
        </w:rPr>
      </w:pPr>
      <w:r>
        <w:rPr>
          <w:rFonts w:ascii="Arial" w:cs="Arial" w:eastAsia="Arial" w:hAnsi="Arial"/>
          <w:sz w:val="16"/>
          <w:szCs w:val="16"/>
          <w:color w:val="auto"/>
        </w:rPr>
        <w:t>If an individual terminates employment for another reason, no additional vesting is provided and the individual will automatically forfeit all outstanding PSUs and RSUs without any additional consideration by SLB.</w:t>
      </w:r>
    </w:p>
    <w:p>
      <w:pPr>
        <w:spacing w:after="0" w:line="2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For these purposes, “retirement,” “early retirement,” “special retirement” and “disability” have the meanings assigned to those terms in the applicable PSU and RSU award agreements. The applicable date of “retirement,” “early retirement” or “special retirement” takes into consideration the completion of any active employment period, including employment pursuant to our officer departure guidelines described on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143510</wp:posOffset>
            </wp:positionV>
            <wp:extent cx="471805" cy="282575"/>
            <wp:wrapNone/>
            <wp:docPr id="3613" name="Picture 3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3"/>
                    <pic:cNvPicPr>
                      <a:picLocks noChangeAspect="1" noChangeArrowheads="1"/>
                    </pic:cNvPicPr>
                  </pic:nvPicPr>
                  <pic:blipFill>
                    <a:blip r:embed="rId3620">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Pr>
          <w:p>
            <w:pPr>
              <w:spacing w:after="0"/>
              <w:rPr>
                <w:sz w:val="9"/>
                <w:szCs w:val="9"/>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57</w:t>
            </w:r>
          </w:p>
        </w:tc>
        <w:tc>
          <w:tcPr>
            <w:tcW w:w="44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233A1"/>
        </w:rPr>
        <w:t>Stock Options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a stock option holder’s employment with SLB terminates, that holder’s outstanding options will be treated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2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Reason for Termination of Employment</w:t>
            </w:r>
          </w:p>
        </w:tc>
        <w:tc>
          <w:tcPr>
            <w:tcW w:w="2660" w:type="dxa"/>
            <w:vAlign w:val="bottom"/>
            <w:tcBorders>
              <w:bottom w:val="single" w:sz="8" w:color="0233A1"/>
            </w:tcBorders>
          </w:tcPr>
          <w:p>
            <w:pPr>
              <w:ind w:left="300"/>
              <w:spacing w:after="0"/>
              <w:rPr>
                <w:sz w:val="20"/>
                <w:szCs w:val="20"/>
                <w:color w:val="auto"/>
              </w:rPr>
            </w:pPr>
            <w:r>
              <w:rPr>
                <w:rFonts w:ascii="Arial" w:cs="Arial" w:eastAsia="Arial" w:hAnsi="Arial"/>
                <w:sz w:val="16"/>
                <w:szCs w:val="16"/>
                <w:b w:val="1"/>
                <w:bCs w:val="1"/>
                <w:color w:val="0233A1"/>
              </w:rPr>
              <w:t>Vesting</w:t>
            </w:r>
          </w:p>
        </w:tc>
        <w:tc>
          <w:tcPr>
            <w:tcW w:w="4360" w:type="dxa"/>
            <w:vAlign w:val="bottom"/>
            <w:tcBorders>
              <w:bottom w:val="single" w:sz="8" w:color="0233A1"/>
            </w:tcBorders>
          </w:tcPr>
          <w:p>
            <w:pPr>
              <w:ind w:left="440"/>
              <w:spacing w:after="0"/>
              <w:rPr>
                <w:sz w:val="20"/>
                <w:szCs w:val="20"/>
                <w:color w:val="auto"/>
              </w:rPr>
            </w:pPr>
            <w:r>
              <w:rPr>
                <w:rFonts w:ascii="Arial" w:cs="Arial" w:eastAsia="Arial" w:hAnsi="Arial"/>
                <w:sz w:val="16"/>
                <w:szCs w:val="16"/>
                <w:b w:val="1"/>
                <w:bCs w:val="1"/>
                <w:color w:val="0233A1"/>
              </w:rPr>
              <w:t>Post-Employment Exercise Period</w:t>
            </w:r>
          </w:p>
        </w:tc>
      </w:tr>
      <w:tr>
        <w:trPr>
          <w:trHeight w:val="249"/>
        </w:trPr>
        <w:tc>
          <w:tcPr>
            <w:tcW w:w="4220" w:type="dxa"/>
            <w:vAlign w:val="bottom"/>
          </w:tcPr>
          <w:p>
            <w:pPr>
              <w:ind w:left="60"/>
              <w:spacing w:after="0"/>
              <w:rPr>
                <w:sz w:val="20"/>
                <w:szCs w:val="20"/>
                <w:color w:val="auto"/>
              </w:rPr>
            </w:pPr>
            <w:r>
              <w:rPr>
                <w:rFonts w:ascii="Arial" w:cs="Arial" w:eastAsia="Arial" w:hAnsi="Arial"/>
                <w:sz w:val="16"/>
                <w:szCs w:val="16"/>
                <w:color w:val="auto"/>
              </w:rPr>
              <w:t>Voluntary termination with SLB consent or termination</w:t>
            </w:r>
          </w:p>
        </w:tc>
        <w:tc>
          <w:tcPr>
            <w:tcW w:w="2660" w:type="dxa"/>
            <w:vAlign w:val="bottom"/>
          </w:tcPr>
          <w:p>
            <w:pPr>
              <w:ind w:left="300"/>
              <w:spacing w:after="0"/>
              <w:rPr>
                <w:sz w:val="20"/>
                <w:szCs w:val="20"/>
                <w:color w:val="auto"/>
              </w:rPr>
            </w:pPr>
            <w:r>
              <w:rPr>
                <w:rFonts w:ascii="Arial" w:cs="Arial" w:eastAsia="Arial" w:hAnsi="Arial"/>
                <w:sz w:val="16"/>
                <w:szCs w:val="16"/>
                <w:color w:val="auto"/>
              </w:rPr>
              <w:t>No additional vesting</w:t>
            </w:r>
          </w:p>
        </w:tc>
        <w:tc>
          <w:tcPr>
            <w:tcW w:w="4360" w:type="dxa"/>
            <w:vAlign w:val="bottom"/>
          </w:tcPr>
          <w:p>
            <w:pPr>
              <w:ind w:left="440"/>
              <w:spacing w:after="0"/>
              <w:rPr>
                <w:sz w:val="20"/>
                <w:szCs w:val="20"/>
                <w:color w:val="auto"/>
              </w:rPr>
            </w:pPr>
            <w:r>
              <w:rPr>
                <w:rFonts w:ascii="Arial" w:cs="Arial" w:eastAsia="Arial" w:hAnsi="Arial"/>
                <w:sz w:val="16"/>
                <w:szCs w:val="16"/>
                <w:color w:val="auto"/>
              </w:rPr>
              <w:t>Exercisable (to the extent exercisable at termination)</w:t>
            </w:r>
          </w:p>
        </w:tc>
      </w:tr>
      <w:tr>
        <w:trPr>
          <w:trHeight w:val="215"/>
        </w:trPr>
        <w:tc>
          <w:tcPr>
            <w:tcW w:w="4220" w:type="dxa"/>
            <w:vAlign w:val="bottom"/>
          </w:tcPr>
          <w:p>
            <w:pPr>
              <w:ind w:left="60"/>
              <w:spacing w:after="0"/>
              <w:rPr>
                <w:sz w:val="20"/>
                <w:szCs w:val="20"/>
                <w:color w:val="auto"/>
              </w:rPr>
            </w:pPr>
            <w:r>
              <w:rPr>
                <w:rFonts w:ascii="Arial" w:cs="Arial" w:eastAsia="Arial" w:hAnsi="Arial"/>
                <w:sz w:val="16"/>
                <w:szCs w:val="16"/>
                <w:color w:val="auto"/>
              </w:rPr>
              <w:t>by SLB other than for cause</w:t>
            </w:r>
          </w:p>
        </w:tc>
        <w:tc>
          <w:tcPr>
            <w:tcW w:w="2660" w:type="dxa"/>
            <w:vAlign w:val="bottom"/>
          </w:tcPr>
          <w:p>
            <w:pPr>
              <w:spacing w:after="0"/>
              <w:rPr>
                <w:sz w:val="18"/>
                <w:szCs w:val="18"/>
                <w:color w:val="auto"/>
              </w:rPr>
            </w:pPr>
          </w:p>
        </w:tc>
        <w:tc>
          <w:tcPr>
            <w:tcW w:w="4360" w:type="dxa"/>
            <w:vAlign w:val="bottom"/>
          </w:tcPr>
          <w:p>
            <w:pPr>
              <w:ind w:left="440"/>
              <w:spacing w:after="0"/>
              <w:rPr>
                <w:sz w:val="20"/>
                <w:szCs w:val="20"/>
                <w:color w:val="auto"/>
              </w:rPr>
            </w:pPr>
            <w:r>
              <w:rPr>
                <w:rFonts w:ascii="Arial" w:cs="Arial" w:eastAsia="Arial" w:hAnsi="Arial"/>
                <w:sz w:val="16"/>
                <w:szCs w:val="16"/>
                <w:color w:val="auto"/>
              </w:rPr>
              <w:t>at any time within three months after termination.</w:t>
            </w:r>
          </w:p>
        </w:tc>
      </w:tr>
      <w:tr>
        <w:trPr>
          <w:trHeight w:val="283"/>
        </w:trPr>
        <w:tc>
          <w:tcPr>
            <w:tcW w:w="4220" w:type="dxa"/>
            <w:vAlign w:val="bottom"/>
          </w:tcPr>
          <w:p>
            <w:pPr>
              <w:ind w:left="60"/>
              <w:spacing w:after="0"/>
              <w:rPr>
                <w:sz w:val="20"/>
                <w:szCs w:val="20"/>
                <w:color w:val="auto"/>
              </w:rPr>
            </w:pPr>
            <w:r>
              <w:rPr>
                <w:rFonts w:ascii="Arial" w:cs="Arial" w:eastAsia="Arial" w:hAnsi="Arial"/>
                <w:sz w:val="16"/>
                <w:szCs w:val="16"/>
                <w:color w:val="auto"/>
              </w:rPr>
              <w:t>Termination by SLB for cause</w:t>
            </w:r>
          </w:p>
        </w:tc>
        <w:tc>
          <w:tcPr>
            <w:tcW w:w="2660" w:type="dxa"/>
            <w:vAlign w:val="bottom"/>
          </w:tcPr>
          <w:p>
            <w:pPr>
              <w:ind w:left="300"/>
              <w:spacing w:after="0"/>
              <w:rPr>
                <w:sz w:val="20"/>
                <w:szCs w:val="20"/>
                <w:color w:val="auto"/>
              </w:rPr>
            </w:pPr>
            <w:r>
              <w:rPr>
                <w:rFonts w:ascii="Arial" w:cs="Arial" w:eastAsia="Arial" w:hAnsi="Arial"/>
                <w:sz w:val="16"/>
                <w:szCs w:val="16"/>
                <w:color w:val="auto"/>
              </w:rPr>
              <w:t>None</w:t>
            </w:r>
          </w:p>
        </w:tc>
        <w:tc>
          <w:tcPr>
            <w:tcW w:w="4360" w:type="dxa"/>
            <w:vAlign w:val="bottom"/>
          </w:tcPr>
          <w:p>
            <w:pPr>
              <w:ind w:left="440"/>
              <w:spacing w:after="0"/>
              <w:rPr>
                <w:sz w:val="20"/>
                <w:szCs w:val="20"/>
                <w:color w:val="auto"/>
              </w:rPr>
            </w:pPr>
            <w:r>
              <w:rPr>
                <w:rFonts w:ascii="Arial" w:cs="Arial" w:eastAsia="Arial" w:hAnsi="Arial"/>
                <w:sz w:val="16"/>
                <w:szCs w:val="16"/>
                <w:color w:val="auto"/>
              </w:rPr>
              <w:t>Vested and unvested options forfeited immediately.</w:t>
            </w:r>
          </w:p>
        </w:tc>
      </w:tr>
      <w:tr>
        <w:trPr>
          <w:trHeight w:val="271"/>
        </w:trPr>
        <w:tc>
          <w:tcPr>
            <w:tcW w:w="4220" w:type="dxa"/>
            <w:vAlign w:val="bottom"/>
          </w:tcPr>
          <w:p>
            <w:pPr>
              <w:ind w:left="60"/>
              <w:spacing w:after="0"/>
              <w:rPr>
                <w:sz w:val="20"/>
                <w:szCs w:val="20"/>
                <w:color w:val="auto"/>
              </w:rPr>
            </w:pPr>
            <w:r>
              <w:rPr>
                <w:rFonts w:ascii="Arial" w:cs="Arial" w:eastAsia="Arial" w:hAnsi="Arial"/>
                <w:sz w:val="16"/>
                <w:szCs w:val="16"/>
                <w:color w:val="auto"/>
              </w:rPr>
              <w:t>Retirement</w:t>
            </w:r>
          </w:p>
        </w:tc>
        <w:tc>
          <w:tcPr>
            <w:tcW w:w="2660" w:type="dxa"/>
            <w:vAlign w:val="bottom"/>
          </w:tcPr>
          <w:p>
            <w:pPr>
              <w:ind w:left="300"/>
              <w:spacing w:after="0"/>
              <w:rPr>
                <w:sz w:val="20"/>
                <w:szCs w:val="20"/>
                <w:color w:val="auto"/>
              </w:rPr>
            </w:pPr>
            <w:r>
              <w:rPr>
                <w:rFonts w:ascii="Arial" w:cs="Arial" w:eastAsia="Arial" w:hAnsi="Arial"/>
                <w:sz w:val="16"/>
                <w:szCs w:val="16"/>
                <w:color w:val="auto"/>
              </w:rPr>
              <w:t>Continued vesting as if still</w:t>
            </w:r>
          </w:p>
        </w:tc>
        <w:tc>
          <w:tcPr>
            <w:tcW w:w="4360" w:type="dxa"/>
            <w:vAlign w:val="bottom"/>
          </w:tcPr>
          <w:p>
            <w:pPr>
              <w:ind w:left="440"/>
              <w:spacing w:after="0"/>
              <w:rPr>
                <w:sz w:val="20"/>
                <w:szCs w:val="20"/>
                <w:color w:val="auto"/>
              </w:rPr>
            </w:pPr>
            <w:r>
              <w:rPr>
                <w:rFonts w:ascii="Arial" w:cs="Arial" w:eastAsia="Arial" w:hAnsi="Arial"/>
                <w:sz w:val="16"/>
                <w:szCs w:val="16"/>
                <w:color w:val="auto"/>
              </w:rPr>
              <w:t>Exercisable for 10 years from original grant date.</w:t>
            </w:r>
          </w:p>
        </w:tc>
      </w:tr>
      <w:tr>
        <w:trPr>
          <w:trHeight w:val="215"/>
        </w:trPr>
        <w:tc>
          <w:tcPr>
            <w:tcW w:w="4220" w:type="dxa"/>
            <w:vAlign w:val="bottom"/>
          </w:tcPr>
          <w:p>
            <w:pPr>
              <w:spacing w:after="0"/>
              <w:rPr>
                <w:sz w:val="18"/>
                <w:szCs w:val="18"/>
                <w:color w:val="auto"/>
              </w:rPr>
            </w:pPr>
          </w:p>
        </w:tc>
        <w:tc>
          <w:tcPr>
            <w:tcW w:w="2660" w:type="dxa"/>
            <w:vAlign w:val="bottom"/>
          </w:tcPr>
          <w:p>
            <w:pPr>
              <w:ind w:left="300"/>
              <w:spacing w:after="0"/>
              <w:rPr>
                <w:sz w:val="20"/>
                <w:szCs w:val="20"/>
                <w:color w:val="auto"/>
              </w:rPr>
            </w:pPr>
            <w:r>
              <w:rPr>
                <w:rFonts w:ascii="Arial" w:cs="Arial" w:eastAsia="Arial" w:hAnsi="Arial"/>
                <w:sz w:val="16"/>
                <w:szCs w:val="16"/>
                <w:color w:val="auto"/>
              </w:rPr>
              <w:t>employed with SLB</w:t>
            </w:r>
          </w:p>
        </w:tc>
        <w:tc>
          <w:tcPr>
            <w:tcW w:w="4360" w:type="dxa"/>
            <w:vAlign w:val="bottom"/>
          </w:tcPr>
          <w:p>
            <w:pPr>
              <w:spacing w:after="0"/>
              <w:rPr>
                <w:sz w:val="18"/>
                <w:szCs w:val="18"/>
                <w:color w:val="auto"/>
              </w:rPr>
            </w:pPr>
          </w:p>
        </w:tc>
      </w:tr>
      <w:tr>
        <w:trPr>
          <w:trHeight w:val="258"/>
        </w:trPr>
        <w:tc>
          <w:tcPr>
            <w:tcW w:w="4220" w:type="dxa"/>
            <w:vAlign w:val="bottom"/>
          </w:tcPr>
          <w:p>
            <w:pPr>
              <w:ind w:left="60"/>
              <w:spacing w:after="0"/>
              <w:rPr>
                <w:sz w:val="20"/>
                <w:szCs w:val="20"/>
                <w:color w:val="auto"/>
              </w:rPr>
            </w:pPr>
            <w:r>
              <w:rPr>
                <w:rFonts w:ascii="Arial" w:cs="Arial" w:eastAsia="Arial" w:hAnsi="Arial"/>
                <w:sz w:val="16"/>
                <w:szCs w:val="16"/>
                <w:color w:val="auto"/>
              </w:rPr>
              <w:t>Special Retirement</w:t>
            </w:r>
          </w:p>
        </w:tc>
        <w:tc>
          <w:tcPr>
            <w:tcW w:w="2660" w:type="dxa"/>
            <w:vAlign w:val="bottom"/>
          </w:tcPr>
          <w:p>
            <w:pPr>
              <w:ind w:left="300"/>
              <w:spacing w:after="0"/>
              <w:rPr>
                <w:sz w:val="20"/>
                <w:szCs w:val="20"/>
                <w:color w:val="auto"/>
              </w:rPr>
            </w:pPr>
            <w:r>
              <w:rPr>
                <w:rFonts w:ascii="Arial" w:cs="Arial" w:eastAsia="Arial" w:hAnsi="Arial"/>
                <w:sz w:val="16"/>
                <w:szCs w:val="16"/>
                <w:color w:val="auto"/>
              </w:rPr>
              <w:t>No additional vesting</w:t>
            </w:r>
          </w:p>
        </w:tc>
        <w:tc>
          <w:tcPr>
            <w:tcW w:w="4360" w:type="dxa"/>
            <w:vAlign w:val="bottom"/>
          </w:tcPr>
          <w:p>
            <w:pPr>
              <w:ind w:left="440"/>
              <w:spacing w:after="0"/>
              <w:rPr>
                <w:sz w:val="20"/>
                <w:szCs w:val="20"/>
                <w:color w:val="auto"/>
              </w:rPr>
            </w:pPr>
            <w:r>
              <w:rPr>
                <w:rFonts w:ascii="Arial" w:cs="Arial" w:eastAsia="Arial" w:hAnsi="Arial"/>
                <w:sz w:val="16"/>
                <w:szCs w:val="16"/>
                <w:color w:val="auto"/>
              </w:rPr>
              <w:t>Exercisable (to the extent exercisable at termination)</w:t>
            </w:r>
          </w:p>
        </w:tc>
      </w:tr>
      <w:tr>
        <w:trPr>
          <w:trHeight w:val="189"/>
        </w:trPr>
        <w:tc>
          <w:tcPr>
            <w:tcW w:w="42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360" w:type="dxa"/>
            <w:vAlign w:val="bottom"/>
          </w:tcPr>
          <w:p>
            <w:pPr>
              <w:ind w:left="440"/>
              <w:spacing w:after="0"/>
              <w:rPr>
                <w:sz w:val="20"/>
                <w:szCs w:val="20"/>
                <w:color w:val="auto"/>
              </w:rPr>
            </w:pPr>
            <w:r>
              <w:rPr>
                <w:rFonts w:ascii="Arial" w:cs="Arial" w:eastAsia="Arial" w:hAnsi="Arial"/>
                <w:sz w:val="16"/>
                <w:szCs w:val="16"/>
                <w:color w:val="auto"/>
              </w:rPr>
              <w:t>at any time during the 60-month period after</w:t>
            </w:r>
          </w:p>
        </w:tc>
      </w:tr>
      <w:tr>
        <w:trPr>
          <w:trHeight w:val="189"/>
        </w:trPr>
        <w:tc>
          <w:tcPr>
            <w:tcW w:w="42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360" w:type="dxa"/>
            <w:vAlign w:val="bottom"/>
          </w:tcPr>
          <w:p>
            <w:pPr>
              <w:ind w:left="440"/>
              <w:spacing w:after="0"/>
              <w:rPr>
                <w:sz w:val="20"/>
                <w:szCs w:val="20"/>
                <w:color w:val="auto"/>
              </w:rPr>
            </w:pPr>
            <w:r>
              <w:rPr>
                <w:rFonts w:ascii="Arial" w:cs="Arial" w:eastAsia="Arial" w:hAnsi="Arial"/>
                <w:sz w:val="16"/>
                <w:szCs w:val="16"/>
                <w:color w:val="auto"/>
              </w:rPr>
              <w:t>termination due to retirement or during the remainder</w:t>
            </w:r>
          </w:p>
        </w:tc>
      </w:tr>
      <w:tr>
        <w:trPr>
          <w:trHeight w:val="215"/>
        </w:trPr>
        <w:tc>
          <w:tcPr>
            <w:tcW w:w="4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360" w:type="dxa"/>
            <w:vAlign w:val="bottom"/>
          </w:tcPr>
          <w:p>
            <w:pPr>
              <w:ind w:left="440"/>
              <w:spacing w:after="0"/>
              <w:rPr>
                <w:sz w:val="20"/>
                <w:szCs w:val="20"/>
                <w:color w:val="auto"/>
              </w:rPr>
            </w:pPr>
            <w:r>
              <w:rPr>
                <w:rFonts w:ascii="Arial" w:cs="Arial" w:eastAsia="Arial" w:hAnsi="Arial"/>
                <w:sz w:val="16"/>
                <w:szCs w:val="16"/>
                <w:color w:val="auto"/>
              </w:rPr>
              <w:t>of the option period, whichever is shorter.</w:t>
            </w:r>
          </w:p>
        </w:tc>
      </w:tr>
      <w:tr>
        <w:trPr>
          <w:trHeight w:val="258"/>
        </w:trPr>
        <w:tc>
          <w:tcPr>
            <w:tcW w:w="4220" w:type="dxa"/>
            <w:vAlign w:val="bottom"/>
          </w:tcPr>
          <w:p>
            <w:pPr>
              <w:ind w:left="60"/>
              <w:spacing w:after="0"/>
              <w:rPr>
                <w:sz w:val="20"/>
                <w:szCs w:val="20"/>
                <w:color w:val="auto"/>
              </w:rPr>
            </w:pPr>
            <w:r>
              <w:rPr>
                <w:rFonts w:ascii="Arial" w:cs="Arial" w:eastAsia="Arial" w:hAnsi="Arial"/>
                <w:sz w:val="16"/>
                <w:szCs w:val="16"/>
                <w:color w:val="auto"/>
              </w:rPr>
              <w:t>Death or Disability</w:t>
            </w:r>
          </w:p>
        </w:tc>
        <w:tc>
          <w:tcPr>
            <w:tcW w:w="2660" w:type="dxa"/>
            <w:vAlign w:val="bottom"/>
          </w:tcPr>
          <w:p>
            <w:pPr>
              <w:ind w:left="300"/>
              <w:spacing w:after="0"/>
              <w:rPr>
                <w:sz w:val="20"/>
                <w:szCs w:val="20"/>
                <w:color w:val="auto"/>
              </w:rPr>
            </w:pPr>
            <w:r>
              <w:rPr>
                <w:rFonts w:ascii="Arial" w:cs="Arial" w:eastAsia="Arial" w:hAnsi="Arial"/>
                <w:sz w:val="16"/>
                <w:szCs w:val="16"/>
                <w:color w:val="auto"/>
              </w:rPr>
              <w:t>Full immediate vesting</w:t>
            </w:r>
          </w:p>
        </w:tc>
        <w:tc>
          <w:tcPr>
            <w:tcW w:w="4360" w:type="dxa"/>
            <w:vAlign w:val="bottom"/>
          </w:tcPr>
          <w:p>
            <w:pPr>
              <w:ind w:left="440"/>
              <w:spacing w:after="0"/>
              <w:rPr>
                <w:sz w:val="20"/>
                <w:szCs w:val="20"/>
                <w:color w:val="auto"/>
              </w:rPr>
            </w:pPr>
            <w:r>
              <w:rPr>
                <w:rFonts w:ascii="Arial" w:cs="Arial" w:eastAsia="Arial" w:hAnsi="Arial"/>
                <w:sz w:val="16"/>
                <w:szCs w:val="16"/>
                <w:color w:val="auto"/>
              </w:rPr>
              <w:t>Exercisable at any time during the 60-month period</w:t>
            </w:r>
          </w:p>
        </w:tc>
      </w:tr>
      <w:tr>
        <w:trPr>
          <w:trHeight w:val="189"/>
        </w:trPr>
        <w:tc>
          <w:tcPr>
            <w:tcW w:w="42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360" w:type="dxa"/>
            <w:vAlign w:val="bottom"/>
          </w:tcPr>
          <w:p>
            <w:pPr>
              <w:ind w:left="440"/>
              <w:spacing w:after="0"/>
              <w:rPr>
                <w:sz w:val="20"/>
                <w:szCs w:val="20"/>
                <w:color w:val="auto"/>
              </w:rPr>
            </w:pPr>
            <w:r>
              <w:rPr>
                <w:rFonts w:ascii="Arial" w:cs="Arial" w:eastAsia="Arial" w:hAnsi="Arial"/>
                <w:sz w:val="16"/>
                <w:szCs w:val="16"/>
                <w:color w:val="auto"/>
              </w:rPr>
              <w:t>after termination due to death or disability or during</w:t>
            </w:r>
          </w:p>
        </w:tc>
      </w:tr>
      <w:tr>
        <w:trPr>
          <w:trHeight w:val="189"/>
        </w:trPr>
        <w:tc>
          <w:tcPr>
            <w:tcW w:w="42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360" w:type="dxa"/>
            <w:vAlign w:val="bottom"/>
          </w:tcPr>
          <w:p>
            <w:pPr>
              <w:ind w:left="440"/>
              <w:spacing w:after="0"/>
              <w:rPr>
                <w:sz w:val="20"/>
                <w:szCs w:val="20"/>
                <w:color w:val="auto"/>
              </w:rPr>
            </w:pPr>
            <w:r>
              <w:rPr>
                <w:rFonts w:ascii="Arial" w:cs="Arial" w:eastAsia="Arial" w:hAnsi="Arial"/>
                <w:sz w:val="16"/>
                <w:szCs w:val="16"/>
                <w:color w:val="auto"/>
              </w:rPr>
              <w:t>the remainder of the option period, whichever is</w:t>
            </w:r>
          </w:p>
        </w:tc>
      </w:tr>
      <w:tr>
        <w:trPr>
          <w:trHeight w:val="210"/>
        </w:trPr>
        <w:tc>
          <w:tcPr>
            <w:tcW w:w="4220" w:type="dxa"/>
            <w:vAlign w:val="bottom"/>
            <w:tcBorders>
              <w:bottom w:val="single" w:sz="8" w:color="0233A1"/>
            </w:tcBorders>
          </w:tcPr>
          <w:p>
            <w:pPr>
              <w:spacing w:after="0"/>
              <w:rPr>
                <w:sz w:val="18"/>
                <w:szCs w:val="18"/>
                <w:color w:val="auto"/>
              </w:rPr>
            </w:pPr>
          </w:p>
        </w:tc>
        <w:tc>
          <w:tcPr>
            <w:tcW w:w="2660" w:type="dxa"/>
            <w:vAlign w:val="bottom"/>
            <w:tcBorders>
              <w:bottom w:val="single" w:sz="8" w:color="0233A1"/>
            </w:tcBorders>
          </w:tcPr>
          <w:p>
            <w:pPr>
              <w:spacing w:after="0"/>
              <w:rPr>
                <w:sz w:val="18"/>
                <w:szCs w:val="18"/>
                <w:color w:val="auto"/>
              </w:rPr>
            </w:pPr>
          </w:p>
        </w:tc>
        <w:tc>
          <w:tcPr>
            <w:tcW w:w="4360" w:type="dxa"/>
            <w:vAlign w:val="bottom"/>
            <w:tcBorders>
              <w:bottom w:val="single" w:sz="8" w:color="0233A1"/>
            </w:tcBorders>
          </w:tcPr>
          <w:p>
            <w:pPr>
              <w:ind w:left="440"/>
              <w:spacing w:after="0"/>
              <w:rPr>
                <w:sz w:val="20"/>
                <w:szCs w:val="20"/>
                <w:color w:val="auto"/>
              </w:rPr>
            </w:pPr>
            <w:r>
              <w:rPr>
                <w:rFonts w:ascii="Arial" w:cs="Arial" w:eastAsia="Arial" w:hAnsi="Arial"/>
                <w:sz w:val="16"/>
                <w:szCs w:val="16"/>
                <w:color w:val="auto"/>
              </w:rPr>
              <w:t>shorter.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8255"/>
            <wp:wrapNone/>
            <wp:docPr id="3614" name="Picture 3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4"/>
                    <pic:cNvPicPr>
                      <a:picLocks noChangeAspect="1" noChangeArrowheads="1"/>
                    </pic:cNvPicPr>
                  </pic:nvPicPr>
                  <pic:blipFill>
                    <a:blip r:embed="rId36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-1096645</wp:posOffset>
            </wp:positionV>
            <wp:extent cx="7132320" cy="8255"/>
            <wp:wrapNone/>
            <wp:docPr id="3615" name="Picture 3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5"/>
                    <pic:cNvPicPr>
                      <a:picLocks noChangeAspect="1" noChangeArrowheads="1"/>
                    </pic:cNvPicPr>
                  </pic:nvPicPr>
                  <pic:blipFill>
                    <a:blip r:embed="rId36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-1396365</wp:posOffset>
            </wp:positionV>
            <wp:extent cx="7132320" cy="8255"/>
            <wp:wrapNone/>
            <wp:docPr id="3616" name="Picture 3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6"/>
                    <pic:cNvPicPr>
                      <a:picLocks noChangeAspect="1" noChangeArrowheads="1"/>
                    </pic:cNvPicPr>
                  </pic:nvPicPr>
                  <pic:blipFill>
                    <a:blip r:embed="rId36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-1585595</wp:posOffset>
            </wp:positionV>
            <wp:extent cx="7132320" cy="8255"/>
            <wp:wrapNone/>
            <wp:docPr id="3617" name="Picture 3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7"/>
                    <pic:cNvPicPr>
                      <a:picLocks noChangeAspect="1" noChangeArrowheads="1"/>
                    </pic:cNvPicPr>
                  </pic:nvPicPr>
                  <pic:blipFill>
                    <a:blip r:embed="rId36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Notwithstanding the vesting and exercisability provisions described above, an option holder may forfeit the right to exercise stock options, and may have certain prior option exercises rescinded, if the option holder engages in “detrimental activity” within one year after termination of employment (or five years after termination of employment in the event of retirement or disability).</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color w:val="0233A1"/>
        </w:rPr>
        <w:t>Change in Control</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 xml:space="preserve">Under our omnibus incentive plans, in the event of a merger, consolidation, acquisition of property or stock, separation, spinoff, reorganization or liquidation (each a </w:t>
      </w:r>
      <w:r>
        <w:rPr>
          <w:rFonts w:ascii="Arial" w:cs="Arial" w:eastAsia="Arial" w:hAnsi="Arial"/>
          <w:sz w:val="16"/>
          <w:szCs w:val="16"/>
          <w:b w:val="1"/>
          <w:bCs w:val="1"/>
          <w:color w:val="auto"/>
        </w:rPr>
        <w:t>Corporate Transaction</w:t>
      </w:r>
      <w:r>
        <w:rPr>
          <w:rFonts w:ascii="Arial" w:cs="Arial" w:eastAsia="Arial" w:hAnsi="Arial"/>
          <w:sz w:val="16"/>
          <w:szCs w:val="16"/>
          <w:color w:val="auto"/>
        </w:rPr>
        <w:t>), our Board may, in its sole discretion, (i) provide for the substitution of a new award (or other arrangement) for or assumption of any award, (ii) provide for accelerated vesting of any awards, or (iii) decide to cancel any awards and deliver to the holders cash in an amount that our Board determines in its sole discretion is equal to the fair market value of such awards on the date of such event. However, no current agreement with respect to our outstanding RSUs, PSUs and stock options currently provides for any definitive special treatment upon such a Corporate Transaction.</w:t>
      </w:r>
    </w:p>
    <w:p>
      <w:pPr>
        <w:spacing w:after="0" w:line="15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following table sets forth the value of the unvested RSUs and PSUs (at target) and the intrinsic value of the unvested stock options held by each NEO as of December 31, 2022, that would become vested upon the occurrence of a Corporate Transaction, assuming that the Board elects to accelerate the vesting of RSUs, PSUs and stock options as provided in the previous paragraph. Due to the various factors that could affect the nature and amount of any benefits provided upon these events, any amounts actually paid or distributed may be different. Factors that could affect these amounts include the time during the year of any such event, the price of SLB common stock and SLB’s achievement of any relevant performance metric.</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4920" w:type="dxa"/>
            <w:vAlign w:val="bottom"/>
            <w:tcBorders>
              <w:bottom w:val="single" w:sz="8" w:color="0233A1"/>
            </w:tcBorders>
            <w:gridSpan w:val="2"/>
          </w:tcPr>
          <w:p>
            <w:pPr>
              <w:jc w:val="right"/>
              <w:ind w:right="1419"/>
              <w:spacing w:after="0"/>
              <w:rPr>
                <w:sz w:val="20"/>
                <w:szCs w:val="20"/>
                <w:color w:val="auto"/>
              </w:rPr>
            </w:pPr>
            <w:r>
              <w:rPr>
                <w:rFonts w:ascii="Arial" w:cs="Arial" w:eastAsia="Arial" w:hAnsi="Arial"/>
                <w:sz w:val="16"/>
                <w:szCs w:val="16"/>
                <w:b w:val="1"/>
                <w:bCs w:val="1"/>
                <w:color w:val="0233A1"/>
              </w:rPr>
              <w:t>Upon Corporate Transaction</w:t>
            </w:r>
          </w:p>
        </w:tc>
      </w:tr>
      <w:tr>
        <w:trPr>
          <w:trHeight w:val="168"/>
        </w:trPr>
        <w:tc>
          <w:tcPr>
            <w:tcW w:w="6320" w:type="dxa"/>
            <w:vAlign w:val="bottom"/>
          </w:tcPr>
          <w:p>
            <w:pPr>
              <w:spacing w:after="0"/>
              <w:rPr>
                <w:sz w:val="14"/>
                <w:szCs w:val="14"/>
                <w:color w:val="auto"/>
              </w:rPr>
            </w:pPr>
          </w:p>
        </w:tc>
        <w:tc>
          <w:tcPr>
            <w:tcW w:w="2860" w:type="dxa"/>
            <w:vAlign w:val="bottom"/>
          </w:tcPr>
          <w:p>
            <w:pPr>
              <w:jc w:val="right"/>
              <w:ind w:right="279"/>
              <w:spacing w:after="0" w:line="168" w:lineRule="exact"/>
              <w:rPr>
                <w:sz w:val="20"/>
                <w:szCs w:val="20"/>
                <w:color w:val="auto"/>
              </w:rPr>
            </w:pPr>
            <w:r>
              <w:rPr>
                <w:rFonts w:ascii="Arial" w:cs="Arial" w:eastAsia="Arial" w:hAnsi="Arial"/>
                <w:sz w:val="16"/>
                <w:szCs w:val="16"/>
                <w:b w:val="1"/>
                <w:bCs w:val="1"/>
                <w:color w:val="0233A1"/>
              </w:rPr>
              <w:t>Value of Unvested RSUs and</w:t>
            </w:r>
          </w:p>
        </w:tc>
        <w:tc>
          <w:tcPr>
            <w:tcW w:w="2060" w:type="dxa"/>
            <w:vAlign w:val="bottom"/>
          </w:tcPr>
          <w:p>
            <w:pPr>
              <w:jc w:val="right"/>
              <w:ind w:right="179"/>
              <w:spacing w:after="0" w:line="168" w:lineRule="exact"/>
              <w:rPr>
                <w:sz w:val="20"/>
                <w:szCs w:val="20"/>
                <w:color w:val="auto"/>
              </w:rPr>
            </w:pPr>
            <w:r>
              <w:rPr>
                <w:rFonts w:ascii="Arial" w:cs="Arial" w:eastAsia="Arial" w:hAnsi="Arial"/>
                <w:sz w:val="16"/>
                <w:szCs w:val="16"/>
                <w:b w:val="1"/>
                <w:bCs w:val="1"/>
                <w:color w:val="0233A1"/>
              </w:rPr>
              <w:t>Intrinsic Value</w:t>
            </w:r>
          </w:p>
        </w:tc>
      </w:tr>
      <w:tr>
        <w:trPr>
          <w:trHeight w:val="163"/>
        </w:trPr>
        <w:tc>
          <w:tcPr>
            <w:tcW w:w="6320" w:type="dxa"/>
            <w:vAlign w:val="bottom"/>
          </w:tcPr>
          <w:p>
            <w:pPr>
              <w:spacing w:after="0"/>
              <w:rPr>
                <w:sz w:val="14"/>
                <w:szCs w:val="14"/>
                <w:color w:val="auto"/>
              </w:rPr>
            </w:pPr>
          </w:p>
        </w:tc>
        <w:tc>
          <w:tcPr>
            <w:tcW w:w="2860" w:type="dxa"/>
            <w:vAlign w:val="bottom"/>
          </w:tcPr>
          <w:p>
            <w:pPr>
              <w:jc w:val="right"/>
              <w:ind w:right="279"/>
              <w:spacing w:after="0" w:line="163" w:lineRule="exact"/>
              <w:rPr>
                <w:sz w:val="20"/>
                <w:szCs w:val="20"/>
                <w:color w:val="auto"/>
              </w:rPr>
            </w:pPr>
            <w:r>
              <w:rPr>
                <w:rFonts w:ascii="Arial" w:cs="Arial" w:eastAsia="Arial" w:hAnsi="Arial"/>
                <w:sz w:val="16"/>
                <w:szCs w:val="16"/>
                <w:b w:val="1"/>
                <w:bCs w:val="1"/>
                <w:color w:val="0233A1"/>
              </w:rPr>
              <w:t>PSUs (at Target)</w:t>
            </w:r>
          </w:p>
        </w:tc>
        <w:tc>
          <w:tcPr>
            <w:tcW w:w="2060" w:type="dxa"/>
            <w:vAlign w:val="bottom"/>
          </w:tcPr>
          <w:p>
            <w:pPr>
              <w:jc w:val="right"/>
              <w:ind w:right="179"/>
              <w:spacing w:after="0" w:line="163" w:lineRule="exact"/>
              <w:rPr>
                <w:sz w:val="20"/>
                <w:szCs w:val="20"/>
                <w:color w:val="auto"/>
              </w:rPr>
            </w:pPr>
            <w:r>
              <w:rPr>
                <w:rFonts w:ascii="Arial" w:cs="Arial" w:eastAsia="Arial" w:hAnsi="Arial"/>
                <w:sz w:val="16"/>
                <w:szCs w:val="16"/>
                <w:b w:val="1"/>
                <w:bCs w:val="1"/>
                <w:color w:val="0233A1"/>
              </w:rPr>
              <w:t>of Unvested Options</w:t>
            </w:r>
          </w:p>
        </w:tc>
      </w:tr>
      <w:tr>
        <w:trPr>
          <w:trHeight w:val="230"/>
        </w:trPr>
        <w:tc>
          <w:tcPr>
            <w:tcW w:w="632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Name</w:t>
            </w:r>
          </w:p>
        </w:tc>
        <w:tc>
          <w:tcPr>
            <w:tcW w:w="2860" w:type="dxa"/>
            <w:vAlign w:val="bottom"/>
            <w:tcBorders>
              <w:bottom w:val="single" w:sz="8" w:color="0233A1"/>
            </w:tcBorders>
          </w:tcPr>
          <w:p>
            <w:pPr>
              <w:jc w:val="right"/>
              <w:ind w:right="119"/>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(1)</w:t>
            </w:r>
          </w:p>
        </w:tc>
        <w:tc>
          <w:tcPr>
            <w:tcW w:w="2060" w:type="dxa"/>
            <w:vAlign w:val="bottom"/>
            <w:tcBorders>
              <w:bottom w:val="single" w:sz="8" w:color="0233A1"/>
            </w:tcBorders>
          </w:tcPr>
          <w:p>
            <w:pPr>
              <w:jc w:val="right"/>
              <w:ind w:right="19"/>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(2)</w:t>
            </w:r>
          </w:p>
        </w:tc>
      </w:tr>
      <w:tr>
        <w:trPr>
          <w:trHeight w:val="182"/>
        </w:trPr>
        <w:tc>
          <w:tcPr>
            <w:tcW w:w="6320" w:type="dxa"/>
            <w:vAlign w:val="bottom"/>
          </w:tcPr>
          <w:p>
            <w:pPr>
              <w:ind w:left="60"/>
              <w:spacing w:after="0" w:line="182" w:lineRule="exact"/>
              <w:rPr>
                <w:sz w:val="20"/>
                <w:szCs w:val="20"/>
                <w:color w:val="auto"/>
              </w:rPr>
            </w:pPr>
            <w:r>
              <w:rPr>
                <w:rFonts w:ascii="Arial" w:cs="Arial" w:eastAsia="Arial" w:hAnsi="Arial"/>
                <w:sz w:val="16"/>
                <w:szCs w:val="16"/>
                <w:color w:val="auto"/>
              </w:rPr>
              <w:t>O. Le Peuch</w:t>
            </w:r>
          </w:p>
        </w:tc>
        <w:tc>
          <w:tcPr>
            <w:tcW w:w="2860" w:type="dxa"/>
            <w:vAlign w:val="bottom"/>
          </w:tcPr>
          <w:p>
            <w:pPr>
              <w:jc w:val="right"/>
              <w:ind w:right="279"/>
              <w:spacing w:after="0" w:line="182" w:lineRule="exact"/>
              <w:rPr>
                <w:sz w:val="20"/>
                <w:szCs w:val="20"/>
                <w:color w:val="auto"/>
              </w:rPr>
            </w:pPr>
            <w:r>
              <w:rPr>
                <w:rFonts w:ascii="Arial" w:cs="Arial" w:eastAsia="Arial" w:hAnsi="Arial"/>
                <w:sz w:val="16"/>
                <w:szCs w:val="16"/>
                <w:color w:val="auto"/>
              </w:rPr>
              <w:t>40,267,088</w:t>
            </w:r>
          </w:p>
        </w:tc>
        <w:tc>
          <w:tcPr>
            <w:tcW w:w="2060" w:type="dxa"/>
            <w:vAlign w:val="bottom"/>
          </w:tcPr>
          <w:p>
            <w:pPr>
              <w:jc w:val="right"/>
              <w:ind w:right="179"/>
              <w:spacing w:after="0" w:line="182" w:lineRule="exact"/>
              <w:rPr>
                <w:sz w:val="20"/>
                <w:szCs w:val="20"/>
                <w:color w:val="auto"/>
              </w:rPr>
            </w:pPr>
            <w:r>
              <w:rPr>
                <w:rFonts w:ascii="Arial" w:cs="Arial" w:eastAsia="Arial" w:hAnsi="Arial"/>
                <w:sz w:val="16"/>
                <w:szCs w:val="16"/>
                <w:color w:val="auto"/>
              </w:rPr>
              <w:t>—</w:t>
            </w:r>
          </w:p>
        </w:tc>
      </w:tr>
      <w:tr>
        <w:trPr>
          <w:trHeight w:val="203"/>
        </w:trPr>
        <w:tc>
          <w:tcPr>
            <w:tcW w:w="6320" w:type="dxa"/>
            <w:vAlign w:val="bottom"/>
          </w:tcPr>
          <w:p>
            <w:pPr>
              <w:ind w:left="60"/>
              <w:spacing w:after="0"/>
              <w:rPr>
                <w:sz w:val="20"/>
                <w:szCs w:val="20"/>
                <w:color w:val="auto"/>
              </w:rPr>
            </w:pPr>
            <w:r>
              <w:rPr>
                <w:rFonts w:ascii="Arial" w:cs="Arial" w:eastAsia="Arial" w:hAnsi="Arial"/>
                <w:sz w:val="16"/>
                <w:szCs w:val="16"/>
                <w:color w:val="auto"/>
              </w:rPr>
              <w:t>S. Biguet</w:t>
            </w:r>
          </w:p>
        </w:tc>
        <w:tc>
          <w:tcPr>
            <w:tcW w:w="2860" w:type="dxa"/>
            <w:vAlign w:val="bottom"/>
          </w:tcPr>
          <w:p>
            <w:pPr>
              <w:jc w:val="right"/>
              <w:ind w:right="279"/>
              <w:spacing w:after="0"/>
              <w:rPr>
                <w:sz w:val="20"/>
                <w:szCs w:val="20"/>
                <w:color w:val="auto"/>
              </w:rPr>
            </w:pPr>
            <w:r>
              <w:rPr>
                <w:rFonts w:ascii="Arial" w:cs="Arial" w:eastAsia="Arial" w:hAnsi="Arial"/>
                <w:sz w:val="16"/>
                <w:szCs w:val="16"/>
                <w:color w:val="auto"/>
              </w:rPr>
              <w:t>16,105,199</w:t>
            </w:r>
          </w:p>
        </w:tc>
        <w:tc>
          <w:tcPr>
            <w:tcW w:w="206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203"/>
        </w:trPr>
        <w:tc>
          <w:tcPr>
            <w:tcW w:w="632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2860" w:type="dxa"/>
            <w:vAlign w:val="bottom"/>
          </w:tcPr>
          <w:p>
            <w:pPr>
              <w:jc w:val="right"/>
              <w:ind w:right="279"/>
              <w:spacing w:after="0"/>
              <w:rPr>
                <w:sz w:val="20"/>
                <w:szCs w:val="20"/>
                <w:color w:val="auto"/>
              </w:rPr>
            </w:pPr>
            <w:r>
              <w:rPr>
                <w:rFonts w:ascii="Arial" w:cs="Arial" w:eastAsia="Arial" w:hAnsi="Arial"/>
                <w:sz w:val="16"/>
                <w:szCs w:val="16"/>
                <w:color w:val="auto"/>
              </w:rPr>
              <w:t>18,740,243</w:t>
            </w:r>
          </w:p>
        </w:tc>
        <w:tc>
          <w:tcPr>
            <w:tcW w:w="206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203"/>
        </w:trPr>
        <w:tc>
          <w:tcPr>
            <w:tcW w:w="6320" w:type="dxa"/>
            <w:vAlign w:val="bottom"/>
          </w:tcPr>
          <w:p>
            <w:pPr>
              <w:ind w:left="60"/>
              <w:spacing w:after="0"/>
              <w:rPr>
                <w:sz w:val="20"/>
                <w:szCs w:val="20"/>
                <w:color w:val="auto"/>
              </w:rPr>
            </w:pPr>
            <w:r>
              <w:rPr>
                <w:rFonts w:ascii="Arial" w:cs="Arial" w:eastAsia="Arial" w:hAnsi="Arial"/>
                <w:sz w:val="16"/>
                <w:szCs w:val="16"/>
                <w:color w:val="auto"/>
              </w:rPr>
              <w:t>A. Merad</w:t>
            </w:r>
          </w:p>
        </w:tc>
        <w:tc>
          <w:tcPr>
            <w:tcW w:w="2860" w:type="dxa"/>
            <w:vAlign w:val="bottom"/>
          </w:tcPr>
          <w:p>
            <w:pPr>
              <w:jc w:val="right"/>
              <w:ind w:right="279"/>
              <w:spacing w:after="0"/>
              <w:rPr>
                <w:sz w:val="20"/>
                <w:szCs w:val="20"/>
                <w:color w:val="auto"/>
              </w:rPr>
            </w:pPr>
            <w:r>
              <w:rPr>
                <w:rFonts w:ascii="Arial" w:cs="Arial" w:eastAsia="Arial" w:hAnsi="Arial"/>
                <w:sz w:val="16"/>
                <w:szCs w:val="16"/>
                <w:color w:val="auto"/>
              </w:rPr>
              <w:t>17,202,947</w:t>
            </w:r>
          </w:p>
        </w:tc>
        <w:tc>
          <w:tcPr>
            <w:tcW w:w="206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203"/>
        </w:trPr>
        <w:tc>
          <w:tcPr>
            <w:tcW w:w="6320" w:type="dxa"/>
            <w:vAlign w:val="bottom"/>
          </w:tcPr>
          <w:p>
            <w:pPr>
              <w:ind w:left="60"/>
              <w:spacing w:after="0"/>
              <w:rPr>
                <w:sz w:val="20"/>
                <w:szCs w:val="20"/>
                <w:color w:val="auto"/>
              </w:rPr>
            </w:pPr>
            <w:r>
              <w:rPr>
                <w:rFonts w:ascii="Arial" w:cs="Arial" w:eastAsia="Arial" w:hAnsi="Arial"/>
                <w:sz w:val="16"/>
                <w:szCs w:val="16"/>
                <w:color w:val="auto"/>
              </w:rPr>
              <w:t>D. Ralston</w:t>
            </w:r>
          </w:p>
        </w:tc>
        <w:tc>
          <w:tcPr>
            <w:tcW w:w="2860" w:type="dxa"/>
            <w:vAlign w:val="bottom"/>
          </w:tcPr>
          <w:p>
            <w:pPr>
              <w:jc w:val="right"/>
              <w:ind w:right="279"/>
              <w:spacing w:after="0"/>
              <w:rPr>
                <w:sz w:val="20"/>
                <w:szCs w:val="20"/>
                <w:color w:val="auto"/>
              </w:rPr>
            </w:pPr>
            <w:r>
              <w:rPr>
                <w:rFonts w:ascii="Arial" w:cs="Arial" w:eastAsia="Arial" w:hAnsi="Arial"/>
                <w:sz w:val="16"/>
                <w:szCs w:val="16"/>
                <w:color w:val="auto"/>
              </w:rPr>
              <w:t>15,850,462</w:t>
            </w:r>
          </w:p>
        </w:tc>
        <w:tc>
          <w:tcPr>
            <w:tcW w:w="206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210"/>
        </w:trPr>
        <w:tc>
          <w:tcPr>
            <w:tcW w:w="632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A. Belani</w:t>
            </w:r>
          </w:p>
        </w:tc>
        <w:tc>
          <w:tcPr>
            <w:tcW w:w="2860" w:type="dxa"/>
            <w:vAlign w:val="bottom"/>
            <w:tcBorders>
              <w:bottom w:val="single" w:sz="8" w:color="0233A1"/>
            </w:tcBorders>
          </w:tcPr>
          <w:p>
            <w:pPr>
              <w:jc w:val="right"/>
              <w:ind w:right="279"/>
              <w:spacing w:after="0"/>
              <w:rPr>
                <w:sz w:val="20"/>
                <w:szCs w:val="20"/>
                <w:color w:val="auto"/>
              </w:rPr>
            </w:pPr>
            <w:r>
              <w:rPr>
                <w:rFonts w:ascii="Arial" w:cs="Arial" w:eastAsia="Arial" w:hAnsi="Arial"/>
                <w:sz w:val="16"/>
                <w:szCs w:val="16"/>
                <w:color w:val="auto"/>
              </w:rPr>
              <w:t>18,909,550</w:t>
            </w:r>
          </w:p>
        </w:tc>
        <w:tc>
          <w:tcPr>
            <w:tcW w:w="2060" w:type="dxa"/>
            <w:vAlign w:val="bottom"/>
            <w:tcBorders>
              <w:bottom w:val="single" w:sz="8" w:color="0233A1"/>
            </w:tcBorders>
          </w:tcPr>
          <w:p>
            <w:pPr>
              <w:jc w:val="right"/>
              <w:ind w:right="17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3618" name="Picture 3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8"/>
                    <pic:cNvPicPr>
                      <a:picLocks noChangeAspect="1" noChangeArrowheads="1"/>
                    </pic:cNvPicPr>
                  </pic:nvPicPr>
                  <pic:blipFill>
                    <a:blip r:embed="rId36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255"/>
            <wp:wrapNone/>
            <wp:docPr id="3619" name="Picture 3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9"/>
                    <pic:cNvPicPr>
                      <a:picLocks noChangeAspect="1" noChangeArrowheads="1"/>
                    </pic:cNvPicPr>
                  </pic:nvPicPr>
                  <pic:blipFill>
                    <a:blip r:embed="rId36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255"/>
            <wp:wrapNone/>
            <wp:docPr id="3620" name="Picture 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0"/>
                    <pic:cNvPicPr>
                      <a:picLocks noChangeAspect="1" noChangeArrowheads="1"/>
                    </pic:cNvPicPr>
                  </pic:nvPicPr>
                  <pic:blipFill>
                    <a:blip r:embed="rId36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255"/>
            <wp:wrapNone/>
            <wp:docPr id="3621" name="Picture 3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1"/>
                    <pic:cNvPicPr>
                      <a:picLocks noChangeAspect="1" noChangeArrowheads="1"/>
                    </pic:cNvPicPr>
                  </pic:nvPicPr>
                  <pic:blipFill>
                    <a:blip r:embed="rId36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890"/>
            <wp:wrapNone/>
            <wp:docPr id="3622" name="Picture 3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2"/>
                    <pic:cNvPicPr>
                      <a:picLocks noChangeAspect="1" noChangeArrowheads="1"/>
                    </pic:cNvPicPr>
                  </pic:nvPicPr>
                  <pic:blipFill>
                    <a:blip r:embed="rId36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 w:lineRule="exact"/>
        <w:rPr>
          <w:sz w:val="20"/>
          <w:szCs w:val="20"/>
          <w:color w:val="auto"/>
        </w:rPr>
      </w:pPr>
    </w:p>
    <w:p>
      <w:pPr>
        <w:ind w:left="380" w:right="100" w:hanging="318"/>
        <w:spacing w:after="0" w:line="281" w:lineRule="auto"/>
        <w:tabs>
          <w:tab w:leader="none" w:pos="3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Calculated by multiplying the December 30, 2022 closing price of our common stock ($53.46) by the number of outstanding, unvested RSUs and PSUs (at target) held by the executive as of that date.</w:t>
      </w:r>
    </w:p>
    <w:p>
      <w:pPr>
        <w:spacing w:after="0" w:line="1" w:lineRule="exact"/>
        <w:rPr>
          <w:rFonts w:ascii="Arial" w:cs="Arial" w:eastAsia="Arial" w:hAnsi="Arial"/>
          <w:sz w:val="14"/>
          <w:szCs w:val="14"/>
          <w:color w:val="auto"/>
        </w:rPr>
      </w:pPr>
    </w:p>
    <w:p>
      <w:pPr>
        <w:ind w:left="380" w:hanging="318"/>
        <w:spacing w:after="0"/>
        <w:tabs>
          <w:tab w:leader="none" w:pos="3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Reflects that the December 30, 2022 closing price of our common stock ($53.46) was lower than the exercise price of all stock options held by our NEOs as of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471170" cy="282575"/>
            <wp:wrapNone/>
            <wp:docPr id="3623" name="Picture 3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3"/>
                    <pic:cNvPicPr>
                      <a:picLocks noChangeAspect="1" noChangeArrowheads="1"/>
                    </pic:cNvPicPr>
                  </pic:nvPicPr>
                  <pic:blipFill>
                    <a:blip r:embed="rId3630">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73"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58</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-46990</wp:posOffset>
            </wp:positionV>
            <wp:extent cx="5417820" cy="17145"/>
            <wp:wrapNone/>
            <wp:docPr id="3624" name="Picture 3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4"/>
                    <pic:cNvPicPr>
                      <a:picLocks noChangeAspect="1" noChangeArrowheads="1"/>
                    </pic:cNvPicPr>
                  </pic:nvPicPr>
                  <pic:blipFill>
                    <a:blip r:embed="rId3631">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3625" name="Picture 3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5"/>
                    <pic:cNvPicPr>
                      <a:picLocks noChangeAspect="1" noChangeArrowheads="1"/>
                    </pic:cNvPicPr>
                  </pic:nvPicPr>
                  <pic:blipFill>
                    <a:blip r:embed="rId36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0233A1"/>
        </w:rPr>
        <w:t>Retirement Plans</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Our pension plans and nonqualified deferred compensation plans include the same terms and conditions for all participating employees in the event of a termination or change in control. The Restoration Savings Plan provides for accelerated payment of vested account balances within 30 days following a change in control as defined under Internal Revenue Code section 409A. Other than the Restoration Savings Plan, none of our nonqualified plans provide for the accelerated payment of benefits upon a change in control. For more information on these plans, see the Pension Benefits table and accompanying discussion beginning on page 54 above and the Nonqualified Deferred Compensation table and accompanying discussion beginning on page 56 above.</w:t>
      </w:r>
    </w:p>
    <w:p>
      <w:pPr>
        <w:spacing w:after="0" w:line="15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following table sets forth the amounts as of December 31, 2022 of benefit payments that would be accelerated under the Restoration Savings Plan upon a change in control.</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5400" w:type="dxa"/>
            <w:vAlign w:val="bottom"/>
          </w:tcPr>
          <w:p>
            <w:pPr>
              <w:jc w:val="right"/>
              <w:spacing w:after="0"/>
              <w:rPr>
                <w:sz w:val="20"/>
                <w:szCs w:val="20"/>
                <w:color w:val="auto"/>
              </w:rPr>
            </w:pPr>
            <w:r>
              <w:rPr>
                <w:rFonts w:ascii="Arial" w:cs="Arial" w:eastAsia="Arial" w:hAnsi="Arial"/>
                <w:sz w:val="16"/>
                <w:szCs w:val="16"/>
                <w:b w:val="1"/>
                <w:bCs w:val="1"/>
                <w:color w:val="0233A1"/>
              </w:rPr>
              <w:t>Amount</w:t>
            </w:r>
          </w:p>
        </w:tc>
      </w:tr>
      <w:tr>
        <w:trPr>
          <w:trHeight w:val="203"/>
        </w:trPr>
        <w:tc>
          <w:tcPr>
            <w:tcW w:w="584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Name</w:t>
            </w:r>
          </w:p>
        </w:tc>
        <w:tc>
          <w:tcPr>
            <w:tcW w:w="540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r>
      <w:tr>
        <w:trPr>
          <w:trHeight w:val="182"/>
        </w:trPr>
        <w:tc>
          <w:tcPr>
            <w:tcW w:w="5840" w:type="dxa"/>
            <w:vAlign w:val="bottom"/>
          </w:tcPr>
          <w:p>
            <w:pPr>
              <w:ind w:left="60"/>
              <w:spacing w:after="0" w:line="182" w:lineRule="exact"/>
              <w:rPr>
                <w:sz w:val="20"/>
                <w:szCs w:val="20"/>
                <w:color w:val="auto"/>
              </w:rPr>
            </w:pPr>
            <w:r>
              <w:rPr>
                <w:rFonts w:ascii="Arial" w:cs="Arial" w:eastAsia="Arial" w:hAnsi="Arial"/>
                <w:sz w:val="16"/>
                <w:szCs w:val="16"/>
                <w:color w:val="auto"/>
              </w:rPr>
              <w:t>O. Le Peuch</w:t>
            </w:r>
          </w:p>
        </w:tc>
        <w:tc>
          <w:tcPr>
            <w:tcW w:w="5400" w:type="dxa"/>
            <w:vAlign w:val="bottom"/>
          </w:tcPr>
          <w:p>
            <w:pPr>
              <w:jc w:val="right"/>
              <w:spacing w:after="0" w:line="182" w:lineRule="exact"/>
              <w:rPr>
                <w:sz w:val="20"/>
                <w:szCs w:val="20"/>
                <w:color w:val="auto"/>
              </w:rPr>
            </w:pPr>
            <w:r>
              <w:rPr>
                <w:rFonts w:ascii="Arial" w:cs="Arial" w:eastAsia="Arial" w:hAnsi="Arial"/>
                <w:sz w:val="16"/>
                <w:szCs w:val="16"/>
                <w:color w:val="auto"/>
              </w:rPr>
              <w:t>5,557,957</w:t>
            </w:r>
          </w:p>
        </w:tc>
      </w:tr>
      <w:tr>
        <w:trPr>
          <w:trHeight w:val="203"/>
        </w:trPr>
        <w:tc>
          <w:tcPr>
            <w:tcW w:w="5840" w:type="dxa"/>
            <w:vAlign w:val="bottom"/>
          </w:tcPr>
          <w:p>
            <w:pPr>
              <w:ind w:left="60"/>
              <w:spacing w:after="0"/>
              <w:rPr>
                <w:sz w:val="20"/>
                <w:szCs w:val="20"/>
                <w:color w:val="auto"/>
              </w:rPr>
            </w:pPr>
            <w:r>
              <w:rPr>
                <w:rFonts w:ascii="Arial" w:cs="Arial" w:eastAsia="Arial" w:hAnsi="Arial"/>
                <w:sz w:val="16"/>
                <w:szCs w:val="16"/>
                <w:color w:val="auto"/>
              </w:rPr>
              <w:t>S. Biguet</w:t>
            </w:r>
          </w:p>
        </w:tc>
        <w:tc>
          <w:tcPr>
            <w:tcW w:w="5400" w:type="dxa"/>
            <w:vAlign w:val="bottom"/>
          </w:tcPr>
          <w:p>
            <w:pPr>
              <w:jc w:val="right"/>
              <w:spacing w:after="0"/>
              <w:rPr>
                <w:sz w:val="20"/>
                <w:szCs w:val="20"/>
                <w:color w:val="auto"/>
              </w:rPr>
            </w:pPr>
            <w:r>
              <w:rPr>
                <w:rFonts w:ascii="Arial" w:cs="Arial" w:eastAsia="Arial" w:hAnsi="Arial"/>
                <w:sz w:val="16"/>
                <w:szCs w:val="16"/>
                <w:color w:val="auto"/>
              </w:rPr>
              <w:t>1,500,536</w:t>
            </w:r>
          </w:p>
        </w:tc>
      </w:tr>
      <w:tr>
        <w:trPr>
          <w:trHeight w:val="203"/>
        </w:trPr>
        <w:tc>
          <w:tcPr>
            <w:tcW w:w="584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5400" w:type="dxa"/>
            <w:vAlign w:val="bottom"/>
          </w:tcPr>
          <w:p>
            <w:pPr>
              <w:jc w:val="right"/>
              <w:spacing w:after="0"/>
              <w:rPr>
                <w:sz w:val="20"/>
                <w:szCs w:val="20"/>
                <w:color w:val="auto"/>
              </w:rPr>
            </w:pPr>
            <w:r>
              <w:rPr>
                <w:rFonts w:ascii="Arial" w:cs="Arial" w:eastAsia="Arial" w:hAnsi="Arial"/>
                <w:sz w:val="16"/>
                <w:szCs w:val="16"/>
                <w:color w:val="auto"/>
              </w:rPr>
              <w:t>2,683,405</w:t>
            </w:r>
          </w:p>
        </w:tc>
      </w:tr>
      <w:tr>
        <w:trPr>
          <w:trHeight w:val="203"/>
        </w:trPr>
        <w:tc>
          <w:tcPr>
            <w:tcW w:w="5840" w:type="dxa"/>
            <w:vAlign w:val="bottom"/>
          </w:tcPr>
          <w:p>
            <w:pPr>
              <w:ind w:left="60"/>
              <w:spacing w:after="0"/>
              <w:rPr>
                <w:sz w:val="20"/>
                <w:szCs w:val="20"/>
                <w:color w:val="auto"/>
              </w:rPr>
            </w:pPr>
            <w:r>
              <w:rPr>
                <w:rFonts w:ascii="Arial" w:cs="Arial" w:eastAsia="Arial" w:hAnsi="Arial"/>
                <w:sz w:val="16"/>
                <w:szCs w:val="16"/>
                <w:color w:val="auto"/>
              </w:rPr>
              <w:t>A. Merad</w:t>
            </w:r>
          </w:p>
        </w:tc>
        <w:tc>
          <w:tcPr>
            <w:tcW w:w="5400" w:type="dxa"/>
            <w:vAlign w:val="bottom"/>
          </w:tcPr>
          <w:p>
            <w:pPr>
              <w:jc w:val="right"/>
              <w:spacing w:after="0"/>
              <w:rPr>
                <w:sz w:val="20"/>
                <w:szCs w:val="20"/>
                <w:color w:val="auto"/>
              </w:rPr>
            </w:pPr>
            <w:r>
              <w:rPr>
                <w:rFonts w:ascii="Arial" w:cs="Arial" w:eastAsia="Arial" w:hAnsi="Arial"/>
                <w:sz w:val="16"/>
                <w:szCs w:val="16"/>
                <w:color w:val="auto"/>
              </w:rPr>
              <w:t>643,578</w:t>
            </w:r>
          </w:p>
        </w:tc>
      </w:tr>
      <w:tr>
        <w:trPr>
          <w:trHeight w:val="203"/>
        </w:trPr>
        <w:tc>
          <w:tcPr>
            <w:tcW w:w="5840" w:type="dxa"/>
            <w:vAlign w:val="bottom"/>
          </w:tcPr>
          <w:p>
            <w:pPr>
              <w:ind w:left="60"/>
              <w:spacing w:after="0"/>
              <w:rPr>
                <w:sz w:val="20"/>
                <w:szCs w:val="20"/>
                <w:color w:val="auto"/>
              </w:rPr>
            </w:pPr>
            <w:r>
              <w:rPr>
                <w:rFonts w:ascii="Arial" w:cs="Arial" w:eastAsia="Arial" w:hAnsi="Arial"/>
                <w:sz w:val="16"/>
                <w:szCs w:val="16"/>
                <w:color w:val="auto"/>
              </w:rPr>
              <w:t>D. Ralston</w:t>
            </w:r>
          </w:p>
        </w:tc>
        <w:tc>
          <w:tcPr>
            <w:tcW w:w="5400" w:type="dxa"/>
            <w:vAlign w:val="bottom"/>
          </w:tcPr>
          <w:p>
            <w:pPr>
              <w:jc w:val="right"/>
              <w:spacing w:after="0"/>
              <w:rPr>
                <w:sz w:val="20"/>
                <w:szCs w:val="20"/>
                <w:color w:val="auto"/>
              </w:rPr>
            </w:pPr>
            <w:r>
              <w:rPr>
                <w:rFonts w:ascii="Arial" w:cs="Arial" w:eastAsia="Arial" w:hAnsi="Arial"/>
                <w:sz w:val="16"/>
                <w:szCs w:val="16"/>
                <w:color w:val="auto"/>
              </w:rPr>
              <w:t>281,625</w:t>
            </w:r>
          </w:p>
        </w:tc>
      </w:tr>
      <w:tr>
        <w:trPr>
          <w:trHeight w:val="210"/>
        </w:trPr>
        <w:tc>
          <w:tcPr>
            <w:tcW w:w="584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A. Belani</w:t>
            </w:r>
          </w:p>
        </w:tc>
        <w:tc>
          <w:tcPr>
            <w:tcW w:w="540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3,649,483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3626" name="Picture 3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6"/>
                    <pic:cNvPicPr>
                      <a:picLocks noChangeAspect="1" noChangeArrowheads="1"/>
                    </pic:cNvPicPr>
                  </pic:nvPicPr>
                  <pic:blipFill>
                    <a:blip r:embed="rId36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255"/>
            <wp:wrapNone/>
            <wp:docPr id="3627" name="Picture 3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7"/>
                    <pic:cNvPicPr>
                      <a:picLocks noChangeAspect="1" noChangeArrowheads="1"/>
                    </pic:cNvPicPr>
                  </pic:nvPicPr>
                  <pic:blipFill>
                    <a:blip r:embed="rId36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3628" name="Picture 3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8"/>
                    <pic:cNvPicPr>
                      <a:picLocks noChangeAspect="1" noChangeArrowheads="1"/>
                    </pic:cNvPicPr>
                  </pic:nvPicPr>
                  <pic:blipFill>
                    <a:blip r:embed="rId36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255"/>
            <wp:wrapNone/>
            <wp:docPr id="3629" name="Picture 3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9"/>
                    <pic:cNvPicPr>
                      <a:picLocks noChangeAspect="1" noChangeArrowheads="1"/>
                    </pic:cNvPicPr>
                  </pic:nvPicPr>
                  <pic:blipFill>
                    <a:blip r:embed="rId36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8255"/>
            <wp:wrapNone/>
            <wp:docPr id="3630" name="Picture 3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0"/>
                    <pic:cNvPicPr>
                      <a:picLocks noChangeAspect="1" noChangeArrowheads="1"/>
                    </pic:cNvPicPr>
                  </pic:nvPicPr>
                  <pic:blipFill>
                    <a:blip r:embed="rId36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color w:val="0233A1"/>
        </w:rPr>
        <w:t>Retiree Medical</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Subject to satisfying certain age, service and contribution requirements, most U.S. employees, including NEOs in the United States, are eligible to participate in a retiree medical program. Generally, this program provides comprehensive medical, prescription drug and vision benefits for retirees and their dependents until attaining age 65. The program also provides annual contributions to a health reimbursement arrangement that can be used to purchase medical coverage or Medicare supplemental coverage and other tax-deductible expenses.</w:t>
      </w:r>
    </w:p>
    <w:p>
      <w:pPr>
        <w:spacing w:after="0" w:line="254" w:lineRule="exact"/>
        <w:rPr>
          <w:sz w:val="20"/>
          <w:szCs w:val="20"/>
          <w:color w:val="auto"/>
        </w:rPr>
      </w:pPr>
    </w:p>
    <w:p>
      <w:pPr>
        <w:spacing w:after="0"/>
        <w:rPr>
          <w:sz w:val="20"/>
          <w:szCs w:val="20"/>
          <w:color w:val="auto"/>
        </w:rPr>
      </w:pPr>
      <w:r>
        <w:rPr>
          <w:rFonts w:ascii="Arial" w:cs="Arial" w:eastAsia="Arial" w:hAnsi="Arial"/>
          <w:sz w:val="29"/>
          <w:szCs w:val="29"/>
          <w:color w:val="16458B"/>
        </w:rPr>
        <w:t>Equity Compensation Plan Information</w:t>
      </w:r>
    </w:p>
    <w:p>
      <w:pPr>
        <w:spacing w:after="0" w:line="2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following table sets forth the following information as of December 31, 2022 for all equity compensation plans approved and not approved by our shareholders.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180" w:type="dxa"/>
            <w:vAlign w:val="bottom"/>
          </w:tcPr>
          <w:p>
            <w:pPr>
              <w:jc w:val="right"/>
              <w:ind w:right="179"/>
              <w:spacing w:after="0"/>
              <w:rPr>
                <w:sz w:val="20"/>
                <w:szCs w:val="20"/>
                <w:color w:val="auto"/>
              </w:rPr>
            </w:pPr>
            <w:r>
              <w:rPr>
                <w:rFonts w:ascii="Arial" w:cs="Arial" w:eastAsia="Arial" w:hAnsi="Arial"/>
                <w:sz w:val="16"/>
                <w:szCs w:val="16"/>
                <w:b w:val="1"/>
                <w:bCs w:val="1"/>
                <w:color w:val="0233A1"/>
              </w:rPr>
              <w:t>(c)</w:t>
            </w:r>
          </w:p>
        </w:tc>
      </w:tr>
      <w:tr>
        <w:trPr>
          <w:trHeight w:val="189"/>
        </w:trPr>
        <w:tc>
          <w:tcPr>
            <w:tcW w:w="5000" w:type="dxa"/>
            <w:vAlign w:val="bottom"/>
          </w:tcPr>
          <w:p>
            <w:pPr>
              <w:spacing w:after="0"/>
              <w:rPr>
                <w:sz w:val="16"/>
                <w:szCs w:val="16"/>
                <w:color w:val="auto"/>
              </w:rPr>
            </w:pPr>
          </w:p>
        </w:tc>
        <w:tc>
          <w:tcPr>
            <w:tcW w:w="2040" w:type="dxa"/>
            <w:vAlign w:val="bottom"/>
          </w:tcPr>
          <w:p>
            <w:pPr>
              <w:jc w:val="right"/>
              <w:ind w:right="179"/>
              <w:spacing w:after="0"/>
              <w:rPr>
                <w:sz w:val="20"/>
                <w:szCs w:val="20"/>
                <w:color w:val="auto"/>
              </w:rPr>
            </w:pPr>
            <w:r>
              <w:rPr>
                <w:rFonts w:ascii="Arial" w:cs="Arial" w:eastAsia="Arial" w:hAnsi="Arial"/>
                <w:sz w:val="16"/>
                <w:szCs w:val="16"/>
                <w:b w:val="1"/>
                <w:bCs w:val="1"/>
                <w:color w:val="0233A1"/>
              </w:rPr>
              <w:t>(a)</w:t>
            </w:r>
          </w:p>
        </w:tc>
        <w:tc>
          <w:tcPr>
            <w:tcW w:w="2020" w:type="dxa"/>
            <w:vAlign w:val="bottom"/>
          </w:tcPr>
          <w:p>
            <w:pPr>
              <w:jc w:val="right"/>
              <w:ind w:right="319"/>
              <w:spacing w:after="0"/>
              <w:rPr>
                <w:sz w:val="20"/>
                <w:szCs w:val="20"/>
                <w:color w:val="auto"/>
              </w:rPr>
            </w:pPr>
            <w:r>
              <w:rPr>
                <w:rFonts w:ascii="Arial" w:cs="Arial" w:eastAsia="Arial" w:hAnsi="Arial"/>
                <w:sz w:val="16"/>
                <w:szCs w:val="16"/>
                <w:b w:val="1"/>
                <w:bCs w:val="1"/>
                <w:color w:val="0233A1"/>
              </w:rPr>
              <w:t>(b)</w:t>
            </w:r>
          </w:p>
        </w:tc>
        <w:tc>
          <w:tcPr>
            <w:tcW w:w="2180" w:type="dxa"/>
            <w:vAlign w:val="bottom"/>
          </w:tcPr>
          <w:p>
            <w:pPr>
              <w:jc w:val="right"/>
              <w:ind w:right="179"/>
              <w:spacing w:after="0"/>
              <w:rPr>
                <w:sz w:val="20"/>
                <w:szCs w:val="20"/>
                <w:color w:val="auto"/>
              </w:rPr>
            </w:pPr>
            <w:r>
              <w:rPr>
                <w:rFonts w:ascii="Arial" w:cs="Arial" w:eastAsia="Arial" w:hAnsi="Arial"/>
                <w:sz w:val="16"/>
                <w:szCs w:val="16"/>
                <w:b w:val="1"/>
                <w:bCs w:val="1"/>
                <w:color w:val="0233A1"/>
              </w:rPr>
              <w:t>Number of securities</w:t>
            </w:r>
          </w:p>
        </w:tc>
      </w:tr>
      <w:tr>
        <w:trPr>
          <w:trHeight w:val="189"/>
        </w:trPr>
        <w:tc>
          <w:tcPr>
            <w:tcW w:w="5000" w:type="dxa"/>
            <w:vAlign w:val="bottom"/>
          </w:tcPr>
          <w:p>
            <w:pPr>
              <w:spacing w:after="0"/>
              <w:rPr>
                <w:sz w:val="16"/>
                <w:szCs w:val="16"/>
                <w:color w:val="auto"/>
              </w:rPr>
            </w:pPr>
          </w:p>
        </w:tc>
        <w:tc>
          <w:tcPr>
            <w:tcW w:w="2040" w:type="dxa"/>
            <w:vAlign w:val="bottom"/>
          </w:tcPr>
          <w:p>
            <w:pPr>
              <w:jc w:val="right"/>
              <w:ind w:right="179"/>
              <w:spacing w:after="0"/>
              <w:rPr>
                <w:sz w:val="20"/>
                <w:szCs w:val="20"/>
                <w:color w:val="auto"/>
              </w:rPr>
            </w:pPr>
            <w:r>
              <w:rPr>
                <w:rFonts w:ascii="Arial" w:cs="Arial" w:eastAsia="Arial" w:hAnsi="Arial"/>
                <w:sz w:val="16"/>
                <w:szCs w:val="16"/>
                <w:b w:val="1"/>
                <w:bCs w:val="1"/>
                <w:color w:val="0233A1"/>
              </w:rPr>
              <w:t>Number of</w:t>
            </w:r>
          </w:p>
        </w:tc>
        <w:tc>
          <w:tcPr>
            <w:tcW w:w="2020" w:type="dxa"/>
            <w:vAlign w:val="bottom"/>
          </w:tcPr>
          <w:p>
            <w:pPr>
              <w:jc w:val="right"/>
              <w:ind w:right="319"/>
              <w:spacing w:after="0"/>
              <w:rPr>
                <w:sz w:val="20"/>
                <w:szCs w:val="20"/>
                <w:color w:val="auto"/>
              </w:rPr>
            </w:pPr>
            <w:r>
              <w:rPr>
                <w:rFonts w:ascii="Arial" w:cs="Arial" w:eastAsia="Arial" w:hAnsi="Arial"/>
                <w:sz w:val="16"/>
                <w:szCs w:val="16"/>
                <w:b w:val="1"/>
                <w:bCs w:val="1"/>
                <w:color w:val="0233A1"/>
              </w:rPr>
              <w:t>Weighted-</w:t>
            </w:r>
          </w:p>
        </w:tc>
        <w:tc>
          <w:tcPr>
            <w:tcW w:w="2180" w:type="dxa"/>
            <w:vAlign w:val="bottom"/>
          </w:tcPr>
          <w:p>
            <w:pPr>
              <w:jc w:val="right"/>
              <w:ind w:right="179"/>
              <w:spacing w:after="0"/>
              <w:rPr>
                <w:sz w:val="20"/>
                <w:szCs w:val="20"/>
                <w:color w:val="auto"/>
              </w:rPr>
            </w:pPr>
            <w:r>
              <w:rPr>
                <w:rFonts w:ascii="Arial" w:cs="Arial" w:eastAsia="Arial" w:hAnsi="Arial"/>
                <w:sz w:val="16"/>
                <w:szCs w:val="16"/>
                <w:b w:val="1"/>
                <w:bCs w:val="1"/>
                <w:color w:val="0233A1"/>
              </w:rPr>
              <w:t>remaining available</w:t>
            </w:r>
          </w:p>
        </w:tc>
      </w:tr>
      <w:tr>
        <w:trPr>
          <w:trHeight w:val="189"/>
        </w:trPr>
        <w:tc>
          <w:tcPr>
            <w:tcW w:w="5000" w:type="dxa"/>
            <w:vAlign w:val="bottom"/>
          </w:tcPr>
          <w:p>
            <w:pPr>
              <w:spacing w:after="0"/>
              <w:rPr>
                <w:sz w:val="16"/>
                <w:szCs w:val="16"/>
                <w:color w:val="auto"/>
              </w:rPr>
            </w:pPr>
          </w:p>
        </w:tc>
        <w:tc>
          <w:tcPr>
            <w:tcW w:w="2040" w:type="dxa"/>
            <w:vAlign w:val="bottom"/>
          </w:tcPr>
          <w:p>
            <w:pPr>
              <w:jc w:val="right"/>
              <w:ind w:right="179"/>
              <w:spacing w:after="0"/>
              <w:rPr>
                <w:sz w:val="20"/>
                <w:szCs w:val="20"/>
                <w:color w:val="auto"/>
              </w:rPr>
            </w:pPr>
            <w:r>
              <w:rPr>
                <w:rFonts w:ascii="Arial" w:cs="Arial" w:eastAsia="Arial" w:hAnsi="Arial"/>
                <w:sz w:val="16"/>
                <w:szCs w:val="16"/>
                <w:b w:val="1"/>
                <w:bCs w:val="1"/>
                <w:color w:val="0233A1"/>
              </w:rPr>
              <w:t>securities to</w:t>
            </w:r>
          </w:p>
        </w:tc>
        <w:tc>
          <w:tcPr>
            <w:tcW w:w="2020" w:type="dxa"/>
            <w:vAlign w:val="bottom"/>
          </w:tcPr>
          <w:p>
            <w:pPr>
              <w:jc w:val="right"/>
              <w:ind w:right="319"/>
              <w:spacing w:after="0"/>
              <w:rPr>
                <w:sz w:val="20"/>
                <w:szCs w:val="20"/>
                <w:color w:val="auto"/>
              </w:rPr>
            </w:pPr>
            <w:r>
              <w:rPr>
                <w:rFonts w:ascii="Arial" w:cs="Arial" w:eastAsia="Arial" w:hAnsi="Arial"/>
                <w:sz w:val="16"/>
                <w:szCs w:val="16"/>
                <w:b w:val="1"/>
                <w:bCs w:val="1"/>
                <w:color w:val="0233A1"/>
              </w:rPr>
              <w:t>average</w:t>
            </w:r>
          </w:p>
        </w:tc>
        <w:tc>
          <w:tcPr>
            <w:tcW w:w="2180" w:type="dxa"/>
            <w:vAlign w:val="bottom"/>
          </w:tcPr>
          <w:p>
            <w:pPr>
              <w:jc w:val="right"/>
              <w:ind w:right="179"/>
              <w:spacing w:after="0"/>
              <w:rPr>
                <w:sz w:val="20"/>
                <w:szCs w:val="20"/>
                <w:color w:val="auto"/>
              </w:rPr>
            </w:pPr>
            <w:r>
              <w:rPr>
                <w:rFonts w:ascii="Arial" w:cs="Arial" w:eastAsia="Arial" w:hAnsi="Arial"/>
                <w:sz w:val="16"/>
                <w:szCs w:val="16"/>
                <w:b w:val="1"/>
                <w:bCs w:val="1"/>
                <w:color w:val="0233A1"/>
              </w:rPr>
              <w:t>for</w:t>
            </w:r>
          </w:p>
        </w:tc>
      </w:tr>
      <w:tr>
        <w:trPr>
          <w:trHeight w:val="189"/>
        </w:trPr>
        <w:tc>
          <w:tcPr>
            <w:tcW w:w="5000" w:type="dxa"/>
            <w:vAlign w:val="bottom"/>
          </w:tcPr>
          <w:p>
            <w:pPr>
              <w:spacing w:after="0"/>
              <w:rPr>
                <w:sz w:val="16"/>
                <w:szCs w:val="16"/>
                <w:color w:val="auto"/>
              </w:rPr>
            </w:pPr>
          </w:p>
        </w:tc>
        <w:tc>
          <w:tcPr>
            <w:tcW w:w="2040" w:type="dxa"/>
            <w:vAlign w:val="bottom"/>
          </w:tcPr>
          <w:p>
            <w:pPr>
              <w:jc w:val="right"/>
              <w:ind w:right="179"/>
              <w:spacing w:after="0"/>
              <w:rPr>
                <w:sz w:val="20"/>
                <w:szCs w:val="20"/>
                <w:color w:val="auto"/>
              </w:rPr>
            </w:pPr>
            <w:r>
              <w:rPr>
                <w:rFonts w:ascii="Arial" w:cs="Arial" w:eastAsia="Arial" w:hAnsi="Arial"/>
                <w:sz w:val="16"/>
                <w:szCs w:val="16"/>
                <w:b w:val="1"/>
                <w:bCs w:val="1"/>
                <w:color w:val="0233A1"/>
              </w:rPr>
              <w:t>be issued upon</w:t>
            </w:r>
          </w:p>
        </w:tc>
        <w:tc>
          <w:tcPr>
            <w:tcW w:w="2020" w:type="dxa"/>
            <w:vAlign w:val="bottom"/>
          </w:tcPr>
          <w:p>
            <w:pPr>
              <w:jc w:val="right"/>
              <w:ind w:right="319"/>
              <w:spacing w:after="0"/>
              <w:rPr>
                <w:sz w:val="20"/>
                <w:szCs w:val="20"/>
                <w:color w:val="auto"/>
              </w:rPr>
            </w:pPr>
            <w:r>
              <w:rPr>
                <w:rFonts w:ascii="Arial" w:cs="Arial" w:eastAsia="Arial" w:hAnsi="Arial"/>
                <w:sz w:val="16"/>
                <w:szCs w:val="16"/>
                <w:b w:val="1"/>
                <w:bCs w:val="1"/>
                <w:color w:val="0233A1"/>
              </w:rPr>
              <w:t>exercise price of</w:t>
            </w:r>
          </w:p>
        </w:tc>
        <w:tc>
          <w:tcPr>
            <w:tcW w:w="2180" w:type="dxa"/>
            <w:vAlign w:val="bottom"/>
          </w:tcPr>
          <w:p>
            <w:pPr>
              <w:jc w:val="right"/>
              <w:ind w:right="179"/>
              <w:spacing w:after="0"/>
              <w:rPr>
                <w:sz w:val="20"/>
                <w:szCs w:val="20"/>
                <w:color w:val="auto"/>
              </w:rPr>
            </w:pPr>
            <w:r>
              <w:rPr>
                <w:rFonts w:ascii="Arial" w:cs="Arial" w:eastAsia="Arial" w:hAnsi="Arial"/>
                <w:sz w:val="16"/>
                <w:szCs w:val="16"/>
                <w:b w:val="1"/>
                <w:bCs w:val="1"/>
                <w:color w:val="0233A1"/>
              </w:rPr>
              <w:t>future issuance under</w:t>
            </w:r>
          </w:p>
        </w:tc>
      </w:tr>
      <w:tr>
        <w:trPr>
          <w:trHeight w:val="189"/>
        </w:trPr>
        <w:tc>
          <w:tcPr>
            <w:tcW w:w="5000" w:type="dxa"/>
            <w:vAlign w:val="bottom"/>
          </w:tcPr>
          <w:p>
            <w:pPr>
              <w:spacing w:after="0"/>
              <w:rPr>
                <w:sz w:val="16"/>
                <w:szCs w:val="16"/>
                <w:color w:val="auto"/>
              </w:rPr>
            </w:pPr>
          </w:p>
        </w:tc>
        <w:tc>
          <w:tcPr>
            <w:tcW w:w="2040" w:type="dxa"/>
            <w:vAlign w:val="bottom"/>
          </w:tcPr>
          <w:p>
            <w:pPr>
              <w:jc w:val="right"/>
              <w:ind w:right="179"/>
              <w:spacing w:after="0"/>
              <w:rPr>
                <w:sz w:val="20"/>
                <w:szCs w:val="20"/>
                <w:color w:val="auto"/>
              </w:rPr>
            </w:pPr>
            <w:r>
              <w:rPr>
                <w:rFonts w:ascii="Arial" w:cs="Arial" w:eastAsia="Arial" w:hAnsi="Arial"/>
                <w:sz w:val="16"/>
                <w:szCs w:val="16"/>
                <w:b w:val="1"/>
                <w:bCs w:val="1"/>
                <w:color w:val="0233A1"/>
              </w:rPr>
              <w:t>exercise of</w:t>
            </w:r>
          </w:p>
        </w:tc>
        <w:tc>
          <w:tcPr>
            <w:tcW w:w="2020" w:type="dxa"/>
            <w:vAlign w:val="bottom"/>
          </w:tcPr>
          <w:p>
            <w:pPr>
              <w:jc w:val="right"/>
              <w:ind w:right="319"/>
              <w:spacing w:after="0"/>
              <w:rPr>
                <w:sz w:val="20"/>
                <w:szCs w:val="20"/>
                <w:color w:val="auto"/>
              </w:rPr>
            </w:pPr>
            <w:r>
              <w:rPr>
                <w:rFonts w:ascii="Arial" w:cs="Arial" w:eastAsia="Arial" w:hAnsi="Arial"/>
                <w:sz w:val="16"/>
                <w:szCs w:val="16"/>
                <w:b w:val="1"/>
                <w:bCs w:val="1"/>
                <w:color w:val="0233A1"/>
              </w:rPr>
              <w:t>such outstanding</w:t>
            </w:r>
          </w:p>
        </w:tc>
        <w:tc>
          <w:tcPr>
            <w:tcW w:w="2180" w:type="dxa"/>
            <w:vAlign w:val="bottom"/>
          </w:tcPr>
          <w:p>
            <w:pPr>
              <w:jc w:val="right"/>
              <w:ind w:right="179"/>
              <w:spacing w:after="0"/>
              <w:rPr>
                <w:sz w:val="20"/>
                <w:szCs w:val="20"/>
                <w:color w:val="auto"/>
              </w:rPr>
            </w:pPr>
            <w:r>
              <w:rPr>
                <w:rFonts w:ascii="Arial" w:cs="Arial" w:eastAsia="Arial" w:hAnsi="Arial"/>
                <w:sz w:val="16"/>
                <w:szCs w:val="16"/>
                <w:b w:val="1"/>
                <w:bCs w:val="1"/>
                <w:color w:val="0233A1"/>
              </w:rPr>
              <w:t>equity compensation</w:t>
            </w:r>
          </w:p>
        </w:tc>
      </w:tr>
      <w:tr>
        <w:trPr>
          <w:trHeight w:val="189"/>
        </w:trPr>
        <w:tc>
          <w:tcPr>
            <w:tcW w:w="5000" w:type="dxa"/>
            <w:vAlign w:val="bottom"/>
          </w:tcPr>
          <w:p>
            <w:pPr>
              <w:spacing w:after="0"/>
              <w:rPr>
                <w:sz w:val="16"/>
                <w:szCs w:val="16"/>
                <w:color w:val="auto"/>
              </w:rPr>
            </w:pPr>
          </w:p>
        </w:tc>
        <w:tc>
          <w:tcPr>
            <w:tcW w:w="2040" w:type="dxa"/>
            <w:vAlign w:val="bottom"/>
          </w:tcPr>
          <w:p>
            <w:pPr>
              <w:jc w:val="right"/>
              <w:ind w:right="179"/>
              <w:spacing w:after="0"/>
              <w:rPr>
                <w:sz w:val="20"/>
                <w:szCs w:val="20"/>
                <w:color w:val="auto"/>
              </w:rPr>
            </w:pPr>
            <w:r>
              <w:rPr>
                <w:rFonts w:ascii="Arial" w:cs="Arial" w:eastAsia="Arial" w:hAnsi="Arial"/>
                <w:sz w:val="16"/>
                <w:szCs w:val="16"/>
                <w:b w:val="1"/>
                <w:bCs w:val="1"/>
                <w:color w:val="0233A1"/>
              </w:rPr>
              <w:t>outstanding</w:t>
            </w:r>
          </w:p>
        </w:tc>
        <w:tc>
          <w:tcPr>
            <w:tcW w:w="2020" w:type="dxa"/>
            <w:vAlign w:val="bottom"/>
          </w:tcPr>
          <w:p>
            <w:pPr>
              <w:jc w:val="right"/>
              <w:ind w:right="319"/>
              <w:spacing w:after="0"/>
              <w:rPr>
                <w:sz w:val="20"/>
                <w:szCs w:val="20"/>
                <w:color w:val="auto"/>
              </w:rPr>
            </w:pPr>
            <w:r>
              <w:rPr>
                <w:rFonts w:ascii="Arial" w:cs="Arial" w:eastAsia="Arial" w:hAnsi="Arial"/>
                <w:sz w:val="16"/>
                <w:szCs w:val="16"/>
                <w:b w:val="1"/>
                <w:bCs w:val="1"/>
                <w:color w:val="0233A1"/>
              </w:rPr>
              <w:t>options, warrants</w:t>
            </w:r>
          </w:p>
        </w:tc>
        <w:tc>
          <w:tcPr>
            <w:tcW w:w="2180" w:type="dxa"/>
            <w:vAlign w:val="bottom"/>
          </w:tcPr>
          <w:p>
            <w:pPr>
              <w:jc w:val="right"/>
              <w:ind w:right="179"/>
              <w:spacing w:after="0"/>
              <w:rPr>
                <w:sz w:val="20"/>
                <w:szCs w:val="20"/>
                <w:color w:val="auto"/>
              </w:rPr>
            </w:pPr>
            <w:r>
              <w:rPr>
                <w:rFonts w:ascii="Arial" w:cs="Arial" w:eastAsia="Arial" w:hAnsi="Arial"/>
                <w:sz w:val="16"/>
                <w:szCs w:val="16"/>
                <w:b w:val="1"/>
                <w:bCs w:val="1"/>
                <w:color w:val="0233A1"/>
              </w:rPr>
              <w:t>plans (excluding</w:t>
            </w:r>
          </w:p>
        </w:tc>
      </w:tr>
      <w:tr>
        <w:trPr>
          <w:trHeight w:val="163"/>
        </w:trPr>
        <w:tc>
          <w:tcPr>
            <w:tcW w:w="5000" w:type="dxa"/>
            <w:vAlign w:val="bottom"/>
          </w:tcPr>
          <w:p>
            <w:pPr>
              <w:spacing w:after="0"/>
              <w:rPr>
                <w:sz w:val="14"/>
                <w:szCs w:val="14"/>
                <w:color w:val="auto"/>
              </w:rPr>
            </w:pPr>
          </w:p>
        </w:tc>
        <w:tc>
          <w:tcPr>
            <w:tcW w:w="2040" w:type="dxa"/>
            <w:vAlign w:val="bottom"/>
          </w:tcPr>
          <w:p>
            <w:pPr>
              <w:jc w:val="right"/>
              <w:ind w:right="179"/>
              <w:spacing w:after="0" w:line="163" w:lineRule="exact"/>
              <w:rPr>
                <w:sz w:val="20"/>
                <w:szCs w:val="20"/>
                <w:color w:val="auto"/>
              </w:rPr>
            </w:pPr>
            <w:r>
              <w:rPr>
                <w:rFonts w:ascii="Arial" w:cs="Arial" w:eastAsia="Arial" w:hAnsi="Arial"/>
                <w:sz w:val="16"/>
                <w:szCs w:val="16"/>
                <w:b w:val="1"/>
                <w:bCs w:val="1"/>
                <w:color w:val="0233A1"/>
              </w:rPr>
              <w:t>options, warrants</w:t>
            </w:r>
          </w:p>
        </w:tc>
        <w:tc>
          <w:tcPr>
            <w:tcW w:w="2020" w:type="dxa"/>
            <w:vAlign w:val="bottom"/>
          </w:tcPr>
          <w:p>
            <w:pPr>
              <w:jc w:val="right"/>
              <w:ind w:right="319"/>
              <w:spacing w:after="0" w:line="163" w:lineRule="exact"/>
              <w:rPr>
                <w:sz w:val="20"/>
                <w:szCs w:val="20"/>
                <w:color w:val="auto"/>
              </w:rPr>
            </w:pPr>
            <w:r>
              <w:rPr>
                <w:rFonts w:ascii="Arial" w:cs="Arial" w:eastAsia="Arial" w:hAnsi="Arial"/>
                <w:sz w:val="16"/>
                <w:szCs w:val="16"/>
                <w:b w:val="1"/>
                <w:bCs w:val="1"/>
                <w:color w:val="0233A1"/>
              </w:rPr>
              <w:t>and rights</w:t>
            </w:r>
          </w:p>
        </w:tc>
        <w:tc>
          <w:tcPr>
            <w:tcW w:w="2180" w:type="dxa"/>
            <w:vAlign w:val="bottom"/>
          </w:tcPr>
          <w:p>
            <w:pPr>
              <w:jc w:val="right"/>
              <w:ind w:right="179"/>
              <w:spacing w:after="0" w:line="163" w:lineRule="exact"/>
              <w:rPr>
                <w:sz w:val="20"/>
                <w:szCs w:val="20"/>
                <w:color w:val="auto"/>
              </w:rPr>
            </w:pPr>
            <w:r>
              <w:rPr>
                <w:rFonts w:ascii="Arial" w:cs="Arial" w:eastAsia="Arial" w:hAnsi="Arial"/>
                <w:sz w:val="16"/>
                <w:szCs w:val="16"/>
                <w:b w:val="1"/>
                <w:bCs w:val="1"/>
                <w:color w:val="0233A1"/>
              </w:rPr>
              <w:t>securities reflected in</w:t>
            </w:r>
          </w:p>
        </w:tc>
      </w:tr>
      <w:tr>
        <w:trPr>
          <w:trHeight w:val="230"/>
        </w:trPr>
        <w:tc>
          <w:tcPr>
            <w:tcW w:w="500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Plan category</w:t>
            </w:r>
          </w:p>
        </w:tc>
        <w:tc>
          <w:tcPr>
            <w:tcW w:w="2040" w:type="dxa"/>
            <w:vAlign w:val="bottom"/>
            <w:tcBorders>
              <w:bottom w:val="single" w:sz="8" w:color="0233A1"/>
            </w:tcBorders>
          </w:tcPr>
          <w:p>
            <w:pPr>
              <w:jc w:val="right"/>
              <w:ind w:right="179"/>
              <w:spacing w:after="0"/>
              <w:rPr>
                <w:sz w:val="20"/>
                <w:szCs w:val="20"/>
                <w:color w:val="auto"/>
              </w:rPr>
            </w:pPr>
            <w:r>
              <w:rPr>
                <w:rFonts w:ascii="Arial" w:cs="Arial" w:eastAsia="Arial" w:hAnsi="Arial"/>
                <w:sz w:val="16"/>
                <w:szCs w:val="16"/>
                <w:b w:val="1"/>
                <w:bCs w:val="1"/>
                <w:color w:val="0233A1"/>
              </w:rPr>
              <w:t>and rights</w:t>
            </w:r>
          </w:p>
        </w:tc>
        <w:tc>
          <w:tcPr>
            <w:tcW w:w="2020" w:type="dxa"/>
            <w:vAlign w:val="bottom"/>
            <w:tcBorders>
              <w:bottom w:val="single" w:sz="8" w:color="0233A1"/>
            </w:tcBorders>
          </w:tcPr>
          <w:p>
            <w:pPr>
              <w:jc w:val="right"/>
              <w:ind w:right="159"/>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(1)</w:t>
            </w:r>
          </w:p>
        </w:tc>
        <w:tc>
          <w:tcPr>
            <w:tcW w:w="2180" w:type="dxa"/>
            <w:vAlign w:val="bottom"/>
            <w:tcBorders>
              <w:bottom w:val="single" w:sz="8" w:color="0233A1"/>
            </w:tcBorders>
          </w:tcPr>
          <w:p>
            <w:pPr>
              <w:jc w:val="right"/>
              <w:ind w:right="179"/>
              <w:spacing w:after="0"/>
              <w:rPr>
                <w:sz w:val="20"/>
                <w:szCs w:val="20"/>
                <w:color w:val="auto"/>
              </w:rPr>
            </w:pPr>
            <w:r>
              <w:rPr>
                <w:rFonts w:ascii="Arial" w:cs="Arial" w:eastAsia="Arial" w:hAnsi="Arial"/>
                <w:sz w:val="16"/>
                <w:szCs w:val="16"/>
                <w:b w:val="1"/>
                <w:bCs w:val="1"/>
                <w:color w:val="0233A1"/>
              </w:rPr>
              <w:t>column (a))</w:t>
            </w:r>
          </w:p>
        </w:tc>
      </w:tr>
      <w:tr>
        <w:trPr>
          <w:trHeight w:val="224"/>
        </w:trPr>
        <w:tc>
          <w:tcPr>
            <w:tcW w:w="5000" w:type="dxa"/>
            <w:vAlign w:val="bottom"/>
          </w:tcPr>
          <w:p>
            <w:pPr>
              <w:ind w:left="60"/>
              <w:spacing w:after="0"/>
              <w:rPr>
                <w:sz w:val="20"/>
                <w:szCs w:val="20"/>
                <w:color w:val="auto"/>
              </w:rPr>
            </w:pPr>
            <w:r>
              <w:rPr>
                <w:rFonts w:ascii="Arial" w:cs="Arial" w:eastAsia="Arial" w:hAnsi="Arial"/>
                <w:sz w:val="16"/>
                <w:szCs w:val="16"/>
                <w:color w:val="auto"/>
              </w:rPr>
              <w:t>Equity compensation plans approved by security holders</w:t>
            </w:r>
          </w:p>
        </w:tc>
        <w:tc>
          <w:tcPr>
            <w:tcW w:w="2040" w:type="dxa"/>
            <w:vAlign w:val="bottom"/>
          </w:tcPr>
          <w:p>
            <w:pPr>
              <w:jc w:val="right"/>
              <w:ind w:right="179"/>
              <w:spacing w:after="0"/>
              <w:rPr>
                <w:sz w:val="20"/>
                <w:szCs w:val="20"/>
                <w:color w:val="auto"/>
              </w:rPr>
            </w:pPr>
            <w:r>
              <w:rPr>
                <w:rFonts w:ascii="Arial" w:cs="Arial" w:eastAsia="Arial" w:hAnsi="Arial"/>
                <w:sz w:val="16"/>
                <w:szCs w:val="16"/>
                <w:color w:val="auto"/>
              </w:rPr>
              <w:t>33,525,663</w:t>
            </w:r>
          </w:p>
        </w:tc>
        <w:tc>
          <w:tcPr>
            <w:tcW w:w="2020" w:type="dxa"/>
            <w:vAlign w:val="bottom"/>
          </w:tcPr>
          <w:p>
            <w:pPr>
              <w:jc w:val="right"/>
              <w:ind w:right="319"/>
              <w:spacing w:after="0"/>
              <w:rPr>
                <w:sz w:val="20"/>
                <w:szCs w:val="20"/>
                <w:color w:val="auto"/>
              </w:rPr>
            </w:pPr>
            <w:r>
              <w:rPr>
                <w:rFonts w:ascii="Arial" w:cs="Arial" w:eastAsia="Arial" w:hAnsi="Arial"/>
                <w:sz w:val="16"/>
                <w:szCs w:val="16"/>
                <w:color w:val="auto"/>
              </w:rPr>
              <w:t>70.41</w:t>
            </w:r>
          </w:p>
        </w:tc>
        <w:tc>
          <w:tcPr>
            <w:tcW w:w="2180" w:type="dxa"/>
            <w:vAlign w:val="bottom"/>
          </w:tcPr>
          <w:p>
            <w:pPr>
              <w:jc w:val="right"/>
              <w:ind w:right="19"/>
              <w:spacing w:after="0" w:line="223" w:lineRule="exact"/>
              <w:rPr>
                <w:sz w:val="20"/>
                <w:szCs w:val="20"/>
                <w:color w:val="auto"/>
              </w:rPr>
            </w:pPr>
            <w:r>
              <w:rPr>
                <w:rFonts w:ascii="Arial" w:cs="Arial" w:eastAsia="Arial" w:hAnsi="Arial"/>
                <w:sz w:val="16"/>
                <w:szCs w:val="16"/>
                <w:color w:val="auto"/>
              </w:rPr>
              <w:t>48,886,386</w:t>
            </w:r>
            <w:r>
              <w:rPr>
                <w:rFonts w:ascii="Arial" w:cs="Arial" w:eastAsia="Arial" w:hAnsi="Arial"/>
                <w:sz w:val="25"/>
                <w:szCs w:val="25"/>
                <w:color w:val="auto"/>
                <w:vertAlign w:val="superscript"/>
              </w:rPr>
              <w:t>(2)</w:t>
            </w:r>
          </w:p>
        </w:tc>
      </w:tr>
      <w:tr>
        <w:trPr>
          <w:trHeight w:val="242"/>
        </w:trPr>
        <w:tc>
          <w:tcPr>
            <w:tcW w:w="5000" w:type="dxa"/>
            <w:vAlign w:val="bottom"/>
            <w:tcBorders>
              <w:bottom w:val="single" w:sz="8" w:color="0233A1"/>
            </w:tcBorders>
          </w:tcPr>
          <w:p>
            <w:pPr>
              <w:ind w:left="60"/>
              <w:spacing w:after="0" w:line="242" w:lineRule="exact"/>
              <w:rPr>
                <w:sz w:val="20"/>
                <w:szCs w:val="20"/>
                <w:color w:val="auto"/>
              </w:rPr>
            </w:pPr>
            <w:r>
              <w:rPr>
                <w:rFonts w:ascii="Arial" w:cs="Arial" w:eastAsia="Arial" w:hAnsi="Arial"/>
                <w:sz w:val="16"/>
                <w:szCs w:val="16"/>
                <w:color w:val="auto"/>
              </w:rPr>
              <w:t>Equity compensation plans not approved by security holders</w:t>
            </w:r>
            <w:r>
              <w:rPr>
                <w:rFonts w:ascii="Arial" w:cs="Arial" w:eastAsia="Arial" w:hAnsi="Arial"/>
                <w:sz w:val="26"/>
                <w:szCs w:val="26"/>
                <w:color w:val="auto"/>
                <w:vertAlign w:val="superscript"/>
              </w:rPr>
              <w:t>(3)</w:t>
            </w:r>
          </w:p>
        </w:tc>
        <w:tc>
          <w:tcPr>
            <w:tcW w:w="2040" w:type="dxa"/>
            <w:vAlign w:val="bottom"/>
            <w:tcBorders>
              <w:bottom w:val="single" w:sz="8" w:color="0233A1"/>
            </w:tcBorders>
          </w:tcPr>
          <w:p>
            <w:pPr>
              <w:jc w:val="right"/>
              <w:ind w:right="179"/>
              <w:spacing w:after="0"/>
              <w:rPr>
                <w:sz w:val="20"/>
                <w:szCs w:val="20"/>
                <w:color w:val="auto"/>
              </w:rPr>
            </w:pPr>
            <w:r>
              <w:rPr>
                <w:rFonts w:ascii="Arial" w:cs="Arial" w:eastAsia="Arial" w:hAnsi="Arial"/>
                <w:sz w:val="16"/>
                <w:szCs w:val="16"/>
                <w:color w:val="auto"/>
              </w:rPr>
              <w:t>1,575,266</w:t>
            </w:r>
          </w:p>
        </w:tc>
        <w:tc>
          <w:tcPr>
            <w:tcW w:w="2020" w:type="dxa"/>
            <w:vAlign w:val="bottom"/>
            <w:tcBorders>
              <w:bottom w:val="single" w:sz="8" w:color="0233A1"/>
            </w:tcBorders>
          </w:tcPr>
          <w:p>
            <w:pPr>
              <w:jc w:val="right"/>
              <w:ind w:right="319"/>
              <w:spacing w:after="0"/>
              <w:rPr>
                <w:sz w:val="20"/>
                <w:szCs w:val="20"/>
                <w:color w:val="auto"/>
              </w:rPr>
            </w:pPr>
            <w:r>
              <w:rPr>
                <w:rFonts w:ascii="Arial" w:cs="Arial" w:eastAsia="Arial" w:hAnsi="Arial"/>
                <w:sz w:val="16"/>
                <w:szCs w:val="16"/>
                <w:color w:val="auto"/>
              </w:rPr>
              <w:t>68.28</w:t>
            </w:r>
          </w:p>
        </w:tc>
        <w:tc>
          <w:tcPr>
            <w:tcW w:w="2180" w:type="dxa"/>
            <w:vAlign w:val="bottom"/>
            <w:tcBorders>
              <w:bottom w:val="single" w:sz="8" w:color="0233A1"/>
            </w:tcBorders>
          </w:tcPr>
          <w:p>
            <w:pPr>
              <w:jc w:val="right"/>
              <w:ind w:right="179"/>
              <w:spacing w:after="0"/>
              <w:rPr>
                <w:sz w:val="20"/>
                <w:szCs w:val="20"/>
                <w:color w:val="auto"/>
              </w:rPr>
            </w:pPr>
            <w:r>
              <w:rPr>
                <w:rFonts w:ascii="Arial" w:cs="Arial" w:eastAsia="Arial" w:hAnsi="Arial"/>
                <w:sz w:val="16"/>
                <w:szCs w:val="16"/>
                <w:color w:val="auto"/>
              </w:rPr>
              <w:t>—</w:t>
            </w:r>
          </w:p>
        </w:tc>
      </w:tr>
      <w:tr>
        <w:trPr>
          <w:trHeight w:val="230"/>
        </w:trPr>
        <w:tc>
          <w:tcPr>
            <w:tcW w:w="5000" w:type="dxa"/>
            <w:vAlign w:val="bottom"/>
            <w:tcBorders>
              <w:bottom w:val="single" w:sz="8" w:color="0233A1"/>
            </w:tcBorders>
            <w:shd w:val="clear" w:color="auto" w:fill="E0E2EC"/>
          </w:tcPr>
          <w:p>
            <w:pPr>
              <w:ind w:left="60"/>
              <w:spacing w:after="0"/>
              <w:rPr>
                <w:sz w:val="20"/>
                <w:szCs w:val="20"/>
                <w:color w:val="auto"/>
              </w:rPr>
            </w:pPr>
            <w:r>
              <w:rPr>
                <w:rFonts w:ascii="Arial" w:cs="Arial" w:eastAsia="Arial" w:hAnsi="Arial"/>
                <w:sz w:val="16"/>
                <w:szCs w:val="16"/>
                <w:b w:val="1"/>
                <w:bCs w:val="1"/>
                <w:color w:val="0233A1"/>
              </w:rPr>
              <w:t>Total</w:t>
            </w:r>
          </w:p>
        </w:tc>
        <w:tc>
          <w:tcPr>
            <w:tcW w:w="2040" w:type="dxa"/>
            <w:vAlign w:val="bottom"/>
            <w:tcBorders>
              <w:bottom w:val="single" w:sz="8" w:color="0233A1"/>
            </w:tcBorders>
            <w:shd w:val="clear" w:color="auto" w:fill="E0E2EC"/>
          </w:tcPr>
          <w:p>
            <w:pPr>
              <w:jc w:val="right"/>
              <w:ind w:right="179"/>
              <w:spacing w:after="0"/>
              <w:rPr>
                <w:sz w:val="20"/>
                <w:szCs w:val="20"/>
                <w:color w:val="auto"/>
              </w:rPr>
            </w:pPr>
            <w:r>
              <w:rPr>
                <w:rFonts w:ascii="Arial" w:cs="Arial" w:eastAsia="Arial" w:hAnsi="Arial"/>
                <w:sz w:val="16"/>
                <w:szCs w:val="16"/>
                <w:b w:val="1"/>
                <w:bCs w:val="1"/>
                <w:color w:val="0233A1"/>
              </w:rPr>
              <w:t>35,100,929</w:t>
            </w:r>
          </w:p>
        </w:tc>
        <w:tc>
          <w:tcPr>
            <w:tcW w:w="2020" w:type="dxa"/>
            <w:vAlign w:val="bottom"/>
            <w:tcBorders>
              <w:bottom w:val="single" w:sz="8" w:color="0233A1"/>
            </w:tcBorders>
            <w:shd w:val="clear" w:color="auto" w:fill="E0E2EC"/>
          </w:tcPr>
          <w:p>
            <w:pPr>
              <w:jc w:val="right"/>
              <w:ind w:right="319"/>
              <w:spacing w:after="0"/>
              <w:rPr>
                <w:sz w:val="20"/>
                <w:szCs w:val="20"/>
                <w:color w:val="auto"/>
              </w:rPr>
            </w:pPr>
            <w:r>
              <w:rPr>
                <w:rFonts w:ascii="Arial" w:cs="Arial" w:eastAsia="Arial" w:hAnsi="Arial"/>
                <w:sz w:val="16"/>
                <w:szCs w:val="16"/>
                <w:b w:val="1"/>
                <w:bCs w:val="1"/>
                <w:color w:val="0233A1"/>
              </w:rPr>
              <w:t>70.31</w:t>
            </w:r>
          </w:p>
        </w:tc>
        <w:tc>
          <w:tcPr>
            <w:tcW w:w="2180" w:type="dxa"/>
            <w:vAlign w:val="bottom"/>
            <w:tcBorders>
              <w:bottom w:val="single" w:sz="8" w:color="0233A1"/>
            </w:tcBorders>
            <w:shd w:val="clear" w:color="auto" w:fill="E0E2EC"/>
          </w:tcPr>
          <w:p>
            <w:pPr>
              <w:jc w:val="right"/>
              <w:ind w:right="19"/>
              <w:spacing w:after="0" w:line="223" w:lineRule="exact"/>
              <w:rPr>
                <w:sz w:val="20"/>
                <w:szCs w:val="20"/>
                <w:color w:val="auto"/>
              </w:rPr>
            </w:pPr>
            <w:r>
              <w:rPr>
                <w:rFonts w:ascii="Arial" w:cs="Arial" w:eastAsia="Arial" w:hAnsi="Arial"/>
                <w:sz w:val="16"/>
                <w:szCs w:val="16"/>
                <w:b w:val="1"/>
                <w:bCs w:val="1"/>
                <w:color w:val="0233A1"/>
              </w:rPr>
              <w:t>48,886,386</w:t>
            </w:r>
            <w:r>
              <w:rPr>
                <w:rFonts w:ascii="Arial" w:cs="Arial" w:eastAsia="Arial" w:hAnsi="Arial"/>
                <w:sz w:val="25"/>
                <w:szCs w:val="25"/>
                <w:b w:val="1"/>
                <w:bCs w:val="1"/>
                <w:color w:val="0233A1"/>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8890"/>
            <wp:wrapNone/>
            <wp:docPr id="3631" name="Picture 3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1"/>
                    <pic:cNvPicPr>
                      <a:picLocks noChangeAspect="1" noChangeArrowheads="1"/>
                    </pic:cNvPicPr>
                  </pic:nvPicPr>
                  <pic:blipFill>
                    <a:blip r:embed="rId36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 w:lineRule="exact"/>
        <w:rPr>
          <w:sz w:val="20"/>
          <w:szCs w:val="20"/>
          <w:color w:val="auto"/>
        </w:rPr>
      </w:pPr>
    </w:p>
    <w:p>
      <w:pPr>
        <w:ind w:left="380" w:hanging="318"/>
        <w:spacing w:after="0"/>
        <w:tabs>
          <w:tab w:leader="none" w:pos="3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weighted average price does not take into account shares issuable upon the vesting of outstanding PSUs or RSUs, which have no exercise price.</w:t>
      </w:r>
    </w:p>
    <w:p>
      <w:pPr>
        <w:spacing w:after="0" w:line="55" w:lineRule="exact"/>
        <w:rPr>
          <w:rFonts w:ascii="Arial" w:cs="Arial" w:eastAsia="Arial" w:hAnsi="Arial"/>
          <w:sz w:val="14"/>
          <w:szCs w:val="14"/>
          <w:color w:val="auto"/>
        </w:rPr>
      </w:pPr>
    </w:p>
    <w:p>
      <w:pPr>
        <w:ind w:left="380" w:hanging="318"/>
        <w:spacing w:after="0"/>
        <w:tabs>
          <w:tab w:leader="none" w:pos="3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Includes 570,973 shares of common stock issuable under the Directors Stock Plan at December 31, 2022.</w:t>
      </w:r>
    </w:p>
    <w:p>
      <w:pPr>
        <w:spacing w:after="0" w:line="55" w:lineRule="exact"/>
        <w:rPr>
          <w:rFonts w:ascii="Arial" w:cs="Arial" w:eastAsia="Arial" w:hAnsi="Arial"/>
          <w:sz w:val="14"/>
          <w:szCs w:val="14"/>
          <w:color w:val="auto"/>
        </w:rPr>
      </w:pPr>
    </w:p>
    <w:p>
      <w:pPr>
        <w:ind w:left="380" w:hanging="318"/>
        <w:spacing w:after="0"/>
        <w:tabs>
          <w:tab w:leader="none" w:pos="3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Consists solely of options that were assumed in connection with our 2016 acquisition of Cameron, none of which are held by our NEOs.</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 xml:space="preserve">Equity compensation plans approved by our shareholders include the Directors Stock Plan, as amended and restated; the 2017 Incentive Plan; the 2013 SLB Omnibus Stock Incentive Plan, as amended and restated; the 2010 SLB Omnibus Stock Incentive Plan, as amended and restated (the </w:t>
      </w:r>
      <w:r>
        <w:rPr>
          <w:rFonts w:ascii="Arial" w:cs="Arial" w:eastAsia="Arial" w:hAnsi="Arial"/>
          <w:sz w:val="16"/>
          <w:szCs w:val="16"/>
          <w:b w:val="1"/>
          <w:bCs w:val="1"/>
          <w:color w:val="auto"/>
        </w:rPr>
        <w:t>2010 Incentive</w:t>
      </w:r>
      <w:r>
        <w:rPr>
          <w:rFonts w:ascii="Arial" w:cs="Arial" w:eastAsia="Arial" w:hAnsi="Arial"/>
          <w:sz w:val="16"/>
          <w:szCs w:val="16"/>
          <w:color w:val="auto"/>
        </w:rPr>
        <w:t xml:space="preserve"> </w:t>
      </w:r>
      <w:r>
        <w:rPr>
          <w:rFonts w:ascii="Arial" w:cs="Arial" w:eastAsia="Arial" w:hAnsi="Arial"/>
          <w:sz w:val="16"/>
          <w:szCs w:val="16"/>
          <w:b w:val="1"/>
          <w:bCs w:val="1"/>
          <w:color w:val="auto"/>
        </w:rPr>
        <w:t>Plan</w:t>
      </w:r>
      <w:r>
        <w:rPr>
          <w:rFonts w:ascii="Arial" w:cs="Arial" w:eastAsia="Arial" w:hAnsi="Arial"/>
          <w:sz w:val="16"/>
          <w:szCs w:val="16"/>
          <w:color w:val="auto"/>
        </w:rPr>
        <w:t>); the French Sub Plan under the 2010, 2013 and 2017 SLB Omnibus Stock Incentive Plans, as amended and restated; the SLB Discounted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Purchase Plan, as amended and restated; the SLB 2008 Stock Incentive Plan, as amended and restated (the </w:t>
      </w:r>
      <w:r>
        <w:rPr>
          <w:rFonts w:ascii="Arial" w:cs="Arial" w:eastAsia="Arial" w:hAnsi="Arial"/>
          <w:sz w:val="16"/>
          <w:szCs w:val="16"/>
          <w:b w:val="1"/>
          <w:bCs w:val="1"/>
          <w:color w:val="auto"/>
        </w:rPr>
        <w:t>2008 Incentive Plan</w:t>
      </w:r>
      <w:r>
        <w:rPr>
          <w:rFonts w:ascii="Arial" w:cs="Arial" w:eastAsia="Arial" w:hAnsi="Arial"/>
          <w:sz w:val="16"/>
          <w:szCs w:val="16"/>
          <w:color w:val="auto"/>
        </w:rPr>
        <w:t xml:space="preserve">); and the SLB 2005 Stock Incentive Plan, as amended and restated (the </w:t>
      </w:r>
      <w:r>
        <w:rPr>
          <w:rFonts w:ascii="Arial" w:cs="Arial" w:eastAsia="Arial" w:hAnsi="Arial"/>
          <w:sz w:val="16"/>
          <w:szCs w:val="16"/>
          <w:b w:val="1"/>
          <w:bCs w:val="1"/>
          <w:color w:val="auto"/>
        </w:rPr>
        <w:t>2005 Incentive Plan</w:t>
      </w:r>
      <w:r>
        <w:rPr>
          <w:rFonts w:ascii="Arial" w:cs="Arial" w:eastAsia="Arial" w:hAnsi="Arial"/>
          <w:sz w:val="16"/>
          <w:szCs w:val="16"/>
          <w:color w:val="auto"/>
        </w:rPr>
        <w:t>). There are no securities issuable under the 2010 Incentive Plan, the 2008 Incentive Plan or the 2005 Incentive Plan, other than shares of our common stock issuable upon the exercise of stock options currently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149860</wp:posOffset>
            </wp:positionV>
            <wp:extent cx="471805" cy="282575"/>
            <wp:wrapNone/>
            <wp:docPr id="3632" name="Picture 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2"/>
                    <pic:cNvPicPr>
                      <a:picLocks noChangeAspect="1" noChangeArrowheads="1"/>
                    </pic:cNvPicPr>
                  </pic:nvPicPr>
                  <pic:blipFill>
                    <a:blip r:embed="rId3639">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Pr>
          <w:p>
            <w:pPr>
              <w:spacing w:after="0"/>
              <w:rPr>
                <w:sz w:val="9"/>
                <w:szCs w:val="9"/>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59</w:t>
            </w:r>
          </w:p>
        </w:tc>
        <w:tc>
          <w:tcPr>
            <w:tcW w:w="44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16458B"/>
        </w:rPr>
        <w:t>CEO Pay Ratio</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Based on the methodology described below, our CEO’s 2022 total compensation was 142 times that of our median employee.</w:t>
      </w:r>
    </w:p>
    <w:p>
      <w:pPr>
        <w:spacing w:after="0" w:line="1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For 2022, we used the same median employee that we had identified as of October 2020. There have been no changes in our employee population or our compensation arrangements since October 2020 that we believe would result in a significant change in our pay ratio disclosure or our median employee. As in 2020 and 2021, our median employee was a full-time, salaried employee working in Nigeria as a technical sales professional. To calculate that employee’s total compensation, we first calculated all of the elements of the employee’s compensation for 2022, and then converted this total compensation amount to U.S. dollars using a blended exchange rate representing the average exchange rate during 2022 (</w:t>
      </w:r>
      <w:r>
        <w:rPr>
          <w:rFonts w:ascii="Arial" w:cs="Arial" w:eastAsia="Arial" w:hAnsi="Arial"/>
          <w:sz w:val="16"/>
          <w:szCs w:val="16"/>
          <w:i w:val="1"/>
          <w:iCs w:val="1"/>
          <w:color w:val="auto"/>
        </w:rPr>
        <w:t>i.e.</w:t>
      </w:r>
      <w:r>
        <w:rPr>
          <w:rFonts w:ascii="Arial" w:cs="Arial" w:eastAsia="Arial" w:hAnsi="Arial"/>
          <w:sz w:val="16"/>
          <w:szCs w:val="16"/>
          <w:color w:val="auto"/>
        </w:rPr>
        <w:t xml:space="preserve"> 422 Nigerian Naira to one U.S. dollar). The resulting 2022 total compensation of our median employee was $110,784. Our CEO’s total compensation for 2022 was $15,713,757 (as reflected in the Summary Compensation Table)</w:t>
      </w:r>
      <w:r>
        <w:rPr>
          <w:rFonts w:ascii="Arial" w:cs="Arial" w:eastAsia="Arial" w:hAnsi="Arial"/>
          <w:sz w:val="16"/>
          <w:szCs w:val="16"/>
          <w:color w:val="FF00FF"/>
        </w:rPr>
        <w:t>.</w:t>
      </w:r>
    </w:p>
    <w:p>
      <w:pPr>
        <w:spacing w:after="0" w:line="15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pay ratio is affected by many factors, and may not be comparable to the pay ratios reported by other companies, even in the technology and energy services industries. For example, the following factors may affect the comparability of our pay ratio:</w:t>
      </w:r>
    </w:p>
    <w:p>
      <w:pPr>
        <w:spacing w:after="0" w:line="129" w:lineRule="exact"/>
        <w:rPr>
          <w:sz w:val="20"/>
          <w:szCs w:val="20"/>
          <w:color w:val="auto"/>
        </w:rPr>
      </w:pPr>
    </w:p>
    <w:p>
      <w:pPr>
        <w:ind w:left="500" w:hanging="168"/>
        <w:spacing w:after="0"/>
        <w:tabs>
          <w:tab w:leader="none" w:pos="500" w:val="left"/>
        </w:tabs>
        <w:numPr>
          <w:ilvl w:val="0"/>
          <w:numId w:val="63"/>
        </w:numPr>
        <w:rPr>
          <w:rFonts w:ascii="Arial" w:cs="Arial" w:eastAsia="Arial" w:hAnsi="Arial"/>
          <w:sz w:val="16"/>
          <w:szCs w:val="16"/>
          <w:b w:val="1"/>
          <w:bCs w:val="1"/>
          <w:color w:val="0233A1"/>
        </w:rPr>
      </w:pPr>
      <w:r>
        <w:rPr>
          <w:rFonts w:ascii="Arial" w:cs="Arial" w:eastAsia="Arial" w:hAnsi="Arial"/>
          <w:sz w:val="16"/>
          <w:szCs w:val="16"/>
          <w:color w:val="auto"/>
        </w:rPr>
        <w:t>our large global workforce, which may have significantly lower wages than U.S.- or European-based wages;</w:t>
      </w:r>
    </w:p>
    <w:p>
      <w:pPr>
        <w:spacing w:after="0" w:line="99" w:lineRule="exact"/>
        <w:rPr>
          <w:rFonts w:ascii="Arial" w:cs="Arial" w:eastAsia="Arial" w:hAnsi="Arial"/>
          <w:sz w:val="16"/>
          <w:szCs w:val="16"/>
          <w:b w:val="1"/>
          <w:bCs w:val="1"/>
          <w:color w:val="0233A1"/>
        </w:rPr>
      </w:pPr>
    </w:p>
    <w:p>
      <w:pPr>
        <w:ind w:left="500" w:right="380" w:hanging="168"/>
        <w:spacing w:after="0" w:line="286" w:lineRule="auto"/>
        <w:tabs>
          <w:tab w:leader="none" w:pos="500" w:val="left"/>
        </w:tabs>
        <w:numPr>
          <w:ilvl w:val="0"/>
          <w:numId w:val="63"/>
        </w:numPr>
        <w:rPr>
          <w:rFonts w:ascii="Arial" w:cs="Arial" w:eastAsia="Arial" w:hAnsi="Arial"/>
          <w:sz w:val="16"/>
          <w:szCs w:val="16"/>
          <w:b w:val="1"/>
          <w:bCs w:val="1"/>
          <w:color w:val="0233A1"/>
        </w:rPr>
      </w:pPr>
      <w:r>
        <w:rPr>
          <w:rFonts w:ascii="Arial" w:cs="Arial" w:eastAsia="Arial" w:hAnsi="Arial"/>
          <w:sz w:val="16"/>
          <w:szCs w:val="16"/>
          <w:color w:val="auto"/>
        </w:rPr>
        <w:t>varied methodologies for calculating total compensation for both the median employee and our CEO, which may include exclusions that SLB has elected not to make; and</w:t>
      </w:r>
    </w:p>
    <w:p>
      <w:pPr>
        <w:spacing w:after="0" w:line="20" w:lineRule="exact"/>
        <w:rPr>
          <w:rFonts w:ascii="Arial" w:cs="Arial" w:eastAsia="Arial" w:hAnsi="Arial"/>
          <w:sz w:val="16"/>
          <w:szCs w:val="16"/>
          <w:b w:val="1"/>
          <w:bCs w:val="1"/>
          <w:color w:val="0233A1"/>
        </w:rPr>
      </w:pPr>
    </w:p>
    <w:p>
      <w:pPr>
        <w:ind w:left="500" w:hanging="168"/>
        <w:spacing w:after="0"/>
        <w:tabs>
          <w:tab w:leader="none" w:pos="500" w:val="left"/>
        </w:tabs>
        <w:numPr>
          <w:ilvl w:val="0"/>
          <w:numId w:val="63"/>
        </w:numPr>
        <w:rPr>
          <w:rFonts w:ascii="Arial" w:cs="Arial" w:eastAsia="Arial" w:hAnsi="Arial"/>
          <w:sz w:val="16"/>
          <w:szCs w:val="16"/>
          <w:b w:val="1"/>
          <w:bCs w:val="1"/>
          <w:color w:val="0233A1"/>
        </w:rPr>
      </w:pPr>
      <w:r>
        <w:rPr>
          <w:rFonts w:ascii="Arial" w:cs="Arial" w:eastAsia="Arial" w:hAnsi="Arial"/>
          <w:sz w:val="16"/>
          <w:szCs w:val="16"/>
          <w:color w:val="auto"/>
        </w:rPr>
        <w:t>varied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471170" cy="283210"/>
            <wp:wrapNone/>
            <wp:docPr id="3633" name="Picture 3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3"/>
                    <pic:cNvPicPr>
                      <a:picLocks noChangeAspect="1" noChangeArrowheads="1"/>
                    </pic:cNvPicPr>
                  </pic:nvPicPr>
                  <pic:blipFill>
                    <a:blip r:embed="rId3640">
                      <a:extLst>
                        <a:ext uri="{28A0092B-C50C-407E-A947-70E740481C1C}"/>
                      </a:extLst>
                    </a:blip>
                    <a:srcRect/>
                    <a:stretch>
                      <a:fillRect/>
                    </a:stretch>
                  </pic:blipFill>
                  <pic:spPr bwMode="auto">
                    <a:xfrm>
                      <a:off x="0" y="0"/>
                      <a:ext cx="471170" cy="283210"/>
                    </a:xfrm>
                    <a:prstGeom prst="rect">
                      <a:avLst/>
                    </a:prstGeom>
                    <a:noFill/>
                  </pic:spPr>
                </pic:pic>
              </a:graphicData>
            </a:graphic>
          </wp:anchor>
        </w:drawing>
      </w:r>
    </w:p>
    <w:p>
      <w:pPr>
        <w:spacing w:after="0" w:line="296"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60</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-46990</wp:posOffset>
            </wp:positionV>
            <wp:extent cx="5417820" cy="17145"/>
            <wp:wrapNone/>
            <wp:docPr id="3634" name="Picture 3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4"/>
                    <pic:cNvPicPr>
                      <a:picLocks noChangeAspect="1" noChangeArrowheads="1"/>
                    </pic:cNvPicPr>
                  </pic:nvPicPr>
                  <pic:blipFill>
                    <a:blip r:embed="rId3641">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3635" name="Picture 3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5"/>
                    <pic:cNvPicPr>
                      <a:picLocks noChangeAspect="1" noChangeArrowheads="1"/>
                    </pic:cNvPicPr>
                  </pic:nvPicPr>
                  <pic:blipFill>
                    <a:blip r:embed="rId36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9" w:lineRule="exact"/>
        <w:rPr>
          <w:sz w:val="20"/>
          <w:szCs w:val="20"/>
          <w:color w:val="auto"/>
        </w:rPr>
      </w:pPr>
    </w:p>
    <w:p>
      <w:pPr>
        <w:spacing w:after="0"/>
        <w:rPr>
          <w:sz w:val="20"/>
          <w:szCs w:val="20"/>
          <w:color w:val="auto"/>
        </w:rPr>
      </w:pPr>
      <w:r>
        <w:rPr>
          <w:rFonts w:ascii="Arial" w:cs="Arial" w:eastAsia="Arial" w:hAnsi="Arial"/>
          <w:sz w:val="50"/>
          <w:szCs w:val="50"/>
          <w:color w:val="0233A1"/>
        </w:rPr>
        <w:t>Pay vs. Performance Comparison</w:t>
      </w:r>
    </w:p>
    <w:p>
      <w:pPr>
        <w:spacing w:after="0" w:line="2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As discussed in the CD&amp;A above, our Compensation Committee has implemented an executive compensation program designed to link a substantial portion of our NEOs’ realized compensation to the achievement of SLB’s financial, operational, and strategic objectives, and to align our executive pay with changes in the value of our shareholders’ investments. The following table sets forth additional compensation information for our NEOs, calculated in accordance with SEC regulations, for fiscal years 2022, 2021 and 2020.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0233A1"/>
              </w:rPr>
              <w:t>Value of Initial Fixed $100</w:t>
            </w: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0233A1"/>
              </w:rPr>
              <w:t>Average</w:t>
            </w:r>
          </w:p>
        </w:tc>
        <w:tc>
          <w:tcPr>
            <w:tcW w:w="1540" w:type="dxa"/>
            <w:vAlign w:val="bottom"/>
            <w:vMerge w:val="restart"/>
          </w:tcPr>
          <w:p>
            <w:pPr>
              <w:jc w:val="right"/>
              <w:ind w:right="301"/>
              <w:spacing w:after="0"/>
              <w:rPr>
                <w:sz w:val="20"/>
                <w:szCs w:val="20"/>
                <w:color w:val="auto"/>
              </w:rPr>
            </w:pPr>
            <w:r>
              <w:rPr>
                <w:rFonts w:ascii="Arial" w:cs="Arial" w:eastAsia="Arial" w:hAnsi="Arial"/>
                <w:sz w:val="16"/>
                <w:szCs w:val="16"/>
                <w:b w:val="1"/>
                <w:bCs w:val="1"/>
                <w:color w:val="0233A1"/>
              </w:rPr>
              <w:t>Average</w:t>
            </w:r>
          </w:p>
        </w:tc>
        <w:tc>
          <w:tcPr>
            <w:tcW w:w="240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0233A1"/>
              </w:rPr>
              <w:t>Investment Based on:</w:t>
            </w:r>
          </w:p>
        </w:tc>
        <w:tc>
          <w:tcPr>
            <w:tcW w:w="202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0233A1"/>
              </w:rPr>
              <w:t>(Stated in millions)</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1120" w:type="dxa"/>
            <w:vAlign w:val="bottom"/>
            <w:tcBorders>
              <w:top w:val="single" w:sz="8" w:color="0233A1"/>
            </w:tcBorders>
          </w:tcPr>
          <w:p>
            <w:pPr>
              <w:spacing w:after="0"/>
              <w:rPr>
                <w:sz w:val="13"/>
                <w:szCs w:val="13"/>
                <w:color w:val="auto"/>
              </w:rPr>
            </w:pPr>
          </w:p>
        </w:tc>
        <w:tc>
          <w:tcPr>
            <w:tcW w:w="1060" w:type="dxa"/>
            <w:vAlign w:val="bottom"/>
            <w:tcBorders>
              <w:top w:val="single" w:sz="8" w:color="0233A1"/>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top w:val="single" w:sz="8" w:color="0233A1"/>
            </w:tcBorders>
          </w:tcPr>
          <w:p>
            <w:pPr>
              <w:spacing w:after="0"/>
              <w:rPr>
                <w:sz w:val="13"/>
                <w:szCs w:val="13"/>
                <w:color w:val="auto"/>
              </w:rPr>
            </w:pPr>
          </w:p>
        </w:tc>
        <w:tc>
          <w:tcPr>
            <w:tcW w:w="880" w:type="dxa"/>
            <w:vAlign w:val="bottom"/>
            <w:tcBorders>
              <w:top w:val="single" w:sz="8" w:color="0233A1"/>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b w:val="1"/>
                <w:bCs w:val="1"/>
                <w:color w:val="0233A1"/>
              </w:rPr>
              <w:t>Summary</w:t>
            </w:r>
          </w:p>
        </w:tc>
        <w:tc>
          <w:tcPr>
            <w:tcW w:w="13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b w:val="1"/>
                <w:bCs w:val="1"/>
                <w:color w:val="0233A1"/>
              </w:rPr>
              <w:t>Summary</w:t>
            </w:r>
          </w:p>
        </w:tc>
        <w:tc>
          <w:tcPr>
            <w:tcW w:w="1540" w:type="dxa"/>
            <w:vAlign w:val="bottom"/>
          </w:tcPr>
          <w:p>
            <w:pPr>
              <w:jc w:val="right"/>
              <w:ind w:right="301"/>
              <w:spacing w:after="0"/>
              <w:rPr>
                <w:sz w:val="20"/>
                <w:szCs w:val="20"/>
                <w:color w:val="auto"/>
              </w:rPr>
            </w:pPr>
            <w:r>
              <w:rPr>
                <w:rFonts w:ascii="Arial" w:cs="Arial" w:eastAsia="Arial" w:hAnsi="Arial"/>
                <w:sz w:val="16"/>
                <w:szCs w:val="16"/>
                <w:b w:val="1"/>
                <w:bCs w:val="1"/>
                <w:color w:val="0233A1"/>
              </w:rPr>
              <w:t>Compensation</w:t>
            </w: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b w:val="1"/>
                <w:bCs w:val="1"/>
                <w:color w:val="0233A1"/>
              </w:rPr>
              <w:t>Compensation</w:t>
            </w: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color w:val="0233A1"/>
              </w:rPr>
              <w:t>Compensation</w:t>
            </w:r>
          </w:p>
        </w:tc>
        <w:tc>
          <w:tcPr>
            <w:tcW w:w="1420" w:type="dxa"/>
            <w:vAlign w:val="bottom"/>
          </w:tcPr>
          <w:p>
            <w:pPr>
              <w:jc w:val="right"/>
              <w:ind w:right="119"/>
              <w:spacing w:after="0"/>
              <w:rPr>
                <w:sz w:val="20"/>
                <w:szCs w:val="20"/>
                <w:color w:val="auto"/>
              </w:rPr>
            </w:pPr>
            <w:r>
              <w:rPr>
                <w:rFonts w:ascii="Arial" w:cs="Arial" w:eastAsia="Arial" w:hAnsi="Arial"/>
                <w:sz w:val="16"/>
                <w:szCs w:val="16"/>
                <w:b w:val="1"/>
                <w:bCs w:val="1"/>
                <w:color w:val="0233A1"/>
              </w:rPr>
              <w:t>Compensation</w:t>
            </w:r>
          </w:p>
        </w:tc>
        <w:tc>
          <w:tcPr>
            <w:tcW w:w="1540" w:type="dxa"/>
            <w:vAlign w:val="bottom"/>
          </w:tcPr>
          <w:p>
            <w:pPr>
              <w:jc w:val="right"/>
              <w:ind w:right="301"/>
              <w:spacing w:after="0"/>
              <w:rPr>
                <w:sz w:val="20"/>
                <w:szCs w:val="20"/>
                <w:color w:val="auto"/>
              </w:rPr>
            </w:pPr>
            <w:r>
              <w:rPr>
                <w:rFonts w:ascii="Arial" w:cs="Arial" w:eastAsia="Arial" w:hAnsi="Arial"/>
                <w:sz w:val="16"/>
                <w:szCs w:val="16"/>
                <w:b w:val="1"/>
                <w:bCs w:val="1"/>
                <w:color w:val="0233A1"/>
              </w:rPr>
              <w:t>Actually Paid</w:t>
            </w:r>
          </w:p>
        </w:tc>
        <w:tc>
          <w:tcPr>
            <w:tcW w:w="112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0233A1"/>
              </w:rPr>
              <w:t>Peer Group</w:t>
            </w: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b w:val="1"/>
                <w:bCs w:val="1"/>
                <w:color w:val="0233A1"/>
              </w:rPr>
              <w:t>Table</w:t>
            </w: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color w:val="0233A1"/>
              </w:rPr>
              <w:t>Actually Paid</w:t>
            </w:r>
          </w:p>
        </w:tc>
        <w:tc>
          <w:tcPr>
            <w:tcW w:w="1420" w:type="dxa"/>
            <w:vAlign w:val="bottom"/>
          </w:tcPr>
          <w:p>
            <w:pPr>
              <w:jc w:val="right"/>
              <w:ind w:right="119"/>
              <w:spacing w:after="0"/>
              <w:rPr>
                <w:sz w:val="20"/>
                <w:szCs w:val="20"/>
                <w:color w:val="auto"/>
              </w:rPr>
            </w:pPr>
            <w:r>
              <w:rPr>
                <w:rFonts w:ascii="Arial" w:cs="Arial" w:eastAsia="Arial" w:hAnsi="Arial"/>
                <w:sz w:val="16"/>
                <w:szCs w:val="16"/>
                <w:b w:val="1"/>
                <w:bCs w:val="1"/>
                <w:color w:val="0233A1"/>
              </w:rPr>
              <w:t>Table Total for</w:t>
            </w:r>
          </w:p>
        </w:tc>
        <w:tc>
          <w:tcPr>
            <w:tcW w:w="1540" w:type="dxa"/>
            <w:vAlign w:val="bottom"/>
          </w:tcPr>
          <w:p>
            <w:pPr>
              <w:jc w:val="right"/>
              <w:ind w:right="301"/>
              <w:spacing w:after="0"/>
              <w:rPr>
                <w:sz w:val="20"/>
                <w:szCs w:val="20"/>
                <w:color w:val="auto"/>
              </w:rPr>
            </w:pPr>
            <w:r>
              <w:rPr>
                <w:rFonts w:ascii="Arial" w:cs="Arial" w:eastAsia="Arial" w:hAnsi="Arial"/>
                <w:sz w:val="16"/>
                <w:szCs w:val="16"/>
                <w:b w:val="1"/>
                <w:bCs w:val="1"/>
                <w:color w:val="0233A1"/>
              </w:rPr>
              <w:t>to Non-CEO</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0233A1"/>
              </w:rPr>
              <w:t>Total</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0233A1"/>
              </w:rPr>
              <w:t>Total</w:t>
            </w: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0233A1"/>
              </w:rPr>
              <w:t>Net Income</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233A1"/>
              </w:rPr>
              <w:t>Adjusted</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1560" w:type="dxa"/>
            <w:vAlign w:val="bottom"/>
          </w:tcPr>
          <w:p>
            <w:pPr>
              <w:jc w:val="right"/>
              <w:ind w:right="119"/>
              <w:spacing w:after="0" w:line="163" w:lineRule="exact"/>
              <w:rPr>
                <w:sz w:val="20"/>
                <w:szCs w:val="20"/>
                <w:color w:val="auto"/>
              </w:rPr>
            </w:pPr>
            <w:r>
              <w:rPr>
                <w:rFonts w:ascii="Arial" w:cs="Arial" w:eastAsia="Arial" w:hAnsi="Arial"/>
                <w:sz w:val="16"/>
                <w:szCs w:val="16"/>
                <w:b w:val="1"/>
                <w:bCs w:val="1"/>
                <w:color w:val="0233A1"/>
              </w:rPr>
              <w:t>Total for CEO</w:t>
            </w:r>
          </w:p>
        </w:tc>
        <w:tc>
          <w:tcPr>
            <w:tcW w:w="1360" w:type="dxa"/>
            <w:vAlign w:val="bottom"/>
          </w:tcPr>
          <w:p>
            <w:pPr>
              <w:jc w:val="right"/>
              <w:ind w:right="119"/>
              <w:spacing w:after="0" w:line="163" w:lineRule="exact"/>
              <w:rPr>
                <w:sz w:val="20"/>
                <w:szCs w:val="20"/>
                <w:color w:val="auto"/>
              </w:rPr>
            </w:pPr>
            <w:r>
              <w:rPr>
                <w:rFonts w:ascii="Arial" w:cs="Arial" w:eastAsia="Arial" w:hAnsi="Arial"/>
                <w:sz w:val="16"/>
                <w:szCs w:val="16"/>
                <w:b w:val="1"/>
                <w:bCs w:val="1"/>
                <w:color w:val="0233A1"/>
              </w:rPr>
              <w:t>to CEO</w:t>
            </w:r>
          </w:p>
        </w:tc>
        <w:tc>
          <w:tcPr>
            <w:tcW w:w="1420" w:type="dxa"/>
            <w:vAlign w:val="bottom"/>
          </w:tcPr>
          <w:p>
            <w:pPr>
              <w:jc w:val="right"/>
              <w:ind w:right="119"/>
              <w:spacing w:after="0" w:line="163" w:lineRule="exact"/>
              <w:rPr>
                <w:sz w:val="20"/>
                <w:szCs w:val="20"/>
                <w:color w:val="auto"/>
              </w:rPr>
            </w:pPr>
            <w:r>
              <w:rPr>
                <w:rFonts w:ascii="Arial" w:cs="Arial" w:eastAsia="Arial" w:hAnsi="Arial"/>
                <w:sz w:val="16"/>
                <w:szCs w:val="16"/>
                <w:b w:val="1"/>
                <w:bCs w:val="1"/>
                <w:color w:val="0233A1"/>
              </w:rPr>
              <w:t>Non-CEO NEOs</w:t>
            </w:r>
          </w:p>
        </w:tc>
        <w:tc>
          <w:tcPr>
            <w:tcW w:w="1540" w:type="dxa"/>
            <w:vAlign w:val="bottom"/>
          </w:tcPr>
          <w:p>
            <w:pPr>
              <w:jc w:val="right"/>
              <w:ind w:right="301"/>
              <w:spacing w:after="0" w:line="163" w:lineRule="exact"/>
              <w:rPr>
                <w:sz w:val="20"/>
                <w:szCs w:val="20"/>
                <w:color w:val="auto"/>
              </w:rPr>
            </w:pPr>
            <w:r>
              <w:rPr>
                <w:rFonts w:ascii="Arial" w:cs="Arial" w:eastAsia="Arial" w:hAnsi="Arial"/>
                <w:sz w:val="16"/>
                <w:szCs w:val="16"/>
                <w:b w:val="1"/>
                <w:bCs w:val="1"/>
                <w:color w:val="0233A1"/>
              </w:rPr>
              <w:t>NEOs</w:t>
            </w:r>
          </w:p>
        </w:tc>
        <w:tc>
          <w:tcPr>
            <w:tcW w:w="1120" w:type="dxa"/>
            <w:vAlign w:val="bottom"/>
          </w:tcPr>
          <w:p>
            <w:pPr>
              <w:jc w:val="right"/>
              <w:ind w:right="39"/>
              <w:spacing w:after="0" w:line="163" w:lineRule="exact"/>
              <w:rPr>
                <w:sz w:val="20"/>
                <w:szCs w:val="20"/>
                <w:color w:val="auto"/>
              </w:rPr>
            </w:pPr>
            <w:r>
              <w:rPr>
                <w:rFonts w:ascii="Arial" w:cs="Arial" w:eastAsia="Arial" w:hAnsi="Arial"/>
                <w:sz w:val="16"/>
                <w:szCs w:val="16"/>
                <w:b w:val="1"/>
                <w:bCs w:val="1"/>
                <w:color w:val="0233A1"/>
              </w:rPr>
              <w:t>Shareholder</w:t>
            </w:r>
          </w:p>
        </w:tc>
        <w:tc>
          <w:tcPr>
            <w:tcW w:w="1280" w:type="dxa"/>
            <w:vAlign w:val="bottom"/>
            <w:gridSpan w:val="2"/>
          </w:tcPr>
          <w:p>
            <w:pPr>
              <w:jc w:val="right"/>
              <w:ind w:right="220"/>
              <w:spacing w:after="0" w:line="163" w:lineRule="exact"/>
              <w:rPr>
                <w:sz w:val="20"/>
                <w:szCs w:val="20"/>
                <w:color w:val="auto"/>
              </w:rPr>
            </w:pPr>
            <w:r>
              <w:rPr>
                <w:rFonts w:ascii="Arial" w:cs="Arial" w:eastAsia="Arial" w:hAnsi="Arial"/>
                <w:sz w:val="16"/>
                <w:szCs w:val="16"/>
                <w:b w:val="1"/>
                <w:bCs w:val="1"/>
                <w:color w:val="0233A1"/>
              </w:rPr>
              <w:t>Shareholder</w:t>
            </w:r>
          </w:p>
        </w:tc>
        <w:tc>
          <w:tcPr>
            <w:tcW w:w="1140" w:type="dxa"/>
            <w:vAlign w:val="bottom"/>
          </w:tcPr>
          <w:p>
            <w:pPr>
              <w:jc w:val="right"/>
              <w:ind w:right="79"/>
              <w:spacing w:after="0" w:line="163" w:lineRule="exact"/>
              <w:rPr>
                <w:sz w:val="20"/>
                <w:szCs w:val="20"/>
                <w:color w:val="auto"/>
              </w:rPr>
            </w:pPr>
            <w:r>
              <w:rPr>
                <w:rFonts w:ascii="Arial" w:cs="Arial" w:eastAsia="Arial" w:hAnsi="Arial"/>
                <w:sz w:val="16"/>
                <w:szCs w:val="16"/>
                <w:b w:val="1"/>
                <w:bCs w:val="1"/>
                <w:color w:val="0233A1"/>
              </w:rPr>
              <w:t>(Loss)</w:t>
            </w:r>
          </w:p>
        </w:tc>
        <w:tc>
          <w:tcPr>
            <w:tcW w:w="880" w:type="dxa"/>
            <w:vAlign w:val="bottom"/>
          </w:tcPr>
          <w:p>
            <w:pPr>
              <w:jc w:val="right"/>
              <w:spacing w:after="0" w:line="163" w:lineRule="exact"/>
              <w:rPr>
                <w:sz w:val="20"/>
                <w:szCs w:val="20"/>
                <w:color w:val="auto"/>
              </w:rPr>
            </w:pPr>
            <w:r>
              <w:rPr>
                <w:rFonts w:ascii="Arial" w:cs="Arial" w:eastAsia="Arial" w:hAnsi="Arial"/>
                <w:sz w:val="16"/>
                <w:szCs w:val="16"/>
                <w:b w:val="1"/>
                <w:bCs w:val="1"/>
                <w:color w:val="0233A1"/>
              </w:rPr>
              <w:t>EBITDA</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20" w:type="dxa"/>
            <w:vAlign w:val="bottom"/>
            <w:tcBorders>
              <w:bottom w:val="single" w:sz="8" w:color="0233A1"/>
            </w:tcBorders>
          </w:tcPr>
          <w:p>
            <w:pPr>
              <w:ind w:left="40"/>
              <w:spacing w:after="0"/>
              <w:rPr>
                <w:sz w:val="20"/>
                <w:szCs w:val="20"/>
                <w:color w:val="auto"/>
              </w:rPr>
            </w:pPr>
            <w:r>
              <w:rPr>
                <w:rFonts w:ascii="Arial" w:cs="Arial" w:eastAsia="Arial" w:hAnsi="Arial"/>
                <w:sz w:val="16"/>
                <w:szCs w:val="16"/>
                <w:b w:val="1"/>
                <w:bCs w:val="1"/>
                <w:color w:val="0233A1"/>
              </w:rPr>
              <w:t>Name</w:t>
            </w:r>
          </w:p>
        </w:tc>
        <w:tc>
          <w:tcPr>
            <w:tcW w:w="156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(1)</w:t>
            </w:r>
          </w:p>
        </w:tc>
        <w:tc>
          <w:tcPr>
            <w:tcW w:w="136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(2)</w:t>
            </w:r>
          </w:p>
        </w:tc>
        <w:tc>
          <w:tcPr>
            <w:tcW w:w="142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16"/>
                <w:szCs w:val="16"/>
                <w:b w:val="1"/>
                <w:bCs w:val="1"/>
                <w:color w:val="0233A1"/>
              </w:rPr>
              <w:t>($)</w:t>
            </w:r>
            <w:r>
              <w:rPr>
                <w:rFonts w:ascii="Arial" w:cs="Arial" w:eastAsia="Arial" w:hAnsi="Arial"/>
                <w:sz w:val="26"/>
                <w:szCs w:val="26"/>
                <w:b w:val="1"/>
                <w:bCs w:val="1"/>
                <w:color w:val="0233A1"/>
                <w:vertAlign w:val="superscript"/>
              </w:rPr>
              <w:t>(3)</w:t>
            </w:r>
          </w:p>
        </w:tc>
        <w:tc>
          <w:tcPr>
            <w:tcW w:w="1540" w:type="dxa"/>
            <w:vAlign w:val="bottom"/>
            <w:tcBorders>
              <w:bottom w:val="single" w:sz="8" w:color="0233A1"/>
            </w:tcBorders>
          </w:tcPr>
          <w:p>
            <w:pPr>
              <w:jc w:val="right"/>
              <w:spacing w:after="0" w:line="230" w:lineRule="exact"/>
              <w:rPr>
                <w:sz w:val="20"/>
                <w:szCs w:val="20"/>
                <w:color w:val="auto"/>
              </w:rPr>
            </w:pPr>
            <w:r>
              <w:rPr>
                <w:rFonts w:ascii="Arial" w:cs="Arial" w:eastAsia="Arial" w:hAnsi="Arial"/>
                <w:sz w:val="26"/>
                <w:szCs w:val="26"/>
                <w:b w:val="1"/>
                <w:bCs w:val="1"/>
                <w:color w:val="0233A1"/>
                <w:vertAlign w:val="subscript"/>
              </w:rPr>
              <w:t>($)</w:t>
            </w:r>
            <w:r>
              <w:rPr>
                <w:rFonts w:ascii="Arial" w:cs="Arial" w:eastAsia="Arial" w:hAnsi="Arial"/>
                <w:sz w:val="12"/>
                <w:szCs w:val="12"/>
                <w:b w:val="1"/>
                <w:bCs w:val="1"/>
                <w:color w:val="0233A1"/>
              </w:rPr>
              <w:t>(2)(3)</w:t>
            </w:r>
          </w:p>
        </w:tc>
        <w:tc>
          <w:tcPr>
            <w:tcW w:w="112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b w:val="1"/>
                <w:bCs w:val="1"/>
                <w:color w:val="0233A1"/>
              </w:rPr>
              <w:t>Return</w:t>
            </w:r>
          </w:p>
        </w:tc>
        <w:tc>
          <w:tcPr>
            <w:tcW w:w="1280" w:type="dxa"/>
            <w:vAlign w:val="bottom"/>
            <w:tcBorders>
              <w:bottom w:val="single" w:sz="8" w:color="0233A1"/>
            </w:tcBorders>
            <w:gridSpan w:val="2"/>
          </w:tcPr>
          <w:p>
            <w:pPr>
              <w:jc w:val="right"/>
              <w:ind w:right="60"/>
              <w:spacing w:after="0" w:line="230" w:lineRule="exact"/>
              <w:rPr>
                <w:sz w:val="20"/>
                <w:szCs w:val="20"/>
                <w:color w:val="auto"/>
              </w:rPr>
            </w:pPr>
            <w:r>
              <w:rPr>
                <w:rFonts w:ascii="Arial" w:cs="Arial" w:eastAsia="Arial" w:hAnsi="Arial"/>
                <w:sz w:val="16"/>
                <w:szCs w:val="16"/>
                <w:b w:val="1"/>
                <w:bCs w:val="1"/>
                <w:color w:val="0233A1"/>
              </w:rPr>
              <w:t>Return</w:t>
            </w:r>
            <w:r>
              <w:rPr>
                <w:rFonts w:ascii="Arial" w:cs="Arial" w:eastAsia="Arial" w:hAnsi="Arial"/>
                <w:sz w:val="26"/>
                <w:szCs w:val="26"/>
                <w:b w:val="1"/>
                <w:bCs w:val="1"/>
                <w:color w:val="0233A1"/>
                <w:vertAlign w:val="superscript"/>
              </w:rPr>
              <w:t>(4)</w:t>
            </w:r>
          </w:p>
        </w:tc>
        <w:tc>
          <w:tcPr>
            <w:tcW w:w="1140" w:type="dxa"/>
            <w:vAlign w:val="bottom"/>
            <w:tcBorders>
              <w:bottom w:val="single" w:sz="8" w:color="0233A1"/>
            </w:tcBorders>
          </w:tcPr>
          <w:p>
            <w:pPr>
              <w:jc w:val="right"/>
              <w:ind w:right="79"/>
              <w:spacing w:after="0"/>
              <w:rPr>
                <w:sz w:val="20"/>
                <w:szCs w:val="20"/>
                <w:color w:val="auto"/>
              </w:rPr>
            </w:pPr>
            <w:r>
              <w:rPr>
                <w:rFonts w:ascii="Arial" w:cs="Arial" w:eastAsia="Arial" w:hAnsi="Arial"/>
                <w:sz w:val="16"/>
                <w:szCs w:val="16"/>
                <w:b w:val="1"/>
                <w:bCs w:val="1"/>
                <w:color w:val="0233A1"/>
              </w:rPr>
              <w:t>($)</w:t>
            </w:r>
          </w:p>
        </w:tc>
        <w:tc>
          <w:tcPr>
            <w:tcW w:w="88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c>
          <w:tcPr>
            <w:tcW w:w="220" w:type="dxa"/>
            <w:vAlign w:val="bottom"/>
            <w:tcBorders>
              <w:bottom w:val="single" w:sz="8" w:color="0233A1"/>
            </w:tcBorders>
          </w:tcPr>
          <w:p>
            <w:pPr>
              <w:jc w:val="right"/>
              <w:spacing w:after="0"/>
              <w:rPr>
                <w:sz w:val="20"/>
                <w:szCs w:val="20"/>
                <w:color w:val="auto"/>
              </w:rPr>
            </w:pPr>
            <w:r>
              <w:rPr>
                <w:rFonts w:ascii="Arial" w:cs="Arial" w:eastAsia="Arial" w:hAnsi="Arial"/>
                <w:sz w:val="13"/>
                <w:szCs w:val="13"/>
                <w:b w:val="1"/>
                <w:bCs w:val="1"/>
                <w:color w:val="0233A1"/>
                <w:w w:val="87"/>
              </w:rPr>
              <w:t>(5)</w:t>
            </w:r>
          </w:p>
        </w:tc>
        <w:tc>
          <w:tcPr>
            <w:tcW w:w="0" w:type="dxa"/>
            <w:vAlign w:val="bottom"/>
          </w:tcPr>
          <w:p>
            <w:pPr>
              <w:spacing w:after="0"/>
              <w:rPr>
                <w:sz w:val="1"/>
                <w:szCs w:val="1"/>
                <w:color w:val="auto"/>
              </w:rPr>
            </w:pPr>
          </w:p>
        </w:tc>
      </w:tr>
      <w:tr>
        <w:trPr>
          <w:trHeight w:val="195"/>
        </w:trPr>
        <w:tc>
          <w:tcPr>
            <w:tcW w:w="720" w:type="dxa"/>
            <w:vAlign w:val="bottom"/>
          </w:tcPr>
          <w:p>
            <w:pPr>
              <w:ind w:left="40"/>
              <w:spacing w:after="0"/>
              <w:rPr>
                <w:sz w:val="20"/>
                <w:szCs w:val="20"/>
                <w:color w:val="auto"/>
              </w:rPr>
            </w:pPr>
            <w:r>
              <w:rPr>
                <w:rFonts w:ascii="Arial" w:cs="Arial" w:eastAsia="Arial" w:hAnsi="Arial"/>
                <w:sz w:val="16"/>
                <w:szCs w:val="16"/>
                <w:color w:val="auto"/>
              </w:rPr>
              <w:t>2022</w:t>
            </w: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15,713,757</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39,478,899</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5,087,891</w:t>
            </w:r>
          </w:p>
        </w:tc>
        <w:tc>
          <w:tcPr>
            <w:tcW w:w="1540" w:type="dxa"/>
            <w:vAlign w:val="bottom"/>
          </w:tcPr>
          <w:p>
            <w:pPr>
              <w:jc w:val="right"/>
              <w:ind w:right="301"/>
              <w:spacing w:after="0"/>
              <w:rPr>
                <w:sz w:val="20"/>
                <w:szCs w:val="20"/>
                <w:color w:val="auto"/>
              </w:rPr>
            </w:pPr>
            <w:r>
              <w:rPr>
                <w:rFonts w:ascii="Arial" w:cs="Arial" w:eastAsia="Arial" w:hAnsi="Arial"/>
                <w:sz w:val="16"/>
                <w:szCs w:val="16"/>
                <w:color w:val="auto"/>
              </w:rPr>
              <w:t>17,341,223</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$142.09</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$146.82</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3,492</w:t>
            </w:r>
          </w:p>
        </w:tc>
        <w:tc>
          <w:tcPr>
            <w:tcW w:w="880" w:type="dxa"/>
            <w:vAlign w:val="bottom"/>
          </w:tcPr>
          <w:p>
            <w:pPr>
              <w:jc w:val="right"/>
              <w:spacing w:after="0"/>
              <w:rPr>
                <w:sz w:val="20"/>
                <w:szCs w:val="20"/>
                <w:color w:val="auto"/>
              </w:rPr>
            </w:pPr>
            <w:r>
              <w:rPr>
                <w:rFonts w:ascii="Arial" w:cs="Arial" w:eastAsia="Arial" w:hAnsi="Arial"/>
                <w:sz w:val="16"/>
                <w:szCs w:val="16"/>
                <w:color w:val="auto"/>
              </w:rPr>
              <w:t>6,462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20" w:type="dxa"/>
            <w:vAlign w:val="bottom"/>
          </w:tcPr>
          <w:p>
            <w:pPr>
              <w:ind w:left="40"/>
              <w:spacing w:after="0"/>
              <w:rPr>
                <w:sz w:val="20"/>
                <w:szCs w:val="20"/>
                <w:color w:val="auto"/>
              </w:rPr>
            </w:pPr>
            <w:r>
              <w:rPr>
                <w:rFonts w:ascii="Arial" w:cs="Arial" w:eastAsia="Arial" w:hAnsi="Arial"/>
                <w:sz w:val="16"/>
                <w:szCs w:val="16"/>
                <w:color w:val="auto"/>
              </w:rPr>
              <w:t>2021</w:t>
            </w: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16,795,502</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32,392,156</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6,353,971</w:t>
            </w:r>
          </w:p>
        </w:tc>
        <w:tc>
          <w:tcPr>
            <w:tcW w:w="1540" w:type="dxa"/>
            <w:vAlign w:val="bottom"/>
          </w:tcPr>
          <w:p>
            <w:pPr>
              <w:jc w:val="right"/>
              <w:ind w:right="301"/>
              <w:spacing w:after="0"/>
              <w:rPr>
                <w:sz w:val="20"/>
                <w:szCs w:val="20"/>
                <w:color w:val="auto"/>
              </w:rPr>
            </w:pPr>
            <w:r>
              <w:rPr>
                <w:rFonts w:ascii="Arial" w:cs="Arial" w:eastAsia="Arial" w:hAnsi="Arial"/>
                <w:sz w:val="16"/>
                <w:szCs w:val="16"/>
                <w:color w:val="auto"/>
              </w:rPr>
              <w:t>13,116,171</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$78.43</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$82.83</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1,928</w:t>
            </w:r>
          </w:p>
        </w:tc>
        <w:tc>
          <w:tcPr>
            <w:tcW w:w="880" w:type="dxa"/>
            <w:vAlign w:val="bottom"/>
          </w:tcPr>
          <w:p>
            <w:pPr>
              <w:jc w:val="right"/>
              <w:spacing w:after="0"/>
              <w:rPr>
                <w:sz w:val="20"/>
                <w:szCs w:val="20"/>
                <w:color w:val="auto"/>
              </w:rPr>
            </w:pPr>
            <w:r>
              <w:rPr>
                <w:rFonts w:ascii="Arial" w:cs="Arial" w:eastAsia="Arial" w:hAnsi="Arial"/>
                <w:sz w:val="16"/>
                <w:szCs w:val="16"/>
                <w:color w:val="auto"/>
              </w:rPr>
              <w:t>4,925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20" w:type="dxa"/>
            <w:vAlign w:val="bottom"/>
            <w:tcBorders>
              <w:bottom w:val="single" w:sz="8" w:color="0233A1"/>
            </w:tcBorders>
          </w:tcPr>
          <w:p>
            <w:pPr>
              <w:ind w:left="40"/>
              <w:spacing w:after="0"/>
              <w:rPr>
                <w:sz w:val="20"/>
                <w:szCs w:val="20"/>
                <w:color w:val="auto"/>
              </w:rPr>
            </w:pPr>
            <w:r>
              <w:rPr>
                <w:rFonts w:ascii="Arial" w:cs="Arial" w:eastAsia="Arial" w:hAnsi="Arial"/>
                <w:sz w:val="16"/>
                <w:szCs w:val="16"/>
                <w:color w:val="auto"/>
              </w:rPr>
              <w:t>2020</w:t>
            </w:r>
          </w:p>
        </w:tc>
        <w:tc>
          <w:tcPr>
            <w:tcW w:w="1560" w:type="dxa"/>
            <w:vAlign w:val="bottom"/>
            <w:tcBorders>
              <w:bottom w:val="single" w:sz="8" w:color="0233A1"/>
            </w:tcBorders>
          </w:tcPr>
          <w:p>
            <w:pPr>
              <w:jc w:val="right"/>
              <w:ind w:right="119"/>
              <w:spacing w:after="0"/>
              <w:rPr>
                <w:sz w:val="20"/>
                <w:szCs w:val="20"/>
                <w:color w:val="auto"/>
              </w:rPr>
            </w:pPr>
            <w:r>
              <w:rPr>
                <w:rFonts w:ascii="Arial" w:cs="Arial" w:eastAsia="Arial" w:hAnsi="Arial"/>
                <w:sz w:val="16"/>
                <w:szCs w:val="16"/>
                <w:color w:val="auto"/>
              </w:rPr>
              <w:t>5,650,084</w:t>
            </w:r>
          </w:p>
        </w:tc>
        <w:tc>
          <w:tcPr>
            <w:tcW w:w="1360" w:type="dxa"/>
            <w:vAlign w:val="bottom"/>
            <w:tcBorders>
              <w:bottom w:val="single" w:sz="8" w:color="0233A1"/>
            </w:tcBorders>
          </w:tcPr>
          <w:p>
            <w:pPr>
              <w:jc w:val="right"/>
              <w:ind w:right="119"/>
              <w:spacing w:after="0"/>
              <w:rPr>
                <w:sz w:val="20"/>
                <w:szCs w:val="20"/>
                <w:color w:val="auto"/>
              </w:rPr>
            </w:pPr>
            <w:r>
              <w:rPr>
                <w:rFonts w:ascii="Arial" w:cs="Arial" w:eastAsia="Arial" w:hAnsi="Arial"/>
                <w:sz w:val="16"/>
                <w:szCs w:val="16"/>
                <w:color w:val="auto"/>
              </w:rPr>
              <w:t>(10,610,514)</w:t>
            </w:r>
          </w:p>
        </w:tc>
        <w:tc>
          <w:tcPr>
            <w:tcW w:w="1420" w:type="dxa"/>
            <w:vAlign w:val="bottom"/>
            <w:tcBorders>
              <w:bottom w:val="single" w:sz="8" w:color="0233A1"/>
            </w:tcBorders>
          </w:tcPr>
          <w:p>
            <w:pPr>
              <w:jc w:val="right"/>
              <w:ind w:right="119"/>
              <w:spacing w:after="0"/>
              <w:rPr>
                <w:sz w:val="20"/>
                <w:szCs w:val="20"/>
                <w:color w:val="auto"/>
              </w:rPr>
            </w:pPr>
            <w:r>
              <w:rPr>
                <w:rFonts w:ascii="Arial" w:cs="Arial" w:eastAsia="Arial" w:hAnsi="Arial"/>
                <w:sz w:val="16"/>
                <w:szCs w:val="16"/>
                <w:color w:val="auto"/>
              </w:rPr>
              <w:t>6,081,217</w:t>
            </w:r>
          </w:p>
        </w:tc>
        <w:tc>
          <w:tcPr>
            <w:tcW w:w="1540" w:type="dxa"/>
            <w:vAlign w:val="bottom"/>
            <w:tcBorders>
              <w:bottom w:val="single" w:sz="8" w:color="0233A1"/>
            </w:tcBorders>
          </w:tcPr>
          <w:p>
            <w:pPr>
              <w:jc w:val="right"/>
              <w:ind w:right="301"/>
              <w:spacing w:after="0"/>
              <w:rPr>
                <w:sz w:val="20"/>
                <w:szCs w:val="20"/>
                <w:color w:val="auto"/>
              </w:rPr>
            </w:pPr>
            <w:r>
              <w:rPr>
                <w:rFonts w:ascii="Arial" w:cs="Arial" w:eastAsia="Arial" w:hAnsi="Arial"/>
                <w:sz w:val="16"/>
                <w:szCs w:val="16"/>
                <w:color w:val="auto"/>
              </w:rPr>
              <w:t>2,190,708</w:t>
            </w:r>
          </w:p>
        </w:tc>
        <w:tc>
          <w:tcPr>
            <w:tcW w:w="112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color w:val="auto"/>
              </w:rPr>
              <w:t>$56.19</w:t>
            </w:r>
          </w:p>
        </w:tc>
        <w:tc>
          <w:tcPr>
            <w:tcW w:w="1280" w:type="dxa"/>
            <w:vAlign w:val="bottom"/>
            <w:tcBorders>
              <w:bottom w:val="single" w:sz="8" w:color="0233A1"/>
            </w:tcBorders>
            <w:gridSpan w:val="2"/>
          </w:tcPr>
          <w:p>
            <w:pPr>
              <w:jc w:val="right"/>
              <w:ind w:right="220"/>
              <w:spacing w:after="0"/>
              <w:rPr>
                <w:sz w:val="20"/>
                <w:szCs w:val="20"/>
                <w:color w:val="auto"/>
              </w:rPr>
            </w:pPr>
            <w:r>
              <w:rPr>
                <w:rFonts w:ascii="Arial" w:cs="Arial" w:eastAsia="Arial" w:hAnsi="Arial"/>
                <w:sz w:val="16"/>
                <w:szCs w:val="16"/>
                <w:color w:val="auto"/>
              </w:rPr>
              <w:t>$63.45</w:t>
            </w:r>
          </w:p>
        </w:tc>
        <w:tc>
          <w:tcPr>
            <w:tcW w:w="1140" w:type="dxa"/>
            <w:vAlign w:val="bottom"/>
            <w:tcBorders>
              <w:bottom w:val="single" w:sz="8" w:color="0233A1"/>
            </w:tcBorders>
          </w:tcPr>
          <w:p>
            <w:pPr>
              <w:jc w:val="right"/>
              <w:ind w:right="79"/>
              <w:spacing w:after="0"/>
              <w:rPr>
                <w:sz w:val="20"/>
                <w:szCs w:val="20"/>
                <w:color w:val="auto"/>
              </w:rPr>
            </w:pPr>
            <w:r>
              <w:rPr>
                <w:rFonts w:ascii="Arial" w:cs="Arial" w:eastAsia="Arial" w:hAnsi="Arial"/>
                <w:sz w:val="16"/>
                <w:szCs w:val="16"/>
                <w:color w:val="auto"/>
              </w:rPr>
              <w:t>(10,486)</w:t>
            </w:r>
          </w:p>
        </w:tc>
        <w:tc>
          <w:tcPr>
            <w:tcW w:w="88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4,313</w:t>
            </w:r>
          </w:p>
        </w:tc>
        <w:tc>
          <w:tcPr>
            <w:tcW w:w="220" w:type="dxa"/>
            <w:vAlign w:val="bottom"/>
            <w:tcBorders>
              <w:bottom w:val="single" w:sz="8" w:color="0233A1"/>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3636" name="Picture 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6"/>
                    <pic:cNvPicPr>
                      <a:picLocks noChangeAspect="1" noChangeArrowheads="1"/>
                    </pic:cNvPicPr>
                  </pic:nvPicPr>
                  <pic:blipFill>
                    <a:blip r:embed="rId36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7145"/>
            <wp:wrapNone/>
            <wp:docPr id="3637" name="Picture 3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7"/>
                    <pic:cNvPicPr>
                      <a:picLocks noChangeAspect="1" noChangeArrowheads="1"/>
                    </pic:cNvPicPr>
                  </pic:nvPicPr>
                  <pic:blipFill>
                    <a:blip r:embed="rId36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 w:lineRule="exact"/>
        <w:rPr>
          <w:sz w:val="20"/>
          <w:szCs w:val="20"/>
          <w:color w:val="auto"/>
        </w:rPr>
      </w:pPr>
    </w:p>
    <w:p>
      <w:pPr>
        <w:ind w:left="340" w:hanging="332"/>
        <w:spacing w:after="0" w:line="281" w:lineRule="auto"/>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dollar amounts reported are the amounts of total compensation reported for our CEO, Mr. Le Peuch, in the Summary Compensation Table for fiscal years 2022, 2021 and 2020. Mr. Le Peuch served as CEO for each of the years presented.</w:t>
      </w:r>
    </w:p>
    <w:p>
      <w:pPr>
        <w:spacing w:after="0" w:line="1" w:lineRule="exact"/>
        <w:rPr>
          <w:rFonts w:ascii="Arial" w:cs="Arial" w:eastAsia="Arial" w:hAnsi="Arial"/>
          <w:sz w:val="14"/>
          <w:szCs w:val="14"/>
          <w:color w:val="auto"/>
        </w:rPr>
      </w:pPr>
    </w:p>
    <w:p>
      <w:pPr>
        <w:jc w:val="both"/>
        <w:ind w:left="340" w:hanging="332"/>
        <w:spacing w:after="0" w:line="256" w:lineRule="auto"/>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dollar amounts reported represent the amount of “compensation actually paid”, as computed in accordance with SEC rules. The dollar amounts do not reflect the actual amounts of compensation paid to our CEO or other NEOs during the applicable year, but also include (i) the year-end value of equity awards granted during the reported year, (ii) the change in the value of equity awards that were unvested at the end of the prior year, measured through the date the awards vested or were forfeited, or through the end of the reported fiscal year, and (iii) certain pension-related costs.</w:t>
      </w:r>
    </w:p>
    <w:p>
      <w:pPr>
        <w:spacing w:after="0" w:line="15" w:lineRule="exact"/>
        <w:rPr>
          <w:rFonts w:ascii="Arial" w:cs="Arial" w:eastAsia="Arial" w:hAnsi="Arial"/>
          <w:sz w:val="14"/>
          <w:szCs w:val="14"/>
          <w:color w:val="auto"/>
        </w:rPr>
      </w:pPr>
    </w:p>
    <w:p>
      <w:pPr>
        <w:jc w:val="both"/>
        <w:ind w:left="340" w:hanging="332"/>
        <w:spacing w:after="0" w:line="263" w:lineRule="auto"/>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For 2022, reflects compensation information for our NEOs, other than our CEO, as described in the CD&amp;A of this proxy statement. For 2021, reflects compensation information for Mr. Al Mogharbel, Mr. Belani, and Mr. Biguet, as well as Hinda Gharbi, SLB’s former EVP, Services and Equipment. For 2020, reflects compensation information for Mr. Al Mogharbel, Mr. Belani, and Mr. Biguet, as well as Ms. Gharbi and Simon Ayat, SLB’s former EVP and Chief Financial Officer.</w:t>
      </w:r>
    </w:p>
    <w:p>
      <w:pPr>
        <w:spacing w:after="0" w:line="10" w:lineRule="exact"/>
        <w:rPr>
          <w:rFonts w:ascii="Arial" w:cs="Arial" w:eastAsia="Arial" w:hAnsi="Arial"/>
          <w:sz w:val="14"/>
          <w:szCs w:val="14"/>
          <w:color w:val="auto"/>
        </w:rPr>
      </w:pPr>
    </w:p>
    <w:p>
      <w:pPr>
        <w:jc w:val="both"/>
        <w:ind w:left="340" w:hanging="332"/>
        <w:spacing w:after="0" w:line="263" w:lineRule="auto"/>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Reflects cumulative total shareholder return of the Philadelphia Oil Services Sector (</w:t>
      </w:r>
      <w:r>
        <w:rPr>
          <w:rFonts w:ascii="Arial" w:cs="Arial" w:eastAsia="Arial" w:hAnsi="Arial"/>
          <w:sz w:val="14"/>
          <w:szCs w:val="14"/>
          <w:b w:val="1"/>
          <w:bCs w:val="1"/>
          <w:color w:val="auto"/>
        </w:rPr>
        <w:t>OSX</w:t>
      </w:r>
      <w:r>
        <w:rPr>
          <w:rFonts w:ascii="Arial" w:cs="Arial" w:eastAsia="Arial" w:hAnsi="Arial"/>
          <w:sz w:val="14"/>
          <w:szCs w:val="14"/>
          <w:color w:val="auto"/>
        </w:rPr>
        <w:t>) index, as of December 31, 2022, weighted according to the constituent companies’ market capitalization at the beginning of each period for which a return is indicated. The OSX is the peer group used by SLB for purposes of Item 201(e) of Regulation S-K under the Exchange Act in SLB’s Annual Report on Form 10-K for the year ended December 31, 2022.</w:t>
      </w:r>
    </w:p>
    <w:p>
      <w:pPr>
        <w:spacing w:after="0" w:line="10" w:lineRule="exact"/>
        <w:rPr>
          <w:rFonts w:ascii="Arial" w:cs="Arial" w:eastAsia="Arial" w:hAnsi="Arial"/>
          <w:sz w:val="14"/>
          <w:szCs w:val="14"/>
          <w:color w:val="auto"/>
        </w:rPr>
      </w:pPr>
    </w:p>
    <w:p>
      <w:pPr>
        <w:ind w:left="340" w:hanging="332"/>
        <w:spacing w:after="0" w:line="285" w:lineRule="auto"/>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Adjusted EBITDA represents income before taxes, excluding charges and credits, depreciation and amortization, interest expense, and interest income. For a reconciliation of net income attributable to SLB on a GAAP basis to adjusted EBITDA, see Appendix A.</w:t>
      </w:r>
    </w:p>
    <w:p>
      <w:pPr>
        <w:spacing w:after="0" w:line="12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To calculate the amounts in the “Compensation Actually Paid to CEO” column in the table above, the following amounts were deducted from and added to (as applicable) our CEO’s “Total” compensation as reported in the Summary Compensation Table (</w:t>
      </w:r>
      <w:r>
        <w:rPr>
          <w:rFonts w:ascii="Arial" w:cs="Arial" w:eastAsia="Arial" w:hAnsi="Arial"/>
          <w:sz w:val="16"/>
          <w:szCs w:val="16"/>
          <w:b w:val="1"/>
          <w:bCs w:val="1"/>
          <w:color w:val="auto"/>
        </w:rPr>
        <w:t>SCT</w:t>
      </w:r>
      <w:r>
        <w:rPr>
          <w:rFonts w:ascii="Arial" w:cs="Arial" w:eastAsia="Arial" w:hAnsi="Arial"/>
          <w:sz w:val="16"/>
          <w:szCs w:val="16"/>
          <w:color w:val="auto"/>
        </w:rPr>
        <w: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680" w:type="dxa"/>
            <w:vAlign w:val="bottom"/>
          </w:tcPr>
          <w:p>
            <w:pPr>
              <w:jc w:val="right"/>
              <w:ind w:right="181"/>
              <w:spacing w:after="0"/>
              <w:rPr>
                <w:sz w:val="20"/>
                <w:szCs w:val="20"/>
                <w:color w:val="auto"/>
              </w:rPr>
            </w:pPr>
            <w:r>
              <w:rPr>
                <w:rFonts w:ascii="Arial" w:cs="Arial" w:eastAsia="Arial" w:hAnsi="Arial"/>
                <w:sz w:val="16"/>
                <w:szCs w:val="16"/>
                <w:b w:val="1"/>
                <w:bCs w:val="1"/>
                <w:color w:val="0233A1"/>
              </w:rPr>
              <w:t>Reported</w:t>
            </w:r>
          </w:p>
        </w:tc>
        <w:tc>
          <w:tcPr>
            <w:tcW w:w="160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9"/>
        </w:trPr>
        <w:tc>
          <w:tcPr>
            <w:tcW w:w="860" w:type="dxa"/>
            <w:vAlign w:val="bottom"/>
          </w:tcPr>
          <w:p>
            <w:pPr>
              <w:spacing w:after="0"/>
              <w:rPr>
                <w:sz w:val="16"/>
                <w:szCs w:val="16"/>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b w:val="1"/>
                <w:bCs w:val="1"/>
                <w:color w:val="0233A1"/>
              </w:rPr>
              <w:t>Summary</w:t>
            </w:r>
          </w:p>
        </w:tc>
        <w:tc>
          <w:tcPr>
            <w:tcW w:w="16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680" w:type="dxa"/>
            <w:vAlign w:val="bottom"/>
          </w:tcPr>
          <w:p>
            <w:pPr>
              <w:jc w:val="right"/>
              <w:ind w:right="181"/>
              <w:spacing w:after="0"/>
              <w:rPr>
                <w:sz w:val="20"/>
                <w:szCs w:val="20"/>
                <w:color w:val="auto"/>
              </w:rPr>
            </w:pPr>
            <w:r>
              <w:rPr>
                <w:rFonts w:ascii="Arial" w:cs="Arial" w:eastAsia="Arial" w:hAnsi="Arial"/>
                <w:sz w:val="16"/>
                <w:szCs w:val="16"/>
                <w:b w:val="1"/>
                <w:bCs w:val="1"/>
                <w:color w:val="0233A1"/>
              </w:rPr>
              <w:t>Change in the</w:t>
            </w:r>
          </w:p>
        </w:tc>
        <w:tc>
          <w:tcPr>
            <w:tcW w:w="160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9"/>
        </w:trPr>
        <w:tc>
          <w:tcPr>
            <w:tcW w:w="860" w:type="dxa"/>
            <w:vAlign w:val="bottom"/>
          </w:tcPr>
          <w:p>
            <w:pPr>
              <w:spacing w:after="0"/>
              <w:rPr>
                <w:sz w:val="16"/>
                <w:szCs w:val="16"/>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b w:val="1"/>
                <w:bCs w:val="1"/>
                <w:color w:val="0233A1"/>
              </w:rPr>
              <w:t>Compensation</w:t>
            </w:r>
          </w:p>
        </w:tc>
        <w:tc>
          <w:tcPr>
            <w:tcW w:w="1640" w:type="dxa"/>
            <w:vAlign w:val="bottom"/>
          </w:tcPr>
          <w:p>
            <w:pPr>
              <w:jc w:val="right"/>
              <w:ind w:right="182"/>
              <w:spacing w:after="0"/>
              <w:rPr>
                <w:sz w:val="20"/>
                <w:szCs w:val="20"/>
                <w:color w:val="auto"/>
              </w:rPr>
            </w:pPr>
            <w:r>
              <w:rPr>
                <w:rFonts w:ascii="Arial" w:cs="Arial" w:eastAsia="Arial" w:hAnsi="Arial"/>
                <w:sz w:val="16"/>
                <w:szCs w:val="16"/>
                <w:b w:val="1"/>
                <w:bCs w:val="1"/>
                <w:color w:val="0233A1"/>
              </w:rPr>
              <w:t>Reported</w:t>
            </w:r>
          </w:p>
        </w:tc>
        <w:tc>
          <w:tcPr>
            <w:tcW w:w="2000" w:type="dxa"/>
            <w:vAlign w:val="bottom"/>
          </w:tcPr>
          <w:p>
            <w:pPr>
              <w:spacing w:after="0"/>
              <w:rPr>
                <w:sz w:val="16"/>
                <w:szCs w:val="16"/>
                <w:color w:val="auto"/>
              </w:rPr>
            </w:pPr>
          </w:p>
        </w:tc>
        <w:tc>
          <w:tcPr>
            <w:tcW w:w="1680" w:type="dxa"/>
            <w:vAlign w:val="bottom"/>
          </w:tcPr>
          <w:p>
            <w:pPr>
              <w:jc w:val="right"/>
              <w:ind w:right="181"/>
              <w:spacing w:after="0"/>
              <w:rPr>
                <w:sz w:val="20"/>
                <w:szCs w:val="20"/>
                <w:color w:val="auto"/>
              </w:rPr>
            </w:pPr>
            <w:r>
              <w:rPr>
                <w:rFonts w:ascii="Arial" w:cs="Arial" w:eastAsia="Arial" w:hAnsi="Arial"/>
                <w:sz w:val="16"/>
                <w:szCs w:val="16"/>
                <w:b w:val="1"/>
                <w:bCs w:val="1"/>
                <w:color w:val="0233A1"/>
              </w:rPr>
              <w:t>Actuarial Present</w:t>
            </w:r>
          </w:p>
        </w:tc>
        <w:tc>
          <w:tcPr>
            <w:tcW w:w="1600" w:type="dxa"/>
            <w:vAlign w:val="bottom"/>
          </w:tcPr>
          <w:p>
            <w:pPr>
              <w:jc w:val="right"/>
              <w:ind w:right="202"/>
              <w:spacing w:after="0"/>
              <w:rPr>
                <w:sz w:val="20"/>
                <w:szCs w:val="20"/>
                <w:color w:val="auto"/>
              </w:rPr>
            </w:pPr>
            <w:r>
              <w:rPr>
                <w:rFonts w:ascii="Arial" w:cs="Arial" w:eastAsia="Arial" w:hAnsi="Arial"/>
                <w:sz w:val="16"/>
                <w:szCs w:val="16"/>
                <w:b w:val="1"/>
                <w:bCs w:val="1"/>
                <w:color w:val="0233A1"/>
              </w:rPr>
              <w:t>Pension Benefit</w:t>
            </w:r>
          </w:p>
        </w:tc>
        <w:tc>
          <w:tcPr>
            <w:tcW w:w="1740" w:type="dxa"/>
            <w:vAlign w:val="bottom"/>
          </w:tcPr>
          <w:p>
            <w:pPr>
              <w:spacing w:after="0"/>
              <w:rPr>
                <w:sz w:val="16"/>
                <w:szCs w:val="16"/>
                <w:color w:val="auto"/>
              </w:rPr>
            </w:pPr>
          </w:p>
        </w:tc>
      </w:tr>
      <w:tr>
        <w:trPr>
          <w:trHeight w:val="189"/>
        </w:trPr>
        <w:tc>
          <w:tcPr>
            <w:tcW w:w="860" w:type="dxa"/>
            <w:vAlign w:val="bottom"/>
          </w:tcPr>
          <w:p>
            <w:pPr>
              <w:spacing w:after="0"/>
              <w:rPr>
                <w:sz w:val="16"/>
                <w:szCs w:val="16"/>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b w:val="1"/>
                <w:bCs w:val="1"/>
                <w:color w:val="0233A1"/>
              </w:rPr>
              <w:t>Table Total for</w:t>
            </w:r>
          </w:p>
        </w:tc>
        <w:tc>
          <w:tcPr>
            <w:tcW w:w="1640" w:type="dxa"/>
            <w:vAlign w:val="bottom"/>
          </w:tcPr>
          <w:p>
            <w:pPr>
              <w:jc w:val="right"/>
              <w:ind w:right="182"/>
              <w:spacing w:after="0"/>
              <w:rPr>
                <w:sz w:val="20"/>
                <w:szCs w:val="20"/>
                <w:color w:val="auto"/>
              </w:rPr>
            </w:pPr>
            <w:r>
              <w:rPr>
                <w:rFonts w:ascii="Arial" w:cs="Arial" w:eastAsia="Arial" w:hAnsi="Arial"/>
                <w:sz w:val="16"/>
                <w:szCs w:val="16"/>
                <w:b w:val="1"/>
                <w:bCs w:val="1"/>
                <w:color w:val="0233A1"/>
              </w:rPr>
              <w:t>Value of Equity</w:t>
            </w:r>
          </w:p>
        </w:tc>
        <w:tc>
          <w:tcPr>
            <w:tcW w:w="2000" w:type="dxa"/>
            <w:vAlign w:val="bottom"/>
          </w:tcPr>
          <w:p>
            <w:pPr>
              <w:jc w:val="right"/>
              <w:ind w:right="183"/>
              <w:spacing w:after="0"/>
              <w:rPr>
                <w:sz w:val="20"/>
                <w:szCs w:val="20"/>
                <w:color w:val="auto"/>
              </w:rPr>
            </w:pPr>
            <w:r>
              <w:rPr>
                <w:rFonts w:ascii="Arial" w:cs="Arial" w:eastAsia="Arial" w:hAnsi="Arial"/>
                <w:sz w:val="16"/>
                <w:szCs w:val="16"/>
                <w:b w:val="1"/>
                <w:bCs w:val="1"/>
                <w:color w:val="0233A1"/>
              </w:rPr>
              <w:t>Equity Award</w:t>
            </w:r>
          </w:p>
        </w:tc>
        <w:tc>
          <w:tcPr>
            <w:tcW w:w="1680" w:type="dxa"/>
            <w:vAlign w:val="bottom"/>
          </w:tcPr>
          <w:p>
            <w:pPr>
              <w:jc w:val="right"/>
              <w:ind w:right="181"/>
              <w:spacing w:after="0"/>
              <w:rPr>
                <w:sz w:val="20"/>
                <w:szCs w:val="20"/>
                <w:color w:val="auto"/>
              </w:rPr>
            </w:pPr>
            <w:r>
              <w:rPr>
                <w:rFonts w:ascii="Arial" w:cs="Arial" w:eastAsia="Arial" w:hAnsi="Arial"/>
                <w:sz w:val="16"/>
                <w:szCs w:val="16"/>
                <w:b w:val="1"/>
                <w:bCs w:val="1"/>
                <w:color w:val="0233A1"/>
              </w:rPr>
              <w:t>Value of Pension</w:t>
            </w:r>
          </w:p>
        </w:tc>
        <w:tc>
          <w:tcPr>
            <w:tcW w:w="1600" w:type="dxa"/>
            <w:vAlign w:val="bottom"/>
          </w:tcPr>
          <w:p>
            <w:pPr>
              <w:jc w:val="right"/>
              <w:ind w:right="202"/>
              <w:spacing w:after="0"/>
              <w:rPr>
                <w:sz w:val="20"/>
                <w:szCs w:val="20"/>
                <w:color w:val="auto"/>
              </w:rPr>
            </w:pPr>
            <w:r>
              <w:rPr>
                <w:rFonts w:ascii="Arial" w:cs="Arial" w:eastAsia="Arial" w:hAnsi="Arial"/>
                <w:sz w:val="16"/>
                <w:szCs w:val="16"/>
                <w:b w:val="1"/>
                <w:bCs w:val="1"/>
                <w:color w:val="0233A1"/>
              </w:rPr>
              <w:t>Adjustments</w:t>
            </w:r>
          </w:p>
        </w:tc>
        <w:tc>
          <w:tcPr>
            <w:tcW w:w="1740" w:type="dxa"/>
            <w:vAlign w:val="bottom"/>
          </w:tcPr>
          <w:p>
            <w:pPr>
              <w:jc w:val="right"/>
              <w:spacing w:after="0"/>
              <w:rPr>
                <w:sz w:val="20"/>
                <w:szCs w:val="20"/>
                <w:color w:val="auto"/>
              </w:rPr>
            </w:pPr>
            <w:r>
              <w:rPr>
                <w:rFonts w:ascii="Arial" w:cs="Arial" w:eastAsia="Arial" w:hAnsi="Arial"/>
                <w:sz w:val="16"/>
                <w:szCs w:val="16"/>
                <w:b w:val="1"/>
                <w:bCs w:val="1"/>
                <w:color w:val="0233A1"/>
              </w:rPr>
              <w:t>Compensation</w:t>
            </w:r>
          </w:p>
        </w:tc>
      </w:tr>
      <w:tr>
        <w:trPr>
          <w:trHeight w:val="163"/>
        </w:trPr>
        <w:tc>
          <w:tcPr>
            <w:tcW w:w="860" w:type="dxa"/>
            <w:vAlign w:val="bottom"/>
          </w:tcPr>
          <w:p>
            <w:pPr>
              <w:spacing w:after="0"/>
              <w:rPr>
                <w:sz w:val="14"/>
                <w:szCs w:val="14"/>
                <w:color w:val="auto"/>
              </w:rPr>
            </w:pPr>
          </w:p>
        </w:tc>
        <w:tc>
          <w:tcPr>
            <w:tcW w:w="1720" w:type="dxa"/>
            <w:vAlign w:val="bottom"/>
          </w:tcPr>
          <w:p>
            <w:pPr>
              <w:jc w:val="right"/>
              <w:ind w:right="39"/>
              <w:spacing w:after="0" w:line="163" w:lineRule="exact"/>
              <w:rPr>
                <w:sz w:val="20"/>
                <w:szCs w:val="20"/>
                <w:color w:val="auto"/>
              </w:rPr>
            </w:pPr>
            <w:r>
              <w:rPr>
                <w:rFonts w:ascii="Arial" w:cs="Arial" w:eastAsia="Arial" w:hAnsi="Arial"/>
                <w:sz w:val="16"/>
                <w:szCs w:val="16"/>
                <w:b w:val="1"/>
                <w:bCs w:val="1"/>
                <w:color w:val="0233A1"/>
              </w:rPr>
              <w:t>CEO</w:t>
            </w:r>
          </w:p>
        </w:tc>
        <w:tc>
          <w:tcPr>
            <w:tcW w:w="1640" w:type="dxa"/>
            <w:vAlign w:val="bottom"/>
          </w:tcPr>
          <w:p>
            <w:pPr>
              <w:jc w:val="right"/>
              <w:ind w:right="182"/>
              <w:spacing w:after="0" w:line="163" w:lineRule="exact"/>
              <w:rPr>
                <w:sz w:val="20"/>
                <w:szCs w:val="20"/>
                <w:color w:val="auto"/>
              </w:rPr>
            </w:pPr>
            <w:r>
              <w:rPr>
                <w:rFonts w:ascii="Arial" w:cs="Arial" w:eastAsia="Arial" w:hAnsi="Arial"/>
                <w:sz w:val="16"/>
                <w:szCs w:val="16"/>
                <w:b w:val="1"/>
                <w:bCs w:val="1"/>
                <w:color w:val="0233A1"/>
              </w:rPr>
              <w:t>Awards for CEO</w:t>
            </w:r>
          </w:p>
        </w:tc>
        <w:tc>
          <w:tcPr>
            <w:tcW w:w="2000" w:type="dxa"/>
            <w:vAlign w:val="bottom"/>
          </w:tcPr>
          <w:p>
            <w:pPr>
              <w:jc w:val="right"/>
              <w:ind w:right="183"/>
              <w:spacing w:after="0" w:line="163" w:lineRule="exact"/>
              <w:rPr>
                <w:sz w:val="20"/>
                <w:szCs w:val="20"/>
                <w:color w:val="auto"/>
              </w:rPr>
            </w:pPr>
            <w:r>
              <w:rPr>
                <w:rFonts w:ascii="Arial" w:cs="Arial" w:eastAsia="Arial" w:hAnsi="Arial"/>
                <w:sz w:val="16"/>
                <w:szCs w:val="16"/>
                <w:b w:val="1"/>
                <w:bCs w:val="1"/>
                <w:color w:val="0233A1"/>
              </w:rPr>
              <w:t>Adjustments for CEO</w:t>
            </w:r>
          </w:p>
        </w:tc>
        <w:tc>
          <w:tcPr>
            <w:tcW w:w="1680" w:type="dxa"/>
            <w:vAlign w:val="bottom"/>
          </w:tcPr>
          <w:p>
            <w:pPr>
              <w:jc w:val="right"/>
              <w:ind w:right="181"/>
              <w:spacing w:after="0" w:line="163" w:lineRule="exact"/>
              <w:rPr>
                <w:sz w:val="20"/>
                <w:szCs w:val="20"/>
                <w:color w:val="auto"/>
              </w:rPr>
            </w:pPr>
            <w:r>
              <w:rPr>
                <w:rFonts w:ascii="Arial" w:cs="Arial" w:eastAsia="Arial" w:hAnsi="Arial"/>
                <w:sz w:val="16"/>
                <w:szCs w:val="16"/>
                <w:b w:val="1"/>
                <w:bCs w:val="1"/>
                <w:color w:val="0233A1"/>
              </w:rPr>
              <w:t>Benefits for CEO</w:t>
            </w:r>
          </w:p>
        </w:tc>
        <w:tc>
          <w:tcPr>
            <w:tcW w:w="1600" w:type="dxa"/>
            <w:vAlign w:val="bottom"/>
          </w:tcPr>
          <w:p>
            <w:pPr>
              <w:jc w:val="right"/>
              <w:ind w:right="202"/>
              <w:spacing w:after="0" w:line="163" w:lineRule="exact"/>
              <w:rPr>
                <w:sz w:val="20"/>
                <w:szCs w:val="20"/>
                <w:color w:val="auto"/>
              </w:rPr>
            </w:pPr>
            <w:r>
              <w:rPr>
                <w:rFonts w:ascii="Arial" w:cs="Arial" w:eastAsia="Arial" w:hAnsi="Arial"/>
                <w:sz w:val="16"/>
                <w:szCs w:val="16"/>
                <w:b w:val="1"/>
                <w:bCs w:val="1"/>
                <w:color w:val="0233A1"/>
              </w:rPr>
              <w:t>for CEO</w:t>
            </w:r>
          </w:p>
        </w:tc>
        <w:tc>
          <w:tcPr>
            <w:tcW w:w="1740" w:type="dxa"/>
            <w:vAlign w:val="bottom"/>
          </w:tcPr>
          <w:p>
            <w:pPr>
              <w:jc w:val="right"/>
              <w:spacing w:after="0" w:line="163" w:lineRule="exact"/>
              <w:rPr>
                <w:sz w:val="20"/>
                <w:szCs w:val="20"/>
                <w:color w:val="auto"/>
              </w:rPr>
            </w:pPr>
            <w:r>
              <w:rPr>
                <w:rFonts w:ascii="Arial" w:cs="Arial" w:eastAsia="Arial" w:hAnsi="Arial"/>
                <w:sz w:val="16"/>
                <w:szCs w:val="16"/>
                <w:b w:val="1"/>
                <w:bCs w:val="1"/>
                <w:color w:val="0233A1"/>
              </w:rPr>
              <w:t>Actually Paid to CEO</w:t>
            </w:r>
          </w:p>
        </w:tc>
      </w:tr>
      <w:tr>
        <w:trPr>
          <w:trHeight w:val="230"/>
        </w:trPr>
        <w:tc>
          <w:tcPr>
            <w:tcW w:w="860" w:type="dxa"/>
            <w:vAlign w:val="bottom"/>
            <w:tcBorders>
              <w:bottom w:val="single" w:sz="8" w:color="0233A1"/>
            </w:tcBorders>
          </w:tcPr>
          <w:p>
            <w:pPr>
              <w:ind w:left="40"/>
              <w:spacing w:after="0"/>
              <w:rPr>
                <w:sz w:val="20"/>
                <w:szCs w:val="20"/>
                <w:color w:val="auto"/>
              </w:rPr>
            </w:pPr>
            <w:r>
              <w:rPr>
                <w:rFonts w:ascii="Arial" w:cs="Arial" w:eastAsia="Arial" w:hAnsi="Arial"/>
                <w:sz w:val="16"/>
                <w:szCs w:val="16"/>
                <w:b w:val="1"/>
                <w:bCs w:val="1"/>
                <w:color w:val="0233A1"/>
              </w:rPr>
              <w:t>Year</w:t>
            </w:r>
          </w:p>
        </w:tc>
        <w:tc>
          <w:tcPr>
            <w:tcW w:w="172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b w:val="1"/>
                <w:bCs w:val="1"/>
                <w:color w:val="0233A1"/>
              </w:rPr>
              <w:t>($)</w:t>
            </w:r>
          </w:p>
        </w:tc>
        <w:tc>
          <w:tcPr>
            <w:tcW w:w="1640" w:type="dxa"/>
            <w:vAlign w:val="bottom"/>
            <w:tcBorders>
              <w:bottom w:val="single" w:sz="8" w:color="0233A1"/>
            </w:tcBorders>
          </w:tcPr>
          <w:p>
            <w:pPr>
              <w:jc w:val="right"/>
              <w:ind w:right="22"/>
              <w:spacing w:after="0" w:line="230" w:lineRule="exact"/>
              <w:rPr>
                <w:sz w:val="20"/>
                <w:szCs w:val="20"/>
                <w:color w:val="auto"/>
              </w:rPr>
            </w:pPr>
            <w:r>
              <w:rPr>
                <w:rFonts w:ascii="Arial" w:cs="Arial" w:eastAsia="Arial" w:hAnsi="Arial"/>
                <w:sz w:val="26"/>
                <w:szCs w:val="26"/>
                <w:b w:val="1"/>
                <w:bCs w:val="1"/>
                <w:color w:val="0233A1"/>
                <w:vertAlign w:val="subscript"/>
              </w:rPr>
              <w:t>($)</w:t>
            </w:r>
            <w:r>
              <w:rPr>
                <w:rFonts w:ascii="Arial" w:cs="Arial" w:eastAsia="Arial" w:hAnsi="Arial"/>
                <w:sz w:val="12"/>
                <w:szCs w:val="12"/>
                <w:b w:val="1"/>
                <w:bCs w:val="1"/>
                <w:color w:val="0233A1"/>
              </w:rPr>
              <w:t>(1)</w:t>
            </w:r>
          </w:p>
        </w:tc>
        <w:tc>
          <w:tcPr>
            <w:tcW w:w="2000" w:type="dxa"/>
            <w:vAlign w:val="bottom"/>
            <w:tcBorders>
              <w:bottom w:val="single" w:sz="8" w:color="0233A1"/>
            </w:tcBorders>
          </w:tcPr>
          <w:p>
            <w:pPr>
              <w:jc w:val="right"/>
              <w:ind w:right="23"/>
              <w:spacing w:after="0" w:line="230" w:lineRule="exact"/>
              <w:rPr>
                <w:sz w:val="20"/>
                <w:szCs w:val="20"/>
                <w:color w:val="auto"/>
              </w:rPr>
            </w:pPr>
            <w:r>
              <w:rPr>
                <w:rFonts w:ascii="Arial" w:cs="Arial" w:eastAsia="Arial" w:hAnsi="Arial"/>
                <w:sz w:val="26"/>
                <w:szCs w:val="26"/>
                <w:b w:val="1"/>
                <w:bCs w:val="1"/>
                <w:color w:val="0233A1"/>
                <w:vertAlign w:val="subscript"/>
              </w:rPr>
              <w:t>($)</w:t>
            </w:r>
            <w:r>
              <w:rPr>
                <w:rFonts w:ascii="Arial" w:cs="Arial" w:eastAsia="Arial" w:hAnsi="Arial"/>
                <w:sz w:val="12"/>
                <w:szCs w:val="12"/>
                <w:b w:val="1"/>
                <w:bCs w:val="1"/>
                <w:color w:val="0233A1"/>
              </w:rPr>
              <w:t>(2)</w:t>
            </w:r>
          </w:p>
        </w:tc>
        <w:tc>
          <w:tcPr>
            <w:tcW w:w="1680" w:type="dxa"/>
            <w:vAlign w:val="bottom"/>
            <w:tcBorders>
              <w:bottom w:val="single" w:sz="8" w:color="0233A1"/>
            </w:tcBorders>
          </w:tcPr>
          <w:p>
            <w:pPr>
              <w:jc w:val="right"/>
              <w:ind w:right="1"/>
              <w:spacing w:after="0" w:line="230" w:lineRule="exact"/>
              <w:rPr>
                <w:sz w:val="20"/>
                <w:szCs w:val="20"/>
                <w:color w:val="auto"/>
              </w:rPr>
            </w:pPr>
            <w:r>
              <w:rPr>
                <w:rFonts w:ascii="Arial" w:cs="Arial" w:eastAsia="Arial" w:hAnsi="Arial"/>
                <w:sz w:val="26"/>
                <w:szCs w:val="26"/>
                <w:b w:val="1"/>
                <w:bCs w:val="1"/>
                <w:color w:val="0233A1"/>
                <w:vertAlign w:val="subscript"/>
              </w:rPr>
              <w:t>($)</w:t>
            </w:r>
            <w:r>
              <w:rPr>
                <w:rFonts w:ascii="Arial" w:cs="Arial" w:eastAsia="Arial" w:hAnsi="Arial"/>
                <w:sz w:val="12"/>
                <w:szCs w:val="12"/>
                <w:b w:val="1"/>
                <w:bCs w:val="1"/>
                <w:color w:val="0233A1"/>
              </w:rPr>
              <w:t>(3)</w:t>
            </w:r>
          </w:p>
        </w:tc>
        <w:tc>
          <w:tcPr>
            <w:tcW w:w="1600" w:type="dxa"/>
            <w:vAlign w:val="bottom"/>
            <w:tcBorders>
              <w:bottom w:val="single" w:sz="8" w:color="0233A1"/>
            </w:tcBorders>
          </w:tcPr>
          <w:p>
            <w:pPr>
              <w:jc w:val="right"/>
              <w:ind w:right="22"/>
              <w:spacing w:after="0" w:line="230" w:lineRule="exact"/>
              <w:rPr>
                <w:sz w:val="20"/>
                <w:szCs w:val="20"/>
                <w:color w:val="auto"/>
              </w:rPr>
            </w:pPr>
            <w:r>
              <w:rPr>
                <w:rFonts w:ascii="Arial" w:cs="Arial" w:eastAsia="Arial" w:hAnsi="Arial"/>
                <w:sz w:val="26"/>
                <w:szCs w:val="26"/>
                <w:b w:val="1"/>
                <w:bCs w:val="1"/>
                <w:color w:val="0233A1"/>
                <w:vertAlign w:val="subscript"/>
              </w:rPr>
              <w:t>($)</w:t>
            </w:r>
            <w:r>
              <w:rPr>
                <w:rFonts w:ascii="Arial" w:cs="Arial" w:eastAsia="Arial" w:hAnsi="Arial"/>
                <w:sz w:val="12"/>
                <w:szCs w:val="12"/>
                <w:b w:val="1"/>
                <w:bCs w:val="1"/>
                <w:color w:val="0233A1"/>
              </w:rPr>
              <w:t>(4)</w:t>
            </w:r>
          </w:p>
        </w:tc>
        <w:tc>
          <w:tcPr>
            <w:tcW w:w="174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r>
      <w:tr>
        <w:trPr>
          <w:trHeight w:val="208"/>
        </w:trPr>
        <w:tc>
          <w:tcPr>
            <w:tcW w:w="860" w:type="dxa"/>
            <w:vAlign w:val="bottom"/>
          </w:tcPr>
          <w:p>
            <w:pPr>
              <w:ind w:left="40"/>
              <w:spacing w:after="0"/>
              <w:rPr>
                <w:sz w:val="20"/>
                <w:szCs w:val="20"/>
                <w:color w:val="auto"/>
              </w:rPr>
            </w:pPr>
            <w:r>
              <w:rPr>
                <w:rFonts w:ascii="Arial" w:cs="Arial" w:eastAsia="Arial" w:hAnsi="Arial"/>
                <w:sz w:val="16"/>
                <w:szCs w:val="16"/>
                <w:color w:val="auto"/>
              </w:rPr>
              <w:t>2022</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15,713,757</w:t>
            </w:r>
          </w:p>
        </w:tc>
        <w:tc>
          <w:tcPr>
            <w:tcW w:w="1640" w:type="dxa"/>
            <w:vAlign w:val="bottom"/>
          </w:tcPr>
          <w:p>
            <w:pPr>
              <w:jc w:val="right"/>
              <w:ind w:right="182"/>
              <w:spacing w:after="0"/>
              <w:rPr>
                <w:sz w:val="20"/>
                <w:szCs w:val="20"/>
                <w:color w:val="auto"/>
              </w:rPr>
            </w:pPr>
            <w:r>
              <w:rPr>
                <w:rFonts w:ascii="Arial" w:cs="Arial" w:eastAsia="Arial" w:hAnsi="Arial"/>
                <w:sz w:val="16"/>
                <w:szCs w:val="16"/>
                <w:color w:val="auto"/>
              </w:rPr>
              <w:t>(11,999,949)</w:t>
            </w:r>
          </w:p>
        </w:tc>
        <w:tc>
          <w:tcPr>
            <w:tcW w:w="2000" w:type="dxa"/>
            <w:vAlign w:val="bottom"/>
          </w:tcPr>
          <w:p>
            <w:pPr>
              <w:jc w:val="right"/>
              <w:ind w:right="183"/>
              <w:spacing w:after="0"/>
              <w:rPr>
                <w:sz w:val="20"/>
                <w:szCs w:val="20"/>
                <w:color w:val="auto"/>
              </w:rPr>
            </w:pPr>
            <w:r>
              <w:rPr>
                <w:rFonts w:ascii="Arial" w:cs="Arial" w:eastAsia="Arial" w:hAnsi="Arial"/>
                <w:sz w:val="16"/>
                <w:szCs w:val="16"/>
                <w:color w:val="auto"/>
              </w:rPr>
              <w:t>35,564,073</w:t>
            </w:r>
          </w:p>
        </w:tc>
        <w:tc>
          <w:tcPr>
            <w:tcW w:w="16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202"/>
              <w:spacing w:after="0"/>
              <w:rPr>
                <w:sz w:val="20"/>
                <w:szCs w:val="20"/>
                <w:color w:val="auto"/>
              </w:rPr>
            </w:pPr>
            <w:r>
              <w:rPr>
                <w:rFonts w:ascii="Arial" w:cs="Arial" w:eastAsia="Arial" w:hAnsi="Arial"/>
                <w:sz w:val="16"/>
                <w:szCs w:val="16"/>
                <w:color w:val="auto"/>
              </w:rPr>
              <w:t>201,018</w:t>
            </w:r>
          </w:p>
        </w:tc>
        <w:tc>
          <w:tcPr>
            <w:tcW w:w="1740" w:type="dxa"/>
            <w:vAlign w:val="bottom"/>
          </w:tcPr>
          <w:p>
            <w:pPr>
              <w:jc w:val="right"/>
              <w:spacing w:after="0"/>
              <w:rPr>
                <w:sz w:val="20"/>
                <w:szCs w:val="20"/>
                <w:color w:val="auto"/>
              </w:rPr>
            </w:pPr>
            <w:r>
              <w:rPr>
                <w:rFonts w:ascii="Arial" w:cs="Arial" w:eastAsia="Arial" w:hAnsi="Arial"/>
                <w:sz w:val="16"/>
                <w:szCs w:val="16"/>
                <w:color w:val="auto"/>
              </w:rPr>
              <w:t>39,478,899</w:t>
            </w:r>
          </w:p>
        </w:tc>
      </w:tr>
      <w:tr>
        <w:trPr>
          <w:trHeight w:val="215"/>
        </w:trPr>
        <w:tc>
          <w:tcPr>
            <w:tcW w:w="860" w:type="dxa"/>
            <w:vAlign w:val="bottom"/>
          </w:tcPr>
          <w:p>
            <w:pPr>
              <w:ind w:left="40"/>
              <w:spacing w:after="0"/>
              <w:rPr>
                <w:sz w:val="20"/>
                <w:szCs w:val="20"/>
                <w:color w:val="auto"/>
              </w:rPr>
            </w:pPr>
            <w:r>
              <w:rPr>
                <w:rFonts w:ascii="Arial" w:cs="Arial" w:eastAsia="Arial" w:hAnsi="Arial"/>
                <w:sz w:val="16"/>
                <w:szCs w:val="16"/>
                <w:color w:val="auto"/>
              </w:rPr>
              <w:t>2021</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16,795,502</w:t>
            </w:r>
          </w:p>
        </w:tc>
        <w:tc>
          <w:tcPr>
            <w:tcW w:w="1640" w:type="dxa"/>
            <w:vAlign w:val="bottom"/>
          </w:tcPr>
          <w:p>
            <w:pPr>
              <w:jc w:val="right"/>
              <w:ind w:right="182"/>
              <w:spacing w:after="0"/>
              <w:rPr>
                <w:sz w:val="20"/>
                <w:szCs w:val="20"/>
                <w:color w:val="auto"/>
              </w:rPr>
            </w:pPr>
            <w:r>
              <w:rPr>
                <w:rFonts w:ascii="Arial" w:cs="Arial" w:eastAsia="Arial" w:hAnsi="Arial"/>
                <w:sz w:val="16"/>
                <w:szCs w:val="16"/>
                <w:color w:val="auto"/>
              </w:rPr>
              <w:t>(10,499,803)</w:t>
            </w:r>
          </w:p>
        </w:tc>
        <w:tc>
          <w:tcPr>
            <w:tcW w:w="2000" w:type="dxa"/>
            <w:vAlign w:val="bottom"/>
          </w:tcPr>
          <w:p>
            <w:pPr>
              <w:jc w:val="right"/>
              <w:ind w:right="183"/>
              <w:spacing w:after="0"/>
              <w:rPr>
                <w:sz w:val="20"/>
                <w:szCs w:val="20"/>
                <w:color w:val="auto"/>
              </w:rPr>
            </w:pPr>
            <w:r>
              <w:rPr>
                <w:rFonts w:ascii="Arial" w:cs="Arial" w:eastAsia="Arial" w:hAnsi="Arial"/>
                <w:sz w:val="16"/>
                <w:szCs w:val="16"/>
                <w:color w:val="auto"/>
              </w:rPr>
              <w:t>26,690,503</w:t>
            </w:r>
          </w:p>
        </w:tc>
        <w:tc>
          <w:tcPr>
            <w:tcW w:w="1680" w:type="dxa"/>
            <w:vAlign w:val="bottom"/>
          </w:tcPr>
          <w:p>
            <w:pPr>
              <w:jc w:val="right"/>
              <w:ind w:right="181"/>
              <w:spacing w:after="0"/>
              <w:rPr>
                <w:sz w:val="20"/>
                <w:szCs w:val="20"/>
                <w:color w:val="auto"/>
              </w:rPr>
            </w:pPr>
            <w:r>
              <w:rPr>
                <w:rFonts w:ascii="Arial" w:cs="Arial" w:eastAsia="Arial" w:hAnsi="Arial"/>
                <w:sz w:val="16"/>
                <w:szCs w:val="16"/>
                <w:color w:val="auto"/>
              </w:rPr>
              <w:t>(802,703)</w:t>
            </w:r>
          </w:p>
        </w:tc>
        <w:tc>
          <w:tcPr>
            <w:tcW w:w="1600" w:type="dxa"/>
            <w:vAlign w:val="bottom"/>
          </w:tcPr>
          <w:p>
            <w:pPr>
              <w:jc w:val="right"/>
              <w:ind w:right="202"/>
              <w:spacing w:after="0"/>
              <w:rPr>
                <w:sz w:val="20"/>
                <w:szCs w:val="20"/>
                <w:color w:val="auto"/>
              </w:rPr>
            </w:pPr>
            <w:r>
              <w:rPr>
                <w:rFonts w:ascii="Arial" w:cs="Arial" w:eastAsia="Arial" w:hAnsi="Arial"/>
                <w:sz w:val="16"/>
                <w:szCs w:val="16"/>
                <w:color w:val="auto"/>
              </w:rPr>
              <w:t>208,657</w:t>
            </w:r>
          </w:p>
        </w:tc>
        <w:tc>
          <w:tcPr>
            <w:tcW w:w="1740" w:type="dxa"/>
            <w:vAlign w:val="bottom"/>
          </w:tcPr>
          <w:p>
            <w:pPr>
              <w:jc w:val="right"/>
              <w:spacing w:after="0"/>
              <w:rPr>
                <w:sz w:val="20"/>
                <w:szCs w:val="20"/>
                <w:color w:val="auto"/>
              </w:rPr>
            </w:pPr>
            <w:r>
              <w:rPr>
                <w:rFonts w:ascii="Arial" w:cs="Arial" w:eastAsia="Arial" w:hAnsi="Arial"/>
                <w:sz w:val="16"/>
                <w:szCs w:val="16"/>
                <w:color w:val="auto"/>
              </w:rPr>
              <w:t>32,392,156</w:t>
            </w:r>
          </w:p>
        </w:tc>
      </w:tr>
      <w:tr>
        <w:trPr>
          <w:trHeight w:val="238"/>
        </w:trPr>
        <w:tc>
          <w:tcPr>
            <w:tcW w:w="860" w:type="dxa"/>
            <w:vAlign w:val="bottom"/>
            <w:tcBorders>
              <w:bottom w:val="single" w:sz="8" w:color="0233A1"/>
            </w:tcBorders>
          </w:tcPr>
          <w:p>
            <w:pPr>
              <w:ind w:left="40"/>
              <w:spacing w:after="0"/>
              <w:rPr>
                <w:sz w:val="20"/>
                <w:szCs w:val="20"/>
                <w:color w:val="auto"/>
              </w:rPr>
            </w:pPr>
            <w:r>
              <w:rPr>
                <w:rFonts w:ascii="Arial" w:cs="Arial" w:eastAsia="Arial" w:hAnsi="Arial"/>
                <w:sz w:val="16"/>
                <w:szCs w:val="16"/>
                <w:color w:val="auto"/>
              </w:rPr>
              <w:t>2020</w:t>
            </w:r>
          </w:p>
        </w:tc>
        <w:tc>
          <w:tcPr>
            <w:tcW w:w="172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color w:val="auto"/>
              </w:rPr>
              <w:t>5,650,084</w:t>
            </w:r>
          </w:p>
        </w:tc>
        <w:tc>
          <w:tcPr>
            <w:tcW w:w="1640" w:type="dxa"/>
            <w:vAlign w:val="bottom"/>
            <w:tcBorders>
              <w:bottom w:val="single" w:sz="8" w:color="0233A1"/>
            </w:tcBorders>
          </w:tcPr>
          <w:p>
            <w:pPr>
              <w:jc w:val="right"/>
              <w:ind w:right="182"/>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0233A1"/>
            </w:tcBorders>
          </w:tcPr>
          <w:p>
            <w:pPr>
              <w:jc w:val="right"/>
              <w:ind w:right="183"/>
              <w:spacing w:after="0"/>
              <w:rPr>
                <w:sz w:val="20"/>
                <w:szCs w:val="20"/>
                <w:color w:val="auto"/>
              </w:rPr>
            </w:pPr>
            <w:r>
              <w:rPr>
                <w:rFonts w:ascii="Arial" w:cs="Arial" w:eastAsia="Arial" w:hAnsi="Arial"/>
                <w:sz w:val="16"/>
                <w:szCs w:val="16"/>
                <w:color w:val="auto"/>
              </w:rPr>
              <w:t>(14,488,584)</w:t>
            </w:r>
          </w:p>
        </w:tc>
        <w:tc>
          <w:tcPr>
            <w:tcW w:w="1680" w:type="dxa"/>
            <w:vAlign w:val="bottom"/>
            <w:tcBorders>
              <w:bottom w:val="single" w:sz="8" w:color="0233A1"/>
            </w:tcBorders>
          </w:tcPr>
          <w:p>
            <w:pPr>
              <w:jc w:val="right"/>
              <w:ind w:right="181"/>
              <w:spacing w:after="0"/>
              <w:rPr>
                <w:sz w:val="20"/>
                <w:szCs w:val="20"/>
                <w:color w:val="auto"/>
              </w:rPr>
            </w:pPr>
            <w:r>
              <w:rPr>
                <w:rFonts w:ascii="Arial" w:cs="Arial" w:eastAsia="Arial" w:hAnsi="Arial"/>
                <w:sz w:val="16"/>
                <w:szCs w:val="16"/>
                <w:color w:val="auto"/>
              </w:rPr>
              <w:t>(1,844,619)</w:t>
            </w:r>
          </w:p>
        </w:tc>
        <w:tc>
          <w:tcPr>
            <w:tcW w:w="1600" w:type="dxa"/>
            <w:vAlign w:val="bottom"/>
            <w:tcBorders>
              <w:bottom w:val="single" w:sz="8" w:color="0233A1"/>
            </w:tcBorders>
          </w:tcPr>
          <w:p>
            <w:pPr>
              <w:jc w:val="right"/>
              <w:ind w:right="202"/>
              <w:spacing w:after="0"/>
              <w:rPr>
                <w:sz w:val="20"/>
                <w:szCs w:val="20"/>
                <w:color w:val="auto"/>
              </w:rPr>
            </w:pPr>
            <w:r>
              <w:rPr>
                <w:rFonts w:ascii="Arial" w:cs="Arial" w:eastAsia="Arial" w:hAnsi="Arial"/>
                <w:sz w:val="16"/>
                <w:szCs w:val="16"/>
                <w:color w:val="auto"/>
              </w:rPr>
              <w:t>72,605</w:t>
            </w:r>
          </w:p>
        </w:tc>
        <w:tc>
          <w:tcPr>
            <w:tcW w:w="174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(10,610,514)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-162560</wp:posOffset>
            </wp:positionV>
            <wp:extent cx="17145" cy="17145"/>
            <wp:wrapNone/>
            <wp:docPr id="3638" name="Picture 3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8"/>
                    <pic:cNvPicPr>
                      <a:picLocks noChangeAspect="1" noChangeArrowheads="1"/>
                    </pic:cNvPicPr>
                  </pic:nvPicPr>
                  <pic:blipFill>
                    <a:blip r:embed="rId36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-162560</wp:posOffset>
            </wp:positionV>
            <wp:extent cx="17145" cy="17145"/>
            <wp:wrapNone/>
            <wp:docPr id="3639" name="Picture 3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9"/>
                    <pic:cNvPicPr>
                      <a:picLocks noChangeAspect="1" noChangeArrowheads="1"/>
                    </pic:cNvPicPr>
                  </pic:nvPicPr>
                  <pic:blipFill>
                    <a:blip r:embed="rId36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-162560</wp:posOffset>
            </wp:positionV>
            <wp:extent cx="17145" cy="17145"/>
            <wp:wrapNone/>
            <wp:docPr id="3640" name="Picture 3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0"/>
                    <pic:cNvPicPr>
                      <a:picLocks noChangeAspect="1" noChangeArrowheads="1"/>
                    </pic:cNvPicPr>
                  </pic:nvPicPr>
                  <pic:blipFill>
                    <a:blip r:embed="rId36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-162560</wp:posOffset>
            </wp:positionV>
            <wp:extent cx="17145" cy="17145"/>
            <wp:wrapNone/>
            <wp:docPr id="3641" name="Picture 3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1"/>
                    <pic:cNvPicPr>
                      <a:picLocks noChangeAspect="1" noChangeArrowheads="1"/>
                    </pic:cNvPicPr>
                  </pic:nvPicPr>
                  <pic:blipFill>
                    <a:blip r:embed="rId36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-162560</wp:posOffset>
            </wp:positionV>
            <wp:extent cx="17145" cy="17145"/>
            <wp:wrapNone/>
            <wp:docPr id="3642" name="Picture 3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2"/>
                    <pic:cNvPicPr>
                      <a:picLocks noChangeAspect="1" noChangeArrowheads="1"/>
                    </pic:cNvPicPr>
                  </pic:nvPicPr>
                  <pic:blipFill>
                    <a:blip r:embed="rId36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-162560</wp:posOffset>
            </wp:positionV>
            <wp:extent cx="17145" cy="17145"/>
            <wp:wrapNone/>
            <wp:docPr id="3643" name="Picture 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3"/>
                    <pic:cNvPicPr>
                      <a:picLocks noChangeAspect="1" noChangeArrowheads="1"/>
                    </pic:cNvPicPr>
                  </pic:nvPicPr>
                  <pic:blipFill>
                    <a:blip r:embed="rId36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-162560</wp:posOffset>
            </wp:positionV>
            <wp:extent cx="17145" cy="17145"/>
            <wp:wrapNone/>
            <wp:docPr id="3644" name="Picture 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4"/>
                    <pic:cNvPicPr>
                      <a:picLocks noChangeAspect="1" noChangeArrowheads="1"/>
                    </pic:cNvPicPr>
                  </pic:nvPicPr>
                  <pic:blipFill>
                    <a:blip r:embed="rId36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-162560</wp:posOffset>
            </wp:positionV>
            <wp:extent cx="17145" cy="17145"/>
            <wp:wrapNone/>
            <wp:docPr id="3645" name="Picture 3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5"/>
                    <pic:cNvPicPr>
                      <a:picLocks noChangeAspect="1" noChangeArrowheads="1"/>
                    </pic:cNvPicPr>
                  </pic:nvPicPr>
                  <pic:blipFill>
                    <a:blip r:embed="rId36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-162560</wp:posOffset>
            </wp:positionV>
            <wp:extent cx="17145" cy="17145"/>
            <wp:wrapNone/>
            <wp:docPr id="3646" name="Picture 3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6"/>
                    <pic:cNvPicPr>
                      <a:picLocks noChangeAspect="1" noChangeArrowheads="1"/>
                    </pic:cNvPicPr>
                  </pic:nvPicPr>
                  <pic:blipFill>
                    <a:blip r:embed="rId36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-162560</wp:posOffset>
            </wp:positionV>
            <wp:extent cx="17145" cy="17145"/>
            <wp:wrapNone/>
            <wp:docPr id="3647" name="Picture 3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7"/>
                    <pic:cNvPicPr>
                      <a:picLocks noChangeAspect="1" noChangeArrowheads="1"/>
                    </pic:cNvPicPr>
                  </pic:nvPicPr>
                  <pic:blipFill>
                    <a:blip r:embed="rId36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-162560</wp:posOffset>
            </wp:positionV>
            <wp:extent cx="17145" cy="17145"/>
            <wp:wrapNone/>
            <wp:docPr id="3648" name="Picture 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8"/>
                    <pic:cNvPicPr>
                      <a:picLocks noChangeAspect="1" noChangeArrowheads="1"/>
                    </pic:cNvPicPr>
                  </pic:nvPicPr>
                  <pic:blipFill>
                    <a:blip r:embed="rId36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-162560</wp:posOffset>
            </wp:positionV>
            <wp:extent cx="17145" cy="17145"/>
            <wp:wrapNone/>
            <wp:docPr id="3649" name="Picture 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9"/>
                    <pic:cNvPicPr>
                      <a:picLocks noChangeAspect="1" noChangeArrowheads="1"/>
                    </pic:cNvPicPr>
                  </pic:nvPicPr>
                  <pic:blipFill>
                    <a:blip r:embed="rId36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-162560</wp:posOffset>
            </wp:positionV>
            <wp:extent cx="17145" cy="17145"/>
            <wp:wrapNone/>
            <wp:docPr id="3650" name="Picture 3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0"/>
                    <pic:cNvPicPr>
                      <a:picLocks noChangeAspect="1" noChangeArrowheads="1"/>
                    </pic:cNvPicPr>
                  </pic:nvPicPr>
                  <pic:blipFill>
                    <a:blip r:embed="rId36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-162560</wp:posOffset>
            </wp:positionV>
            <wp:extent cx="17145" cy="17145"/>
            <wp:wrapNone/>
            <wp:docPr id="3651" name="Picture 3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1"/>
                    <pic:cNvPicPr>
                      <a:picLocks noChangeAspect="1" noChangeArrowheads="1"/>
                    </pic:cNvPicPr>
                  </pic:nvPicPr>
                  <pic:blipFill>
                    <a:blip r:embed="rId36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-162560</wp:posOffset>
            </wp:positionV>
            <wp:extent cx="17145" cy="17145"/>
            <wp:wrapNone/>
            <wp:docPr id="3652" name="Picture 3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2"/>
                    <pic:cNvPicPr>
                      <a:picLocks noChangeAspect="1" noChangeArrowheads="1"/>
                    </pic:cNvPicPr>
                  </pic:nvPicPr>
                  <pic:blipFill>
                    <a:blip r:embed="rId36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-162560</wp:posOffset>
            </wp:positionV>
            <wp:extent cx="17145" cy="17145"/>
            <wp:wrapNone/>
            <wp:docPr id="3653" name="Picture 3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3"/>
                    <pic:cNvPicPr>
                      <a:picLocks noChangeAspect="1" noChangeArrowheads="1"/>
                    </pic:cNvPicPr>
                  </pic:nvPicPr>
                  <pic:blipFill>
                    <a:blip r:embed="rId36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-162560</wp:posOffset>
            </wp:positionV>
            <wp:extent cx="17145" cy="17145"/>
            <wp:wrapNone/>
            <wp:docPr id="3654" name="Picture 3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4"/>
                    <pic:cNvPicPr>
                      <a:picLocks noChangeAspect="1" noChangeArrowheads="1"/>
                    </pic:cNvPicPr>
                  </pic:nvPicPr>
                  <pic:blipFill>
                    <a:blip r:embed="rId36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-162560</wp:posOffset>
            </wp:positionV>
            <wp:extent cx="17145" cy="17145"/>
            <wp:wrapNone/>
            <wp:docPr id="3655" name="Picture 3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5"/>
                    <pic:cNvPicPr>
                      <a:picLocks noChangeAspect="1" noChangeArrowheads="1"/>
                    </pic:cNvPicPr>
                  </pic:nvPicPr>
                  <pic:blipFill>
                    <a:blip r:embed="rId36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-162560</wp:posOffset>
            </wp:positionV>
            <wp:extent cx="17145" cy="17145"/>
            <wp:wrapNone/>
            <wp:docPr id="3656" name="Picture 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6"/>
                    <pic:cNvPicPr>
                      <a:picLocks noChangeAspect="1" noChangeArrowheads="1"/>
                    </pic:cNvPicPr>
                  </pic:nvPicPr>
                  <pic:blipFill>
                    <a:blip r:embed="rId36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-162560</wp:posOffset>
            </wp:positionV>
            <wp:extent cx="17145" cy="17145"/>
            <wp:wrapNone/>
            <wp:docPr id="3657" name="Picture 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7"/>
                    <pic:cNvPicPr>
                      <a:picLocks noChangeAspect="1" noChangeArrowheads="1"/>
                    </pic:cNvPicPr>
                  </pic:nvPicPr>
                  <pic:blipFill>
                    <a:blip r:embed="rId36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-162560</wp:posOffset>
            </wp:positionV>
            <wp:extent cx="17145" cy="17145"/>
            <wp:wrapNone/>
            <wp:docPr id="3658" name="Picture 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8"/>
                    <pic:cNvPicPr>
                      <a:picLocks noChangeAspect="1" noChangeArrowheads="1"/>
                    </pic:cNvPicPr>
                  </pic:nvPicPr>
                  <pic:blipFill>
                    <a:blip r:embed="rId36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-162560</wp:posOffset>
            </wp:positionV>
            <wp:extent cx="17145" cy="17145"/>
            <wp:wrapNone/>
            <wp:docPr id="3659" name="Picture 3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9"/>
                    <pic:cNvPicPr>
                      <a:picLocks noChangeAspect="1" noChangeArrowheads="1"/>
                    </pic:cNvPicPr>
                  </pic:nvPicPr>
                  <pic:blipFill>
                    <a:blip r:embed="rId36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-162560</wp:posOffset>
            </wp:positionV>
            <wp:extent cx="17145" cy="17145"/>
            <wp:wrapNone/>
            <wp:docPr id="3660" name="Picture 3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0"/>
                    <pic:cNvPicPr>
                      <a:picLocks noChangeAspect="1" noChangeArrowheads="1"/>
                    </pic:cNvPicPr>
                  </pic:nvPicPr>
                  <pic:blipFill>
                    <a:blip r:embed="rId36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-162560</wp:posOffset>
            </wp:positionV>
            <wp:extent cx="17145" cy="17145"/>
            <wp:wrapNone/>
            <wp:docPr id="3661" name="Picture 3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1"/>
                    <pic:cNvPicPr>
                      <a:picLocks noChangeAspect="1" noChangeArrowheads="1"/>
                    </pic:cNvPicPr>
                  </pic:nvPicPr>
                  <pic:blipFill>
                    <a:blip r:embed="rId36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-162560</wp:posOffset>
            </wp:positionV>
            <wp:extent cx="17145" cy="17145"/>
            <wp:wrapNone/>
            <wp:docPr id="3662" name="Picture 3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2"/>
                    <pic:cNvPicPr>
                      <a:picLocks noChangeAspect="1" noChangeArrowheads="1"/>
                    </pic:cNvPicPr>
                  </pic:nvPicPr>
                  <pic:blipFill>
                    <a:blip r:embed="rId36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-162560</wp:posOffset>
            </wp:positionV>
            <wp:extent cx="17145" cy="17145"/>
            <wp:wrapNone/>
            <wp:docPr id="3663" name="Picture 3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3"/>
                    <pic:cNvPicPr>
                      <a:picLocks noChangeAspect="1" noChangeArrowheads="1"/>
                    </pic:cNvPicPr>
                  </pic:nvPicPr>
                  <pic:blipFill>
                    <a:blip r:embed="rId36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-162560</wp:posOffset>
            </wp:positionV>
            <wp:extent cx="17145" cy="17145"/>
            <wp:wrapNone/>
            <wp:docPr id="3664" name="Picture 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4"/>
                    <pic:cNvPicPr>
                      <a:picLocks noChangeAspect="1" noChangeArrowheads="1"/>
                    </pic:cNvPicPr>
                  </pic:nvPicPr>
                  <pic:blipFill>
                    <a:blip r:embed="rId36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-162560</wp:posOffset>
            </wp:positionV>
            <wp:extent cx="17145" cy="17145"/>
            <wp:wrapNone/>
            <wp:docPr id="3665" name="Picture 3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5"/>
                    <pic:cNvPicPr>
                      <a:picLocks noChangeAspect="1" noChangeArrowheads="1"/>
                    </pic:cNvPicPr>
                  </pic:nvPicPr>
                  <pic:blipFill>
                    <a:blip r:embed="rId36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-162560</wp:posOffset>
            </wp:positionV>
            <wp:extent cx="17145" cy="17145"/>
            <wp:wrapNone/>
            <wp:docPr id="3666" name="Picture 3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6"/>
                    <pic:cNvPicPr>
                      <a:picLocks noChangeAspect="1" noChangeArrowheads="1"/>
                    </pic:cNvPicPr>
                  </pic:nvPicPr>
                  <pic:blipFill>
                    <a:blip r:embed="rId36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-162560</wp:posOffset>
            </wp:positionV>
            <wp:extent cx="17145" cy="17145"/>
            <wp:wrapNone/>
            <wp:docPr id="3667" name="Picture 3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7"/>
                    <pic:cNvPicPr>
                      <a:picLocks noChangeAspect="1" noChangeArrowheads="1"/>
                    </pic:cNvPicPr>
                  </pic:nvPicPr>
                  <pic:blipFill>
                    <a:blip r:embed="rId36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6094730" cy="17145"/>
            <wp:wrapNone/>
            <wp:docPr id="3668" name="Picture 3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8"/>
                    <pic:cNvPicPr>
                      <a:picLocks noChangeAspect="1" noChangeArrowheads="1"/>
                    </pic:cNvPicPr>
                  </pic:nvPicPr>
                  <pic:blipFill>
                    <a:blip r:embed="rId3675">
                      <a:extLst>
                        <a:ext uri="{28A0092B-C50C-407E-A947-70E740481C1C}"/>
                      </a:extLst>
                    </a:blip>
                    <a:srcRect/>
                    <a:stretch>
                      <a:fillRect/>
                    </a:stretch>
                  </pic:blipFill>
                  <pic:spPr bwMode="auto">
                    <a:xfrm>
                      <a:off x="0" y="0"/>
                      <a:ext cx="6094730" cy="1714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-307975</wp:posOffset>
            </wp:positionV>
            <wp:extent cx="17145" cy="17145"/>
            <wp:wrapNone/>
            <wp:docPr id="3669" name="Picture 3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9"/>
                    <pic:cNvPicPr>
                      <a:picLocks noChangeAspect="1" noChangeArrowheads="1"/>
                    </pic:cNvPicPr>
                  </pic:nvPicPr>
                  <pic:blipFill>
                    <a:blip r:embed="rId36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-307975</wp:posOffset>
            </wp:positionV>
            <wp:extent cx="17145" cy="17145"/>
            <wp:wrapNone/>
            <wp:docPr id="3670" name="Picture 3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0"/>
                    <pic:cNvPicPr>
                      <a:picLocks noChangeAspect="1" noChangeArrowheads="1"/>
                    </pic:cNvPicPr>
                  </pic:nvPicPr>
                  <pic:blipFill>
                    <a:blip r:embed="rId36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-307975</wp:posOffset>
            </wp:positionV>
            <wp:extent cx="17145" cy="17145"/>
            <wp:wrapNone/>
            <wp:docPr id="3671" name="Picture 3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1"/>
                    <pic:cNvPicPr>
                      <a:picLocks noChangeAspect="1" noChangeArrowheads="1"/>
                    </pic:cNvPicPr>
                  </pic:nvPicPr>
                  <pic:blipFill>
                    <a:blip r:embed="rId36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-307975</wp:posOffset>
            </wp:positionV>
            <wp:extent cx="17145" cy="17145"/>
            <wp:wrapNone/>
            <wp:docPr id="3672" name="Picture 3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2"/>
                    <pic:cNvPicPr>
                      <a:picLocks noChangeAspect="1" noChangeArrowheads="1"/>
                    </pic:cNvPicPr>
                  </pic:nvPicPr>
                  <pic:blipFill>
                    <a:blip r:embed="rId36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-307975</wp:posOffset>
            </wp:positionV>
            <wp:extent cx="17145" cy="17145"/>
            <wp:wrapNone/>
            <wp:docPr id="3673" name="Picture 3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3"/>
                    <pic:cNvPicPr>
                      <a:picLocks noChangeAspect="1" noChangeArrowheads="1"/>
                    </pic:cNvPicPr>
                  </pic:nvPicPr>
                  <pic:blipFill>
                    <a:blip r:embed="rId36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-307975</wp:posOffset>
            </wp:positionV>
            <wp:extent cx="17145" cy="17145"/>
            <wp:wrapNone/>
            <wp:docPr id="3674" name="Picture 3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4"/>
                    <pic:cNvPicPr>
                      <a:picLocks noChangeAspect="1" noChangeArrowheads="1"/>
                    </pic:cNvPicPr>
                  </pic:nvPicPr>
                  <pic:blipFill>
                    <a:blip r:embed="rId36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-307975</wp:posOffset>
            </wp:positionV>
            <wp:extent cx="17145" cy="17145"/>
            <wp:wrapNone/>
            <wp:docPr id="3675" name="Picture 3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5"/>
                    <pic:cNvPicPr>
                      <a:picLocks noChangeAspect="1" noChangeArrowheads="1"/>
                    </pic:cNvPicPr>
                  </pic:nvPicPr>
                  <pic:blipFill>
                    <a:blip r:embed="rId36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-307975</wp:posOffset>
            </wp:positionV>
            <wp:extent cx="17145" cy="17145"/>
            <wp:wrapNone/>
            <wp:docPr id="3676" name="Picture 3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6"/>
                    <pic:cNvPicPr>
                      <a:picLocks noChangeAspect="1" noChangeArrowheads="1"/>
                    </pic:cNvPicPr>
                  </pic:nvPicPr>
                  <pic:blipFill>
                    <a:blip r:embed="rId36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-307975</wp:posOffset>
            </wp:positionV>
            <wp:extent cx="17145" cy="17145"/>
            <wp:wrapNone/>
            <wp:docPr id="3677" name="Picture 3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7"/>
                    <pic:cNvPicPr>
                      <a:picLocks noChangeAspect="1" noChangeArrowheads="1"/>
                    </pic:cNvPicPr>
                  </pic:nvPicPr>
                  <pic:blipFill>
                    <a:blip r:embed="rId36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-307975</wp:posOffset>
            </wp:positionV>
            <wp:extent cx="17145" cy="17145"/>
            <wp:wrapNone/>
            <wp:docPr id="3678" name="Picture 3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8"/>
                    <pic:cNvPicPr>
                      <a:picLocks noChangeAspect="1" noChangeArrowheads="1"/>
                    </pic:cNvPicPr>
                  </pic:nvPicPr>
                  <pic:blipFill>
                    <a:blip r:embed="rId36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-307975</wp:posOffset>
            </wp:positionV>
            <wp:extent cx="17145" cy="17145"/>
            <wp:wrapNone/>
            <wp:docPr id="3679" name="Picture 3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9"/>
                    <pic:cNvPicPr>
                      <a:picLocks noChangeAspect="1" noChangeArrowheads="1"/>
                    </pic:cNvPicPr>
                  </pic:nvPicPr>
                  <pic:blipFill>
                    <a:blip r:embed="rId36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-307975</wp:posOffset>
            </wp:positionV>
            <wp:extent cx="17145" cy="17145"/>
            <wp:wrapNone/>
            <wp:docPr id="3680" name="Picture 3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0"/>
                    <pic:cNvPicPr>
                      <a:picLocks noChangeAspect="1" noChangeArrowheads="1"/>
                    </pic:cNvPicPr>
                  </pic:nvPicPr>
                  <pic:blipFill>
                    <a:blip r:embed="rId36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-307975</wp:posOffset>
            </wp:positionV>
            <wp:extent cx="17145" cy="17145"/>
            <wp:wrapNone/>
            <wp:docPr id="3681" name="Picture 3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1"/>
                    <pic:cNvPicPr>
                      <a:picLocks noChangeAspect="1" noChangeArrowheads="1"/>
                    </pic:cNvPicPr>
                  </pic:nvPicPr>
                  <pic:blipFill>
                    <a:blip r:embed="rId36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-307975</wp:posOffset>
            </wp:positionV>
            <wp:extent cx="17145" cy="17145"/>
            <wp:wrapNone/>
            <wp:docPr id="3682" name="Picture 3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2"/>
                    <pic:cNvPicPr>
                      <a:picLocks noChangeAspect="1" noChangeArrowheads="1"/>
                    </pic:cNvPicPr>
                  </pic:nvPicPr>
                  <pic:blipFill>
                    <a:blip r:embed="rId36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-307975</wp:posOffset>
            </wp:positionV>
            <wp:extent cx="17145" cy="17145"/>
            <wp:wrapNone/>
            <wp:docPr id="3683" name="Picture 3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3"/>
                    <pic:cNvPicPr>
                      <a:picLocks noChangeAspect="1" noChangeArrowheads="1"/>
                    </pic:cNvPicPr>
                  </pic:nvPicPr>
                  <pic:blipFill>
                    <a:blip r:embed="rId36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-307975</wp:posOffset>
            </wp:positionV>
            <wp:extent cx="17145" cy="17145"/>
            <wp:wrapNone/>
            <wp:docPr id="3684" name="Picture 3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4"/>
                    <pic:cNvPicPr>
                      <a:picLocks noChangeAspect="1" noChangeArrowheads="1"/>
                    </pic:cNvPicPr>
                  </pic:nvPicPr>
                  <pic:blipFill>
                    <a:blip r:embed="rId36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-307975</wp:posOffset>
            </wp:positionV>
            <wp:extent cx="17145" cy="17145"/>
            <wp:wrapNone/>
            <wp:docPr id="3685" name="Picture 3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5"/>
                    <pic:cNvPicPr>
                      <a:picLocks noChangeAspect="1" noChangeArrowheads="1"/>
                    </pic:cNvPicPr>
                  </pic:nvPicPr>
                  <pic:blipFill>
                    <a:blip r:embed="rId36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-307975</wp:posOffset>
            </wp:positionV>
            <wp:extent cx="17145" cy="17145"/>
            <wp:wrapNone/>
            <wp:docPr id="3686" name="Picture 3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6"/>
                    <pic:cNvPicPr>
                      <a:picLocks noChangeAspect="1" noChangeArrowheads="1"/>
                    </pic:cNvPicPr>
                  </pic:nvPicPr>
                  <pic:blipFill>
                    <a:blip r:embed="rId36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-307975</wp:posOffset>
            </wp:positionV>
            <wp:extent cx="17145" cy="17145"/>
            <wp:wrapNone/>
            <wp:docPr id="3687" name="Picture 3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7"/>
                    <pic:cNvPicPr>
                      <a:picLocks noChangeAspect="1" noChangeArrowheads="1"/>
                    </pic:cNvPicPr>
                  </pic:nvPicPr>
                  <pic:blipFill>
                    <a:blip r:embed="rId36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-307975</wp:posOffset>
            </wp:positionV>
            <wp:extent cx="17145" cy="17145"/>
            <wp:wrapNone/>
            <wp:docPr id="3688" name="Picture 3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8"/>
                    <pic:cNvPicPr>
                      <a:picLocks noChangeAspect="1" noChangeArrowheads="1"/>
                    </pic:cNvPicPr>
                  </pic:nvPicPr>
                  <pic:blipFill>
                    <a:blip r:embed="rId36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-307975</wp:posOffset>
            </wp:positionV>
            <wp:extent cx="17145" cy="17145"/>
            <wp:wrapNone/>
            <wp:docPr id="3689" name="Picture 3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9"/>
                    <pic:cNvPicPr>
                      <a:picLocks noChangeAspect="1" noChangeArrowheads="1"/>
                    </pic:cNvPicPr>
                  </pic:nvPicPr>
                  <pic:blipFill>
                    <a:blip r:embed="rId36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-307975</wp:posOffset>
            </wp:positionV>
            <wp:extent cx="17145" cy="17145"/>
            <wp:wrapNone/>
            <wp:docPr id="3690" name="Picture 3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0"/>
                    <pic:cNvPicPr>
                      <a:picLocks noChangeAspect="1" noChangeArrowheads="1"/>
                    </pic:cNvPicPr>
                  </pic:nvPicPr>
                  <pic:blipFill>
                    <a:blip r:embed="rId36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-307975</wp:posOffset>
            </wp:positionV>
            <wp:extent cx="17145" cy="17145"/>
            <wp:wrapNone/>
            <wp:docPr id="3691" name="Picture 3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1"/>
                    <pic:cNvPicPr>
                      <a:picLocks noChangeAspect="1" noChangeArrowheads="1"/>
                    </pic:cNvPicPr>
                  </pic:nvPicPr>
                  <pic:blipFill>
                    <a:blip r:embed="rId36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-307975</wp:posOffset>
            </wp:positionV>
            <wp:extent cx="17145" cy="17145"/>
            <wp:wrapNone/>
            <wp:docPr id="3692" name="Picture 3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2"/>
                    <pic:cNvPicPr>
                      <a:picLocks noChangeAspect="1" noChangeArrowheads="1"/>
                    </pic:cNvPicPr>
                  </pic:nvPicPr>
                  <pic:blipFill>
                    <a:blip r:embed="rId36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-307975</wp:posOffset>
            </wp:positionV>
            <wp:extent cx="17145" cy="17145"/>
            <wp:wrapNone/>
            <wp:docPr id="3693" name="Picture 3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3"/>
                    <pic:cNvPicPr>
                      <a:picLocks noChangeAspect="1" noChangeArrowheads="1"/>
                    </pic:cNvPicPr>
                  </pic:nvPicPr>
                  <pic:blipFill>
                    <a:blip r:embed="rId37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-307975</wp:posOffset>
            </wp:positionV>
            <wp:extent cx="17145" cy="17145"/>
            <wp:wrapNone/>
            <wp:docPr id="3694" name="Picture 3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4"/>
                    <pic:cNvPicPr>
                      <a:picLocks noChangeAspect="1" noChangeArrowheads="1"/>
                    </pic:cNvPicPr>
                  </pic:nvPicPr>
                  <pic:blipFill>
                    <a:blip r:embed="rId37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-307975</wp:posOffset>
            </wp:positionV>
            <wp:extent cx="17145" cy="17145"/>
            <wp:wrapNone/>
            <wp:docPr id="3695" name="Picture 3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5"/>
                    <pic:cNvPicPr>
                      <a:picLocks noChangeAspect="1" noChangeArrowheads="1"/>
                    </pic:cNvPicPr>
                  </pic:nvPicPr>
                  <pic:blipFill>
                    <a:blip r:embed="rId37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-307975</wp:posOffset>
            </wp:positionV>
            <wp:extent cx="17145" cy="17145"/>
            <wp:wrapNone/>
            <wp:docPr id="3696" name="Picture 3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6"/>
                    <pic:cNvPicPr>
                      <a:picLocks noChangeAspect="1" noChangeArrowheads="1"/>
                    </pic:cNvPicPr>
                  </pic:nvPicPr>
                  <pic:blipFill>
                    <a:blip r:embed="rId37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-307975</wp:posOffset>
            </wp:positionV>
            <wp:extent cx="17145" cy="17145"/>
            <wp:wrapNone/>
            <wp:docPr id="3697" name="Picture 3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7"/>
                    <pic:cNvPicPr>
                      <a:picLocks noChangeAspect="1" noChangeArrowheads="1"/>
                    </pic:cNvPicPr>
                  </pic:nvPicPr>
                  <pic:blipFill>
                    <a:blip r:embed="rId37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-307975</wp:posOffset>
            </wp:positionV>
            <wp:extent cx="17145" cy="17145"/>
            <wp:wrapNone/>
            <wp:docPr id="3698" name="Picture 3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8"/>
                    <pic:cNvPicPr>
                      <a:picLocks noChangeAspect="1" noChangeArrowheads="1"/>
                    </pic:cNvPicPr>
                  </pic:nvPicPr>
                  <pic:blipFill>
                    <a:blip r:embed="rId37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6094730" cy="17145"/>
            <wp:wrapNone/>
            <wp:docPr id="3699" name="Picture 3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9"/>
                    <pic:cNvPicPr>
                      <a:picLocks noChangeAspect="1" noChangeArrowheads="1"/>
                    </pic:cNvPicPr>
                  </pic:nvPicPr>
                  <pic:blipFill>
                    <a:blip r:embed="rId3706">
                      <a:extLst>
                        <a:ext uri="{28A0092B-C50C-407E-A947-70E740481C1C}"/>
                      </a:extLst>
                    </a:blip>
                    <a:srcRect/>
                    <a:stretch>
                      <a:fillRect/>
                    </a:stretch>
                  </pic:blipFill>
                  <pic:spPr bwMode="auto">
                    <a:xfrm>
                      <a:off x="0" y="0"/>
                      <a:ext cx="6094730" cy="17145"/>
                    </a:xfrm>
                    <a:prstGeom prst="rect">
                      <a:avLst/>
                    </a:prstGeom>
                    <a:noFill/>
                  </pic:spPr>
                </pic:pic>
              </a:graphicData>
            </a:graphic>
          </wp:anchor>
        </w:drawing>
      </w:r>
    </w:p>
    <w:p>
      <w:pPr>
        <w:spacing w:after="0" w:line="38"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the grant date fair value of the equity awards to our CEO, as reported in the “Stock Awards” column in the SCT for each applicable year.</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the year-over-year change in the fair value of equity awards to our CEO, as itemized in the table below. No awards vested in the year they were granted.</w:t>
      </w:r>
    </w:p>
    <w:p>
      <w:pPr>
        <w:spacing w:after="0" w:line="199"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6380" w:type="dxa"/>
            <w:vAlign w:val="bottom"/>
          </w:tcPr>
          <w:p>
            <w:pPr>
              <w:spacing w:after="0"/>
              <w:rPr>
                <w:sz w:val="16"/>
                <w:szCs w:val="16"/>
                <w:color w:val="auto"/>
              </w:rPr>
            </w:pPr>
          </w:p>
        </w:tc>
        <w:tc>
          <w:tcPr>
            <w:tcW w:w="1480" w:type="dxa"/>
            <w:vAlign w:val="bottom"/>
          </w:tcPr>
          <w:p>
            <w:pPr>
              <w:jc w:val="right"/>
              <w:ind w:right="299"/>
              <w:spacing w:after="0"/>
              <w:rPr>
                <w:sz w:val="20"/>
                <w:szCs w:val="20"/>
                <w:color w:val="auto"/>
              </w:rPr>
            </w:pPr>
            <w:r>
              <w:rPr>
                <w:rFonts w:ascii="Arial" w:cs="Arial" w:eastAsia="Arial" w:hAnsi="Arial"/>
                <w:sz w:val="16"/>
                <w:szCs w:val="16"/>
                <w:b w:val="1"/>
                <w:bCs w:val="1"/>
                <w:color w:val="0233A1"/>
              </w:rPr>
              <w:t>2022</w:t>
            </w:r>
          </w:p>
        </w:tc>
        <w:tc>
          <w:tcPr>
            <w:tcW w:w="1600" w:type="dxa"/>
            <w:vAlign w:val="bottom"/>
          </w:tcPr>
          <w:p>
            <w:pPr>
              <w:jc w:val="right"/>
              <w:ind w:right="319"/>
              <w:spacing w:after="0"/>
              <w:rPr>
                <w:sz w:val="20"/>
                <w:szCs w:val="20"/>
                <w:color w:val="auto"/>
              </w:rPr>
            </w:pPr>
            <w:r>
              <w:rPr>
                <w:rFonts w:ascii="Arial" w:cs="Arial" w:eastAsia="Arial" w:hAnsi="Arial"/>
                <w:sz w:val="16"/>
                <w:szCs w:val="16"/>
                <w:b w:val="1"/>
                <w:bCs w:val="1"/>
                <w:color w:val="0233A1"/>
              </w:rPr>
              <w:t>2021</w:t>
            </w:r>
          </w:p>
        </w:tc>
        <w:tc>
          <w:tcPr>
            <w:tcW w:w="1420" w:type="dxa"/>
            <w:vAlign w:val="bottom"/>
          </w:tcPr>
          <w:p>
            <w:pPr>
              <w:jc w:val="right"/>
              <w:ind w:right="19"/>
              <w:spacing w:after="0"/>
              <w:rPr>
                <w:sz w:val="20"/>
                <w:szCs w:val="20"/>
                <w:color w:val="auto"/>
              </w:rPr>
            </w:pPr>
            <w:r>
              <w:rPr>
                <w:rFonts w:ascii="Arial" w:cs="Arial" w:eastAsia="Arial" w:hAnsi="Arial"/>
                <w:sz w:val="16"/>
                <w:szCs w:val="16"/>
                <w:b w:val="1"/>
                <w:bCs w:val="1"/>
                <w:color w:val="0233A1"/>
              </w:rPr>
              <w:t>2020</w:t>
            </w:r>
          </w:p>
        </w:tc>
      </w:tr>
      <w:tr>
        <w:trPr>
          <w:trHeight w:val="203"/>
        </w:trPr>
        <w:tc>
          <w:tcPr>
            <w:tcW w:w="6380" w:type="dxa"/>
            <w:vAlign w:val="bottom"/>
            <w:tcBorders>
              <w:bottom w:val="single" w:sz="8" w:color="0233A1"/>
            </w:tcBorders>
          </w:tcPr>
          <w:p>
            <w:pPr>
              <w:ind w:left="20"/>
              <w:spacing w:after="0"/>
              <w:rPr>
                <w:sz w:val="20"/>
                <w:szCs w:val="20"/>
                <w:color w:val="auto"/>
              </w:rPr>
            </w:pPr>
            <w:r>
              <w:rPr>
                <w:rFonts w:ascii="Arial" w:cs="Arial" w:eastAsia="Arial" w:hAnsi="Arial"/>
                <w:sz w:val="16"/>
                <w:szCs w:val="16"/>
                <w:b w:val="1"/>
                <w:bCs w:val="1"/>
                <w:color w:val="0233A1"/>
              </w:rPr>
              <w:t>Fair Value of Equity Awards for CEO</w:t>
            </w:r>
          </w:p>
        </w:tc>
        <w:tc>
          <w:tcPr>
            <w:tcW w:w="1480" w:type="dxa"/>
            <w:vAlign w:val="bottom"/>
            <w:tcBorders>
              <w:bottom w:val="single" w:sz="8" w:color="0233A1"/>
            </w:tcBorders>
          </w:tcPr>
          <w:p>
            <w:pPr>
              <w:jc w:val="right"/>
              <w:ind w:right="299"/>
              <w:spacing w:after="0"/>
              <w:rPr>
                <w:sz w:val="20"/>
                <w:szCs w:val="20"/>
                <w:color w:val="auto"/>
              </w:rPr>
            </w:pPr>
            <w:r>
              <w:rPr>
                <w:rFonts w:ascii="Arial" w:cs="Arial" w:eastAsia="Arial" w:hAnsi="Arial"/>
                <w:sz w:val="16"/>
                <w:szCs w:val="16"/>
                <w:b w:val="1"/>
                <w:bCs w:val="1"/>
                <w:color w:val="0233A1"/>
              </w:rPr>
              <w:t>($)</w:t>
            </w:r>
          </w:p>
        </w:tc>
        <w:tc>
          <w:tcPr>
            <w:tcW w:w="1600" w:type="dxa"/>
            <w:vAlign w:val="bottom"/>
            <w:tcBorders>
              <w:bottom w:val="single" w:sz="8" w:color="0233A1"/>
            </w:tcBorders>
          </w:tcPr>
          <w:p>
            <w:pPr>
              <w:jc w:val="right"/>
              <w:ind w:right="319"/>
              <w:spacing w:after="0"/>
              <w:rPr>
                <w:sz w:val="20"/>
                <w:szCs w:val="20"/>
                <w:color w:val="auto"/>
              </w:rPr>
            </w:pPr>
            <w:r>
              <w:rPr>
                <w:rFonts w:ascii="Arial" w:cs="Arial" w:eastAsia="Arial" w:hAnsi="Arial"/>
                <w:sz w:val="16"/>
                <w:szCs w:val="16"/>
                <w:b w:val="1"/>
                <w:bCs w:val="1"/>
                <w:color w:val="0233A1"/>
              </w:rPr>
              <w:t>($)</w:t>
            </w:r>
          </w:p>
        </w:tc>
        <w:tc>
          <w:tcPr>
            <w:tcW w:w="1420" w:type="dxa"/>
            <w:vAlign w:val="bottom"/>
            <w:tcBorders>
              <w:bottom w:val="single" w:sz="8" w:color="0233A1"/>
            </w:tcBorders>
          </w:tcPr>
          <w:p>
            <w:pPr>
              <w:jc w:val="right"/>
              <w:ind w:right="19"/>
              <w:spacing w:after="0"/>
              <w:rPr>
                <w:sz w:val="20"/>
                <w:szCs w:val="20"/>
                <w:color w:val="auto"/>
              </w:rPr>
            </w:pPr>
            <w:r>
              <w:rPr>
                <w:rFonts w:ascii="Arial" w:cs="Arial" w:eastAsia="Arial" w:hAnsi="Arial"/>
                <w:sz w:val="16"/>
                <w:szCs w:val="16"/>
                <w:b w:val="1"/>
                <w:bCs w:val="1"/>
                <w:color w:val="0233A1"/>
              </w:rPr>
              <w:t>($)</w:t>
            </w:r>
          </w:p>
        </w:tc>
      </w:tr>
      <w:tr>
        <w:trPr>
          <w:trHeight w:val="208"/>
        </w:trPr>
        <w:tc>
          <w:tcPr>
            <w:tcW w:w="6380" w:type="dxa"/>
            <w:vAlign w:val="bottom"/>
          </w:tcPr>
          <w:p>
            <w:pPr>
              <w:ind w:left="20"/>
              <w:spacing w:after="0"/>
              <w:rPr>
                <w:sz w:val="20"/>
                <w:szCs w:val="20"/>
                <w:color w:val="auto"/>
              </w:rPr>
            </w:pPr>
            <w:r>
              <w:rPr>
                <w:rFonts w:ascii="Arial" w:cs="Arial" w:eastAsia="Arial" w:hAnsi="Arial"/>
                <w:sz w:val="16"/>
                <w:szCs w:val="16"/>
                <w:color w:val="auto"/>
              </w:rPr>
              <w:t>As of year-end for awards granted during the year</w:t>
            </w:r>
          </w:p>
        </w:tc>
        <w:tc>
          <w:tcPr>
            <w:tcW w:w="1480" w:type="dxa"/>
            <w:vAlign w:val="bottom"/>
          </w:tcPr>
          <w:p>
            <w:pPr>
              <w:jc w:val="right"/>
              <w:ind w:right="299"/>
              <w:spacing w:after="0"/>
              <w:rPr>
                <w:sz w:val="20"/>
                <w:szCs w:val="20"/>
                <w:color w:val="auto"/>
              </w:rPr>
            </w:pPr>
            <w:r>
              <w:rPr>
                <w:rFonts w:ascii="Arial" w:cs="Arial" w:eastAsia="Arial" w:hAnsi="Arial"/>
                <w:sz w:val="16"/>
                <w:szCs w:val="16"/>
                <w:color w:val="auto"/>
              </w:rPr>
              <w:t>20,140,255</w:t>
            </w:r>
          </w:p>
        </w:tc>
        <w:tc>
          <w:tcPr>
            <w:tcW w:w="1600" w:type="dxa"/>
            <w:vAlign w:val="bottom"/>
          </w:tcPr>
          <w:p>
            <w:pPr>
              <w:jc w:val="right"/>
              <w:ind w:right="319"/>
              <w:spacing w:after="0"/>
              <w:rPr>
                <w:sz w:val="20"/>
                <w:szCs w:val="20"/>
                <w:color w:val="auto"/>
              </w:rPr>
            </w:pPr>
            <w:r>
              <w:rPr>
                <w:rFonts w:ascii="Arial" w:cs="Arial" w:eastAsia="Arial" w:hAnsi="Arial"/>
                <w:sz w:val="16"/>
                <w:szCs w:val="16"/>
                <w:color w:val="auto"/>
              </w:rPr>
              <w:t>17,159,320</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15"/>
        </w:trPr>
        <w:tc>
          <w:tcPr>
            <w:tcW w:w="6380" w:type="dxa"/>
            <w:vAlign w:val="bottom"/>
          </w:tcPr>
          <w:p>
            <w:pPr>
              <w:ind w:left="20"/>
              <w:spacing w:after="0"/>
              <w:rPr>
                <w:sz w:val="20"/>
                <w:szCs w:val="20"/>
                <w:color w:val="auto"/>
              </w:rPr>
            </w:pPr>
            <w:r>
              <w:rPr>
                <w:rFonts w:ascii="Arial" w:cs="Arial" w:eastAsia="Arial" w:hAnsi="Arial"/>
                <w:sz w:val="16"/>
                <w:szCs w:val="16"/>
                <w:color w:val="auto"/>
              </w:rPr>
              <w:t>Year-over-year increase (decrease) of unvested awards granted in prior years</w:t>
            </w:r>
          </w:p>
        </w:tc>
        <w:tc>
          <w:tcPr>
            <w:tcW w:w="1480" w:type="dxa"/>
            <w:vAlign w:val="bottom"/>
          </w:tcPr>
          <w:p>
            <w:pPr>
              <w:jc w:val="right"/>
              <w:ind w:right="299"/>
              <w:spacing w:after="0"/>
              <w:rPr>
                <w:sz w:val="20"/>
                <w:szCs w:val="20"/>
                <w:color w:val="auto"/>
              </w:rPr>
            </w:pPr>
            <w:r>
              <w:rPr>
                <w:rFonts w:ascii="Arial" w:cs="Arial" w:eastAsia="Arial" w:hAnsi="Arial"/>
                <w:sz w:val="16"/>
                <w:szCs w:val="16"/>
                <w:color w:val="auto"/>
              </w:rPr>
              <w:t>9,171,658</w:t>
            </w:r>
          </w:p>
        </w:tc>
        <w:tc>
          <w:tcPr>
            <w:tcW w:w="1600" w:type="dxa"/>
            <w:vAlign w:val="bottom"/>
          </w:tcPr>
          <w:p>
            <w:pPr>
              <w:jc w:val="right"/>
              <w:ind w:right="319"/>
              <w:spacing w:after="0"/>
              <w:rPr>
                <w:sz w:val="20"/>
                <w:szCs w:val="20"/>
                <w:color w:val="auto"/>
              </w:rPr>
            </w:pPr>
            <w:r>
              <w:rPr>
                <w:rFonts w:ascii="Arial" w:cs="Arial" w:eastAsia="Arial" w:hAnsi="Arial"/>
                <w:sz w:val="16"/>
                <w:szCs w:val="16"/>
                <w:color w:val="auto"/>
              </w:rPr>
              <w:t>9,400,936</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(14,003,835)</w:t>
            </w:r>
          </w:p>
        </w:tc>
      </w:tr>
      <w:tr>
        <w:trPr>
          <w:trHeight w:val="230"/>
        </w:trPr>
        <w:tc>
          <w:tcPr>
            <w:tcW w:w="6380" w:type="dxa"/>
            <w:vAlign w:val="bottom"/>
          </w:tcPr>
          <w:p>
            <w:pPr>
              <w:ind w:left="20"/>
              <w:spacing w:after="0"/>
              <w:rPr>
                <w:sz w:val="20"/>
                <w:szCs w:val="20"/>
                <w:color w:val="auto"/>
              </w:rPr>
            </w:pPr>
            <w:r>
              <w:rPr>
                <w:rFonts w:ascii="Arial" w:cs="Arial" w:eastAsia="Arial" w:hAnsi="Arial"/>
                <w:sz w:val="16"/>
                <w:szCs w:val="16"/>
                <w:color w:val="auto"/>
              </w:rPr>
              <w:t>Increase (decrease) from prior fiscal year–end for awards that vested during the year</w:t>
            </w:r>
          </w:p>
        </w:tc>
        <w:tc>
          <w:tcPr>
            <w:tcW w:w="1480" w:type="dxa"/>
            <w:vAlign w:val="bottom"/>
          </w:tcPr>
          <w:p>
            <w:pPr>
              <w:jc w:val="right"/>
              <w:ind w:right="299"/>
              <w:spacing w:after="0"/>
              <w:rPr>
                <w:sz w:val="20"/>
                <w:szCs w:val="20"/>
                <w:color w:val="auto"/>
              </w:rPr>
            </w:pPr>
            <w:r>
              <w:rPr>
                <w:rFonts w:ascii="Arial" w:cs="Arial" w:eastAsia="Arial" w:hAnsi="Arial"/>
                <w:sz w:val="16"/>
                <w:szCs w:val="16"/>
                <w:color w:val="auto"/>
              </w:rPr>
              <w:t>6,252,160</w:t>
            </w:r>
          </w:p>
        </w:tc>
        <w:tc>
          <w:tcPr>
            <w:tcW w:w="1600" w:type="dxa"/>
            <w:vAlign w:val="bottom"/>
          </w:tcPr>
          <w:p>
            <w:pPr>
              <w:jc w:val="right"/>
              <w:ind w:right="319"/>
              <w:spacing w:after="0"/>
              <w:rPr>
                <w:sz w:val="20"/>
                <w:szCs w:val="20"/>
                <w:color w:val="auto"/>
              </w:rPr>
            </w:pPr>
            <w:r>
              <w:rPr>
                <w:rFonts w:ascii="Arial" w:cs="Arial" w:eastAsia="Arial" w:hAnsi="Arial"/>
                <w:sz w:val="16"/>
                <w:szCs w:val="16"/>
                <w:color w:val="auto"/>
              </w:rPr>
              <w:t>130,247</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(484,749)</w:t>
            </w:r>
          </w:p>
        </w:tc>
      </w:tr>
      <w:tr>
        <w:trPr>
          <w:trHeight w:val="265"/>
        </w:trPr>
        <w:tc>
          <w:tcPr>
            <w:tcW w:w="6380" w:type="dxa"/>
            <w:vAlign w:val="bottom"/>
            <w:tcBorders>
              <w:bottom w:val="single" w:sz="8" w:color="0233A1"/>
            </w:tcBorders>
          </w:tcPr>
          <w:p>
            <w:pPr>
              <w:ind w:left="20"/>
              <w:spacing w:after="0"/>
              <w:rPr>
                <w:sz w:val="20"/>
                <w:szCs w:val="20"/>
                <w:color w:val="auto"/>
              </w:rPr>
            </w:pPr>
            <w:r>
              <w:rPr>
                <w:rFonts w:ascii="Arial" w:cs="Arial" w:eastAsia="Arial" w:hAnsi="Arial"/>
                <w:sz w:val="16"/>
                <w:szCs w:val="16"/>
                <w:b w:val="1"/>
                <w:bCs w:val="1"/>
                <w:color w:val="0233A1"/>
              </w:rPr>
              <w:t>Total Equity Award Adjustments</w:t>
            </w:r>
          </w:p>
        </w:tc>
        <w:tc>
          <w:tcPr>
            <w:tcW w:w="1480" w:type="dxa"/>
            <w:vAlign w:val="bottom"/>
            <w:tcBorders>
              <w:bottom w:val="single" w:sz="8" w:color="0233A1"/>
            </w:tcBorders>
          </w:tcPr>
          <w:p>
            <w:pPr>
              <w:jc w:val="right"/>
              <w:ind w:right="299"/>
              <w:spacing w:after="0"/>
              <w:rPr>
                <w:sz w:val="20"/>
                <w:szCs w:val="20"/>
                <w:color w:val="auto"/>
              </w:rPr>
            </w:pPr>
            <w:r>
              <w:rPr>
                <w:rFonts w:ascii="Arial" w:cs="Arial" w:eastAsia="Arial" w:hAnsi="Arial"/>
                <w:sz w:val="16"/>
                <w:szCs w:val="16"/>
                <w:b w:val="1"/>
                <w:bCs w:val="1"/>
                <w:color w:val="0233A1"/>
              </w:rPr>
              <w:t>35,564,073</w:t>
            </w:r>
          </w:p>
        </w:tc>
        <w:tc>
          <w:tcPr>
            <w:tcW w:w="1600" w:type="dxa"/>
            <w:vAlign w:val="bottom"/>
            <w:tcBorders>
              <w:bottom w:val="single" w:sz="8" w:color="0233A1"/>
            </w:tcBorders>
          </w:tcPr>
          <w:p>
            <w:pPr>
              <w:jc w:val="right"/>
              <w:ind w:right="319"/>
              <w:spacing w:after="0"/>
              <w:rPr>
                <w:sz w:val="20"/>
                <w:szCs w:val="20"/>
                <w:color w:val="auto"/>
              </w:rPr>
            </w:pPr>
            <w:r>
              <w:rPr>
                <w:rFonts w:ascii="Arial" w:cs="Arial" w:eastAsia="Arial" w:hAnsi="Arial"/>
                <w:sz w:val="16"/>
                <w:szCs w:val="16"/>
                <w:b w:val="1"/>
                <w:bCs w:val="1"/>
                <w:color w:val="0233A1"/>
              </w:rPr>
              <w:t>26,690,503</w:t>
            </w:r>
          </w:p>
        </w:tc>
        <w:tc>
          <w:tcPr>
            <w:tcW w:w="1420" w:type="dxa"/>
            <w:vAlign w:val="bottom"/>
            <w:tcBorders>
              <w:bottom w:val="single" w:sz="8" w:color="0233A1"/>
            </w:tcBorders>
          </w:tcPr>
          <w:p>
            <w:pPr>
              <w:jc w:val="right"/>
              <w:ind w:right="19"/>
              <w:spacing w:after="0"/>
              <w:rPr>
                <w:sz w:val="20"/>
                <w:szCs w:val="20"/>
                <w:color w:val="auto"/>
              </w:rPr>
            </w:pPr>
            <w:r>
              <w:rPr>
                <w:rFonts w:ascii="Arial" w:cs="Arial" w:eastAsia="Arial" w:hAnsi="Arial"/>
                <w:sz w:val="16"/>
                <w:szCs w:val="16"/>
                <w:b w:val="1"/>
                <w:bCs w:val="1"/>
                <w:color w:val="0233A1"/>
              </w:rPr>
              <w:t>(14,488,584)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-161925</wp:posOffset>
            </wp:positionV>
            <wp:extent cx="6917690" cy="17145"/>
            <wp:wrapNone/>
            <wp:docPr id="3700" name="Picture 3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
                    <pic:cNvPicPr>
                      <a:picLocks noChangeAspect="1" noChangeArrowheads="1"/>
                    </pic:cNvPicPr>
                  </pic:nvPicPr>
                  <pic:blipFill>
                    <a:blip r:embed="rId3707">
                      <a:extLst>
                        <a:ext uri="{28A0092B-C50C-407E-A947-70E740481C1C}"/>
                      </a:extLst>
                    </a:blip>
                    <a:srcRect/>
                    <a:stretch>
                      <a:fillRect/>
                    </a:stretch>
                  </pic:blipFill>
                  <pic:spPr bwMode="auto">
                    <a:xfrm>
                      <a:off x="0" y="0"/>
                      <a:ext cx="6917690" cy="1714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-325120</wp:posOffset>
            </wp:positionV>
            <wp:extent cx="6917690" cy="17145"/>
            <wp:wrapNone/>
            <wp:docPr id="3701" name="Picture 3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
                    <pic:cNvPicPr>
                      <a:picLocks noChangeAspect="1" noChangeArrowheads="1"/>
                    </pic:cNvPicPr>
                  </pic:nvPicPr>
                  <pic:blipFill>
                    <a:blip r:embed="rId3708">
                      <a:extLst>
                        <a:ext uri="{28A0092B-C50C-407E-A947-70E740481C1C}"/>
                      </a:extLst>
                    </a:blip>
                    <a:srcRect/>
                    <a:stretch>
                      <a:fillRect/>
                    </a:stretch>
                  </pic:blipFill>
                  <pic:spPr bwMode="auto">
                    <a:xfrm>
                      <a:off x="0" y="0"/>
                      <a:ext cx="6917690" cy="1714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-471170</wp:posOffset>
            </wp:positionV>
            <wp:extent cx="6917690" cy="17145"/>
            <wp:wrapNone/>
            <wp:docPr id="3702" name="Picture 3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2"/>
                    <pic:cNvPicPr>
                      <a:picLocks noChangeAspect="1" noChangeArrowheads="1"/>
                    </pic:cNvPicPr>
                  </pic:nvPicPr>
                  <pic:blipFill>
                    <a:blip r:embed="rId3709">
                      <a:extLst>
                        <a:ext uri="{28A0092B-C50C-407E-A947-70E740481C1C}"/>
                      </a:extLst>
                    </a:blip>
                    <a:srcRect/>
                    <a:stretch>
                      <a:fillRect/>
                    </a:stretch>
                  </pic:blipFill>
                  <pic:spPr bwMode="auto">
                    <a:xfrm>
                      <a:off x="0" y="0"/>
                      <a:ext cx="6917690" cy="17145"/>
                    </a:xfrm>
                    <a:prstGeom prst="rect">
                      <a:avLst/>
                    </a:prstGeom>
                    <a:noFill/>
                  </pic:spPr>
                </pic:pic>
              </a:graphicData>
            </a:graphic>
          </wp:anchor>
        </w:drawing>
      </w:r>
    </w:p>
    <w:p>
      <w:pPr>
        <w:spacing w:after="0" w:line="38" w:lineRule="exact"/>
        <w:rPr>
          <w:sz w:val="20"/>
          <w:szCs w:val="20"/>
          <w:color w:val="auto"/>
        </w:rPr>
      </w:pPr>
    </w:p>
    <w:p>
      <w:pPr>
        <w:ind w:left="340" w:hanging="332"/>
        <w:spacing w:after="0" w:line="281"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the change in the actuarial present value of our CEO’s accumulated benefit under all benefit and actuarial pension plans in which he participates, as reported in the “Change in Pension Value &amp; Nonqualified Deferred Compensation Earnings” column in the SCT for each applicable year.</w:t>
      </w:r>
    </w:p>
    <w:p>
      <w:pPr>
        <w:spacing w:after="0" w:line="1" w:lineRule="exact"/>
        <w:rPr>
          <w:rFonts w:ascii="Arial" w:cs="Arial" w:eastAsia="Arial" w:hAnsi="Arial"/>
          <w:sz w:val="14"/>
          <w:szCs w:val="14"/>
          <w:color w:val="auto"/>
        </w:rPr>
      </w:pPr>
    </w:p>
    <w:p>
      <w:pPr>
        <w:ind w:left="340" w:right="20" w:hanging="332"/>
        <w:spacing w:after="0" w:line="285"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the actuarially determined service cost for services rendered under all benefit and actuarial pension plans in which our CEO participates during each applicable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131445</wp:posOffset>
            </wp:positionV>
            <wp:extent cx="471805" cy="282575"/>
            <wp:wrapNone/>
            <wp:docPr id="3703" name="Picture 3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
                    <pic:cNvPicPr>
                      <a:picLocks noChangeAspect="1" noChangeArrowheads="1"/>
                    </pic:cNvPicPr>
                  </pic:nvPicPr>
                  <pic:blipFill>
                    <a:blip r:embed="rId3710">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Pr>
          <w:p>
            <w:pPr>
              <w:spacing w:after="0"/>
              <w:rPr>
                <w:sz w:val="9"/>
                <w:szCs w:val="9"/>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61</w:t>
            </w:r>
          </w:p>
        </w:tc>
        <w:tc>
          <w:tcPr>
            <w:tcW w:w="44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To calculate the amounts in the “Average Compensation Actually Paid to Non-CEO NEOs” column in the table above, the following amounts were deducted from and added to (as applicable) the average of the “Total” compensation of our non-CEO named executive officers for each applicable year, as reported in the SCT for that year: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20" w:type="dxa"/>
            <w:vAlign w:val="bottom"/>
          </w:tcPr>
          <w:p>
            <w:pPr>
              <w:jc w:val="right"/>
              <w:ind w:right="221"/>
              <w:spacing w:after="0"/>
              <w:rPr>
                <w:sz w:val="20"/>
                <w:szCs w:val="20"/>
                <w:color w:val="auto"/>
              </w:rPr>
            </w:pPr>
            <w:r>
              <w:rPr>
                <w:rFonts w:ascii="Arial" w:cs="Arial" w:eastAsia="Arial" w:hAnsi="Arial"/>
                <w:sz w:val="16"/>
                <w:szCs w:val="16"/>
                <w:b w:val="1"/>
                <w:bCs w:val="1"/>
                <w:color w:val="0233A1"/>
              </w:rPr>
              <w:t>Average Reported</w:t>
            </w:r>
          </w:p>
        </w:tc>
        <w:tc>
          <w:tcPr>
            <w:tcW w:w="16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800" w:type="dxa"/>
            <w:vAlign w:val="bottom"/>
          </w:tcPr>
          <w:p>
            <w:pPr>
              <w:spacing w:after="0"/>
              <w:rPr>
                <w:sz w:val="16"/>
                <w:szCs w:val="16"/>
                <w:color w:val="auto"/>
              </w:rPr>
            </w:pPr>
          </w:p>
        </w:tc>
        <w:tc>
          <w:tcPr>
            <w:tcW w:w="1740" w:type="dxa"/>
            <w:vAlign w:val="bottom"/>
          </w:tcPr>
          <w:p>
            <w:pPr>
              <w:jc w:val="right"/>
              <w:ind w:right="79"/>
              <w:spacing w:after="0"/>
              <w:rPr>
                <w:sz w:val="20"/>
                <w:szCs w:val="20"/>
                <w:color w:val="auto"/>
              </w:rPr>
            </w:pPr>
            <w:r>
              <w:rPr>
                <w:rFonts w:ascii="Arial" w:cs="Arial" w:eastAsia="Arial" w:hAnsi="Arial"/>
                <w:sz w:val="16"/>
                <w:szCs w:val="16"/>
                <w:b w:val="1"/>
                <w:bCs w:val="1"/>
                <w:color w:val="0233A1"/>
              </w:rPr>
              <w:t>Average</w:t>
            </w:r>
          </w:p>
        </w:tc>
        <w:tc>
          <w:tcPr>
            <w:tcW w:w="18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20" w:type="dxa"/>
            <w:vAlign w:val="bottom"/>
          </w:tcPr>
          <w:p>
            <w:pPr>
              <w:jc w:val="right"/>
              <w:ind w:right="221"/>
              <w:spacing w:after="0"/>
              <w:rPr>
                <w:sz w:val="20"/>
                <w:szCs w:val="20"/>
                <w:color w:val="auto"/>
              </w:rPr>
            </w:pPr>
            <w:r>
              <w:rPr>
                <w:rFonts w:ascii="Arial" w:cs="Arial" w:eastAsia="Arial" w:hAnsi="Arial"/>
                <w:sz w:val="16"/>
                <w:szCs w:val="16"/>
                <w:b w:val="1"/>
                <w:bCs w:val="1"/>
                <w:color w:val="0233A1"/>
              </w:rPr>
              <w:t>Change in the</w:t>
            </w:r>
          </w:p>
        </w:tc>
        <w:tc>
          <w:tcPr>
            <w:tcW w:w="16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800" w:type="dxa"/>
            <w:vAlign w:val="bottom"/>
          </w:tcPr>
          <w:p>
            <w:pPr>
              <w:spacing w:after="0"/>
              <w:rPr>
                <w:sz w:val="16"/>
                <w:szCs w:val="16"/>
                <w:color w:val="auto"/>
              </w:rPr>
            </w:pPr>
          </w:p>
        </w:tc>
        <w:tc>
          <w:tcPr>
            <w:tcW w:w="1740" w:type="dxa"/>
            <w:vAlign w:val="bottom"/>
          </w:tcPr>
          <w:p>
            <w:pPr>
              <w:jc w:val="right"/>
              <w:ind w:right="79"/>
              <w:spacing w:after="0"/>
              <w:rPr>
                <w:sz w:val="20"/>
                <w:szCs w:val="20"/>
                <w:color w:val="auto"/>
              </w:rPr>
            </w:pPr>
            <w:r>
              <w:rPr>
                <w:rFonts w:ascii="Arial" w:cs="Arial" w:eastAsia="Arial" w:hAnsi="Arial"/>
                <w:sz w:val="16"/>
                <w:szCs w:val="16"/>
                <w:b w:val="1"/>
                <w:bCs w:val="1"/>
                <w:color w:val="0233A1"/>
              </w:rPr>
              <w:t>Summary</w:t>
            </w:r>
          </w:p>
        </w:tc>
        <w:tc>
          <w:tcPr>
            <w:tcW w:w="1880" w:type="dxa"/>
            <w:vAlign w:val="bottom"/>
          </w:tcPr>
          <w:p>
            <w:pPr>
              <w:jc w:val="right"/>
              <w:ind w:right="222"/>
              <w:spacing w:after="0"/>
              <w:rPr>
                <w:sz w:val="20"/>
                <w:szCs w:val="20"/>
                <w:color w:val="auto"/>
              </w:rPr>
            </w:pPr>
            <w:r>
              <w:rPr>
                <w:rFonts w:ascii="Arial" w:cs="Arial" w:eastAsia="Arial" w:hAnsi="Arial"/>
                <w:sz w:val="16"/>
                <w:szCs w:val="16"/>
                <w:b w:val="1"/>
                <w:bCs w:val="1"/>
                <w:color w:val="0233A1"/>
              </w:rPr>
              <w:t>Average</w:t>
            </w:r>
          </w:p>
        </w:tc>
        <w:tc>
          <w:tcPr>
            <w:tcW w:w="1920" w:type="dxa"/>
            <w:vAlign w:val="bottom"/>
          </w:tcPr>
          <w:p>
            <w:pPr>
              <w:spacing w:after="0"/>
              <w:rPr>
                <w:sz w:val="16"/>
                <w:szCs w:val="16"/>
                <w:color w:val="auto"/>
              </w:rPr>
            </w:pPr>
          </w:p>
        </w:tc>
        <w:tc>
          <w:tcPr>
            <w:tcW w:w="1820" w:type="dxa"/>
            <w:vAlign w:val="bottom"/>
          </w:tcPr>
          <w:p>
            <w:pPr>
              <w:jc w:val="right"/>
              <w:ind w:right="221"/>
              <w:spacing w:after="0"/>
              <w:rPr>
                <w:sz w:val="20"/>
                <w:szCs w:val="20"/>
                <w:color w:val="auto"/>
              </w:rPr>
            </w:pPr>
            <w:r>
              <w:rPr>
                <w:rFonts w:ascii="Arial" w:cs="Arial" w:eastAsia="Arial" w:hAnsi="Arial"/>
                <w:sz w:val="16"/>
                <w:szCs w:val="16"/>
                <w:b w:val="1"/>
                <w:bCs w:val="1"/>
                <w:color w:val="0233A1"/>
              </w:rPr>
              <w:t>Actuarial Present</w:t>
            </w:r>
          </w:p>
        </w:tc>
        <w:tc>
          <w:tcPr>
            <w:tcW w:w="1680" w:type="dxa"/>
            <w:vAlign w:val="bottom"/>
          </w:tcPr>
          <w:p>
            <w:pPr>
              <w:jc w:val="right"/>
              <w:ind w:right="222"/>
              <w:spacing w:after="0"/>
              <w:rPr>
                <w:sz w:val="20"/>
                <w:szCs w:val="20"/>
                <w:color w:val="auto"/>
              </w:rPr>
            </w:pPr>
            <w:r>
              <w:rPr>
                <w:rFonts w:ascii="Arial" w:cs="Arial" w:eastAsia="Arial" w:hAnsi="Arial"/>
                <w:sz w:val="16"/>
                <w:szCs w:val="16"/>
                <w:b w:val="1"/>
                <w:bCs w:val="1"/>
                <w:color w:val="0233A1"/>
              </w:rPr>
              <w:t>Average</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0233A1"/>
              </w:rPr>
              <w:t>Average</w:t>
            </w:r>
          </w:p>
        </w:tc>
      </w:tr>
      <w:tr>
        <w:trPr>
          <w:trHeight w:val="189"/>
        </w:trPr>
        <w:tc>
          <w:tcPr>
            <w:tcW w:w="800" w:type="dxa"/>
            <w:vAlign w:val="bottom"/>
          </w:tcPr>
          <w:p>
            <w:pPr>
              <w:spacing w:after="0"/>
              <w:rPr>
                <w:sz w:val="16"/>
                <w:szCs w:val="16"/>
                <w:color w:val="auto"/>
              </w:rPr>
            </w:pPr>
          </w:p>
        </w:tc>
        <w:tc>
          <w:tcPr>
            <w:tcW w:w="1740" w:type="dxa"/>
            <w:vAlign w:val="bottom"/>
          </w:tcPr>
          <w:p>
            <w:pPr>
              <w:jc w:val="right"/>
              <w:ind w:right="79"/>
              <w:spacing w:after="0"/>
              <w:rPr>
                <w:sz w:val="20"/>
                <w:szCs w:val="20"/>
                <w:color w:val="auto"/>
              </w:rPr>
            </w:pPr>
            <w:r>
              <w:rPr>
                <w:rFonts w:ascii="Arial" w:cs="Arial" w:eastAsia="Arial" w:hAnsi="Arial"/>
                <w:sz w:val="16"/>
                <w:szCs w:val="16"/>
                <w:b w:val="1"/>
                <w:bCs w:val="1"/>
                <w:color w:val="0233A1"/>
              </w:rPr>
              <w:t>Compensation</w:t>
            </w:r>
          </w:p>
        </w:tc>
        <w:tc>
          <w:tcPr>
            <w:tcW w:w="1880" w:type="dxa"/>
            <w:vAlign w:val="bottom"/>
          </w:tcPr>
          <w:p>
            <w:pPr>
              <w:jc w:val="right"/>
              <w:ind w:right="222"/>
              <w:spacing w:after="0"/>
              <w:rPr>
                <w:sz w:val="20"/>
                <w:szCs w:val="20"/>
                <w:color w:val="auto"/>
              </w:rPr>
            </w:pPr>
            <w:r>
              <w:rPr>
                <w:rFonts w:ascii="Arial" w:cs="Arial" w:eastAsia="Arial" w:hAnsi="Arial"/>
                <w:sz w:val="16"/>
                <w:szCs w:val="16"/>
                <w:b w:val="1"/>
                <w:bCs w:val="1"/>
                <w:color w:val="0233A1"/>
              </w:rPr>
              <w:t>Reported Value of</w:t>
            </w:r>
          </w:p>
        </w:tc>
        <w:tc>
          <w:tcPr>
            <w:tcW w:w="1920" w:type="dxa"/>
            <w:vAlign w:val="bottom"/>
          </w:tcPr>
          <w:p>
            <w:pPr>
              <w:jc w:val="right"/>
              <w:ind w:right="202"/>
              <w:spacing w:after="0"/>
              <w:rPr>
                <w:sz w:val="20"/>
                <w:szCs w:val="20"/>
                <w:color w:val="auto"/>
              </w:rPr>
            </w:pPr>
            <w:r>
              <w:rPr>
                <w:rFonts w:ascii="Arial" w:cs="Arial" w:eastAsia="Arial" w:hAnsi="Arial"/>
                <w:sz w:val="16"/>
                <w:szCs w:val="16"/>
                <w:b w:val="1"/>
                <w:bCs w:val="1"/>
                <w:color w:val="0233A1"/>
              </w:rPr>
              <w:t>Average Equity</w:t>
            </w:r>
          </w:p>
        </w:tc>
        <w:tc>
          <w:tcPr>
            <w:tcW w:w="1820" w:type="dxa"/>
            <w:vAlign w:val="bottom"/>
          </w:tcPr>
          <w:p>
            <w:pPr>
              <w:jc w:val="right"/>
              <w:ind w:right="221"/>
              <w:spacing w:after="0"/>
              <w:rPr>
                <w:sz w:val="20"/>
                <w:szCs w:val="20"/>
                <w:color w:val="auto"/>
              </w:rPr>
            </w:pPr>
            <w:r>
              <w:rPr>
                <w:rFonts w:ascii="Arial" w:cs="Arial" w:eastAsia="Arial" w:hAnsi="Arial"/>
                <w:sz w:val="16"/>
                <w:szCs w:val="16"/>
                <w:b w:val="1"/>
                <w:bCs w:val="1"/>
                <w:color w:val="0233A1"/>
              </w:rPr>
              <w:t>Value of Pension</w:t>
            </w:r>
          </w:p>
        </w:tc>
        <w:tc>
          <w:tcPr>
            <w:tcW w:w="1680" w:type="dxa"/>
            <w:vAlign w:val="bottom"/>
          </w:tcPr>
          <w:p>
            <w:pPr>
              <w:jc w:val="right"/>
              <w:ind w:right="222"/>
              <w:spacing w:after="0"/>
              <w:rPr>
                <w:sz w:val="20"/>
                <w:szCs w:val="20"/>
                <w:color w:val="auto"/>
              </w:rPr>
            </w:pPr>
            <w:r>
              <w:rPr>
                <w:rFonts w:ascii="Arial" w:cs="Arial" w:eastAsia="Arial" w:hAnsi="Arial"/>
                <w:sz w:val="16"/>
                <w:szCs w:val="16"/>
                <w:b w:val="1"/>
                <w:bCs w:val="1"/>
                <w:color w:val="0233A1"/>
              </w:rPr>
              <w:t>Pension Benefit</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0233A1"/>
              </w:rPr>
              <w:t>Compensation</w:t>
            </w:r>
          </w:p>
        </w:tc>
      </w:tr>
      <w:tr>
        <w:trPr>
          <w:trHeight w:val="189"/>
        </w:trPr>
        <w:tc>
          <w:tcPr>
            <w:tcW w:w="800" w:type="dxa"/>
            <w:vAlign w:val="bottom"/>
          </w:tcPr>
          <w:p>
            <w:pPr>
              <w:spacing w:after="0"/>
              <w:rPr>
                <w:sz w:val="16"/>
                <w:szCs w:val="16"/>
                <w:color w:val="auto"/>
              </w:rPr>
            </w:pPr>
          </w:p>
        </w:tc>
        <w:tc>
          <w:tcPr>
            <w:tcW w:w="1740" w:type="dxa"/>
            <w:vAlign w:val="bottom"/>
          </w:tcPr>
          <w:p>
            <w:pPr>
              <w:jc w:val="right"/>
              <w:ind w:right="79"/>
              <w:spacing w:after="0"/>
              <w:rPr>
                <w:sz w:val="20"/>
                <w:szCs w:val="20"/>
                <w:color w:val="auto"/>
              </w:rPr>
            </w:pPr>
            <w:r>
              <w:rPr>
                <w:rFonts w:ascii="Arial" w:cs="Arial" w:eastAsia="Arial" w:hAnsi="Arial"/>
                <w:sz w:val="16"/>
                <w:szCs w:val="16"/>
                <w:b w:val="1"/>
                <w:bCs w:val="1"/>
                <w:color w:val="0233A1"/>
              </w:rPr>
              <w:t>Table Total for</w:t>
            </w:r>
          </w:p>
        </w:tc>
        <w:tc>
          <w:tcPr>
            <w:tcW w:w="1880" w:type="dxa"/>
            <w:vAlign w:val="bottom"/>
          </w:tcPr>
          <w:p>
            <w:pPr>
              <w:jc w:val="right"/>
              <w:ind w:right="222"/>
              <w:spacing w:after="0"/>
              <w:rPr>
                <w:sz w:val="20"/>
                <w:szCs w:val="20"/>
                <w:color w:val="auto"/>
              </w:rPr>
            </w:pPr>
            <w:r>
              <w:rPr>
                <w:rFonts w:ascii="Arial" w:cs="Arial" w:eastAsia="Arial" w:hAnsi="Arial"/>
                <w:sz w:val="16"/>
                <w:szCs w:val="16"/>
                <w:b w:val="1"/>
                <w:bCs w:val="1"/>
                <w:color w:val="0233A1"/>
              </w:rPr>
              <w:t>Equity Awards for</w:t>
            </w:r>
          </w:p>
        </w:tc>
        <w:tc>
          <w:tcPr>
            <w:tcW w:w="1920" w:type="dxa"/>
            <w:vAlign w:val="bottom"/>
          </w:tcPr>
          <w:p>
            <w:pPr>
              <w:jc w:val="right"/>
              <w:ind w:right="202"/>
              <w:spacing w:after="0"/>
              <w:rPr>
                <w:sz w:val="20"/>
                <w:szCs w:val="20"/>
                <w:color w:val="auto"/>
              </w:rPr>
            </w:pPr>
            <w:r>
              <w:rPr>
                <w:rFonts w:ascii="Arial" w:cs="Arial" w:eastAsia="Arial" w:hAnsi="Arial"/>
                <w:sz w:val="16"/>
                <w:szCs w:val="16"/>
                <w:b w:val="1"/>
                <w:bCs w:val="1"/>
                <w:color w:val="0233A1"/>
              </w:rPr>
              <w:t>Award Adjustments</w:t>
            </w:r>
          </w:p>
        </w:tc>
        <w:tc>
          <w:tcPr>
            <w:tcW w:w="1820" w:type="dxa"/>
            <w:vAlign w:val="bottom"/>
          </w:tcPr>
          <w:p>
            <w:pPr>
              <w:jc w:val="right"/>
              <w:ind w:right="221"/>
              <w:spacing w:after="0"/>
              <w:rPr>
                <w:sz w:val="20"/>
                <w:szCs w:val="20"/>
                <w:color w:val="auto"/>
              </w:rPr>
            </w:pPr>
            <w:r>
              <w:rPr>
                <w:rFonts w:ascii="Arial" w:cs="Arial" w:eastAsia="Arial" w:hAnsi="Arial"/>
                <w:sz w:val="16"/>
                <w:szCs w:val="16"/>
                <w:b w:val="1"/>
                <w:bCs w:val="1"/>
                <w:color w:val="0233A1"/>
              </w:rPr>
              <w:t>Benefits for Non-</w:t>
            </w:r>
          </w:p>
        </w:tc>
        <w:tc>
          <w:tcPr>
            <w:tcW w:w="1680" w:type="dxa"/>
            <w:vAlign w:val="bottom"/>
          </w:tcPr>
          <w:p>
            <w:pPr>
              <w:jc w:val="right"/>
              <w:ind w:right="222"/>
              <w:spacing w:after="0"/>
              <w:rPr>
                <w:sz w:val="20"/>
                <w:szCs w:val="20"/>
                <w:color w:val="auto"/>
              </w:rPr>
            </w:pPr>
            <w:r>
              <w:rPr>
                <w:rFonts w:ascii="Arial" w:cs="Arial" w:eastAsia="Arial" w:hAnsi="Arial"/>
                <w:sz w:val="16"/>
                <w:szCs w:val="16"/>
                <w:b w:val="1"/>
                <w:bCs w:val="1"/>
                <w:color w:val="0233A1"/>
              </w:rPr>
              <w:t>Adjustments for</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0233A1"/>
              </w:rPr>
              <w:t>Actually Paid to</w:t>
            </w:r>
          </w:p>
        </w:tc>
      </w:tr>
      <w:tr>
        <w:trPr>
          <w:trHeight w:val="163"/>
        </w:trPr>
        <w:tc>
          <w:tcPr>
            <w:tcW w:w="800" w:type="dxa"/>
            <w:vAlign w:val="bottom"/>
          </w:tcPr>
          <w:p>
            <w:pPr>
              <w:spacing w:after="0"/>
              <w:rPr>
                <w:sz w:val="14"/>
                <w:szCs w:val="14"/>
                <w:color w:val="auto"/>
              </w:rPr>
            </w:pPr>
          </w:p>
        </w:tc>
        <w:tc>
          <w:tcPr>
            <w:tcW w:w="1740" w:type="dxa"/>
            <w:vAlign w:val="bottom"/>
          </w:tcPr>
          <w:p>
            <w:pPr>
              <w:jc w:val="right"/>
              <w:ind w:right="79"/>
              <w:spacing w:after="0" w:line="163" w:lineRule="exact"/>
              <w:rPr>
                <w:sz w:val="20"/>
                <w:szCs w:val="20"/>
                <w:color w:val="auto"/>
              </w:rPr>
            </w:pPr>
            <w:r>
              <w:rPr>
                <w:rFonts w:ascii="Arial" w:cs="Arial" w:eastAsia="Arial" w:hAnsi="Arial"/>
                <w:sz w:val="16"/>
                <w:szCs w:val="16"/>
                <w:b w:val="1"/>
                <w:bCs w:val="1"/>
                <w:color w:val="0233A1"/>
              </w:rPr>
              <w:t>Non-CEO NEOs</w:t>
            </w:r>
          </w:p>
        </w:tc>
        <w:tc>
          <w:tcPr>
            <w:tcW w:w="1880" w:type="dxa"/>
            <w:vAlign w:val="bottom"/>
          </w:tcPr>
          <w:p>
            <w:pPr>
              <w:jc w:val="right"/>
              <w:ind w:right="222"/>
              <w:spacing w:after="0" w:line="163" w:lineRule="exact"/>
              <w:rPr>
                <w:sz w:val="20"/>
                <w:szCs w:val="20"/>
                <w:color w:val="auto"/>
              </w:rPr>
            </w:pPr>
            <w:r>
              <w:rPr>
                <w:rFonts w:ascii="Arial" w:cs="Arial" w:eastAsia="Arial" w:hAnsi="Arial"/>
                <w:sz w:val="16"/>
                <w:szCs w:val="16"/>
                <w:b w:val="1"/>
                <w:bCs w:val="1"/>
                <w:color w:val="0233A1"/>
              </w:rPr>
              <w:t>Non-CEO NEOs</w:t>
            </w:r>
          </w:p>
        </w:tc>
        <w:tc>
          <w:tcPr>
            <w:tcW w:w="1920" w:type="dxa"/>
            <w:vAlign w:val="bottom"/>
          </w:tcPr>
          <w:p>
            <w:pPr>
              <w:jc w:val="right"/>
              <w:ind w:right="202"/>
              <w:spacing w:after="0" w:line="163" w:lineRule="exact"/>
              <w:rPr>
                <w:sz w:val="20"/>
                <w:szCs w:val="20"/>
                <w:color w:val="auto"/>
              </w:rPr>
            </w:pPr>
            <w:r>
              <w:rPr>
                <w:rFonts w:ascii="Arial" w:cs="Arial" w:eastAsia="Arial" w:hAnsi="Arial"/>
                <w:sz w:val="16"/>
                <w:szCs w:val="16"/>
                <w:b w:val="1"/>
                <w:bCs w:val="1"/>
                <w:color w:val="0233A1"/>
              </w:rPr>
              <w:t>for Non-CEO NEOs</w:t>
            </w:r>
          </w:p>
        </w:tc>
        <w:tc>
          <w:tcPr>
            <w:tcW w:w="1820" w:type="dxa"/>
            <w:vAlign w:val="bottom"/>
          </w:tcPr>
          <w:p>
            <w:pPr>
              <w:jc w:val="right"/>
              <w:ind w:right="221"/>
              <w:spacing w:after="0" w:line="163" w:lineRule="exact"/>
              <w:rPr>
                <w:sz w:val="20"/>
                <w:szCs w:val="20"/>
                <w:color w:val="auto"/>
              </w:rPr>
            </w:pPr>
            <w:r>
              <w:rPr>
                <w:rFonts w:ascii="Arial" w:cs="Arial" w:eastAsia="Arial" w:hAnsi="Arial"/>
                <w:sz w:val="16"/>
                <w:szCs w:val="16"/>
                <w:b w:val="1"/>
                <w:bCs w:val="1"/>
                <w:color w:val="0233A1"/>
              </w:rPr>
              <w:t>CEO NEOs</w:t>
            </w:r>
          </w:p>
        </w:tc>
        <w:tc>
          <w:tcPr>
            <w:tcW w:w="1680" w:type="dxa"/>
            <w:vAlign w:val="bottom"/>
          </w:tcPr>
          <w:p>
            <w:pPr>
              <w:jc w:val="right"/>
              <w:ind w:right="222"/>
              <w:spacing w:after="0" w:line="163" w:lineRule="exact"/>
              <w:rPr>
                <w:sz w:val="20"/>
                <w:szCs w:val="20"/>
                <w:color w:val="auto"/>
              </w:rPr>
            </w:pPr>
            <w:r>
              <w:rPr>
                <w:rFonts w:ascii="Arial" w:cs="Arial" w:eastAsia="Arial" w:hAnsi="Arial"/>
                <w:sz w:val="16"/>
                <w:szCs w:val="16"/>
                <w:b w:val="1"/>
                <w:bCs w:val="1"/>
                <w:color w:val="0233A1"/>
              </w:rPr>
              <w:t>Non-CEO NEOs</w:t>
            </w:r>
          </w:p>
        </w:tc>
        <w:tc>
          <w:tcPr>
            <w:tcW w:w="1400" w:type="dxa"/>
            <w:vAlign w:val="bottom"/>
          </w:tcPr>
          <w:p>
            <w:pPr>
              <w:jc w:val="right"/>
              <w:spacing w:after="0" w:line="163" w:lineRule="exact"/>
              <w:rPr>
                <w:sz w:val="20"/>
                <w:szCs w:val="20"/>
                <w:color w:val="auto"/>
              </w:rPr>
            </w:pPr>
            <w:r>
              <w:rPr>
                <w:rFonts w:ascii="Arial" w:cs="Arial" w:eastAsia="Arial" w:hAnsi="Arial"/>
                <w:sz w:val="16"/>
                <w:szCs w:val="16"/>
                <w:b w:val="1"/>
                <w:bCs w:val="1"/>
                <w:color w:val="0233A1"/>
              </w:rPr>
              <w:t>Non-CEO NEOs</w:t>
            </w:r>
          </w:p>
        </w:tc>
      </w:tr>
      <w:tr>
        <w:trPr>
          <w:trHeight w:val="229"/>
        </w:trPr>
        <w:tc>
          <w:tcPr>
            <w:tcW w:w="80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0233A1"/>
              </w:rPr>
              <w:t>Year</w:t>
            </w:r>
          </w:p>
        </w:tc>
        <w:tc>
          <w:tcPr>
            <w:tcW w:w="1740" w:type="dxa"/>
            <w:vAlign w:val="bottom"/>
            <w:tcBorders>
              <w:bottom w:val="single" w:sz="8" w:color="0233A1"/>
            </w:tcBorders>
          </w:tcPr>
          <w:p>
            <w:pPr>
              <w:jc w:val="right"/>
              <w:ind w:right="79"/>
              <w:spacing w:after="0"/>
              <w:rPr>
                <w:sz w:val="20"/>
                <w:szCs w:val="20"/>
                <w:color w:val="auto"/>
              </w:rPr>
            </w:pPr>
            <w:r>
              <w:rPr>
                <w:rFonts w:ascii="Arial" w:cs="Arial" w:eastAsia="Arial" w:hAnsi="Arial"/>
                <w:sz w:val="16"/>
                <w:szCs w:val="16"/>
                <w:b w:val="1"/>
                <w:bCs w:val="1"/>
                <w:color w:val="0233A1"/>
              </w:rPr>
              <w:t>($)</w:t>
            </w:r>
          </w:p>
        </w:tc>
        <w:tc>
          <w:tcPr>
            <w:tcW w:w="1880" w:type="dxa"/>
            <w:vAlign w:val="bottom"/>
            <w:tcBorders>
              <w:bottom w:val="single" w:sz="8" w:color="0233A1"/>
            </w:tcBorders>
          </w:tcPr>
          <w:p>
            <w:pPr>
              <w:jc w:val="right"/>
              <w:ind w:right="62"/>
              <w:spacing w:after="0" w:line="230" w:lineRule="exact"/>
              <w:rPr>
                <w:sz w:val="20"/>
                <w:szCs w:val="20"/>
                <w:color w:val="auto"/>
              </w:rPr>
            </w:pPr>
            <w:r>
              <w:rPr>
                <w:rFonts w:ascii="Arial" w:cs="Arial" w:eastAsia="Arial" w:hAnsi="Arial"/>
                <w:sz w:val="26"/>
                <w:szCs w:val="26"/>
                <w:b w:val="1"/>
                <w:bCs w:val="1"/>
                <w:color w:val="0233A1"/>
                <w:vertAlign w:val="subscript"/>
              </w:rPr>
              <w:t>($)</w:t>
            </w:r>
            <w:r>
              <w:rPr>
                <w:rFonts w:ascii="Arial" w:cs="Arial" w:eastAsia="Arial" w:hAnsi="Arial"/>
                <w:sz w:val="12"/>
                <w:szCs w:val="12"/>
                <w:b w:val="1"/>
                <w:bCs w:val="1"/>
                <w:color w:val="0233A1"/>
              </w:rPr>
              <w:t>(1)</w:t>
            </w:r>
          </w:p>
        </w:tc>
        <w:tc>
          <w:tcPr>
            <w:tcW w:w="1920" w:type="dxa"/>
            <w:vAlign w:val="bottom"/>
            <w:tcBorders>
              <w:bottom w:val="single" w:sz="8" w:color="0233A1"/>
            </w:tcBorders>
          </w:tcPr>
          <w:p>
            <w:pPr>
              <w:jc w:val="right"/>
              <w:ind w:right="42"/>
              <w:spacing w:after="0" w:line="230" w:lineRule="exact"/>
              <w:rPr>
                <w:sz w:val="20"/>
                <w:szCs w:val="20"/>
                <w:color w:val="auto"/>
              </w:rPr>
            </w:pPr>
            <w:r>
              <w:rPr>
                <w:rFonts w:ascii="Arial" w:cs="Arial" w:eastAsia="Arial" w:hAnsi="Arial"/>
                <w:sz w:val="26"/>
                <w:szCs w:val="26"/>
                <w:b w:val="1"/>
                <w:bCs w:val="1"/>
                <w:color w:val="0233A1"/>
                <w:vertAlign w:val="subscript"/>
              </w:rPr>
              <w:t>($)</w:t>
            </w:r>
            <w:r>
              <w:rPr>
                <w:rFonts w:ascii="Arial" w:cs="Arial" w:eastAsia="Arial" w:hAnsi="Arial"/>
                <w:sz w:val="12"/>
                <w:szCs w:val="12"/>
                <w:b w:val="1"/>
                <w:bCs w:val="1"/>
                <w:color w:val="0233A1"/>
              </w:rPr>
              <w:t>(2)</w:t>
            </w:r>
          </w:p>
        </w:tc>
        <w:tc>
          <w:tcPr>
            <w:tcW w:w="1820" w:type="dxa"/>
            <w:vAlign w:val="bottom"/>
            <w:tcBorders>
              <w:bottom w:val="single" w:sz="8" w:color="0233A1"/>
            </w:tcBorders>
          </w:tcPr>
          <w:p>
            <w:pPr>
              <w:jc w:val="right"/>
              <w:ind w:right="41"/>
              <w:spacing w:after="0" w:line="230" w:lineRule="exact"/>
              <w:rPr>
                <w:sz w:val="20"/>
                <w:szCs w:val="20"/>
                <w:color w:val="auto"/>
              </w:rPr>
            </w:pPr>
            <w:r>
              <w:rPr>
                <w:rFonts w:ascii="Arial" w:cs="Arial" w:eastAsia="Arial" w:hAnsi="Arial"/>
                <w:sz w:val="26"/>
                <w:szCs w:val="26"/>
                <w:b w:val="1"/>
                <w:bCs w:val="1"/>
                <w:color w:val="0233A1"/>
                <w:vertAlign w:val="subscript"/>
              </w:rPr>
              <w:t>($)</w:t>
            </w:r>
            <w:r>
              <w:rPr>
                <w:rFonts w:ascii="Arial" w:cs="Arial" w:eastAsia="Arial" w:hAnsi="Arial"/>
                <w:sz w:val="12"/>
                <w:szCs w:val="12"/>
                <w:b w:val="1"/>
                <w:bCs w:val="1"/>
                <w:color w:val="0233A1"/>
              </w:rPr>
              <w:t>(3)</w:t>
            </w:r>
          </w:p>
        </w:tc>
        <w:tc>
          <w:tcPr>
            <w:tcW w:w="1680" w:type="dxa"/>
            <w:vAlign w:val="bottom"/>
            <w:tcBorders>
              <w:bottom w:val="single" w:sz="8" w:color="0233A1"/>
            </w:tcBorders>
          </w:tcPr>
          <w:p>
            <w:pPr>
              <w:jc w:val="right"/>
              <w:ind w:right="62"/>
              <w:spacing w:after="0" w:line="230" w:lineRule="exact"/>
              <w:rPr>
                <w:sz w:val="20"/>
                <w:szCs w:val="20"/>
                <w:color w:val="auto"/>
              </w:rPr>
            </w:pPr>
            <w:r>
              <w:rPr>
                <w:rFonts w:ascii="Arial" w:cs="Arial" w:eastAsia="Arial" w:hAnsi="Arial"/>
                <w:sz w:val="26"/>
                <w:szCs w:val="26"/>
                <w:b w:val="1"/>
                <w:bCs w:val="1"/>
                <w:color w:val="0233A1"/>
                <w:vertAlign w:val="subscript"/>
              </w:rPr>
              <w:t>($)</w:t>
            </w:r>
            <w:r>
              <w:rPr>
                <w:rFonts w:ascii="Arial" w:cs="Arial" w:eastAsia="Arial" w:hAnsi="Arial"/>
                <w:sz w:val="12"/>
                <w:szCs w:val="12"/>
                <w:b w:val="1"/>
                <w:bCs w:val="1"/>
                <w:color w:val="0233A1"/>
              </w:rPr>
              <w:t>(4)</w:t>
            </w:r>
          </w:p>
        </w:tc>
        <w:tc>
          <w:tcPr>
            <w:tcW w:w="140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r>
      <w:tr>
        <w:trPr>
          <w:trHeight w:val="208"/>
        </w:trPr>
        <w:tc>
          <w:tcPr>
            <w:tcW w:w="800" w:type="dxa"/>
            <w:vAlign w:val="bottom"/>
          </w:tcPr>
          <w:p>
            <w:pPr>
              <w:ind w:left="60"/>
              <w:spacing w:after="0"/>
              <w:rPr>
                <w:sz w:val="20"/>
                <w:szCs w:val="20"/>
                <w:color w:val="auto"/>
              </w:rPr>
            </w:pPr>
            <w:r>
              <w:rPr>
                <w:rFonts w:ascii="Arial" w:cs="Arial" w:eastAsia="Arial" w:hAnsi="Arial"/>
                <w:sz w:val="16"/>
                <w:szCs w:val="16"/>
                <w:color w:val="auto"/>
              </w:rPr>
              <w:t>2022</w:t>
            </w:r>
          </w:p>
        </w:tc>
        <w:tc>
          <w:tcPr>
            <w:tcW w:w="1740" w:type="dxa"/>
            <w:vAlign w:val="bottom"/>
          </w:tcPr>
          <w:p>
            <w:pPr>
              <w:jc w:val="right"/>
              <w:ind w:right="79"/>
              <w:spacing w:after="0"/>
              <w:rPr>
                <w:sz w:val="20"/>
                <w:szCs w:val="20"/>
                <w:color w:val="auto"/>
              </w:rPr>
            </w:pPr>
            <w:r>
              <w:rPr>
                <w:rFonts w:ascii="Arial" w:cs="Arial" w:eastAsia="Arial" w:hAnsi="Arial"/>
                <w:sz w:val="16"/>
                <w:szCs w:val="16"/>
                <w:color w:val="auto"/>
              </w:rPr>
              <w:t>5,087,891</w:t>
            </w:r>
          </w:p>
        </w:tc>
        <w:tc>
          <w:tcPr>
            <w:tcW w:w="1880" w:type="dxa"/>
            <w:vAlign w:val="bottom"/>
          </w:tcPr>
          <w:p>
            <w:pPr>
              <w:jc w:val="right"/>
              <w:ind w:right="222"/>
              <w:spacing w:after="0"/>
              <w:rPr>
                <w:sz w:val="20"/>
                <w:szCs w:val="20"/>
                <w:color w:val="auto"/>
              </w:rPr>
            </w:pPr>
            <w:r>
              <w:rPr>
                <w:rFonts w:ascii="Arial" w:cs="Arial" w:eastAsia="Arial" w:hAnsi="Arial"/>
                <w:sz w:val="16"/>
                <w:szCs w:val="16"/>
                <w:color w:val="auto"/>
              </w:rPr>
              <w:t>(3,459,992)</w:t>
            </w:r>
          </w:p>
        </w:tc>
        <w:tc>
          <w:tcPr>
            <w:tcW w:w="1920" w:type="dxa"/>
            <w:vAlign w:val="bottom"/>
          </w:tcPr>
          <w:p>
            <w:pPr>
              <w:jc w:val="right"/>
              <w:ind w:right="202"/>
              <w:spacing w:after="0"/>
              <w:rPr>
                <w:sz w:val="20"/>
                <w:szCs w:val="20"/>
                <w:color w:val="auto"/>
              </w:rPr>
            </w:pPr>
            <w:r>
              <w:rPr>
                <w:rFonts w:ascii="Arial" w:cs="Arial" w:eastAsia="Arial" w:hAnsi="Arial"/>
                <w:sz w:val="16"/>
                <w:szCs w:val="16"/>
                <w:color w:val="auto"/>
              </w:rPr>
              <w:t>15,684,764</w:t>
            </w:r>
          </w:p>
        </w:tc>
        <w:tc>
          <w:tcPr>
            <w:tcW w:w="1820" w:type="dxa"/>
            <w:vAlign w:val="bottom"/>
          </w:tcPr>
          <w:p>
            <w:pPr>
              <w:jc w:val="right"/>
              <w:ind w:right="221"/>
              <w:spacing w:after="0"/>
              <w:rPr>
                <w:sz w:val="20"/>
                <w:szCs w:val="20"/>
                <w:color w:val="auto"/>
              </w:rPr>
            </w:pPr>
            <w:r>
              <w:rPr>
                <w:rFonts w:ascii="Arial" w:cs="Arial" w:eastAsia="Arial" w:hAnsi="Arial"/>
                <w:sz w:val="16"/>
                <w:szCs w:val="16"/>
                <w:color w:val="auto"/>
              </w:rPr>
              <w:t>(72,206)</w:t>
            </w:r>
          </w:p>
        </w:tc>
        <w:tc>
          <w:tcPr>
            <w:tcW w:w="1680" w:type="dxa"/>
            <w:vAlign w:val="bottom"/>
          </w:tcPr>
          <w:p>
            <w:pPr>
              <w:jc w:val="right"/>
              <w:ind w:right="222"/>
              <w:spacing w:after="0"/>
              <w:rPr>
                <w:sz w:val="20"/>
                <w:szCs w:val="20"/>
                <w:color w:val="auto"/>
              </w:rPr>
            </w:pPr>
            <w:r>
              <w:rPr>
                <w:rFonts w:ascii="Arial" w:cs="Arial" w:eastAsia="Arial" w:hAnsi="Arial"/>
                <w:sz w:val="16"/>
                <w:szCs w:val="16"/>
                <w:color w:val="auto"/>
              </w:rPr>
              <w:t>100,764</w:t>
            </w:r>
          </w:p>
        </w:tc>
        <w:tc>
          <w:tcPr>
            <w:tcW w:w="1400" w:type="dxa"/>
            <w:vAlign w:val="bottom"/>
          </w:tcPr>
          <w:p>
            <w:pPr>
              <w:jc w:val="right"/>
              <w:spacing w:after="0"/>
              <w:rPr>
                <w:sz w:val="20"/>
                <w:szCs w:val="20"/>
                <w:color w:val="auto"/>
              </w:rPr>
            </w:pPr>
            <w:r>
              <w:rPr>
                <w:rFonts w:ascii="Arial" w:cs="Arial" w:eastAsia="Arial" w:hAnsi="Arial"/>
                <w:sz w:val="16"/>
                <w:szCs w:val="16"/>
                <w:color w:val="auto"/>
              </w:rPr>
              <w:t>17,341,223</w:t>
            </w:r>
          </w:p>
        </w:tc>
      </w:tr>
      <w:tr>
        <w:trPr>
          <w:trHeight w:val="215"/>
        </w:trPr>
        <w:tc>
          <w:tcPr>
            <w:tcW w:w="800" w:type="dxa"/>
            <w:vAlign w:val="bottom"/>
          </w:tcPr>
          <w:p>
            <w:pPr>
              <w:ind w:left="60"/>
              <w:spacing w:after="0"/>
              <w:rPr>
                <w:sz w:val="20"/>
                <w:szCs w:val="20"/>
                <w:color w:val="auto"/>
              </w:rPr>
            </w:pPr>
            <w:r>
              <w:rPr>
                <w:rFonts w:ascii="Arial" w:cs="Arial" w:eastAsia="Arial" w:hAnsi="Arial"/>
                <w:sz w:val="16"/>
                <w:szCs w:val="16"/>
                <w:color w:val="auto"/>
              </w:rPr>
              <w:t>2021</w:t>
            </w:r>
          </w:p>
        </w:tc>
        <w:tc>
          <w:tcPr>
            <w:tcW w:w="1740" w:type="dxa"/>
            <w:vAlign w:val="bottom"/>
          </w:tcPr>
          <w:p>
            <w:pPr>
              <w:jc w:val="right"/>
              <w:ind w:right="79"/>
              <w:spacing w:after="0"/>
              <w:rPr>
                <w:sz w:val="20"/>
                <w:szCs w:val="20"/>
                <w:color w:val="auto"/>
              </w:rPr>
            </w:pPr>
            <w:r>
              <w:rPr>
                <w:rFonts w:ascii="Arial" w:cs="Arial" w:eastAsia="Arial" w:hAnsi="Arial"/>
                <w:sz w:val="16"/>
                <w:szCs w:val="16"/>
                <w:color w:val="auto"/>
              </w:rPr>
              <w:t>6,353,971</w:t>
            </w:r>
          </w:p>
        </w:tc>
        <w:tc>
          <w:tcPr>
            <w:tcW w:w="1880" w:type="dxa"/>
            <w:vAlign w:val="bottom"/>
          </w:tcPr>
          <w:p>
            <w:pPr>
              <w:jc w:val="right"/>
              <w:ind w:right="222"/>
              <w:spacing w:after="0"/>
              <w:rPr>
                <w:sz w:val="20"/>
                <w:szCs w:val="20"/>
                <w:color w:val="auto"/>
              </w:rPr>
            </w:pPr>
            <w:r>
              <w:rPr>
                <w:rFonts w:ascii="Arial" w:cs="Arial" w:eastAsia="Arial" w:hAnsi="Arial"/>
                <w:sz w:val="16"/>
                <w:szCs w:val="16"/>
                <w:color w:val="auto"/>
              </w:rPr>
              <w:t>(3,449,891)</w:t>
            </w:r>
          </w:p>
        </w:tc>
        <w:tc>
          <w:tcPr>
            <w:tcW w:w="1920" w:type="dxa"/>
            <w:vAlign w:val="bottom"/>
          </w:tcPr>
          <w:p>
            <w:pPr>
              <w:jc w:val="right"/>
              <w:ind w:right="202"/>
              <w:spacing w:after="0"/>
              <w:rPr>
                <w:sz w:val="20"/>
                <w:szCs w:val="20"/>
                <w:color w:val="auto"/>
              </w:rPr>
            </w:pPr>
            <w:r>
              <w:rPr>
                <w:rFonts w:ascii="Arial" w:cs="Arial" w:eastAsia="Arial" w:hAnsi="Arial"/>
                <w:sz w:val="16"/>
                <w:szCs w:val="16"/>
                <w:color w:val="auto"/>
              </w:rPr>
              <w:t>10,304,511</w:t>
            </w:r>
          </w:p>
        </w:tc>
        <w:tc>
          <w:tcPr>
            <w:tcW w:w="1820" w:type="dxa"/>
            <w:vAlign w:val="bottom"/>
          </w:tcPr>
          <w:p>
            <w:pPr>
              <w:jc w:val="right"/>
              <w:ind w:right="221"/>
              <w:spacing w:after="0"/>
              <w:rPr>
                <w:sz w:val="20"/>
                <w:szCs w:val="20"/>
                <w:color w:val="auto"/>
              </w:rPr>
            </w:pPr>
            <w:r>
              <w:rPr>
                <w:rFonts w:ascii="Arial" w:cs="Arial" w:eastAsia="Arial" w:hAnsi="Arial"/>
                <w:sz w:val="16"/>
                <w:szCs w:val="16"/>
                <w:color w:val="auto"/>
              </w:rPr>
              <w:t>(257,982)</w:t>
            </w:r>
          </w:p>
        </w:tc>
        <w:tc>
          <w:tcPr>
            <w:tcW w:w="1680" w:type="dxa"/>
            <w:vAlign w:val="bottom"/>
          </w:tcPr>
          <w:p>
            <w:pPr>
              <w:jc w:val="right"/>
              <w:ind w:right="222"/>
              <w:spacing w:after="0"/>
              <w:rPr>
                <w:sz w:val="20"/>
                <w:szCs w:val="20"/>
                <w:color w:val="auto"/>
              </w:rPr>
            </w:pPr>
            <w:r>
              <w:rPr>
                <w:rFonts w:ascii="Arial" w:cs="Arial" w:eastAsia="Arial" w:hAnsi="Arial"/>
                <w:sz w:val="16"/>
                <w:szCs w:val="16"/>
                <w:color w:val="auto"/>
              </w:rPr>
              <w:t>165,563</w:t>
            </w:r>
          </w:p>
        </w:tc>
        <w:tc>
          <w:tcPr>
            <w:tcW w:w="1400" w:type="dxa"/>
            <w:vAlign w:val="bottom"/>
          </w:tcPr>
          <w:p>
            <w:pPr>
              <w:jc w:val="right"/>
              <w:spacing w:after="0"/>
              <w:rPr>
                <w:sz w:val="20"/>
                <w:szCs w:val="20"/>
                <w:color w:val="auto"/>
              </w:rPr>
            </w:pPr>
            <w:r>
              <w:rPr>
                <w:rFonts w:ascii="Arial" w:cs="Arial" w:eastAsia="Arial" w:hAnsi="Arial"/>
                <w:sz w:val="16"/>
                <w:szCs w:val="16"/>
                <w:color w:val="auto"/>
              </w:rPr>
              <w:t>13,116,171</w:t>
            </w:r>
          </w:p>
        </w:tc>
      </w:tr>
      <w:tr>
        <w:trPr>
          <w:trHeight w:val="239"/>
        </w:trPr>
        <w:tc>
          <w:tcPr>
            <w:tcW w:w="80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2020</w:t>
            </w:r>
          </w:p>
        </w:tc>
        <w:tc>
          <w:tcPr>
            <w:tcW w:w="1740" w:type="dxa"/>
            <w:vAlign w:val="bottom"/>
            <w:tcBorders>
              <w:bottom w:val="single" w:sz="8" w:color="0233A1"/>
            </w:tcBorders>
          </w:tcPr>
          <w:p>
            <w:pPr>
              <w:jc w:val="right"/>
              <w:ind w:right="79"/>
              <w:spacing w:after="0"/>
              <w:rPr>
                <w:sz w:val="20"/>
                <w:szCs w:val="20"/>
                <w:color w:val="auto"/>
              </w:rPr>
            </w:pPr>
            <w:r>
              <w:rPr>
                <w:rFonts w:ascii="Arial" w:cs="Arial" w:eastAsia="Arial" w:hAnsi="Arial"/>
                <w:sz w:val="16"/>
                <w:szCs w:val="16"/>
                <w:color w:val="auto"/>
              </w:rPr>
              <w:t>6,081,217</w:t>
            </w:r>
          </w:p>
        </w:tc>
        <w:tc>
          <w:tcPr>
            <w:tcW w:w="1880" w:type="dxa"/>
            <w:vAlign w:val="bottom"/>
            <w:tcBorders>
              <w:bottom w:val="single" w:sz="8" w:color="0233A1"/>
            </w:tcBorders>
          </w:tcPr>
          <w:p>
            <w:pPr>
              <w:jc w:val="right"/>
              <w:ind w:right="222"/>
              <w:spacing w:after="0"/>
              <w:rPr>
                <w:sz w:val="20"/>
                <w:szCs w:val="20"/>
                <w:color w:val="auto"/>
              </w:rPr>
            </w:pPr>
            <w:r>
              <w:rPr>
                <w:rFonts w:ascii="Arial" w:cs="Arial" w:eastAsia="Arial" w:hAnsi="Arial"/>
                <w:sz w:val="16"/>
                <w:szCs w:val="16"/>
                <w:color w:val="auto"/>
              </w:rPr>
              <w:t>(3,403,834)</w:t>
            </w:r>
          </w:p>
        </w:tc>
        <w:tc>
          <w:tcPr>
            <w:tcW w:w="1920" w:type="dxa"/>
            <w:vAlign w:val="bottom"/>
            <w:tcBorders>
              <w:bottom w:val="single" w:sz="8" w:color="0233A1"/>
            </w:tcBorders>
          </w:tcPr>
          <w:p>
            <w:pPr>
              <w:jc w:val="right"/>
              <w:ind w:right="202"/>
              <w:spacing w:after="0"/>
              <w:rPr>
                <w:sz w:val="20"/>
                <w:szCs w:val="20"/>
                <w:color w:val="auto"/>
              </w:rPr>
            </w:pPr>
            <w:r>
              <w:rPr>
                <w:rFonts w:ascii="Arial" w:cs="Arial" w:eastAsia="Arial" w:hAnsi="Arial"/>
                <w:sz w:val="16"/>
                <w:szCs w:val="16"/>
                <w:color w:val="auto"/>
              </w:rPr>
              <w:t>297,042</w:t>
            </w:r>
          </w:p>
        </w:tc>
        <w:tc>
          <w:tcPr>
            <w:tcW w:w="1820" w:type="dxa"/>
            <w:vAlign w:val="bottom"/>
            <w:tcBorders>
              <w:bottom w:val="single" w:sz="8" w:color="0233A1"/>
            </w:tcBorders>
          </w:tcPr>
          <w:p>
            <w:pPr>
              <w:jc w:val="right"/>
              <w:ind w:right="221"/>
              <w:spacing w:after="0"/>
              <w:rPr>
                <w:sz w:val="20"/>
                <w:szCs w:val="20"/>
                <w:color w:val="auto"/>
              </w:rPr>
            </w:pPr>
            <w:r>
              <w:rPr>
                <w:rFonts w:ascii="Arial" w:cs="Arial" w:eastAsia="Arial" w:hAnsi="Arial"/>
                <w:sz w:val="16"/>
                <w:szCs w:val="16"/>
                <w:color w:val="auto"/>
              </w:rPr>
              <w:t>(889,632)</w:t>
            </w:r>
          </w:p>
        </w:tc>
        <w:tc>
          <w:tcPr>
            <w:tcW w:w="1680" w:type="dxa"/>
            <w:vAlign w:val="bottom"/>
            <w:tcBorders>
              <w:bottom w:val="single" w:sz="8" w:color="0233A1"/>
            </w:tcBorders>
          </w:tcPr>
          <w:p>
            <w:pPr>
              <w:jc w:val="right"/>
              <w:ind w:right="222"/>
              <w:spacing w:after="0"/>
              <w:rPr>
                <w:sz w:val="20"/>
                <w:szCs w:val="20"/>
                <w:color w:val="auto"/>
              </w:rPr>
            </w:pPr>
            <w:r>
              <w:rPr>
                <w:rFonts w:ascii="Arial" w:cs="Arial" w:eastAsia="Arial" w:hAnsi="Arial"/>
                <w:sz w:val="16"/>
                <w:szCs w:val="16"/>
                <w:color w:val="auto"/>
              </w:rPr>
              <w:t>105,915</w:t>
            </w:r>
          </w:p>
        </w:tc>
        <w:tc>
          <w:tcPr>
            <w:tcW w:w="140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2,190,708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-162560</wp:posOffset>
            </wp:positionV>
            <wp:extent cx="17145" cy="17145"/>
            <wp:wrapNone/>
            <wp:docPr id="3704" name="Picture 3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
                    <pic:cNvPicPr>
                      <a:picLocks noChangeAspect="1" noChangeArrowheads="1"/>
                    </pic:cNvPicPr>
                  </pic:nvPicPr>
                  <pic:blipFill>
                    <a:blip r:embed="rId37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-162560</wp:posOffset>
            </wp:positionV>
            <wp:extent cx="17145" cy="17145"/>
            <wp:wrapNone/>
            <wp:docPr id="3705" name="Picture 3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5"/>
                    <pic:cNvPicPr>
                      <a:picLocks noChangeAspect="1" noChangeArrowheads="1"/>
                    </pic:cNvPicPr>
                  </pic:nvPicPr>
                  <pic:blipFill>
                    <a:blip r:embed="rId37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-162560</wp:posOffset>
            </wp:positionV>
            <wp:extent cx="17145" cy="17145"/>
            <wp:wrapNone/>
            <wp:docPr id="3706" name="Picture 3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6"/>
                    <pic:cNvPicPr>
                      <a:picLocks noChangeAspect="1" noChangeArrowheads="1"/>
                    </pic:cNvPicPr>
                  </pic:nvPicPr>
                  <pic:blipFill>
                    <a:blip r:embed="rId37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-162560</wp:posOffset>
            </wp:positionV>
            <wp:extent cx="17145" cy="17145"/>
            <wp:wrapNone/>
            <wp:docPr id="3707" name="Picture 3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7"/>
                    <pic:cNvPicPr>
                      <a:picLocks noChangeAspect="1" noChangeArrowheads="1"/>
                    </pic:cNvPicPr>
                  </pic:nvPicPr>
                  <pic:blipFill>
                    <a:blip r:embed="rId37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-162560</wp:posOffset>
            </wp:positionV>
            <wp:extent cx="17145" cy="17145"/>
            <wp:wrapNone/>
            <wp:docPr id="3708" name="Picture 3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8"/>
                    <pic:cNvPicPr>
                      <a:picLocks noChangeAspect="1" noChangeArrowheads="1"/>
                    </pic:cNvPicPr>
                  </pic:nvPicPr>
                  <pic:blipFill>
                    <a:blip r:embed="rId37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-162560</wp:posOffset>
            </wp:positionV>
            <wp:extent cx="17145" cy="17145"/>
            <wp:wrapNone/>
            <wp:docPr id="3709" name="Picture 3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9"/>
                    <pic:cNvPicPr>
                      <a:picLocks noChangeAspect="1" noChangeArrowheads="1"/>
                    </pic:cNvPicPr>
                  </pic:nvPicPr>
                  <pic:blipFill>
                    <a:blip r:embed="rId37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-162560</wp:posOffset>
            </wp:positionV>
            <wp:extent cx="17145" cy="17145"/>
            <wp:wrapNone/>
            <wp:docPr id="3710" name="Picture 3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0"/>
                    <pic:cNvPicPr>
                      <a:picLocks noChangeAspect="1" noChangeArrowheads="1"/>
                    </pic:cNvPicPr>
                  </pic:nvPicPr>
                  <pic:blipFill>
                    <a:blip r:embed="rId37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-162560</wp:posOffset>
            </wp:positionV>
            <wp:extent cx="17145" cy="17145"/>
            <wp:wrapNone/>
            <wp:docPr id="3711" name="Picture 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1"/>
                    <pic:cNvPicPr>
                      <a:picLocks noChangeAspect="1" noChangeArrowheads="1"/>
                    </pic:cNvPicPr>
                  </pic:nvPicPr>
                  <pic:blipFill>
                    <a:blip r:embed="rId37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-162560</wp:posOffset>
            </wp:positionV>
            <wp:extent cx="17145" cy="17145"/>
            <wp:wrapNone/>
            <wp:docPr id="3712" name="Picture 3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2"/>
                    <pic:cNvPicPr>
                      <a:picLocks noChangeAspect="1" noChangeArrowheads="1"/>
                    </pic:cNvPicPr>
                  </pic:nvPicPr>
                  <pic:blipFill>
                    <a:blip r:embed="rId37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-162560</wp:posOffset>
            </wp:positionV>
            <wp:extent cx="17145" cy="17145"/>
            <wp:wrapNone/>
            <wp:docPr id="3713" name="Picture 3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3"/>
                    <pic:cNvPicPr>
                      <a:picLocks noChangeAspect="1" noChangeArrowheads="1"/>
                    </pic:cNvPicPr>
                  </pic:nvPicPr>
                  <pic:blipFill>
                    <a:blip r:embed="rId37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-162560</wp:posOffset>
            </wp:positionV>
            <wp:extent cx="17145" cy="17145"/>
            <wp:wrapNone/>
            <wp:docPr id="3714" name="Picture 3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4"/>
                    <pic:cNvPicPr>
                      <a:picLocks noChangeAspect="1" noChangeArrowheads="1"/>
                    </pic:cNvPicPr>
                  </pic:nvPicPr>
                  <pic:blipFill>
                    <a:blip r:embed="rId37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-162560</wp:posOffset>
            </wp:positionV>
            <wp:extent cx="17145" cy="17145"/>
            <wp:wrapNone/>
            <wp:docPr id="3715" name="Picture 3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5"/>
                    <pic:cNvPicPr>
                      <a:picLocks noChangeAspect="1" noChangeArrowheads="1"/>
                    </pic:cNvPicPr>
                  </pic:nvPicPr>
                  <pic:blipFill>
                    <a:blip r:embed="rId37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-162560</wp:posOffset>
            </wp:positionV>
            <wp:extent cx="17145" cy="17145"/>
            <wp:wrapNone/>
            <wp:docPr id="3716" name="Picture 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6"/>
                    <pic:cNvPicPr>
                      <a:picLocks noChangeAspect="1" noChangeArrowheads="1"/>
                    </pic:cNvPicPr>
                  </pic:nvPicPr>
                  <pic:blipFill>
                    <a:blip r:embed="rId37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-162560</wp:posOffset>
            </wp:positionV>
            <wp:extent cx="17145" cy="17145"/>
            <wp:wrapNone/>
            <wp:docPr id="3717" name="Picture 3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7"/>
                    <pic:cNvPicPr>
                      <a:picLocks noChangeAspect="1" noChangeArrowheads="1"/>
                    </pic:cNvPicPr>
                  </pic:nvPicPr>
                  <pic:blipFill>
                    <a:blip r:embed="rId37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-162560</wp:posOffset>
            </wp:positionV>
            <wp:extent cx="17145" cy="17145"/>
            <wp:wrapNone/>
            <wp:docPr id="3718" name="Picture 3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8"/>
                    <pic:cNvPicPr>
                      <a:picLocks noChangeAspect="1" noChangeArrowheads="1"/>
                    </pic:cNvPicPr>
                  </pic:nvPicPr>
                  <pic:blipFill>
                    <a:blip r:embed="rId37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-162560</wp:posOffset>
            </wp:positionV>
            <wp:extent cx="17145" cy="17145"/>
            <wp:wrapNone/>
            <wp:docPr id="3719" name="Picture 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9"/>
                    <pic:cNvPicPr>
                      <a:picLocks noChangeAspect="1" noChangeArrowheads="1"/>
                    </pic:cNvPicPr>
                  </pic:nvPicPr>
                  <pic:blipFill>
                    <a:blip r:embed="rId37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-162560</wp:posOffset>
            </wp:positionV>
            <wp:extent cx="17145" cy="17145"/>
            <wp:wrapNone/>
            <wp:docPr id="3720" name="Picture 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0"/>
                    <pic:cNvPicPr>
                      <a:picLocks noChangeAspect="1" noChangeArrowheads="1"/>
                    </pic:cNvPicPr>
                  </pic:nvPicPr>
                  <pic:blipFill>
                    <a:blip r:embed="rId37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-162560</wp:posOffset>
            </wp:positionV>
            <wp:extent cx="17145" cy="17145"/>
            <wp:wrapNone/>
            <wp:docPr id="3721" name="Picture 3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1"/>
                    <pic:cNvPicPr>
                      <a:picLocks noChangeAspect="1" noChangeArrowheads="1"/>
                    </pic:cNvPicPr>
                  </pic:nvPicPr>
                  <pic:blipFill>
                    <a:blip r:embed="rId37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-162560</wp:posOffset>
            </wp:positionV>
            <wp:extent cx="17145" cy="17145"/>
            <wp:wrapNone/>
            <wp:docPr id="3722" name="Picture 3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2"/>
                    <pic:cNvPicPr>
                      <a:picLocks noChangeAspect="1" noChangeArrowheads="1"/>
                    </pic:cNvPicPr>
                  </pic:nvPicPr>
                  <pic:blipFill>
                    <a:blip r:embed="rId37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-162560</wp:posOffset>
            </wp:positionV>
            <wp:extent cx="17145" cy="17145"/>
            <wp:wrapNone/>
            <wp:docPr id="3723" name="Picture 3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3"/>
                    <pic:cNvPicPr>
                      <a:picLocks noChangeAspect="1" noChangeArrowheads="1"/>
                    </pic:cNvPicPr>
                  </pic:nvPicPr>
                  <pic:blipFill>
                    <a:blip r:embed="rId37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-162560</wp:posOffset>
            </wp:positionV>
            <wp:extent cx="17145" cy="17145"/>
            <wp:wrapNone/>
            <wp:docPr id="3724" name="Picture 3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4"/>
                    <pic:cNvPicPr>
                      <a:picLocks noChangeAspect="1" noChangeArrowheads="1"/>
                    </pic:cNvPicPr>
                  </pic:nvPicPr>
                  <pic:blipFill>
                    <a:blip r:embed="rId37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-162560</wp:posOffset>
            </wp:positionV>
            <wp:extent cx="17145" cy="17145"/>
            <wp:wrapNone/>
            <wp:docPr id="3725" name="Picture 3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5"/>
                    <pic:cNvPicPr>
                      <a:picLocks noChangeAspect="1" noChangeArrowheads="1"/>
                    </pic:cNvPicPr>
                  </pic:nvPicPr>
                  <pic:blipFill>
                    <a:blip r:embed="rId37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-162560</wp:posOffset>
            </wp:positionV>
            <wp:extent cx="17145" cy="17145"/>
            <wp:wrapNone/>
            <wp:docPr id="3726" name="Picture 3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6"/>
                    <pic:cNvPicPr>
                      <a:picLocks noChangeAspect="1" noChangeArrowheads="1"/>
                    </pic:cNvPicPr>
                  </pic:nvPicPr>
                  <pic:blipFill>
                    <a:blip r:embed="rId37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-162560</wp:posOffset>
            </wp:positionV>
            <wp:extent cx="17145" cy="17145"/>
            <wp:wrapNone/>
            <wp:docPr id="3727" name="Picture 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7"/>
                    <pic:cNvPicPr>
                      <a:picLocks noChangeAspect="1" noChangeArrowheads="1"/>
                    </pic:cNvPicPr>
                  </pic:nvPicPr>
                  <pic:blipFill>
                    <a:blip r:embed="rId37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-162560</wp:posOffset>
            </wp:positionV>
            <wp:extent cx="17145" cy="17145"/>
            <wp:wrapNone/>
            <wp:docPr id="3728" name="Picture 3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8"/>
                    <pic:cNvPicPr>
                      <a:picLocks noChangeAspect="1" noChangeArrowheads="1"/>
                    </pic:cNvPicPr>
                  </pic:nvPicPr>
                  <pic:blipFill>
                    <a:blip r:embed="rId37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-162560</wp:posOffset>
            </wp:positionV>
            <wp:extent cx="17145" cy="17145"/>
            <wp:wrapNone/>
            <wp:docPr id="3729" name="Picture 3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9"/>
                    <pic:cNvPicPr>
                      <a:picLocks noChangeAspect="1" noChangeArrowheads="1"/>
                    </pic:cNvPicPr>
                  </pic:nvPicPr>
                  <pic:blipFill>
                    <a:blip r:embed="rId37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-162560</wp:posOffset>
            </wp:positionV>
            <wp:extent cx="17145" cy="17145"/>
            <wp:wrapNone/>
            <wp:docPr id="3730" name="Picture 3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0"/>
                    <pic:cNvPicPr>
                      <a:picLocks noChangeAspect="1" noChangeArrowheads="1"/>
                    </pic:cNvPicPr>
                  </pic:nvPicPr>
                  <pic:blipFill>
                    <a:blip r:embed="rId37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-162560</wp:posOffset>
            </wp:positionV>
            <wp:extent cx="17145" cy="17145"/>
            <wp:wrapNone/>
            <wp:docPr id="3731" name="Picture 3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1"/>
                    <pic:cNvPicPr>
                      <a:picLocks noChangeAspect="1" noChangeArrowheads="1"/>
                    </pic:cNvPicPr>
                  </pic:nvPicPr>
                  <pic:blipFill>
                    <a:blip r:embed="rId37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-162560</wp:posOffset>
            </wp:positionV>
            <wp:extent cx="68580" cy="17145"/>
            <wp:wrapNone/>
            <wp:docPr id="3732" name="Picture 3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2"/>
                    <pic:cNvPicPr>
                      <a:picLocks noChangeAspect="1" noChangeArrowheads="1"/>
                    </pic:cNvPicPr>
                  </pic:nvPicPr>
                  <pic:blipFill>
                    <a:blip r:embed="rId3739">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6069330" cy="17145"/>
            <wp:wrapNone/>
            <wp:docPr id="3733" name="Picture 3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3"/>
                    <pic:cNvPicPr>
                      <a:picLocks noChangeAspect="1" noChangeArrowheads="1"/>
                    </pic:cNvPicPr>
                  </pic:nvPicPr>
                  <pic:blipFill>
                    <a:blip r:embed="rId3740">
                      <a:extLst>
                        <a:ext uri="{28A0092B-C50C-407E-A947-70E740481C1C}"/>
                      </a:extLst>
                    </a:blip>
                    <a:srcRect/>
                    <a:stretch>
                      <a:fillRect/>
                    </a:stretch>
                  </pic:blipFill>
                  <pic:spPr bwMode="auto">
                    <a:xfrm>
                      <a:off x="0" y="0"/>
                      <a:ext cx="6069330" cy="1714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-307975</wp:posOffset>
            </wp:positionV>
            <wp:extent cx="17145" cy="17145"/>
            <wp:wrapNone/>
            <wp:docPr id="3734" name="Picture 3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4"/>
                    <pic:cNvPicPr>
                      <a:picLocks noChangeAspect="1" noChangeArrowheads="1"/>
                    </pic:cNvPicPr>
                  </pic:nvPicPr>
                  <pic:blipFill>
                    <a:blip r:embed="rId37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-307975</wp:posOffset>
            </wp:positionV>
            <wp:extent cx="17145" cy="17145"/>
            <wp:wrapNone/>
            <wp:docPr id="3735" name="Picture 3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5"/>
                    <pic:cNvPicPr>
                      <a:picLocks noChangeAspect="1" noChangeArrowheads="1"/>
                    </pic:cNvPicPr>
                  </pic:nvPicPr>
                  <pic:blipFill>
                    <a:blip r:embed="rId37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-307975</wp:posOffset>
            </wp:positionV>
            <wp:extent cx="17145" cy="17145"/>
            <wp:wrapNone/>
            <wp:docPr id="3736" name="Picture 3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6"/>
                    <pic:cNvPicPr>
                      <a:picLocks noChangeAspect="1" noChangeArrowheads="1"/>
                    </pic:cNvPicPr>
                  </pic:nvPicPr>
                  <pic:blipFill>
                    <a:blip r:embed="rId37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-307975</wp:posOffset>
            </wp:positionV>
            <wp:extent cx="17145" cy="17145"/>
            <wp:wrapNone/>
            <wp:docPr id="3737" name="Picture 3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7"/>
                    <pic:cNvPicPr>
                      <a:picLocks noChangeAspect="1" noChangeArrowheads="1"/>
                    </pic:cNvPicPr>
                  </pic:nvPicPr>
                  <pic:blipFill>
                    <a:blip r:embed="rId37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-307975</wp:posOffset>
            </wp:positionV>
            <wp:extent cx="17145" cy="17145"/>
            <wp:wrapNone/>
            <wp:docPr id="3738" name="Picture 3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8"/>
                    <pic:cNvPicPr>
                      <a:picLocks noChangeAspect="1" noChangeArrowheads="1"/>
                    </pic:cNvPicPr>
                  </pic:nvPicPr>
                  <pic:blipFill>
                    <a:blip r:embed="rId37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-307975</wp:posOffset>
            </wp:positionV>
            <wp:extent cx="17145" cy="17145"/>
            <wp:wrapNone/>
            <wp:docPr id="3739" name="Picture 3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9"/>
                    <pic:cNvPicPr>
                      <a:picLocks noChangeAspect="1" noChangeArrowheads="1"/>
                    </pic:cNvPicPr>
                  </pic:nvPicPr>
                  <pic:blipFill>
                    <a:blip r:embed="rId37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-307975</wp:posOffset>
            </wp:positionV>
            <wp:extent cx="17145" cy="17145"/>
            <wp:wrapNone/>
            <wp:docPr id="3740" name="Picture 3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0"/>
                    <pic:cNvPicPr>
                      <a:picLocks noChangeAspect="1" noChangeArrowheads="1"/>
                    </pic:cNvPicPr>
                  </pic:nvPicPr>
                  <pic:blipFill>
                    <a:blip r:embed="rId37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-307975</wp:posOffset>
            </wp:positionV>
            <wp:extent cx="17145" cy="17145"/>
            <wp:wrapNone/>
            <wp:docPr id="3741" name="Picture 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1"/>
                    <pic:cNvPicPr>
                      <a:picLocks noChangeAspect="1" noChangeArrowheads="1"/>
                    </pic:cNvPicPr>
                  </pic:nvPicPr>
                  <pic:blipFill>
                    <a:blip r:embed="rId37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-307975</wp:posOffset>
            </wp:positionV>
            <wp:extent cx="17145" cy="17145"/>
            <wp:wrapNone/>
            <wp:docPr id="3742" name="Picture 3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2"/>
                    <pic:cNvPicPr>
                      <a:picLocks noChangeAspect="1" noChangeArrowheads="1"/>
                    </pic:cNvPicPr>
                  </pic:nvPicPr>
                  <pic:blipFill>
                    <a:blip r:embed="rId37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-307975</wp:posOffset>
            </wp:positionV>
            <wp:extent cx="17145" cy="17145"/>
            <wp:wrapNone/>
            <wp:docPr id="3743" name="Picture 3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3"/>
                    <pic:cNvPicPr>
                      <a:picLocks noChangeAspect="1" noChangeArrowheads="1"/>
                    </pic:cNvPicPr>
                  </pic:nvPicPr>
                  <pic:blipFill>
                    <a:blip r:embed="rId37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-307975</wp:posOffset>
            </wp:positionV>
            <wp:extent cx="17145" cy="17145"/>
            <wp:wrapNone/>
            <wp:docPr id="3744" name="Picture 3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4"/>
                    <pic:cNvPicPr>
                      <a:picLocks noChangeAspect="1" noChangeArrowheads="1"/>
                    </pic:cNvPicPr>
                  </pic:nvPicPr>
                  <pic:blipFill>
                    <a:blip r:embed="rId37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-307975</wp:posOffset>
            </wp:positionV>
            <wp:extent cx="17145" cy="17145"/>
            <wp:wrapNone/>
            <wp:docPr id="3745" name="Picture 3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5"/>
                    <pic:cNvPicPr>
                      <a:picLocks noChangeAspect="1" noChangeArrowheads="1"/>
                    </pic:cNvPicPr>
                  </pic:nvPicPr>
                  <pic:blipFill>
                    <a:blip r:embed="rId37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-307975</wp:posOffset>
            </wp:positionV>
            <wp:extent cx="17145" cy="17145"/>
            <wp:wrapNone/>
            <wp:docPr id="3746" name="Picture 3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6"/>
                    <pic:cNvPicPr>
                      <a:picLocks noChangeAspect="1" noChangeArrowheads="1"/>
                    </pic:cNvPicPr>
                  </pic:nvPicPr>
                  <pic:blipFill>
                    <a:blip r:embed="rId37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-307975</wp:posOffset>
            </wp:positionV>
            <wp:extent cx="17145" cy="17145"/>
            <wp:wrapNone/>
            <wp:docPr id="3747" name="Picture 3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7"/>
                    <pic:cNvPicPr>
                      <a:picLocks noChangeAspect="1" noChangeArrowheads="1"/>
                    </pic:cNvPicPr>
                  </pic:nvPicPr>
                  <pic:blipFill>
                    <a:blip r:embed="rId37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-307975</wp:posOffset>
            </wp:positionV>
            <wp:extent cx="17145" cy="17145"/>
            <wp:wrapNone/>
            <wp:docPr id="3748" name="Picture 3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8"/>
                    <pic:cNvPicPr>
                      <a:picLocks noChangeAspect="1" noChangeArrowheads="1"/>
                    </pic:cNvPicPr>
                  </pic:nvPicPr>
                  <pic:blipFill>
                    <a:blip r:embed="rId37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-307975</wp:posOffset>
            </wp:positionV>
            <wp:extent cx="17145" cy="17145"/>
            <wp:wrapNone/>
            <wp:docPr id="3749" name="Picture 3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9"/>
                    <pic:cNvPicPr>
                      <a:picLocks noChangeAspect="1" noChangeArrowheads="1"/>
                    </pic:cNvPicPr>
                  </pic:nvPicPr>
                  <pic:blipFill>
                    <a:blip r:embed="rId37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-307975</wp:posOffset>
            </wp:positionV>
            <wp:extent cx="17145" cy="17145"/>
            <wp:wrapNone/>
            <wp:docPr id="3750" name="Picture 3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0"/>
                    <pic:cNvPicPr>
                      <a:picLocks noChangeAspect="1" noChangeArrowheads="1"/>
                    </pic:cNvPicPr>
                  </pic:nvPicPr>
                  <pic:blipFill>
                    <a:blip r:embed="rId37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-307975</wp:posOffset>
            </wp:positionV>
            <wp:extent cx="17145" cy="17145"/>
            <wp:wrapNone/>
            <wp:docPr id="3751" name="Picture 3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1"/>
                    <pic:cNvPicPr>
                      <a:picLocks noChangeAspect="1" noChangeArrowheads="1"/>
                    </pic:cNvPicPr>
                  </pic:nvPicPr>
                  <pic:blipFill>
                    <a:blip r:embed="rId37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-307975</wp:posOffset>
            </wp:positionV>
            <wp:extent cx="17145" cy="17145"/>
            <wp:wrapNone/>
            <wp:docPr id="3752" name="Picture 3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2"/>
                    <pic:cNvPicPr>
                      <a:picLocks noChangeAspect="1" noChangeArrowheads="1"/>
                    </pic:cNvPicPr>
                  </pic:nvPicPr>
                  <pic:blipFill>
                    <a:blip r:embed="rId37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-307975</wp:posOffset>
            </wp:positionV>
            <wp:extent cx="17145" cy="17145"/>
            <wp:wrapNone/>
            <wp:docPr id="3753" name="Picture 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3"/>
                    <pic:cNvPicPr>
                      <a:picLocks noChangeAspect="1" noChangeArrowheads="1"/>
                    </pic:cNvPicPr>
                  </pic:nvPicPr>
                  <pic:blipFill>
                    <a:blip r:embed="rId37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-307975</wp:posOffset>
            </wp:positionV>
            <wp:extent cx="17145" cy="17145"/>
            <wp:wrapNone/>
            <wp:docPr id="3754" name="Picture 3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4"/>
                    <pic:cNvPicPr>
                      <a:picLocks noChangeAspect="1" noChangeArrowheads="1"/>
                    </pic:cNvPicPr>
                  </pic:nvPicPr>
                  <pic:blipFill>
                    <a:blip r:embed="rId37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-307975</wp:posOffset>
            </wp:positionV>
            <wp:extent cx="17145" cy="17145"/>
            <wp:wrapNone/>
            <wp:docPr id="3755" name="Picture 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5"/>
                    <pic:cNvPicPr>
                      <a:picLocks noChangeAspect="1" noChangeArrowheads="1"/>
                    </pic:cNvPicPr>
                  </pic:nvPicPr>
                  <pic:blipFill>
                    <a:blip r:embed="rId37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-307975</wp:posOffset>
            </wp:positionV>
            <wp:extent cx="17145" cy="17145"/>
            <wp:wrapNone/>
            <wp:docPr id="3756" name="Picture 3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6"/>
                    <pic:cNvPicPr>
                      <a:picLocks noChangeAspect="1" noChangeArrowheads="1"/>
                    </pic:cNvPicPr>
                  </pic:nvPicPr>
                  <pic:blipFill>
                    <a:blip r:embed="rId37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-307975</wp:posOffset>
            </wp:positionV>
            <wp:extent cx="17145" cy="17145"/>
            <wp:wrapNone/>
            <wp:docPr id="3757" name="Picture 3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7"/>
                    <pic:cNvPicPr>
                      <a:picLocks noChangeAspect="1" noChangeArrowheads="1"/>
                    </pic:cNvPicPr>
                  </pic:nvPicPr>
                  <pic:blipFill>
                    <a:blip r:embed="rId37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-307975</wp:posOffset>
            </wp:positionV>
            <wp:extent cx="17145" cy="17145"/>
            <wp:wrapNone/>
            <wp:docPr id="3758" name="Picture 3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8"/>
                    <pic:cNvPicPr>
                      <a:picLocks noChangeAspect="1" noChangeArrowheads="1"/>
                    </pic:cNvPicPr>
                  </pic:nvPicPr>
                  <pic:blipFill>
                    <a:blip r:embed="rId37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-307975</wp:posOffset>
            </wp:positionV>
            <wp:extent cx="17145" cy="17145"/>
            <wp:wrapNone/>
            <wp:docPr id="3759" name="Picture 3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9"/>
                    <pic:cNvPicPr>
                      <a:picLocks noChangeAspect="1" noChangeArrowheads="1"/>
                    </pic:cNvPicPr>
                  </pic:nvPicPr>
                  <pic:blipFill>
                    <a:blip r:embed="rId37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-307975</wp:posOffset>
            </wp:positionV>
            <wp:extent cx="17145" cy="17145"/>
            <wp:wrapNone/>
            <wp:docPr id="3760" name="Picture 3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0"/>
                    <pic:cNvPicPr>
                      <a:picLocks noChangeAspect="1" noChangeArrowheads="1"/>
                    </pic:cNvPicPr>
                  </pic:nvPicPr>
                  <pic:blipFill>
                    <a:blip r:embed="rId37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-307975</wp:posOffset>
            </wp:positionV>
            <wp:extent cx="17145" cy="17145"/>
            <wp:wrapNone/>
            <wp:docPr id="3761" name="Picture 3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1"/>
                    <pic:cNvPicPr>
                      <a:picLocks noChangeAspect="1" noChangeArrowheads="1"/>
                    </pic:cNvPicPr>
                  </pic:nvPicPr>
                  <pic:blipFill>
                    <a:blip r:embed="rId37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-307975</wp:posOffset>
            </wp:positionV>
            <wp:extent cx="68580" cy="17145"/>
            <wp:wrapNone/>
            <wp:docPr id="3762" name="Picture 3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2"/>
                    <pic:cNvPicPr>
                      <a:picLocks noChangeAspect="1" noChangeArrowheads="1"/>
                    </pic:cNvPicPr>
                  </pic:nvPicPr>
                  <pic:blipFill>
                    <a:blip r:embed="rId3769">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6069330" cy="17145"/>
            <wp:wrapNone/>
            <wp:docPr id="3763" name="Picture 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3"/>
                    <pic:cNvPicPr>
                      <a:picLocks noChangeAspect="1" noChangeArrowheads="1"/>
                    </pic:cNvPicPr>
                  </pic:nvPicPr>
                  <pic:blipFill>
                    <a:blip r:embed="rId3770">
                      <a:extLst>
                        <a:ext uri="{28A0092B-C50C-407E-A947-70E740481C1C}"/>
                      </a:extLst>
                    </a:blip>
                    <a:srcRect/>
                    <a:stretch>
                      <a:fillRect/>
                    </a:stretch>
                  </pic:blipFill>
                  <pic:spPr bwMode="auto">
                    <a:xfrm>
                      <a:off x="0" y="0"/>
                      <a:ext cx="6069330" cy="17145"/>
                    </a:xfrm>
                    <a:prstGeom prst="rect">
                      <a:avLst/>
                    </a:prstGeom>
                    <a:noFill/>
                  </pic:spPr>
                </pic:pic>
              </a:graphicData>
            </a:graphic>
          </wp:anchor>
        </w:drawing>
      </w:r>
    </w:p>
    <w:p>
      <w:pPr>
        <w:spacing w:after="0" w:line="38" w:lineRule="exact"/>
        <w:rPr>
          <w:sz w:val="20"/>
          <w:szCs w:val="20"/>
          <w:color w:val="auto"/>
        </w:rPr>
      </w:pPr>
    </w:p>
    <w:p>
      <w:pPr>
        <w:ind w:left="340" w:hanging="332"/>
        <w:spacing w:after="0" w:line="281"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the average of the grant date fair value of the equity awards to our named executive officers (other than our CEO), as reported in the “Stock Awards” column in the SCT for each applicable year.</w:t>
      </w:r>
    </w:p>
    <w:p>
      <w:pPr>
        <w:spacing w:after="0" w:line="1" w:lineRule="exact"/>
        <w:rPr>
          <w:rFonts w:ascii="Arial" w:cs="Arial" w:eastAsia="Arial" w:hAnsi="Arial"/>
          <w:sz w:val="14"/>
          <w:szCs w:val="14"/>
          <w:color w:val="auto"/>
        </w:rPr>
      </w:pPr>
    </w:p>
    <w:p>
      <w:pPr>
        <w:ind w:left="340" w:hanging="332"/>
        <w:spacing w:after="0" w:line="285"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the average of the year-over-year change in the fair value of equity awards to our named executive officers (other than our CEO), as itemized in the table below. No awards vested in the year they were granted.</w:t>
      </w: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6440" w:type="dxa"/>
            <w:vAlign w:val="bottom"/>
          </w:tcPr>
          <w:p>
            <w:pPr>
              <w:spacing w:after="0"/>
              <w:rPr>
                <w:sz w:val="16"/>
                <w:szCs w:val="16"/>
                <w:color w:val="auto"/>
              </w:rPr>
            </w:pPr>
          </w:p>
        </w:tc>
        <w:tc>
          <w:tcPr>
            <w:tcW w:w="1580" w:type="dxa"/>
            <w:vAlign w:val="bottom"/>
          </w:tcPr>
          <w:p>
            <w:pPr>
              <w:jc w:val="right"/>
              <w:ind w:right="319"/>
              <w:spacing w:after="0"/>
              <w:rPr>
                <w:sz w:val="20"/>
                <w:szCs w:val="20"/>
                <w:color w:val="auto"/>
              </w:rPr>
            </w:pPr>
            <w:r>
              <w:rPr>
                <w:rFonts w:ascii="Arial" w:cs="Arial" w:eastAsia="Arial" w:hAnsi="Arial"/>
                <w:sz w:val="16"/>
                <w:szCs w:val="16"/>
                <w:b w:val="1"/>
                <w:bCs w:val="1"/>
                <w:color w:val="0233A1"/>
              </w:rPr>
              <w:t>2022</w:t>
            </w:r>
          </w:p>
        </w:tc>
        <w:tc>
          <w:tcPr>
            <w:tcW w:w="1580" w:type="dxa"/>
            <w:vAlign w:val="bottom"/>
          </w:tcPr>
          <w:p>
            <w:pPr>
              <w:jc w:val="right"/>
              <w:ind w:right="299"/>
              <w:spacing w:after="0"/>
              <w:rPr>
                <w:sz w:val="20"/>
                <w:szCs w:val="20"/>
                <w:color w:val="auto"/>
              </w:rPr>
            </w:pPr>
            <w:r>
              <w:rPr>
                <w:rFonts w:ascii="Arial" w:cs="Arial" w:eastAsia="Arial" w:hAnsi="Arial"/>
                <w:sz w:val="16"/>
                <w:szCs w:val="16"/>
                <w:b w:val="1"/>
                <w:bCs w:val="1"/>
                <w:color w:val="0233A1"/>
              </w:rPr>
              <w:t>2021</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0233A1"/>
              </w:rPr>
              <w:t>2020</w:t>
            </w:r>
          </w:p>
        </w:tc>
      </w:tr>
      <w:tr>
        <w:trPr>
          <w:trHeight w:val="203"/>
        </w:trPr>
        <w:tc>
          <w:tcPr>
            <w:tcW w:w="6440" w:type="dxa"/>
            <w:vAlign w:val="bottom"/>
            <w:tcBorders>
              <w:bottom w:val="single" w:sz="8" w:color="0233A1"/>
            </w:tcBorders>
          </w:tcPr>
          <w:p>
            <w:pPr>
              <w:ind w:left="40"/>
              <w:spacing w:after="0"/>
              <w:rPr>
                <w:sz w:val="20"/>
                <w:szCs w:val="20"/>
                <w:color w:val="auto"/>
              </w:rPr>
            </w:pPr>
            <w:r>
              <w:rPr>
                <w:rFonts w:ascii="Arial" w:cs="Arial" w:eastAsia="Arial" w:hAnsi="Arial"/>
                <w:sz w:val="16"/>
                <w:szCs w:val="16"/>
                <w:b w:val="1"/>
                <w:bCs w:val="1"/>
                <w:color w:val="0233A1"/>
              </w:rPr>
              <w:t>Fair Value of Equity Awards for Non-CEO NEOs</w:t>
            </w:r>
          </w:p>
        </w:tc>
        <w:tc>
          <w:tcPr>
            <w:tcW w:w="1580" w:type="dxa"/>
            <w:vAlign w:val="bottom"/>
            <w:tcBorders>
              <w:bottom w:val="single" w:sz="8" w:color="0233A1"/>
            </w:tcBorders>
          </w:tcPr>
          <w:p>
            <w:pPr>
              <w:jc w:val="right"/>
              <w:ind w:right="319"/>
              <w:spacing w:after="0"/>
              <w:rPr>
                <w:sz w:val="20"/>
                <w:szCs w:val="20"/>
                <w:color w:val="auto"/>
              </w:rPr>
            </w:pPr>
            <w:r>
              <w:rPr>
                <w:rFonts w:ascii="Arial" w:cs="Arial" w:eastAsia="Arial" w:hAnsi="Arial"/>
                <w:sz w:val="16"/>
                <w:szCs w:val="16"/>
                <w:b w:val="1"/>
                <w:bCs w:val="1"/>
                <w:color w:val="0233A1"/>
              </w:rPr>
              <w:t>($)</w:t>
            </w:r>
          </w:p>
        </w:tc>
        <w:tc>
          <w:tcPr>
            <w:tcW w:w="1580" w:type="dxa"/>
            <w:vAlign w:val="bottom"/>
            <w:tcBorders>
              <w:bottom w:val="single" w:sz="8" w:color="0233A1"/>
            </w:tcBorders>
          </w:tcPr>
          <w:p>
            <w:pPr>
              <w:jc w:val="right"/>
              <w:ind w:right="299"/>
              <w:spacing w:after="0"/>
              <w:rPr>
                <w:sz w:val="20"/>
                <w:szCs w:val="20"/>
                <w:color w:val="auto"/>
              </w:rPr>
            </w:pPr>
            <w:r>
              <w:rPr>
                <w:rFonts w:ascii="Arial" w:cs="Arial" w:eastAsia="Arial" w:hAnsi="Arial"/>
                <w:sz w:val="16"/>
                <w:szCs w:val="16"/>
                <w:b w:val="1"/>
                <w:bCs w:val="1"/>
                <w:color w:val="0233A1"/>
              </w:rPr>
              <w:t>($)</w:t>
            </w:r>
          </w:p>
        </w:tc>
        <w:tc>
          <w:tcPr>
            <w:tcW w:w="128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w:t>
            </w:r>
          </w:p>
        </w:tc>
      </w:tr>
      <w:tr>
        <w:trPr>
          <w:trHeight w:val="208"/>
        </w:trPr>
        <w:tc>
          <w:tcPr>
            <w:tcW w:w="6440" w:type="dxa"/>
            <w:vAlign w:val="bottom"/>
          </w:tcPr>
          <w:p>
            <w:pPr>
              <w:ind w:left="40"/>
              <w:spacing w:after="0"/>
              <w:rPr>
                <w:sz w:val="20"/>
                <w:szCs w:val="20"/>
                <w:color w:val="auto"/>
              </w:rPr>
            </w:pPr>
            <w:r>
              <w:rPr>
                <w:rFonts w:ascii="Arial" w:cs="Arial" w:eastAsia="Arial" w:hAnsi="Arial"/>
                <w:sz w:val="16"/>
                <w:szCs w:val="16"/>
                <w:color w:val="auto"/>
              </w:rPr>
              <w:t>As of year-end for awards granted during the year</w:t>
            </w:r>
          </w:p>
        </w:tc>
        <w:tc>
          <w:tcPr>
            <w:tcW w:w="1580" w:type="dxa"/>
            <w:vAlign w:val="bottom"/>
          </w:tcPr>
          <w:p>
            <w:pPr>
              <w:jc w:val="right"/>
              <w:ind w:right="319"/>
              <w:spacing w:after="0"/>
              <w:rPr>
                <w:sz w:val="20"/>
                <w:szCs w:val="20"/>
                <w:color w:val="auto"/>
              </w:rPr>
            </w:pPr>
            <w:r>
              <w:rPr>
                <w:rFonts w:ascii="Arial" w:cs="Arial" w:eastAsia="Arial" w:hAnsi="Arial"/>
                <w:sz w:val="16"/>
                <w:szCs w:val="16"/>
                <w:color w:val="auto"/>
              </w:rPr>
              <w:t>5,797,937</w:t>
            </w:r>
          </w:p>
        </w:tc>
        <w:tc>
          <w:tcPr>
            <w:tcW w:w="1580" w:type="dxa"/>
            <w:vAlign w:val="bottom"/>
          </w:tcPr>
          <w:p>
            <w:pPr>
              <w:jc w:val="right"/>
              <w:ind w:right="299"/>
              <w:spacing w:after="0"/>
              <w:rPr>
                <w:sz w:val="20"/>
                <w:szCs w:val="20"/>
                <w:color w:val="auto"/>
              </w:rPr>
            </w:pPr>
            <w:r>
              <w:rPr>
                <w:rFonts w:ascii="Arial" w:cs="Arial" w:eastAsia="Arial" w:hAnsi="Arial"/>
                <w:sz w:val="16"/>
                <w:szCs w:val="16"/>
                <w:color w:val="auto"/>
              </w:rPr>
              <w:t>5,637,984</w:t>
            </w:r>
          </w:p>
        </w:tc>
        <w:tc>
          <w:tcPr>
            <w:tcW w:w="1280" w:type="dxa"/>
            <w:vAlign w:val="bottom"/>
          </w:tcPr>
          <w:p>
            <w:pPr>
              <w:jc w:val="right"/>
              <w:spacing w:after="0"/>
              <w:rPr>
                <w:sz w:val="20"/>
                <w:szCs w:val="20"/>
                <w:color w:val="auto"/>
              </w:rPr>
            </w:pPr>
            <w:r>
              <w:rPr>
                <w:rFonts w:ascii="Arial" w:cs="Arial" w:eastAsia="Arial" w:hAnsi="Arial"/>
                <w:sz w:val="16"/>
                <w:szCs w:val="16"/>
                <w:color w:val="auto"/>
              </w:rPr>
              <w:t>4,258,414</w:t>
            </w:r>
          </w:p>
        </w:tc>
      </w:tr>
      <w:tr>
        <w:trPr>
          <w:trHeight w:val="215"/>
        </w:trPr>
        <w:tc>
          <w:tcPr>
            <w:tcW w:w="6440" w:type="dxa"/>
            <w:vAlign w:val="bottom"/>
          </w:tcPr>
          <w:p>
            <w:pPr>
              <w:ind w:left="40"/>
              <w:spacing w:after="0"/>
              <w:rPr>
                <w:sz w:val="20"/>
                <w:szCs w:val="20"/>
                <w:color w:val="auto"/>
              </w:rPr>
            </w:pPr>
            <w:r>
              <w:rPr>
                <w:rFonts w:ascii="Arial" w:cs="Arial" w:eastAsia="Arial" w:hAnsi="Arial"/>
                <w:sz w:val="16"/>
                <w:szCs w:val="16"/>
                <w:color w:val="auto"/>
              </w:rPr>
              <w:t>Year-over-year increase (decrease) of unvested awards granted in prior years</w:t>
            </w:r>
          </w:p>
        </w:tc>
        <w:tc>
          <w:tcPr>
            <w:tcW w:w="1580" w:type="dxa"/>
            <w:vAlign w:val="bottom"/>
          </w:tcPr>
          <w:p>
            <w:pPr>
              <w:jc w:val="right"/>
              <w:ind w:right="319"/>
              <w:spacing w:after="0"/>
              <w:rPr>
                <w:sz w:val="20"/>
                <w:szCs w:val="20"/>
                <w:color w:val="auto"/>
              </w:rPr>
            </w:pPr>
            <w:r>
              <w:rPr>
                <w:rFonts w:ascii="Arial" w:cs="Arial" w:eastAsia="Arial" w:hAnsi="Arial"/>
                <w:sz w:val="16"/>
                <w:szCs w:val="16"/>
                <w:color w:val="auto"/>
              </w:rPr>
              <w:t>8,699,829</w:t>
            </w:r>
          </w:p>
        </w:tc>
        <w:tc>
          <w:tcPr>
            <w:tcW w:w="1580" w:type="dxa"/>
            <w:vAlign w:val="bottom"/>
          </w:tcPr>
          <w:p>
            <w:pPr>
              <w:jc w:val="right"/>
              <w:ind w:right="299"/>
              <w:spacing w:after="0"/>
              <w:rPr>
                <w:sz w:val="20"/>
                <w:szCs w:val="20"/>
                <w:color w:val="auto"/>
              </w:rPr>
            </w:pPr>
            <w:r>
              <w:rPr>
                <w:rFonts w:ascii="Arial" w:cs="Arial" w:eastAsia="Arial" w:hAnsi="Arial"/>
                <w:sz w:val="16"/>
                <w:szCs w:val="16"/>
                <w:color w:val="auto"/>
              </w:rPr>
              <w:t>4,543,201</w:t>
            </w:r>
          </w:p>
        </w:tc>
        <w:tc>
          <w:tcPr>
            <w:tcW w:w="1280" w:type="dxa"/>
            <w:vAlign w:val="bottom"/>
          </w:tcPr>
          <w:p>
            <w:pPr>
              <w:jc w:val="right"/>
              <w:spacing w:after="0"/>
              <w:rPr>
                <w:sz w:val="20"/>
                <w:szCs w:val="20"/>
                <w:color w:val="auto"/>
              </w:rPr>
            </w:pPr>
            <w:r>
              <w:rPr>
                <w:rFonts w:ascii="Arial" w:cs="Arial" w:eastAsia="Arial" w:hAnsi="Arial"/>
                <w:sz w:val="16"/>
                <w:szCs w:val="16"/>
                <w:color w:val="auto"/>
              </w:rPr>
              <w:t>(3,520,367)</w:t>
            </w:r>
          </w:p>
        </w:tc>
      </w:tr>
      <w:tr>
        <w:trPr>
          <w:trHeight w:val="218"/>
        </w:trPr>
        <w:tc>
          <w:tcPr>
            <w:tcW w:w="6440" w:type="dxa"/>
            <w:vAlign w:val="bottom"/>
            <w:tcBorders>
              <w:bottom w:val="single" w:sz="8" w:color="0233A1"/>
            </w:tcBorders>
          </w:tcPr>
          <w:p>
            <w:pPr>
              <w:ind w:left="40"/>
              <w:spacing w:after="0"/>
              <w:rPr>
                <w:sz w:val="20"/>
                <w:szCs w:val="20"/>
                <w:color w:val="auto"/>
              </w:rPr>
            </w:pPr>
            <w:r>
              <w:rPr>
                <w:rFonts w:ascii="Arial" w:cs="Arial" w:eastAsia="Arial" w:hAnsi="Arial"/>
                <w:sz w:val="16"/>
                <w:szCs w:val="16"/>
                <w:color w:val="auto"/>
              </w:rPr>
              <w:t>Increase (decrease) from prior fiscal year-end for awards that vested during the year</w:t>
            </w:r>
          </w:p>
        </w:tc>
        <w:tc>
          <w:tcPr>
            <w:tcW w:w="1580" w:type="dxa"/>
            <w:vAlign w:val="bottom"/>
            <w:tcBorders>
              <w:bottom w:val="single" w:sz="8" w:color="0233A1"/>
            </w:tcBorders>
          </w:tcPr>
          <w:p>
            <w:pPr>
              <w:jc w:val="right"/>
              <w:ind w:right="319"/>
              <w:spacing w:after="0"/>
              <w:rPr>
                <w:sz w:val="20"/>
                <w:szCs w:val="20"/>
                <w:color w:val="auto"/>
              </w:rPr>
            </w:pPr>
            <w:r>
              <w:rPr>
                <w:rFonts w:ascii="Arial" w:cs="Arial" w:eastAsia="Arial" w:hAnsi="Arial"/>
                <w:sz w:val="16"/>
                <w:szCs w:val="16"/>
                <w:color w:val="auto"/>
              </w:rPr>
              <w:t>1,186,999</w:t>
            </w:r>
          </w:p>
        </w:tc>
        <w:tc>
          <w:tcPr>
            <w:tcW w:w="1580" w:type="dxa"/>
            <w:vAlign w:val="bottom"/>
            <w:tcBorders>
              <w:bottom w:val="single" w:sz="8" w:color="0233A1"/>
            </w:tcBorders>
          </w:tcPr>
          <w:p>
            <w:pPr>
              <w:jc w:val="right"/>
              <w:ind w:right="299"/>
              <w:spacing w:after="0"/>
              <w:rPr>
                <w:sz w:val="20"/>
                <w:szCs w:val="20"/>
                <w:color w:val="auto"/>
              </w:rPr>
            </w:pPr>
            <w:r>
              <w:rPr>
                <w:rFonts w:ascii="Arial" w:cs="Arial" w:eastAsia="Arial" w:hAnsi="Arial"/>
                <w:sz w:val="16"/>
                <w:szCs w:val="16"/>
                <w:color w:val="auto"/>
              </w:rPr>
              <w:t>123,326</w:t>
            </w:r>
          </w:p>
        </w:tc>
        <w:tc>
          <w:tcPr>
            <w:tcW w:w="128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(441,004)</w:t>
            </w:r>
          </w:p>
        </w:tc>
      </w:tr>
      <w:tr>
        <w:trPr>
          <w:trHeight w:val="203"/>
        </w:trPr>
        <w:tc>
          <w:tcPr>
            <w:tcW w:w="6440" w:type="dxa"/>
            <w:vAlign w:val="bottom"/>
            <w:tcBorders>
              <w:bottom w:val="single" w:sz="8" w:color="0233A1"/>
            </w:tcBorders>
          </w:tcPr>
          <w:p>
            <w:pPr>
              <w:ind w:left="40"/>
              <w:spacing w:after="0"/>
              <w:rPr>
                <w:sz w:val="20"/>
                <w:szCs w:val="20"/>
                <w:color w:val="auto"/>
              </w:rPr>
            </w:pPr>
            <w:r>
              <w:rPr>
                <w:rFonts w:ascii="Arial" w:cs="Arial" w:eastAsia="Arial" w:hAnsi="Arial"/>
                <w:sz w:val="16"/>
                <w:szCs w:val="16"/>
                <w:b w:val="1"/>
                <w:bCs w:val="1"/>
                <w:color w:val="0233A1"/>
              </w:rPr>
              <w:t>Total Equity Award Adjustments</w:t>
            </w:r>
          </w:p>
        </w:tc>
        <w:tc>
          <w:tcPr>
            <w:tcW w:w="1580" w:type="dxa"/>
            <w:vAlign w:val="bottom"/>
            <w:tcBorders>
              <w:bottom w:val="single" w:sz="8" w:color="0233A1"/>
            </w:tcBorders>
          </w:tcPr>
          <w:p>
            <w:pPr>
              <w:jc w:val="right"/>
              <w:ind w:right="319"/>
              <w:spacing w:after="0"/>
              <w:rPr>
                <w:sz w:val="20"/>
                <w:szCs w:val="20"/>
                <w:color w:val="auto"/>
              </w:rPr>
            </w:pPr>
            <w:r>
              <w:rPr>
                <w:rFonts w:ascii="Arial" w:cs="Arial" w:eastAsia="Arial" w:hAnsi="Arial"/>
                <w:sz w:val="16"/>
                <w:szCs w:val="16"/>
                <w:b w:val="1"/>
                <w:bCs w:val="1"/>
                <w:color w:val="0233A1"/>
              </w:rPr>
              <w:t>15,684,764</w:t>
            </w:r>
          </w:p>
        </w:tc>
        <w:tc>
          <w:tcPr>
            <w:tcW w:w="1580" w:type="dxa"/>
            <w:vAlign w:val="bottom"/>
            <w:tcBorders>
              <w:bottom w:val="single" w:sz="8" w:color="0233A1"/>
            </w:tcBorders>
          </w:tcPr>
          <w:p>
            <w:pPr>
              <w:jc w:val="right"/>
              <w:ind w:right="299"/>
              <w:spacing w:after="0"/>
              <w:rPr>
                <w:sz w:val="20"/>
                <w:szCs w:val="20"/>
                <w:color w:val="auto"/>
              </w:rPr>
            </w:pPr>
            <w:r>
              <w:rPr>
                <w:rFonts w:ascii="Arial" w:cs="Arial" w:eastAsia="Arial" w:hAnsi="Arial"/>
                <w:sz w:val="16"/>
                <w:szCs w:val="16"/>
                <w:b w:val="1"/>
                <w:bCs w:val="1"/>
                <w:color w:val="0233A1"/>
              </w:rPr>
              <w:t>10,304,511</w:t>
            </w:r>
          </w:p>
        </w:tc>
        <w:tc>
          <w:tcPr>
            <w:tcW w:w="1280" w:type="dxa"/>
            <w:vAlign w:val="bottom"/>
            <w:tcBorders>
              <w:bottom w:val="single" w:sz="8" w:color="0233A1"/>
            </w:tcBorders>
          </w:tcPr>
          <w:p>
            <w:pPr>
              <w:jc w:val="right"/>
              <w:spacing w:after="0"/>
              <w:rPr>
                <w:sz w:val="20"/>
                <w:szCs w:val="20"/>
                <w:color w:val="auto"/>
              </w:rPr>
            </w:pPr>
            <w:r>
              <w:rPr>
                <w:rFonts w:ascii="Arial" w:cs="Arial" w:eastAsia="Arial" w:hAnsi="Arial"/>
                <w:sz w:val="16"/>
                <w:szCs w:val="16"/>
                <w:b w:val="1"/>
                <w:bCs w:val="1"/>
                <w:color w:val="0233A1"/>
              </w:rPr>
              <w:t>297,042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-290830</wp:posOffset>
            </wp:positionV>
            <wp:extent cx="6917690" cy="17145"/>
            <wp:wrapNone/>
            <wp:docPr id="3764" name="Picture 3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4"/>
                    <pic:cNvPicPr>
                      <a:picLocks noChangeAspect="1" noChangeArrowheads="1"/>
                    </pic:cNvPicPr>
                  </pic:nvPicPr>
                  <pic:blipFill>
                    <a:blip r:embed="rId3771">
                      <a:extLst>
                        <a:ext uri="{28A0092B-C50C-407E-A947-70E740481C1C}"/>
                      </a:extLst>
                    </a:blip>
                    <a:srcRect/>
                    <a:stretch>
                      <a:fillRect/>
                    </a:stretch>
                  </pic:blipFill>
                  <pic:spPr bwMode="auto">
                    <a:xfrm>
                      <a:off x="0" y="0"/>
                      <a:ext cx="6917690" cy="1714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-436245</wp:posOffset>
            </wp:positionV>
            <wp:extent cx="6917690" cy="17145"/>
            <wp:wrapNone/>
            <wp:docPr id="3765" name="Picture 3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5"/>
                    <pic:cNvPicPr>
                      <a:picLocks noChangeAspect="1" noChangeArrowheads="1"/>
                    </pic:cNvPicPr>
                  </pic:nvPicPr>
                  <pic:blipFill>
                    <a:blip r:embed="rId3772">
                      <a:extLst>
                        <a:ext uri="{28A0092B-C50C-407E-A947-70E740481C1C}"/>
                      </a:extLst>
                    </a:blip>
                    <a:srcRect/>
                    <a:stretch>
                      <a:fillRect/>
                    </a:stretch>
                  </pic:blipFill>
                  <pic:spPr bwMode="auto">
                    <a:xfrm>
                      <a:off x="0" y="0"/>
                      <a:ext cx="6917690" cy="17145"/>
                    </a:xfrm>
                    <a:prstGeom prst="rect">
                      <a:avLst/>
                    </a:prstGeom>
                    <a:noFill/>
                  </pic:spPr>
                </pic:pic>
              </a:graphicData>
            </a:graphic>
          </wp:anchor>
        </w:drawing>
      </w:r>
    </w:p>
    <w:p>
      <w:pPr>
        <w:spacing w:after="0" w:line="38" w:lineRule="exact"/>
        <w:rPr>
          <w:sz w:val="20"/>
          <w:szCs w:val="20"/>
          <w:color w:val="auto"/>
        </w:rPr>
      </w:pPr>
    </w:p>
    <w:p>
      <w:pPr>
        <w:jc w:val="both"/>
        <w:ind w:left="340" w:hanging="332"/>
        <w:spacing w:after="0" w:line="263" w:lineRule="auto"/>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the average change in the actuarial present value of the accumulated benefits to our named executive officers (other than our CEO), under all benefit and actuarial pension plans in which they participate, as reported in the “Change in Pension Value &amp; Nonqualified Deferred Compensation Earnings” column in the SCT for each applicable year.</w:t>
      </w:r>
    </w:p>
    <w:p>
      <w:pPr>
        <w:spacing w:after="0" w:line="10" w:lineRule="exact"/>
        <w:rPr>
          <w:rFonts w:ascii="Arial" w:cs="Arial" w:eastAsia="Arial" w:hAnsi="Arial"/>
          <w:sz w:val="14"/>
          <w:szCs w:val="14"/>
          <w:color w:val="auto"/>
        </w:rPr>
      </w:pPr>
    </w:p>
    <w:p>
      <w:pPr>
        <w:ind w:left="340" w:hanging="332"/>
        <w:spacing w:after="0" w:line="285" w:lineRule="auto"/>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the average of the actuarially determined service cost for services rendered under all benefit and actuarial pension plans in which our named executive officers (other than our CEO) participate during each applicable year.</w:t>
      </w:r>
    </w:p>
    <w:p>
      <w:pPr>
        <w:spacing w:after="0" w:line="229" w:lineRule="exact"/>
        <w:rPr>
          <w:sz w:val="20"/>
          <w:szCs w:val="20"/>
          <w:color w:val="auto"/>
        </w:rPr>
      </w:pPr>
    </w:p>
    <w:p>
      <w:pPr>
        <w:spacing w:after="0"/>
        <w:rPr>
          <w:sz w:val="20"/>
          <w:szCs w:val="20"/>
          <w:color w:val="auto"/>
        </w:rPr>
      </w:pPr>
      <w:r>
        <w:rPr>
          <w:rFonts w:ascii="Arial" w:cs="Arial" w:eastAsia="Arial" w:hAnsi="Arial"/>
          <w:sz w:val="29"/>
          <w:szCs w:val="29"/>
          <w:color w:val="0233A1"/>
        </w:rPr>
        <w:t>Pay-for-Performance Alignment</w:t>
      </w:r>
    </w:p>
    <w:p>
      <w:pPr>
        <w:spacing w:after="0" w:line="22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The following table identifies the five most important financial performance measures used by our Compensation Committee to link the “compensation actually paid” (</w:t>
      </w:r>
      <w:r>
        <w:rPr>
          <w:rFonts w:ascii="Arial" w:cs="Arial" w:eastAsia="Arial" w:hAnsi="Arial"/>
          <w:sz w:val="16"/>
          <w:szCs w:val="16"/>
          <w:b w:val="1"/>
          <w:bCs w:val="1"/>
          <w:color w:val="auto"/>
        </w:rPr>
        <w:t>CAP</w:t>
      </w:r>
      <w:r>
        <w:rPr>
          <w:rFonts w:ascii="Arial" w:cs="Arial" w:eastAsia="Arial" w:hAnsi="Arial"/>
          <w:sz w:val="16"/>
          <w:szCs w:val="16"/>
          <w:color w:val="auto"/>
        </w:rPr>
        <w:t>) to our CEO and other NEOs in 2022, calculated in accordance with SEC regulations, to company performance. The role of each of these performance measures on our NEOs’ compensation is discussed in the CD&amp;A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54305"/>
            <wp:wrapNone/>
            <wp:docPr id="3766" name="Picture 3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6"/>
                    <pic:cNvPicPr>
                      <a:picLocks noChangeAspect="1" noChangeArrowheads="1"/>
                    </pic:cNvPicPr>
                  </pic:nvPicPr>
                  <pic:blipFill>
                    <a:blip r:embed="rId37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Financial Performance Measures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7145"/>
            <wp:wrapNone/>
            <wp:docPr id="3767" name="Picture 3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7"/>
                    <pic:cNvPicPr>
                      <a:picLocks noChangeAspect="1" noChangeArrowheads="1"/>
                    </pic:cNvPicPr>
                  </pic:nvPicPr>
                  <pic:blipFill>
                    <a:blip r:embed="rId37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
            <wp:wrapNone/>
            <wp:docPr id="3768" name="Picture 3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8"/>
                    <pic:cNvPicPr>
                      <a:picLocks noChangeAspect="1" noChangeArrowheads="1"/>
                    </pic:cNvPicPr>
                  </pic:nvPicPr>
                  <pic:blipFill>
                    <a:blip r:embed="rId37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Free Cash Flow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
            <wp:wrapNone/>
            <wp:docPr id="3769" name="Picture 3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9"/>
                    <pic:cNvPicPr>
                      <a:picLocks noChangeAspect="1" noChangeArrowheads="1"/>
                    </pic:cNvPicPr>
                  </pic:nvPicPr>
                  <pic:blipFill>
                    <a:blip r:embed="rId37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Return on Capital Employed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
            <wp:wrapNone/>
            <wp:docPr id="3770" name="Picture 3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0"/>
                    <pic:cNvPicPr>
                      <a:picLocks noChangeAspect="1" noChangeArrowheads="1"/>
                    </pic:cNvPicPr>
                  </pic:nvPicPr>
                  <pic:blipFill>
                    <a:blip r:embed="rId37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
            <wp:wrapNone/>
            <wp:docPr id="3771" name="Picture 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1"/>
                    <pic:cNvPicPr>
                      <a:picLocks noChangeAspect="1" noChangeArrowheads="1"/>
                    </pic:cNvPicPr>
                  </pic:nvPicPr>
                  <pic:blipFill>
                    <a:blip r:embed="rId37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6"/>
          <w:szCs w:val="16"/>
          <w:color w:val="auto"/>
        </w:rPr>
        <w:t>The charts on the following page reflect that the CAP over the three-year period ended December 31, 2022 aligns to trends in SLB’s TSR, net income and adjusted EBITDA results over the same period. In addition, the chart titled “CAP vs. Total Shareholder Return (SLB and OSX)” reflects that SLB’s TSR over this three-year period aligns closely to OSX TSR over the same period. In 2020, the negative CAP for Mr. Le Peuch was primarily impacted by the fact that he did not receive an LTI award that year, as well as stock price depreciation. In 2021, CAP for our CEO and other NEOs was primarily impacted by SLB’s share price appreciation of 43%. For 2022, CAP for our CEO and other NEOs was primarily impacted by SLB’s share price appreciation of 70%, partially offset by performance of unvested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471170" cy="282575"/>
            <wp:wrapNone/>
            <wp:docPr id="3772" name="Picture 3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2"/>
                    <pic:cNvPicPr>
                      <a:picLocks noChangeAspect="1" noChangeArrowheads="1"/>
                    </pic:cNvPicPr>
                  </pic:nvPicPr>
                  <pic:blipFill>
                    <a:blip r:embed="rId3779">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43"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62</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-46990</wp:posOffset>
            </wp:positionV>
            <wp:extent cx="5417820" cy="17145"/>
            <wp:wrapNone/>
            <wp:docPr id="3773" name="Picture 3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3"/>
                    <pic:cNvPicPr>
                      <a:picLocks noChangeAspect="1" noChangeArrowheads="1"/>
                    </pic:cNvPicPr>
                  </pic:nvPicPr>
                  <pic:blipFill>
                    <a:blip r:embed="rId3780">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3774" name="Picture 3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4"/>
                    <pic:cNvPicPr>
                      <a:picLocks noChangeAspect="1" noChangeArrowheads="1"/>
                    </pic:cNvPicPr>
                  </pic:nvPicPr>
                  <pic:blipFill>
                    <a:blip r:embed="rId37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 vs. Total Shareholder Return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(SLB and OSX)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126365</wp:posOffset>
            </wp:positionV>
            <wp:extent cx="3857625" cy="2065655"/>
            <wp:wrapNone/>
            <wp:docPr id="3775" name="Picture 3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5"/>
                    <pic:cNvPicPr>
                      <a:picLocks noChangeAspect="1" noChangeArrowheads="1"/>
                    </pic:cNvPicPr>
                  </pic:nvPicPr>
                  <pic:blipFill>
                    <a:blip r:embed="rId3782">
                      <a:extLst>
                        <a:ext uri="{28A0092B-C50C-407E-A947-70E740481C1C}"/>
                      </a:extLst>
                    </a:blip>
                    <a:srcRect/>
                    <a:stretch>
                      <a:fillRect/>
                    </a:stretch>
                  </pic:blipFill>
                  <pic:spPr bwMode="auto">
                    <a:xfrm>
                      <a:off x="0" y="0"/>
                      <a:ext cx="385762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 vs.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8890</wp:posOffset>
            </wp:positionV>
            <wp:extent cx="3857625" cy="2134870"/>
            <wp:wrapNone/>
            <wp:docPr id="3776" name="Picture 3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6"/>
                    <pic:cNvPicPr>
                      <a:picLocks noChangeAspect="1" noChangeArrowheads="1"/>
                    </pic:cNvPicPr>
                  </pic:nvPicPr>
                  <pic:blipFill>
                    <a:blip r:embed="rId3783">
                      <a:extLst>
                        <a:ext uri="{28A0092B-C50C-407E-A947-70E740481C1C}"/>
                      </a:extLst>
                    </a:blip>
                    <a:srcRect/>
                    <a:stretch>
                      <a:fillRect/>
                    </a:stretch>
                  </pic:blipFill>
                  <pic:spPr bwMode="auto">
                    <a:xfrm>
                      <a:off x="0" y="0"/>
                      <a:ext cx="3857625"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 vs.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8890</wp:posOffset>
            </wp:positionV>
            <wp:extent cx="5494655" cy="2597150"/>
            <wp:wrapNone/>
            <wp:docPr id="3777" name="Picture 3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7"/>
                    <pic:cNvPicPr>
                      <a:picLocks noChangeAspect="1" noChangeArrowheads="1"/>
                    </pic:cNvPicPr>
                  </pic:nvPicPr>
                  <pic:blipFill>
                    <a:blip r:embed="rId3784">
                      <a:extLst>
                        <a:ext uri="{28A0092B-C50C-407E-A947-70E740481C1C}"/>
                      </a:extLst>
                    </a:blip>
                    <a:srcRect/>
                    <a:stretch>
                      <a:fillRect/>
                    </a:stretch>
                  </pic:blipFill>
                  <pic:spPr bwMode="auto">
                    <a:xfrm>
                      <a:off x="0" y="0"/>
                      <a:ext cx="549465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Pr>
          <w:p>
            <w:pPr>
              <w:spacing w:after="0"/>
              <w:rPr>
                <w:sz w:val="9"/>
                <w:szCs w:val="9"/>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63</w:t>
            </w:r>
          </w:p>
        </w:tc>
        <w:tc>
          <w:tcPr>
            <w:tcW w:w="44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7" w:lineRule="exact"/>
        <w:rPr>
          <w:sz w:val="20"/>
          <w:szCs w:val="20"/>
          <w:color w:val="auto"/>
        </w:rPr>
      </w:pPr>
    </w:p>
    <w:p>
      <w:pPr>
        <w:ind w:left="1980" w:right="840" w:hanging="1979"/>
        <w:spacing w:after="0" w:line="282" w:lineRule="auto"/>
        <w:rPr>
          <w:sz w:val="20"/>
          <w:szCs w:val="20"/>
          <w:color w:val="auto"/>
        </w:rPr>
      </w:pPr>
      <w:r>
        <w:rPr>
          <w:rFonts w:ascii="Arial" w:cs="Arial" w:eastAsia="Arial" w:hAnsi="Arial"/>
          <w:sz w:val="50"/>
          <w:szCs w:val="50"/>
          <w:b w:val="1"/>
          <w:bCs w:val="1"/>
          <w:color w:val="0233A1"/>
        </w:rPr>
        <w:t xml:space="preserve">ITEM 4. </w:t>
      </w:r>
      <w:r>
        <w:rPr>
          <w:rFonts w:ascii="Arial" w:cs="Arial" w:eastAsia="Arial" w:hAnsi="Arial"/>
          <w:sz w:val="50"/>
          <w:szCs w:val="50"/>
          <w:color w:val="0233A1"/>
        </w:rPr>
        <w:t>Approval of Financial Statements and</w:t>
      </w:r>
      <w:r>
        <w:rPr>
          <w:rFonts w:ascii="Arial" w:cs="Arial" w:eastAsia="Arial" w:hAnsi="Arial"/>
          <w:sz w:val="50"/>
          <w:szCs w:val="50"/>
          <w:b w:val="1"/>
          <w:bCs w:val="1"/>
          <w:color w:val="0233A1"/>
        </w:rPr>
        <w:t xml:space="preserve"> </w:t>
      </w:r>
      <w:r>
        <w:rPr>
          <w:rFonts w:ascii="Arial" w:cs="Arial" w:eastAsia="Arial" w:hAnsi="Arial"/>
          <w:sz w:val="50"/>
          <w:szCs w:val="50"/>
          <w:color w:val="0233A1"/>
        </w:rPr>
        <w:t>Dividends</w:t>
      </w:r>
    </w:p>
    <w:p>
      <w:pPr>
        <w:spacing w:after="0" w:line="47" w:lineRule="exact"/>
        <w:rPr>
          <w:sz w:val="20"/>
          <w:szCs w:val="20"/>
          <w:color w:val="auto"/>
        </w:rPr>
      </w:pPr>
    </w:p>
    <w:p>
      <w:pPr>
        <w:ind w:right="260" w:firstLine="324"/>
        <w:spacing w:after="0" w:line="286" w:lineRule="auto"/>
        <w:rPr>
          <w:sz w:val="20"/>
          <w:szCs w:val="20"/>
          <w:color w:val="auto"/>
        </w:rPr>
      </w:pPr>
      <w:r>
        <w:rPr>
          <w:rFonts w:ascii="Arial" w:cs="Arial" w:eastAsia="Arial" w:hAnsi="Arial"/>
          <w:sz w:val="16"/>
          <w:szCs w:val="16"/>
          <w:color w:val="auto"/>
        </w:rPr>
        <w:t>Following completion of the audit procedures performed by PwC, we are asking you to approve the following financial statements that are included in our 2022 Annual Report to Shareholders:</w:t>
      </w:r>
    </w:p>
    <w:p>
      <w:pPr>
        <w:spacing w:after="0" w:line="129" w:lineRule="exact"/>
        <w:rPr>
          <w:sz w:val="20"/>
          <w:szCs w:val="20"/>
          <w:color w:val="auto"/>
        </w:rPr>
      </w:pPr>
    </w:p>
    <w:p>
      <w:pPr>
        <w:ind w:left="500" w:hanging="168"/>
        <w:spacing w:after="0"/>
        <w:tabs>
          <w:tab w:leader="none" w:pos="500" w:val="left"/>
        </w:tabs>
        <w:numPr>
          <w:ilvl w:val="0"/>
          <w:numId w:val="69"/>
        </w:numPr>
        <w:rPr>
          <w:rFonts w:ascii="Arial" w:cs="Arial" w:eastAsia="Arial" w:hAnsi="Arial"/>
          <w:sz w:val="16"/>
          <w:szCs w:val="16"/>
          <w:b w:val="1"/>
          <w:bCs w:val="1"/>
          <w:color w:val="0233A1"/>
        </w:rPr>
      </w:pPr>
      <w:r>
        <w:rPr>
          <w:rFonts w:ascii="Arial" w:cs="Arial" w:eastAsia="Arial" w:hAnsi="Arial"/>
          <w:sz w:val="16"/>
          <w:szCs w:val="16"/>
          <w:color w:val="auto"/>
        </w:rPr>
        <w:t>our consolidated balance sheet at December 31, 2022;</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69"/>
        </w:numPr>
        <w:rPr>
          <w:rFonts w:ascii="Arial" w:cs="Arial" w:eastAsia="Arial" w:hAnsi="Arial"/>
          <w:sz w:val="16"/>
          <w:szCs w:val="16"/>
          <w:b w:val="1"/>
          <w:bCs w:val="1"/>
          <w:color w:val="0233A1"/>
        </w:rPr>
      </w:pPr>
      <w:r>
        <w:rPr>
          <w:rFonts w:ascii="Arial" w:cs="Arial" w:eastAsia="Arial" w:hAnsi="Arial"/>
          <w:sz w:val="16"/>
          <w:szCs w:val="16"/>
          <w:color w:val="auto"/>
        </w:rPr>
        <w:t>our consolidated statement of income for the year ended December 31, 2022; and</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69"/>
        </w:numPr>
        <w:rPr>
          <w:rFonts w:ascii="Arial" w:cs="Arial" w:eastAsia="Arial" w:hAnsi="Arial"/>
          <w:sz w:val="16"/>
          <w:szCs w:val="16"/>
          <w:b w:val="1"/>
          <w:bCs w:val="1"/>
          <w:color w:val="0233A1"/>
        </w:rPr>
      </w:pPr>
      <w:r>
        <w:rPr>
          <w:rFonts w:ascii="Arial" w:cs="Arial" w:eastAsia="Arial" w:hAnsi="Arial"/>
          <w:sz w:val="16"/>
          <w:szCs w:val="16"/>
          <w:color w:val="auto"/>
        </w:rPr>
        <w:t>the declarations of dividends by our Board in 2022.</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You should refer to our 2022 Annual Report to Shareholders in considering this agenda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634365"/>
            <wp:wrapNone/>
            <wp:docPr id="3778" name="Picture 3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8"/>
                    <pic:cNvPicPr>
                      <a:picLocks noChangeAspect="1" noChangeArrowheads="1"/>
                    </pic:cNvPicPr>
                  </pic:nvPicPr>
                  <pic:blipFill>
                    <a:blip r:embed="rId3785">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900"/>
        <w:spacing w:after="0"/>
        <w:rPr>
          <w:sz w:val="20"/>
          <w:szCs w:val="20"/>
          <w:color w:val="auto"/>
        </w:rPr>
      </w:pPr>
      <w:r>
        <w:rPr>
          <w:rFonts w:ascii="Arial" w:cs="Arial" w:eastAsia="Arial" w:hAnsi="Arial"/>
          <w:sz w:val="25"/>
          <w:szCs w:val="25"/>
          <w:b w:val="1"/>
          <w:bCs w:val="1"/>
          <w:color w:val="FFFFFF"/>
        </w:rPr>
        <w:t>The Board of Directors recommends a vote FOR this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471170" cy="283210"/>
            <wp:wrapNone/>
            <wp:docPr id="3779" name="Picture 3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9"/>
                    <pic:cNvPicPr>
                      <a:picLocks noChangeAspect="1" noChangeArrowheads="1"/>
                    </pic:cNvPicPr>
                  </pic:nvPicPr>
                  <pic:blipFill>
                    <a:blip r:embed="rId3786">
                      <a:extLst>
                        <a:ext uri="{28A0092B-C50C-407E-A947-70E740481C1C}"/>
                      </a:extLst>
                    </a:blip>
                    <a:srcRect/>
                    <a:stretch>
                      <a:fillRect/>
                    </a:stretch>
                  </pic:blipFill>
                  <pic:spPr bwMode="auto">
                    <a:xfrm>
                      <a:off x="0" y="0"/>
                      <a:ext cx="47117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64</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-46990</wp:posOffset>
            </wp:positionV>
            <wp:extent cx="5417820" cy="17145"/>
            <wp:wrapNone/>
            <wp:docPr id="3780" name="Picture 3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0"/>
                    <pic:cNvPicPr>
                      <a:picLocks noChangeAspect="1" noChangeArrowheads="1"/>
                    </pic:cNvPicPr>
                  </pic:nvPicPr>
                  <pic:blipFill>
                    <a:blip r:embed="rId3787">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3781" name="Picture 3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1"/>
                    <pic:cNvPicPr>
                      <a:picLocks noChangeAspect="1" noChangeArrowheads="1"/>
                    </pic:cNvPicPr>
                  </pic:nvPicPr>
                  <pic:blipFill>
                    <a:blip r:embed="rId37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7" w:lineRule="exact"/>
        <w:rPr>
          <w:sz w:val="20"/>
          <w:szCs w:val="20"/>
          <w:color w:val="auto"/>
        </w:rPr>
      </w:pPr>
    </w:p>
    <w:p>
      <w:pPr>
        <w:jc w:val="right"/>
        <w:ind w:right="2480"/>
        <w:spacing w:after="0" w:line="282" w:lineRule="auto"/>
        <w:rPr>
          <w:sz w:val="20"/>
          <w:szCs w:val="20"/>
          <w:color w:val="auto"/>
        </w:rPr>
      </w:pPr>
      <w:r>
        <w:rPr>
          <w:rFonts w:ascii="Arial" w:cs="Arial" w:eastAsia="Arial" w:hAnsi="Arial"/>
          <w:sz w:val="50"/>
          <w:szCs w:val="50"/>
          <w:b w:val="1"/>
          <w:bCs w:val="1"/>
          <w:color w:val="0233A1"/>
        </w:rPr>
        <w:t xml:space="preserve">ITEM 5. </w:t>
      </w:r>
      <w:r>
        <w:rPr>
          <w:rFonts w:ascii="Arial" w:cs="Arial" w:eastAsia="Arial" w:hAnsi="Arial"/>
          <w:sz w:val="50"/>
          <w:szCs w:val="50"/>
          <w:color w:val="0233A1"/>
        </w:rPr>
        <w:t>Ratification of Appointment of</w:t>
      </w:r>
      <w:r>
        <w:rPr>
          <w:rFonts w:ascii="Arial" w:cs="Arial" w:eastAsia="Arial" w:hAnsi="Arial"/>
          <w:sz w:val="50"/>
          <w:szCs w:val="50"/>
          <w:b w:val="1"/>
          <w:bCs w:val="1"/>
          <w:color w:val="0233A1"/>
        </w:rPr>
        <w:t xml:space="preserve"> </w:t>
      </w:r>
      <w:r>
        <w:rPr>
          <w:rFonts w:ascii="Arial" w:cs="Arial" w:eastAsia="Arial" w:hAnsi="Arial"/>
          <w:sz w:val="50"/>
          <w:szCs w:val="50"/>
          <w:color w:val="0233A1"/>
        </w:rPr>
        <w:t>Independent Auditors for 2023</w:t>
      </w:r>
    </w:p>
    <w:p>
      <w:pPr>
        <w:spacing w:after="0" w:line="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PwC has been selected by our Audit Committee as the independent registered public accounting firm to audit SLB’s annual financial statements for the year ending December 31, 2023. Although ratification is not required by our bylaws or otherwise, as a matter of good corporate governance, we are asking you to ratify, on an advisory basis, the appointment of PwC as our independent auditor for the year ending December 31, 2023. If the appointment is not ratified, the Audit Committee will consider whether it is appropriate to select another independent registered public accounting firm.</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representative of PwC is expected to attend our 2023 AGM, and will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634365"/>
            <wp:wrapNone/>
            <wp:docPr id="3782" name="Picture 3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2"/>
                    <pic:cNvPicPr>
                      <a:picLocks noChangeAspect="1" noChangeArrowheads="1"/>
                    </pic:cNvPicPr>
                  </pic:nvPicPr>
                  <pic:blipFill>
                    <a:blip r:embed="rId3789">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900"/>
        <w:spacing w:after="0"/>
        <w:rPr>
          <w:sz w:val="20"/>
          <w:szCs w:val="20"/>
          <w:color w:val="auto"/>
        </w:rPr>
      </w:pPr>
      <w:r>
        <w:rPr>
          <w:rFonts w:ascii="Arial" w:cs="Arial" w:eastAsia="Arial" w:hAnsi="Arial"/>
          <w:sz w:val="25"/>
          <w:szCs w:val="25"/>
          <w:b w:val="1"/>
          <w:bCs w:val="1"/>
          <w:color w:val="FFFFFF"/>
        </w:rPr>
        <w:t>The Board of Directors recommends a vote FOR this Item 5.</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5"/>
          <w:szCs w:val="25"/>
          <w:color w:val="0233A1"/>
        </w:rPr>
        <w:t>Fees Paid to PwC</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PwC has billed SLB the fees set forth in the table below for:</w:t>
      </w:r>
    </w:p>
    <w:p>
      <w:pPr>
        <w:spacing w:after="0" w:line="208" w:lineRule="exact"/>
        <w:rPr>
          <w:sz w:val="20"/>
          <w:szCs w:val="20"/>
          <w:color w:val="auto"/>
        </w:rPr>
      </w:pPr>
    </w:p>
    <w:p>
      <w:pPr>
        <w:ind w:left="500" w:hanging="168"/>
        <w:spacing w:after="0"/>
        <w:tabs>
          <w:tab w:leader="none" w:pos="500" w:val="left"/>
        </w:tabs>
        <w:numPr>
          <w:ilvl w:val="0"/>
          <w:numId w:val="70"/>
        </w:numPr>
        <w:rPr>
          <w:rFonts w:ascii="Arial" w:cs="Arial" w:eastAsia="Arial" w:hAnsi="Arial"/>
          <w:sz w:val="16"/>
          <w:szCs w:val="16"/>
          <w:b w:val="1"/>
          <w:bCs w:val="1"/>
          <w:color w:val="0233A1"/>
        </w:rPr>
      </w:pPr>
      <w:r>
        <w:rPr>
          <w:rFonts w:ascii="Arial" w:cs="Arial" w:eastAsia="Arial" w:hAnsi="Arial"/>
          <w:sz w:val="16"/>
          <w:szCs w:val="16"/>
          <w:color w:val="auto"/>
        </w:rPr>
        <w:t>the audit of SLB’s 2022 and 2021 annual financial statements and reviews of SLB’s quarterly financial statements and other audit services, and</w:t>
      </w:r>
    </w:p>
    <w:p>
      <w:pPr>
        <w:spacing w:after="0" w:line="86" w:lineRule="exact"/>
        <w:rPr>
          <w:rFonts w:ascii="Arial" w:cs="Arial" w:eastAsia="Arial" w:hAnsi="Arial"/>
          <w:sz w:val="16"/>
          <w:szCs w:val="16"/>
          <w:b w:val="1"/>
          <w:bCs w:val="1"/>
          <w:color w:val="0233A1"/>
        </w:rPr>
      </w:pPr>
    </w:p>
    <w:p>
      <w:pPr>
        <w:ind w:left="500" w:hanging="168"/>
        <w:spacing w:after="0"/>
        <w:tabs>
          <w:tab w:leader="none" w:pos="500" w:val="left"/>
        </w:tabs>
        <w:numPr>
          <w:ilvl w:val="0"/>
          <w:numId w:val="70"/>
        </w:numPr>
        <w:rPr>
          <w:rFonts w:ascii="Arial" w:cs="Arial" w:eastAsia="Arial" w:hAnsi="Arial"/>
          <w:sz w:val="16"/>
          <w:szCs w:val="16"/>
          <w:b w:val="1"/>
          <w:bCs w:val="1"/>
          <w:color w:val="0233A1"/>
        </w:rPr>
      </w:pPr>
      <w:r>
        <w:rPr>
          <w:rFonts w:ascii="Arial" w:cs="Arial" w:eastAsia="Arial" w:hAnsi="Arial"/>
          <w:sz w:val="16"/>
          <w:szCs w:val="16"/>
          <w:color w:val="auto"/>
        </w:rPr>
        <w:t>the other services described below that were billed in 2022 and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900" w:type="dxa"/>
            <w:vAlign w:val="bottom"/>
            <w:vMerge w:val="restart"/>
          </w:tcPr>
          <w:p>
            <w:pPr>
              <w:ind w:left="60"/>
              <w:spacing w:after="0"/>
              <w:rPr>
                <w:sz w:val="20"/>
                <w:szCs w:val="20"/>
                <w:color w:val="auto"/>
              </w:rPr>
            </w:pPr>
            <w:r>
              <w:rPr>
                <w:rFonts w:ascii="Arial" w:cs="Arial" w:eastAsia="Arial" w:hAnsi="Arial"/>
                <w:sz w:val="18"/>
                <w:szCs w:val="18"/>
                <w:b w:val="1"/>
                <w:bCs w:val="1"/>
                <w:color w:val="0233A1"/>
              </w:rPr>
              <w:t>(Stated in thousands)</w:t>
            </w:r>
          </w:p>
        </w:tc>
        <w:tc>
          <w:tcPr>
            <w:tcW w:w="2340" w:type="dxa"/>
            <w:vAlign w:val="bottom"/>
            <w:tcBorders>
              <w:bottom w:val="single" w:sz="8" w:color="0233A1"/>
            </w:tcBorders>
            <w:gridSpan w:val="6"/>
          </w:tcPr>
          <w:p>
            <w:pPr>
              <w:ind w:left="40"/>
              <w:spacing w:after="0"/>
              <w:rPr>
                <w:sz w:val="20"/>
                <w:szCs w:val="20"/>
                <w:color w:val="auto"/>
              </w:rPr>
            </w:pPr>
            <w:r>
              <w:rPr>
                <w:rFonts w:ascii="Arial" w:cs="Arial" w:eastAsia="Arial" w:hAnsi="Arial"/>
                <w:sz w:val="18"/>
                <w:szCs w:val="18"/>
                <w:b w:val="1"/>
                <w:bCs w:val="1"/>
                <w:color w:val="0233A1"/>
              </w:rPr>
              <w:t>Year Ended December 31,</w:t>
            </w:r>
          </w:p>
        </w:tc>
        <w:tc>
          <w:tcPr>
            <w:tcW w:w="0" w:type="dxa"/>
            <w:vAlign w:val="bottom"/>
          </w:tcPr>
          <w:p>
            <w:pPr>
              <w:spacing w:after="0"/>
              <w:rPr>
                <w:sz w:val="1"/>
                <w:szCs w:val="1"/>
                <w:color w:val="auto"/>
              </w:rPr>
            </w:pPr>
          </w:p>
        </w:tc>
      </w:tr>
      <w:tr>
        <w:trPr>
          <w:trHeight w:val="196"/>
        </w:trPr>
        <w:tc>
          <w:tcPr>
            <w:tcW w:w="8900" w:type="dxa"/>
            <w:vAlign w:val="bottom"/>
            <w:tcBorders>
              <w:bottom w:val="single" w:sz="8" w:color="0233A1"/>
            </w:tcBorders>
            <w:vMerge w:val="continue"/>
          </w:tcPr>
          <w:p>
            <w:pPr>
              <w:spacing w:after="0"/>
              <w:rPr>
                <w:sz w:val="17"/>
                <w:szCs w:val="17"/>
                <w:color w:val="auto"/>
              </w:rPr>
            </w:pPr>
          </w:p>
        </w:tc>
        <w:tc>
          <w:tcPr>
            <w:tcW w:w="120" w:type="dxa"/>
            <w:vAlign w:val="bottom"/>
            <w:tcBorders>
              <w:bottom w:val="single" w:sz="8" w:color="0233A1"/>
            </w:tcBorders>
          </w:tcPr>
          <w:p>
            <w:pPr>
              <w:spacing w:after="0"/>
              <w:rPr>
                <w:sz w:val="17"/>
                <w:szCs w:val="17"/>
                <w:color w:val="auto"/>
              </w:rPr>
            </w:pPr>
          </w:p>
        </w:tc>
        <w:tc>
          <w:tcPr>
            <w:tcW w:w="200" w:type="dxa"/>
            <w:vAlign w:val="bottom"/>
            <w:tcBorders>
              <w:bottom w:val="single" w:sz="8" w:color="0233A1"/>
            </w:tcBorders>
          </w:tcPr>
          <w:p>
            <w:pPr>
              <w:spacing w:after="0"/>
              <w:rPr>
                <w:sz w:val="17"/>
                <w:szCs w:val="17"/>
                <w:color w:val="auto"/>
              </w:rPr>
            </w:pPr>
          </w:p>
        </w:tc>
        <w:tc>
          <w:tcPr>
            <w:tcW w:w="800" w:type="dxa"/>
            <w:vAlign w:val="bottom"/>
            <w:tcBorders>
              <w:bottom w:val="single" w:sz="8" w:color="0233A1"/>
            </w:tcBorders>
            <w:gridSpan w:val="2"/>
          </w:tcPr>
          <w:p>
            <w:pPr>
              <w:jc w:val="right"/>
              <w:ind w:right="100"/>
              <w:spacing w:after="0" w:line="196" w:lineRule="exact"/>
              <w:rPr>
                <w:sz w:val="20"/>
                <w:szCs w:val="20"/>
                <w:color w:val="auto"/>
              </w:rPr>
            </w:pPr>
            <w:r>
              <w:rPr>
                <w:rFonts w:ascii="Arial" w:cs="Arial" w:eastAsia="Arial" w:hAnsi="Arial"/>
                <w:sz w:val="18"/>
                <w:szCs w:val="18"/>
                <w:b w:val="1"/>
                <w:bCs w:val="1"/>
                <w:color w:val="0233A1"/>
              </w:rPr>
              <w:t>2022</w:t>
            </w:r>
          </w:p>
        </w:tc>
        <w:tc>
          <w:tcPr>
            <w:tcW w:w="400" w:type="dxa"/>
            <w:vAlign w:val="bottom"/>
            <w:tcBorders>
              <w:bottom w:val="single" w:sz="8" w:color="0233A1"/>
            </w:tcBorders>
          </w:tcPr>
          <w:p>
            <w:pPr>
              <w:spacing w:after="0"/>
              <w:rPr>
                <w:sz w:val="17"/>
                <w:szCs w:val="17"/>
                <w:color w:val="auto"/>
              </w:rPr>
            </w:pPr>
          </w:p>
        </w:tc>
        <w:tc>
          <w:tcPr>
            <w:tcW w:w="820" w:type="dxa"/>
            <w:vAlign w:val="bottom"/>
            <w:tcBorders>
              <w:bottom w:val="single" w:sz="8" w:color="0233A1"/>
            </w:tcBorders>
          </w:tcPr>
          <w:p>
            <w:pPr>
              <w:jc w:val="right"/>
              <w:ind w:right="18"/>
              <w:spacing w:after="0" w:line="196" w:lineRule="exact"/>
              <w:rPr>
                <w:sz w:val="20"/>
                <w:szCs w:val="20"/>
                <w:color w:val="auto"/>
              </w:rPr>
            </w:pPr>
            <w:r>
              <w:rPr>
                <w:rFonts w:ascii="Arial" w:cs="Arial" w:eastAsia="Arial" w:hAnsi="Arial"/>
                <w:sz w:val="18"/>
                <w:szCs w:val="18"/>
                <w:b w:val="1"/>
                <w:bCs w:val="1"/>
                <w:color w:val="0233A1"/>
              </w:rPr>
              <w:t>2021</w:t>
            </w:r>
          </w:p>
        </w:tc>
        <w:tc>
          <w:tcPr>
            <w:tcW w:w="0" w:type="dxa"/>
            <w:vAlign w:val="bottom"/>
          </w:tcPr>
          <w:p>
            <w:pPr>
              <w:spacing w:after="0"/>
              <w:rPr>
                <w:sz w:val="1"/>
                <w:szCs w:val="1"/>
                <w:color w:val="auto"/>
              </w:rPr>
            </w:pPr>
          </w:p>
        </w:tc>
      </w:tr>
      <w:tr>
        <w:trPr>
          <w:trHeight w:val="237"/>
        </w:trPr>
        <w:tc>
          <w:tcPr>
            <w:tcW w:w="8900" w:type="dxa"/>
            <w:vAlign w:val="bottom"/>
          </w:tcPr>
          <w:p>
            <w:pPr>
              <w:ind w:left="60"/>
              <w:spacing w:after="0" w:line="237" w:lineRule="exact"/>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w:t>
            </w:r>
          </w:p>
        </w:tc>
        <w:tc>
          <w:tcPr>
            <w:tcW w:w="120" w:type="dxa"/>
            <w:vAlign w:val="bottom"/>
          </w:tcPr>
          <w:p>
            <w:pPr>
              <w:ind w:left="20"/>
              <w:spacing w:after="0"/>
              <w:rPr>
                <w:sz w:val="20"/>
                <w:szCs w:val="20"/>
                <w:color w:val="auto"/>
              </w:rPr>
            </w:pPr>
            <w:r>
              <w:rPr>
                <w:rFonts w:ascii="Arial" w:cs="Arial" w:eastAsia="Arial" w:hAnsi="Arial"/>
                <w:sz w:val="16"/>
                <w:szCs w:val="16"/>
                <w:b w:val="1"/>
                <w:bCs w:val="1"/>
                <w:color w:val="auto"/>
                <w:w w:val="89"/>
              </w:rPr>
              <w:t>$</w:t>
            </w:r>
          </w:p>
        </w:tc>
        <w:tc>
          <w:tcPr>
            <w:tcW w:w="200" w:type="dxa"/>
            <w:vAlign w:val="bottom"/>
            <w:shd w:val="clear" w:color="auto" w:fill="E0E2EC"/>
          </w:tcPr>
          <w:p>
            <w:pPr>
              <w:spacing w:after="0"/>
              <w:rPr>
                <w:sz w:val="20"/>
                <w:szCs w:val="20"/>
                <w:color w:val="auto"/>
              </w:rPr>
            </w:pPr>
          </w:p>
        </w:tc>
        <w:tc>
          <w:tcPr>
            <w:tcW w:w="700" w:type="dxa"/>
            <w:vAlign w:val="bottom"/>
            <w:shd w:val="clear" w:color="auto" w:fill="E0E2EC"/>
          </w:tcPr>
          <w:p>
            <w:pPr>
              <w:jc w:val="right"/>
              <w:spacing w:after="0"/>
              <w:rPr>
                <w:sz w:val="20"/>
                <w:szCs w:val="20"/>
                <w:color w:val="auto"/>
              </w:rPr>
            </w:pPr>
            <w:r>
              <w:rPr>
                <w:rFonts w:ascii="Arial" w:cs="Arial" w:eastAsia="Arial" w:hAnsi="Arial"/>
                <w:sz w:val="16"/>
                <w:szCs w:val="16"/>
                <w:b w:val="1"/>
                <w:bCs w:val="1"/>
                <w:color w:val="auto"/>
              </w:rPr>
              <w:t>13,122</w:t>
            </w:r>
          </w:p>
        </w:tc>
        <w:tc>
          <w:tcPr>
            <w:tcW w:w="100" w:type="dxa"/>
            <w:vAlign w:val="bottom"/>
          </w:tcPr>
          <w:p>
            <w:pPr>
              <w:spacing w:after="0"/>
              <w:rPr>
                <w:sz w:val="20"/>
                <w:szCs w:val="20"/>
                <w:color w:val="auto"/>
              </w:rPr>
            </w:pPr>
          </w:p>
        </w:tc>
        <w:tc>
          <w:tcPr>
            <w:tcW w:w="40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18"/>
              <w:spacing w:after="0"/>
              <w:rPr>
                <w:sz w:val="20"/>
                <w:szCs w:val="20"/>
                <w:color w:val="auto"/>
              </w:rPr>
            </w:pPr>
            <w:r>
              <w:rPr>
                <w:rFonts w:ascii="Arial" w:cs="Arial" w:eastAsia="Arial" w:hAnsi="Arial"/>
                <w:sz w:val="16"/>
                <w:szCs w:val="16"/>
                <w:b w:val="1"/>
                <w:bCs w:val="1"/>
                <w:color w:val="auto"/>
              </w:rPr>
              <w:t>12,250</w:t>
            </w:r>
          </w:p>
        </w:tc>
        <w:tc>
          <w:tcPr>
            <w:tcW w:w="0" w:type="dxa"/>
            <w:vAlign w:val="bottom"/>
          </w:tcPr>
          <w:p>
            <w:pPr>
              <w:spacing w:after="0"/>
              <w:rPr>
                <w:sz w:val="1"/>
                <w:szCs w:val="1"/>
                <w:color w:val="auto"/>
              </w:rPr>
            </w:pPr>
          </w:p>
        </w:tc>
      </w:tr>
      <w:tr>
        <w:trPr>
          <w:trHeight w:val="256"/>
        </w:trPr>
        <w:tc>
          <w:tcPr>
            <w:tcW w:w="8900" w:type="dxa"/>
            <w:vAlign w:val="bottom"/>
          </w:tcPr>
          <w:p>
            <w:pPr>
              <w:ind w:left="60"/>
              <w:spacing w:after="0" w:line="256" w:lineRule="exact"/>
              <w:rPr>
                <w:sz w:val="20"/>
                <w:szCs w:val="20"/>
                <w:color w:val="auto"/>
              </w:rPr>
            </w:pPr>
            <w:r>
              <w:rPr>
                <w:rFonts w:ascii="Arial" w:cs="Arial" w:eastAsia="Arial" w:hAnsi="Arial"/>
                <w:sz w:val="16"/>
                <w:szCs w:val="16"/>
                <w:color w:val="auto"/>
              </w:rPr>
              <w:t>Audit-Related Fees</w:t>
            </w:r>
            <w:r>
              <w:rPr>
                <w:rFonts w:ascii="Arial" w:cs="Arial" w:eastAsia="Arial" w:hAnsi="Arial"/>
                <w:sz w:val="26"/>
                <w:szCs w:val="26"/>
                <w:color w:val="auto"/>
                <w:vertAlign w:val="superscript"/>
              </w:rPr>
              <w:t>(2)</w:t>
            </w:r>
          </w:p>
        </w:tc>
        <w:tc>
          <w:tcPr>
            <w:tcW w:w="120" w:type="dxa"/>
            <w:vAlign w:val="bottom"/>
          </w:tcPr>
          <w:p>
            <w:pPr>
              <w:spacing w:after="0"/>
              <w:rPr>
                <w:sz w:val="22"/>
                <w:szCs w:val="22"/>
                <w:color w:val="auto"/>
              </w:rPr>
            </w:pPr>
          </w:p>
        </w:tc>
        <w:tc>
          <w:tcPr>
            <w:tcW w:w="200" w:type="dxa"/>
            <w:vAlign w:val="bottom"/>
            <w:shd w:val="clear" w:color="auto" w:fill="E0E2EC"/>
          </w:tcPr>
          <w:p>
            <w:pPr>
              <w:spacing w:after="0"/>
              <w:rPr>
                <w:sz w:val="22"/>
                <w:szCs w:val="22"/>
                <w:color w:val="auto"/>
              </w:rPr>
            </w:pPr>
          </w:p>
        </w:tc>
        <w:tc>
          <w:tcPr>
            <w:tcW w:w="700" w:type="dxa"/>
            <w:vAlign w:val="bottom"/>
            <w:shd w:val="clear" w:color="auto" w:fill="E0E2EC"/>
          </w:tcPr>
          <w:p>
            <w:pPr>
              <w:jc w:val="right"/>
              <w:spacing w:after="0"/>
              <w:rPr>
                <w:sz w:val="20"/>
                <w:szCs w:val="20"/>
                <w:color w:val="auto"/>
              </w:rPr>
            </w:pPr>
            <w:r>
              <w:rPr>
                <w:rFonts w:ascii="Arial" w:cs="Arial" w:eastAsia="Arial" w:hAnsi="Arial"/>
                <w:sz w:val="16"/>
                <w:szCs w:val="16"/>
                <w:b w:val="1"/>
                <w:bCs w:val="1"/>
                <w:color w:val="auto"/>
              </w:rPr>
              <w:t>634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ind w:right="18"/>
              <w:spacing w:after="0"/>
              <w:rPr>
                <w:sz w:val="20"/>
                <w:szCs w:val="20"/>
                <w:color w:val="auto"/>
              </w:rPr>
            </w:pPr>
            <w:r>
              <w:rPr>
                <w:rFonts w:ascii="Arial" w:cs="Arial" w:eastAsia="Arial" w:hAnsi="Arial"/>
                <w:sz w:val="16"/>
                <w:szCs w:val="16"/>
                <w:b w:val="1"/>
                <w:bCs w:val="1"/>
                <w:color w:val="auto"/>
              </w:rPr>
              <w:t>534</w:t>
            </w:r>
          </w:p>
        </w:tc>
        <w:tc>
          <w:tcPr>
            <w:tcW w:w="0" w:type="dxa"/>
            <w:vAlign w:val="bottom"/>
          </w:tcPr>
          <w:p>
            <w:pPr>
              <w:spacing w:after="0"/>
              <w:rPr>
                <w:sz w:val="1"/>
                <w:szCs w:val="1"/>
                <w:color w:val="auto"/>
              </w:rPr>
            </w:pPr>
          </w:p>
        </w:tc>
      </w:tr>
      <w:tr>
        <w:trPr>
          <w:trHeight w:val="257"/>
        </w:trPr>
        <w:tc>
          <w:tcPr>
            <w:tcW w:w="8900" w:type="dxa"/>
            <w:vAlign w:val="bottom"/>
          </w:tcPr>
          <w:p>
            <w:pPr>
              <w:ind w:left="60"/>
              <w:spacing w:after="0" w:line="256" w:lineRule="exact"/>
              <w:rPr>
                <w:sz w:val="20"/>
                <w:szCs w:val="20"/>
                <w:color w:val="auto"/>
              </w:rPr>
            </w:pPr>
            <w:r>
              <w:rPr>
                <w:rFonts w:ascii="Arial" w:cs="Arial" w:eastAsia="Arial" w:hAnsi="Arial"/>
                <w:sz w:val="16"/>
                <w:szCs w:val="16"/>
                <w:color w:val="auto"/>
              </w:rPr>
              <w:t>Tax Fees</w:t>
            </w:r>
            <w:r>
              <w:rPr>
                <w:rFonts w:ascii="Arial" w:cs="Arial" w:eastAsia="Arial" w:hAnsi="Arial"/>
                <w:sz w:val="26"/>
                <w:szCs w:val="26"/>
                <w:color w:val="auto"/>
                <w:vertAlign w:val="superscript"/>
              </w:rPr>
              <w:t>(3)</w:t>
            </w:r>
          </w:p>
        </w:tc>
        <w:tc>
          <w:tcPr>
            <w:tcW w:w="120" w:type="dxa"/>
            <w:vAlign w:val="bottom"/>
          </w:tcPr>
          <w:p>
            <w:pPr>
              <w:spacing w:after="0"/>
              <w:rPr>
                <w:sz w:val="22"/>
                <w:szCs w:val="22"/>
                <w:color w:val="auto"/>
              </w:rPr>
            </w:pPr>
          </w:p>
        </w:tc>
        <w:tc>
          <w:tcPr>
            <w:tcW w:w="200" w:type="dxa"/>
            <w:vAlign w:val="bottom"/>
            <w:shd w:val="clear" w:color="auto" w:fill="E0E2EC"/>
          </w:tcPr>
          <w:p>
            <w:pPr>
              <w:spacing w:after="0"/>
              <w:rPr>
                <w:sz w:val="22"/>
                <w:szCs w:val="22"/>
                <w:color w:val="auto"/>
              </w:rPr>
            </w:pPr>
          </w:p>
        </w:tc>
        <w:tc>
          <w:tcPr>
            <w:tcW w:w="700" w:type="dxa"/>
            <w:vAlign w:val="bottom"/>
            <w:shd w:val="clear" w:color="auto" w:fill="E0E2EC"/>
          </w:tcPr>
          <w:p>
            <w:pPr>
              <w:jc w:val="right"/>
              <w:spacing w:after="0"/>
              <w:rPr>
                <w:sz w:val="20"/>
                <w:szCs w:val="20"/>
                <w:color w:val="auto"/>
              </w:rPr>
            </w:pPr>
            <w:r>
              <w:rPr>
                <w:rFonts w:ascii="Arial" w:cs="Arial" w:eastAsia="Arial" w:hAnsi="Arial"/>
                <w:sz w:val="16"/>
                <w:szCs w:val="16"/>
                <w:b w:val="1"/>
                <w:bCs w:val="1"/>
                <w:color w:val="auto"/>
              </w:rPr>
              <w:t>2,993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ind w:right="18"/>
              <w:spacing w:after="0"/>
              <w:rPr>
                <w:sz w:val="20"/>
                <w:szCs w:val="20"/>
                <w:color w:val="auto"/>
              </w:rPr>
            </w:pPr>
            <w:r>
              <w:rPr>
                <w:rFonts w:ascii="Arial" w:cs="Arial" w:eastAsia="Arial" w:hAnsi="Arial"/>
                <w:sz w:val="16"/>
                <w:szCs w:val="16"/>
                <w:b w:val="1"/>
                <w:bCs w:val="1"/>
                <w:color w:val="auto"/>
              </w:rPr>
              <w:t>1,560</w:t>
            </w:r>
          </w:p>
        </w:tc>
        <w:tc>
          <w:tcPr>
            <w:tcW w:w="0" w:type="dxa"/>
            <w:vAlign w:val="bottom"/>
          </w:tcPr>
          <w:p>
            <w:pPr>
              <w:spacing w:after="0"/>
              <w:rPr>
                <w:sz w:val="1"/>
                <w:szCs w:val="1"/>
                <w:color w:val="auto"/>
              </w:rPr>
            </w:pPr>
          </w:p>
        </w:tc>
      </w:tr>
      <w:tr>
        <w:trPr>
          <w:trHeight w:val="242"/>
        </w:trPr>
        <w:tc>
          <w:tcPr>
            <w:tcW w:w="8900" w:type="dxa"/>
            <w:vAlign w:val="bottom"/>
            <w:tcBorders>
              <w:bottom w:val="single" w:sz="8" w:color="0233A1"/>
            </w:tcBorders>
          </w:tcPr>
          <w:p>
            <w:pPr>
              <w:ind w:left="60"/>
              <w:spacing w:after="0" w:line="242" w:lineRule="exact"/>
              <w:rPr>
                <w:sz w:val="20"/>
                <w:szCs w:val="20"/>
                <w:color w:val="auto"/>
              </w:rPr>
            </w:pPr>
            <w:r>
              <w:rPr>
                <w:rFonts w:ascii="Arial" w:cs="Arial" w:eastAsia="Arial" w:hAnsi="Arial"/>
                <w:sz w:val="16"/>
                <w:szCs w:val="16"/>
                <w:color w:val="auto"/>
              </w:rPr>
              <w:t>All Other Fees</w:t>
            </w:r>
            <w:r>
              <w:rPr>
                <w:rFonts w:ascii="Arial" w:cs="Arial" w:eastAsia="Arial" w:hAnsi="Arial"/>
                <w:sz w:val="26"/>
                <w:szCs w:val="26"/>
                <w:color w:val="auto"/>
                <w:vertAlign w:val="superscript"/>
              </w:rPr>
              <w:t>(4)</w:t>
            </w:r>
          </w:p>
        </w:tc>
        <w:tc>
          <w:tcPr>
            <w:tcW w:w="120" w:type="dxa"/>
            <w:vAlign w:val="bottom"/>
            <w:tcBorders>
              <w:bottom w:val="single" w:sz="8" w:color="0233A1"/>
            </w:tcBorders>
          </w:tcPr>
          <w:p>
            <w:pPr>
              <w:spacing w:after="0"/>
              <w:rPr>
                <w:sz w:val="21"/>
                <w:szCs w:val="21"/>
                <w:color w:val="auto"/>
              </w:rPr>
            </w:pPr>
          </w:p>
        </w:tc>
        <w:tc>
          <w:tcPr>
            <w:tcW w:w="200" w:type="dxa"/>
            <w:vAlign w:val="bottom"/>
            <w:tcBorders>
              <w:bottom w:val="single" w:sz="8" w:color="0233A1"/>
            </w:tcBorders>
            <w:shd w:val="clear" w:color="auto" w:fill="E0E2EC"/>
          </w:tcPr>
          <w:p>
            <w:pPr>
              <w:spacing w:after="0"/>
              <w:rPr>
                <w:sz w:val="21"/>
                <w:szCs w:val="21"/>
                <w:color w:val="auto"/>
              </w:rPr>
            </w:pPr>
          </w:p>
        </w:tc>
        <w:tc>
          <w:tcPr>
            <w:tcW w:w="700" w:type="dxa"/>
            <w:vAlign w:val="bottom"/>
            <w:tcBorders>
              <w:bottom w:val="single" w:sz="8" w:color="0233A1"/>
            </w:tcBorders>
            <w:shd w:val="clear" w:color="auto" w:fill="E0E2EC"/>
          </w:tcPr>
          <w:p>
            <w:pPr>
              <w:jc w:val="right"/>
              <w:spacing w:after="0"/>
              <w:rPr>
                <w:sz w:val="20"/>
                <w:szCs w:val="20"/>
                <w:color w:val="auto"/>
              </w:rPr>
            </w:pPr>
            <w:r>
              <w:rPr>
                <w:rFonts w:ascii="Arial" w:cs="Arial" w:eastAsia="Arial" w:hAnsi="Arial"/>
                <w:sz w:val="16"/>
                <w:szCs w:val="16"/>
                <w:b w:val="1"/>
                <w:bCs w:val="1"/>
                <w:color w:val="auto"/>
              </w:rPr>
              <w:t>44</w:t>
            </w:r>
          </w:p>
        </w:tc>
        <w:tc>
          <w:tcPr>
            <w:tcW w:w="100" w:type="dxa"/>
            <w:vAlign w:val="bottom"/>
            <w:tcBorders>
              <w:bottom w:val="single" w:sz="8" w:color="0233A1"/>
            </w:tcBorders>
          </w:tcPr>
          <w:p>
            <w:pPr>
              <w:spacing w:after="0"/>
              <w:rPr>
                <w:sz w:val="21"/>
                <w:szCs w:val="21"/>
                <w:color w:val="auto"/>
              </w:rPr>
            </w:pPr>
          </w:p>
        </w:tc>
        <w:tc>
          <w:tcPr>
            <w:tcW w:w="400" w:type="dxa"/>
            <w:vAlign w:val="bottom"/>
            <w:tcBorders>
              <w:bottom w:val="single" w:sz="8" w:color="0233A1"/>
            </w:tcBorders>
          </w:tcPr>
          <w:p>
            <w:pPr>
              <w:spacing w:after="0"/>
              <w:rPr>
                <w:sz w:val="21"/>
                <w:szCs w:val="21"/>
                <w:color w:val="auto"/>
              </w:rPr>
            </w:pPr>
          </w:p>
        </w:tc>
        <w:tc>
          <w:tcPr>
            <w:tcW w:w="820" w:type="dxa"/>
            <w:vAlign w:val="bottom"/>
            <w:tcBorders>
              <w:bottom w:val="single" w:sz="8" w:color="0233A1"/>
            </w:tcBorders>
          </w:tcPr>
          <w:p>
            <w:pPr>
              <w:jc w:val="right"/>
              <w:ind w:right="18"/>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9"/>
        </w:trPr>
        <w:tc>
          <w:tcPr>
            <w:tcW w:w="8900" w:type="dxa"/>
            <w:vAlign w:val="bottom"/>
            <w:tcBorders>
              <w:bottom w:val="single" w:sz="8" w:color="0233A1"/>
            </w:tcBorders>
            <w:shd w:val="clear" w:color="auto" w:fill="E0E2EC"/>
          </w:tcPr>
          <w:p>
            <w:pPr>
              <w:ind w:left="60"/>
              <w:spacing w:after="0" w:line="183" w:lineRule="exact"/>
              <w:rPr>
                <w:sz w:val="20"/>
                <w:szCs w:val="20"/>
                <w:color w:val="auto"/>
              </w:rPr>
            </w:pPr>
            <w:r>
              <w:rPr>
                <w:rFonts w:ascii="Arial" w:cs="Arial" w:eastAsia="Arial" w:hAnsi="Arial"/>
                <w:sz w:val="16"/>
                <w:szCs w:val="16"/>
                <w:b w:val="1"/>
                <w:bCs w:val="1"/>
                <w:color w:val="0233A1"/>
              </w:rPr>
              <w:t>Total</w:t>
            </w:r>
          </w:p>
        </w:tc>
        <w:tc>
          <w:tcPr>
            <w:tcW w:w="320" w:type="dxa"/>
            <w:vAlign w:val="bottom"/>
            <w:tcBorders>
              <w:bottom w:val="single" w:sz="8" w:color="0233A1"/>
            </w:tcBorders>
            <w:gridSpan w:val="2"/>
            <w:shd w:val="clear" w:color="auto" w:fill="E0E2EC"/>
          </w:tcPr>
          <w:p>
            <w:pPr>
              <w:ind w:left="20"/>
              <w:spacing w:after="0" w:line="183" w:lineRule="exact"/>
              <w:rPr>
                <w:sz w:val="20"/>
                <w:szCs w:val="20"/>
                <w:color w:val="auto"/>
              </w:rPr>
            </w:pPr>
            <w:r>
              <w:rPr>
                <w:rFonts w:ascii="Arial" w:cs="Arial" w:eastAsia="Arial" w:hAnsi="Arial"/>
                <w:sz w:val="16"/>
                <w:szCs w:val="16"/>
                <w:b w:val="1"/>
                <w:bCs w:val="1"/>
                <w:color w:val="0233A1"/>
              </w:rPr>
              <w:t>$</w:t>
            </w:r>
          </w:p>
        </w:tc>
        <w:tc>
          <w:tcPr>
            <w:tcW w:w="800" w:type="dxa"/>
            <w:vAlign w:val="bottom"/>
            <w:tcBorders>
              <w:bottom w:val="single" w:sz="8" w:color="0233A1"/>
            </w:tcBorders>
            <w:gridSpan w:val="2"/>
            <w:shd w:val="clear" w:color="auto" w:fill="E0E2EC"/>
          </w:tcPr>
          <w:p>
            <w:pPr>
              <w:jc w:val="right"/>
              <w:ind w:right="100"/>
              <w:spacing w:after="0" w:line="183" w:lineRule="exact"/>
              <w:rPr>
                <w:sz w:val="20"/>
                <w:szCs w:val="20"/>
                <w:color w:val="auto"/>
              </w:rPr>
            </w:pPr>
            <w:r>
              <w:rPr>
                <w:rFonts w:ascii="Arial" w:cs="Arial" w:eastAsia="Arial" w:hAnsi="Arial"/>
                <w:sz w:val="16"/>
                <w:szCs w:val="16"/>
                <w:b w:val="1"/>
                <w:bCs w:val="1"/>
                <w:color w:val="0233A1"/>
              </w:rPr>
              <w:t>16,793</w:t>
            </w:r>
          </w:p>
        </w:tc>
        <w:tc>
          <w:tcPr>
            <w:tcW w:w="400" w:type="dxa"/>
            <w:vAlign w:val="bottom"/>
            <w:tcBorders>
              <w:bottom w:val="single" w:sz="8" w:color="0233A1"/>
            </w:tcBorders>
            <w:shd w:val="clear" w:color="auto" w:fill="E0E2EC"/>
          </w:tcPr>
          <w:p>
            <w:pPr>
              <w:jc w:val="right"/>
              <w:ind w:right="119"/>
              <w:spacing w:after="0" w:line="183" w:lineRule="exact"/>
              <w:rPr>
                <w:sz w:val="20"/>
                <w:szCs w:val="20"/>
                <w:color w:val="auto"/>
              </w:rPr>
            </w:pPr>
            <w:r>
              <w:rPr>
                <w:rFonts w:ascii="Arial" w:cs="Arial" w:eastAsia="Arial" w:hAnsi="Arial"/>
                <w:sz w:val="16"/>
                <w:szCs w:val="16"/>
                <w:b w:val="1"/>
                <w:bCs w:val="1"/>
                <w:color w:val="0233A1"/>
              </w:rPr>
              <w:t>$</w:t>
            </w:r>
          </w:p>
        </w:tc>
        <w:tc>
          <w:tcPr>
            <w:tcW w:w="820" w:type="dxa"/>
            <w:vAlign w:val="bottom"/>
            <w:tcBorders>
              <w:bottom w:val="single" w:sz="8" w:color="0233A1"/>
            </w:tcBorders>
            <w:shd w:val="clear" w:color="auto" w:fill="E0E2EC"/>
          </w:tcPr>
          <w:p>
            <w:pPr>
              <w:jc w:val="right"/>
              <w:ind w:right="18"/>
              <w:spacing w:after="0" w:line="183" w:lineRule="exact"/>
              <w:rPr>
                <w:sz w:val="20"/>
                <w:szCs w:val="20"/>
                <w:color w:val="auto"/>
              </w:rPr>
            </w:pPr>
            <w:r>
              <w:rPr>
                <w:rFonts w:ascii="Arial" w:cs="Arial" w:eastAsia="Arial" w:hAnsi="Arial"/>
                <w:sz w:val="16"/>
                <w:szCs w:val="16"/>
                <w:b w:val="1"/>
                <w:bCs w:val="1"/>
                <w:color w:val="0233A1"/>
              </w:rPr>
              <w:t>14,344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7145"/>
            <wp:wrapNone/>
            <wp:docPr id="3783" name="Picture 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3"/>
                    <pic:cNvPicPr>
                      <a:picLocks noChangeAspect="1" noChangeArrowheads="1"/>
                    </pic:cNvPicPr>
                  </pic:nvPicPr>
                  <pic:blipFill>
                    <a:blip r:embed="rId37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3784" name="Picture 3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4"/>
                    <pic:cNvPicPr>
                      <a:picLocks noChangeAspect="1" noChangeArrowheads="1"/>
                    </pic:cNvPicPr>
                  </pic:nvPicPr>
                  <pic:blipFill>
                    <a:blip r:embed="rId37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17145"/>
            <wp:wrapNone/>
            <wp:docPr id="3785" name="Picture 3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5"/>
                    <pic:cNvPicPr>
                      <a:picLocks noChangeAspect="1" noChangeArrowheads="1"/>
                    </pic:cNvPicPr>
                  </pic:nvPicPr>
                  <pic:blipFill>
                    <a:blip r:embed="rId37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fees for integrated and statutory audits.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Consists of fees for employee benefit plan audits and other audit-related items.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Consists of fees for tax compliance, tax planning and other tax services.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Consists of fees for advisory services.</w:t>
      </w:r>
    </w:p>
    <w:p>
      <w:pPr>
        <w:spacing w:after="0" w:line="19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Audit Committee considers the provision of services by PwC not related to the audit of SLB’s annual financial statements and reviews of SLB’s interim financial statements when evaluating PwC’s independence.</w:t>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color w:val="0233A1"/>
        </w:rPr>
        <w:t>Audit Committee’s Pre-Approval Policy and Procedures</w:t>
      </w:r>
    </w:p>
    <w:p>
      <w:pPr>
        <w:spacing w:after="0" w:line="22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Audit Committee has a policy to pre-approve all services provided to Schlumberger Limited and its subsidiaries by SLB’s independent registered public accounting firm. The Committee has adopted a schedule for annual approval of the audit and related audit plan, as well as approval of other anticipated audit-related services; anticipated tax compliance, tax planning and tax advisory services; and other anticipated services. In addition, the Committee (or an authorized committee member acting under delegated authority of the committee) will consider any proposed services not approved as part of this annual process. For 2022 and 2021, audit and non-audit services were pre-approved by the Audit Committee.</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color w:val="0233A1"/>
        </w:rPr>
        <w:t>Shareholder Feedback</w:t>
      </w:r>
    </w:p>
    <w:p>
      <w:pPr>
        <w:spacing w:after="0" w:line="22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At our 2022 AGM, the proposal to ratify the appointment of PwC as our independent auditor for 2022 received the support of 92% of the votes cast. In selecting PwC as SLB’s independent auditor for 2023, the Audit Committee considered this substantial support of our shareholders, as well as PwC’s substantial experience auditing SLB’s complex global accounts and the regulatory requirement that the PwC lead engagement partner rotate every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269240</wp:posOffset>
            </wp:positionV>
            <wp:extent cx="471805" cy="282575"/>
            <wp:wrapNone/>
            <wp:docPr id="3786" name="Picture 3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6"/>
                    <pic:cNvPicPr>
                      <a:picLocks noChangeAspect="1" noChangeArrowheads="1"/>
                    </pic:cNvPicPr>
                  </pic:nvPicPr>
                  <pic:blipFill>
                    <a:blip r:embed="rId3793">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Pr>
          <w:p>
            <w:pPr>
              <w:spacing w:after="0"/>
              <w:rPr>
                <w:sz w:val="9"/>
                <w:szCs w:val="9"/>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65</w:t>
            </w:r>
          </w:p>
        </w:tc>
        <w:tc>
          <w:tcPr>
            <w:tcW w:w="44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0233A1"/>
        </w:rPr>
        <w:t>Audit Committee Report</w:t>
      </w:r>
    </w:p>
    <w:p>
      <w:pPr>
        <w:spacing w:after="0" w:line="22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During 2022, the Audit Committee periodically reviewed and discussed SLB’s consolidated financial statements with Company management and PwC, SLB’s independent registered public accounting firm, including matters raised by the independent registered public accounting firm pursuant to applicable Public Company Accounting Oversight Board (</w:t>
      </w:r>
      <w:r>
        <w:rPr>
          <w:rFonts w:ascii="Arial" w:cs="Arial" w:eastAsia="Arial" w:hAnsi="Arial"/>
          <w:sz w:val="16"/>
          <w:szCs w:val="16"/>
          <w:b w:val="1"/>
          <w:bCs w:val="1"/>
          <w:color w:val="auto"/>
        </w:rPr>
        <w:t>PCAOB</w:t>
      </w:r>
      <w:r>
        <w:rPr>
          <w:rFonts w:ascii="Arial" w:cs="Arial" w:eastAsia="Arial" w:hAnsi="Arial"/>
          <w:sz w:val="16"/>
          <w:szCs w:val="16"/>
          <w:color w:val="auto"/>
        </w:rPr>
        <w:t>) requirements. The Audit Committee also discussed with Company management and PwC the evaluation of SLB’s reporting and internal controls undertaken in connection with certifications made by SLB’s Chief Executive Officer and Chief Financial Officer in SLB’s periodic SEC filings pursuant to the Sarbanes-Oxley Act of 2002. The Audit Committee also reviewed and discussed such other matters as it deemed appropriate, including SLB’s compliance with Section 404 and other relevant provisions of the Sarbanes-Oxley Act of 2002 and rules adopted or proposed to be adopted by the SEC and the NYSE. The Audit Committee also reviewed with PwC the matters required to be discussed by the independent registered public accounting firm with the Audit Committee under applicable requirements of the PCAOB and the SEC.</w:t>
      </w:r>
    </w:p>
    <w:p>
      <w:pPr>
        <w:spacing w:after="0" w:line="16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PwC provided the Audit Committee with the required PCAOB disclosures and letters concerning its independence with respect to the Company, and the Audit Committee discussed PwC’s independence with them.</w:t>
      </w:r>
    </w:p>
    <w:p>
      <w:pPr>
        <w:spacing w:after="0" w:line="142"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Based on the foregoing reviews and discussions, the Audit Committee recommended that the Board include the audited consolidated financial statements in SLB’s Annual Report on Form 10-K for the year ended December 31, 2022, as filed with the SEC on January 25, 2023.</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233A1"/>
        </w:rPr>
        <w:t>Submitted by the Audit Committee of the SLB Board of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Patrick de La Chevardière, Chair</w:t>
            </w:r>
          </w:p>
        </w:tc>
        <w:tc>
          <w:tcPr>
            <w:tcW w:w="2400" w:type="dxa"/>
            <w:vAlign w:val="bottom"/>
          </w:tcPr>
          <w:p>
            <w:pPr>
              <w:ind w:left="640"/>
              <w:spacing w:after="0"/>
              <w:rPr>
                <w:sz w:val="20"/>
                <w:szCs w:val="20"/>
                <w:color w:val="auto"/>
              </w:rPr>
            </w:pPr>
            <w:r>
              <w:rPr>
                <w:rFonts w:ascii="Arial" w:cs="Arial" w:eastAsia="Arial" w:hAnsi="Arial"/>
                <w:sz w:val="16"/>
                <w:szCs w:val="16"/>
                <w:color w:val="auto"/>
              </w:rPr>
              <w:t>Samuel Leupold</w:t>
            </w:r>
          </w:p>
        </w:tc>
        <w:tc>
          <w:tcPr>
            <w:tcW w:w="460" w:type="dxa"/>
            <w:vAlign w:val="bottom"/>
          </w:tcPr>
          <w:p>
            <w:pPr>
              <w:spacing w:after="0"/>
              <w:rPr>
                <w:sz w:val="18"/>
                <w:szCs w:val="18"/>
                <w:color w:val="auto"/>
              </w:rPr>
            </w:pPr>
          </w:p>
        </w:tc>
        <w:tc>
          <w:tcPr>
            <w:tcW w:w="2640" w:type="dxa"/>
            <w:vAlign w:val="bottom"/>
          </w:tcPr>
          <w:p>
            <w:pPr>
              <w:ind w:left="620"/>
              <w:spacing w:after="0"/>
              <w:rPr>
                <w:sz w:val="20"/>
                <w:szCs w:val="20"/>
                <w:color w:val="auto"/>
              </w:rPr>
            </w:pPr>
            <w:r>
              <w:rPr>
                <w:rFonts w:ascii="Arial" w:cs="Arial" w:eastAsia="Arial" w:hAnsi="Arial"/>
                <w:sz w:val="16"/>
                <w:szCs w:val="16"/>
                <w:color w:val="auto"/>
              </w:rPr>
              <w:t>Tatiana Mitrova</w:t>
            </w:r>
          </w:p>
        </w:tc>
        <w:tc>
          <w:tcPr>
            <w:tcW w:w="2740" w:type="dxa"/>
            <w:vAlign w:val="bottom"/>
            <w:gridSpan w:val="2"/>
          </w:tcPr>
          <w:p>
            <w:pPr>
              <w:ind w:left="940"/>
              <w:spacing w:after="0"/>
              <w:rPr>
                <w:sz w:val="20"/>
                <w:szCs w:val="20"/>
                <w:color w:val="auto"/>
              </w:rPr>
            </w:pPr>
            <w:r>
              <w:rPr>
                <w:rFonts w:ascii="Arial" w:cs="Arial" w:eastAsia="Arial" w:hAnsi="Arial"/>
                <w:sz w:val="16"/>
                <w:szCs w:val="16"/>
                <w:color w:val="auto"/>
              </w:rPr>
              <w:t>Jeff Sheets</w:t>
            </w:r>
          </w:p>
        </w:tc>
        <w:tc>
          <w:tcPr>
            <w:tcW w:w="0" w:type="dxa"/>
            <w:vAlign w:val="bottom"/>
          </w:tcPr>
          <w:p>
            <w:pPr>
              <w:spacing w:after="0"/>
              <w:rPr>
                <w:sz w:val="1"/>
                <w:szCs w:val="1"/>
                <w:color w:val="auto"/>
              </w:rPr>
            </w:pPr>
          </w:p>
        </w:tc>
      </w:tr>
      <w:tr>
        <w:trPr>
          <w:trHeight w:val="414"/>
        </w:trPr>
        <w:tc>
          <w:tcPr>
            <w:tcW w:w="9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66</w:t>
            </w:r>
          </w:p>
        </w:tc>
        <w:tc>
          <w:tcPr>
            <w:tcW w:w="2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0" w:type="dxa"/>
            <w:vAlign w:val="bottom"/>
            <w:vMerge w:val="restart"/>
          </w:tcPr>
          <w:p>
            <w:pPr>
              <w:ind w:left="120"/>
              <w:spacing w:after="0"/>
              <w:rPr>
                <w:sz w:val="20"/>
                <w:szCs w:val="20"/>
                <w:color w:val="auto"/>
              </w:rPr>
            </w:pPr>
            <w:r>
              <w:rPr>
                <w:rFonts w:ascii="Arial" w:cs="Arial" w:eastAsia="Arial" w:hAnsi="Arial"/>
                <w:sz w:val="16"/>
                <w:szCs w:val="16"/>
                <w:b w:val="1"/>
                <w:bCs w:val="1"/>
                <w:color w:val="636466"/>
                <w:w w:val="99"/>
              </w:rPr>
              <w:t>2023 Proxy Statement</w:t>
            </w:r>
          </w:p>
        </w:tc>
        <w:tc>
          <w:tcPr>
            <w:tcW w:w="0" w:type="dxa"/>
            <w:vAlign w:val="bottom"/>
          </w:tcPr>
          <w:p>
            <w:pPr>
              <w:spacing w:after="0"/>
              <w:rPr>
                <w:sz w:val="1"/>
                <w:szCs w:val="1"/>
                <w:color w:val="auto"/>
              </w:rPr>
            </w:pPr>
          </w:p>
        </w:tc>
      </w:tr>
      <w:tr>
        <w:trPr>
          <w:trHeight w:val="74"/>
        </w:trPr>
        <w:tc>
          <w:tcPr>
            <w:tcW w:w="9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920" w:type="dxa"/>
            <w:vAlign w:val="bottom"/>
            <w:tcBorders>
              <w:bottom w:val="single" w:sz="8" w:color="C0C0C0"/>
            </w:tcBorders>
          </w:tcPr>
          <w:p>
            <w:pPr>
              <w:spacing w:after="0"/>
              <w:rPr>
                <w:sz w:val="20"/>
                <w:szCs w:val="20"/>
                <w:color w:val="auto"/>
              </w:rPr>
            </w:pPr>
          </w:p>
        </w:tc>
        <w:tc>
          <w:tcPr>
            <w:tcW w:w="2080" w:type="dxa"/>
            <w:vAlign w:val="bottom"/>
            <w:tcBorders>
              <w:bottom w:val="single" w:sz="8" w:color="C0C0C0"/>
            </w:tcBorders>
          </w:tcPr>
          <w:p>
            <w:pPr>
              <w:spacing w:after="0"/>
              <w:rPr>
                <w:sz w:val="20"/>
                <w:szCs w:val="20"/>
                <w:color w:val="auto"/>
              </w:rPr>
            </w:pPr>
          </w:p>
        </w:tc>
        <w:tc>
          <w:tcPr>
            <w:tcW w:w="240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2640" w:type="dxa"/>
            <w:vAlign w:val="bottom"/>
            <w:tcBorders>
              <w:bottom w:val="single" w:sz="8" w:color="C0C0C0"/>
            </w:tcBorders>
          </w:tcPr>
          <w:p>
            <w:pPr>
              <w:spacing w:after="0"/>
              <w:rPr>
                <w:sz w:val="20"/>
                <w:szCs w:val="20"/>
                <w:color w:val="auto"/>
              </w:rPr>
            </w:pPr>
          </w:p>
        </w:tc>
        <w:tc>
          <w:tcPr>
            <w:tcW w:w="940" w:type="dxa"/>
            <w:vAlign w:val="bottom"/>
            <w:tcBorders>
              <w:bottom w:val="single" w:sz="8" w:color="C0C0C0"/>
            </w:tcBorders>
          </w:tcPr>
          <w:p>
            <w:pPr>
              <w:spacing w:after="0"/>
              <w:rPr>
                <w:sz w:val="20"/>
                <w:szCs w:val="20"/>
                <w:color w:val="auto"/>
              </w:rPr>
            </w:pPr>
          </w:p>
        </w:tc>
        <w:tc>
          <w:tcPr>
            <w:tcW w:w="18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471170" cy="282575"/>
            <wp:wrapNone/>
            <wp:docPr id="3787" name="Picture 3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7"/>
                    <pic:cNvPicPr>
                      <a:picLocks noChangeAspect="1" noChangeArrowheads="1"/>
                    </pic:cNvPicPr>
                  </pic:nvPicPr>
                  <pic:blipFill>
                    <a:blip r:embed="rId3794">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9" w:lineRule="exact"/>
        <w:rPr>
          <w:sz w:val="20"/>
          <w:szCs w:val="20"/>
          <w:color w:val="auto"/>
        </w:rPr>
      </w:pPr>
    </w:p>
    <w:p>
      <w:pPr>
        <w:spacing w:after="0"/>
        <w:rPr>
          <w:sz w:val="20"/>
          <w:szCs w:val="20"/>
          <w:color w:val="auto"/>
        </w:rPr>
      </w:pPr>
      <w:r>
        <w:rPr>
          <w:rFonts w:ascii="Arial" w:cs="Arial" w:eastAsia="Arial" w:hAnsi="Arial"/>
          <w:sz w:val="50"/>
          <w:szCs w:val="50"/>
          <w:color w:val="0233A1"/>
        </w:rPr>
        <w:t>Meeting Information</w:t>
      </w: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This proxy statement is furnished in connection with the solicitation by the SLB Board of Directors of proxies to be voted at SLB’s 2023 AGM, which will be held at the Curaçao Marriott Beach Resort, John F Kennedy Boulevard, 3, Piscadera Bay, Willemstad, Curaçao, on Wednesday, April 5, 2023 beginning at 10:00 a.m., Curaçao time, and at any postponement(s) or adjournment(s) thereof.</w:t>
      </w:r>
    </w:p>
    <w:p>
      <w:pPr>
        <w:spacing w:after="0" w:line="14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To be admitted to the meeting, shareholders of record and beneficial owners as of the close of business on February 8, 2023 must present a passport or other government-issued identification with a photograph and, for beneficial owners, proof of ownership as of February 8, 2023, such as the Notice of Internet Availability (defined below), and/or the top half of the proxy card or voting instruction card that was sent to you with this proxy statement.</w:t>
      </w:r>
    </w:p>
    <w:p>
      <w:pPr>
        <w:spacing w:after="0" w:line="144"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6"/>
          <w:szCs w:val="16"/>
          <w:color w:val="auto"/>
        </w:rPr>
        <w:t xml:space="preserve">In addition, depending on the level of COVID-19 protocols in effect at the time, your ability to attend the 2023 AGM in person may be restricted or may require additional safeguards, which could include face coverings, proof of vaccination, proof of a negative COVID-19 test result within a specified number of days, and maintaining appropriate social distancing. Please review </w:t>
      </w:r>
      <w:r>
        <w:rPr>
          <w:rFonts w:ascii="Arial" w:cs="Arial" w:eastAsia="Arial" w:hAnsi="Arial"/>
          <w:sz w:val="16"/>
          <w:szCs w:val="16"/>
          <w:b w:val="1"/>
          <w:bCs w:val="1"/>
          <w:i w:val="1"/>
          <w:iCs w:val="1"/>
          <w:color w:val="auto"/>
        </w:rPr>
        <w:t>www.proxydocs.com/SLB</w:t>
      </w:r>
      <w:r>
        <w:rPr>
          <w:rFonts w:ascii="Arial" w:cs="Arial" w:eastAsia="Arial" w:hAnsi="Arial"/>
          <w:sz w:val="16"/>
          <w:szCs w:val="16"/>
          <w:color w:val="auto"/>
        </w:rPr>
        <w:t xml:space="preserve"> for any updates prior to traveling.</w:t>
      </w:r>
    </w:p>
    <w:p>
      <w:pPr>
        <w:spacing w:after="0" w:line="13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 xml:space="preserve">This proxy statement is first being made available to our shareholders on </w:t>
      </w:r>
      <w:r>
        <w:rPr>
          <w:rFonts w:ascii="Arial" w:cs="Arial" w:eastAsia="Arial" w:hAnsi="Arial"/>
          <w:sz w:val="16"/>
          <w:szCs w:val="16"/>
          <w:b w:val="1"/>
          <w:bCs w:val="1"/>
          <w:color w:val="auto"/>
        </w:rPr>
        <w:t>February 23, 2023</w:t>
      </w:r>
      <w:r>
        <w:rPr>
          <w:rFonts w:ascii="Arial" w:cs="Arial" w:eastAsia="Arial" w:hAnsi="Arial"/>
          <w:sz w:val="16"/>
          <w:szCs w:val="16"/>
          <w:color w:val="auto"/>
        </w:rPr>
        <w:t>. The Chairperson of the meeting will determine the procedures for conducting the meeting and will limit the meeting to those matters properly brought by or at the direction of our Board or properly presented by a shareholder.</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color w:val="0233A1"/>
        </w:rPr>
        <w:t>Internet Availability of Proxy Materials</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 xml:space="preserve">This year we are using the internet as the primary means of furnishing proxy materials to shareholders. We are sending a Notice of Internet Availability of Proxy Materials (the </w:t>
      </w:r>
      <w:r>
        <w:rPr>
          <w:rFonts w:ascii="Arial" w:cs="Arial" w:eastAsia="Arial" w:hAnsi="Arial"/>
          <w:sz w:val="16"/>
          <w:szCs w:val="16"/>
          <w:b w:val="1"/>
          <w:bCs w:val="1"/>
          <w:color w:val="auto"/>
        </w:rPr>
        <w:t>Notice of Internet Availability</w:t>
      </w:r>
      <w:r>
        <w:rPr>
          <w:rFonts w:ascii="Arial" w:cs="Arial" w:eastAsia="Arial" w:hAnsi="Arial"/>
          <w:sz w:val="16"/>
          <w:szCs w:val="16"/>
          <w:color w:val="auto"/>
        </w:rPr>
        <w:t xml:space="preserve">) to our shareholders with instructions on how to access the proxy materials online or request a printed copy of the materials. Shareholders may follow the instructions in the Notice of Internet Availability to elect to receive future proxy materials in print by mail or electronically by email. We encourage shareholders to take advantage of the availability of the proxy materials online to help reduce the environmental impact of our AGMs. Our proxy materials are also available at </w:t>
      </w:r>
      <w:r>
        <w:rPr>
          <w:rFonts w:ascii="Arial" w:cs="Arial" w:eastAsia="Arial" w:hAnsi="Arial"/>
          <w:sz w:val="16"/>
          <w:szCs w:val="16"/>
          <w:b w:val="1"/>
          <w:bCs w:val="1"/>
          <w:i w:val="1"/>
          <w:iCs w:val="1"/>
          <w:color w:val="auto"/>
        </w:rPr>
        <w:t>https://investorcenter.slb.com,</w:t>
      </w:r>
      <w:r>
        <w:rPr>
          <w:rFonts w:ascii="Arial" w:cs="Arial" w:eastAsia="Arial" w:hAnsi="Arial"/>
          <w:sz w:val="16"/>
          <w:szCs w:val="16"/>
          <w:color w:val="auto"/>
        </w:rPr>
        <w:t xml:space="preserve"> as well as at </w:t>
      </w:r>
      <w:r>
        <w:rPr>
          <w:rFonts w:ascii="Arial" w:cs="Arial" w:eastAsia="Arial" w:hAnsi="Arial"/>
          <w:sz w:val="16"/>
          <w:szCs w:val="16"/>
          <w:b w:val="1"/>
          <w:bCs w:val="1"/>
          <w:i w:val="1"/>
          <w:iCs w:val="1"/>
          <w:color w:val="auto"/>
        </w:rPr>
        <w:t>www.proxydocs.com/SLB</w:t>
      </w:r>
      <w:r>
        <w:rPr>
          <w:rFonts w:ascii="Arial" w:cs="Arial" w:eastAsia="Arial" w:hAnsi="Arial"/>
          <w:sz w:val="16"/>
          <w:szCs w:val="16"/>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color w:val="0233A1"/>
        </w:rPr>
        <w:t>Record Date</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 xml:space="preserve">Each shareholder of record at the close of business on the record date, </w:t>
      </w:r>
      <w:r>
        <w:rPr>
          <w:rFonts w:ascii="Arial" w:cs="Arial" w:eastAsia="Arial" w:hAnsi="Arial"/>
          <w:sz w:val="16"/>
          <w:szCs w:val="16"/>
          <w:b w:val="1"/>
          <w:bCs w:val="1"/>
          <w:color w:val="auto"/>
        </w:rPr>
        <w:t>February 8, 2023</w:t>
      </w:r>
      <w:r>
        <w:rPr>
          <w:rFonts w:ascii="Arial" w:cs="Arial" w:eastAsia="Arial" w:hAnsi="Arial"/>
          <w:sz w:val="16"/>
          <w:szCs w:val="16"/>
          <w:color w:val="auto"/>
        </w:rPr>
        <w:t>, is entitled to one vote for each director nominee and one vote for each of the other proposals to be voted on with respect to each share registered in the shareholder’s name. A shareholder of record is a person or entity who held shares on the record date registered in the shareholder’s name on the records of Computershare Trust Company, N.A. (</w:t>
      </w:r>
      <w:r>
        <w:rPr>
          <w:rFonts w:ascii="Arial" w:cs="Arial" w:eastAsia="Arial" w:hAnsi="Arial"/>
          <w:sz w:val="16"/>
          <w:szCs w:val="16"/>
          <w:b w:val="1"/>
          <w:bCs w:val="1"/>
          <w:color w:val="auto"/>
        </w:rPr>
        <w:t>Computershare</w:t>
      </w:r>
      <w:r>
        <w:rPr>
          <w:rFonts w:ascii="Arial" w:cs="Arial" w:eastAsia="Arial" w:hAnsi="Arial"/>
          <w:sz w:val="16"/>
          <w:szCs w:val="16"/>
          <w:color w:val="auto"/>
        </w:rPr>
        <w:t>), SLB’s stock transfer agent. On the record date, February 8, 2023, there were 1,427,601,663 shares of SLB common stock outstanding and entitled to vote. Persons who held shares on the record date through a broker, bank, or other nominee are referred to as beneficial owners.</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0233A1"/>
        </w:rPr>
        <w:t>Proxies</w:t>
      </w:r>
    </w:p>
    <w:p>
      <w:pPr>
        <w:spacing w:after="0" w:line="20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Shares cannot be voted at the meeting unless the owner of record is present in person or is represented by proxy. SLB is incorporated in Curaçao and, in accordance with Curaçao law, meetings of shareholders are held in Curaçao. Because many shareholders cannot personally attend the meeting, it is necessary that a large number be represented by proxy.</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color w:val="0233A1"/>
        </w:rPr>
        <w:t>Quorum</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 xml:space="preserve">Holders of at least one-half of the outstanding shares entitled to vote at the meeting must be present in person or represented by proxy to constitute a quorum for the taking of any action at the meeting. Abstentions and proxies submitted on your behalf by brokers, banks, or other holders of record that do not indicate a vote because they do not have discretionary voting authority and have not received instructions from the beneficial owner of the shares as to how to vote on a proposal (so-called </w:t>
      </w:r>
      <w:r>
        <w:rPr>
          <w:rFonts w:ascii="Arial" w:cs="Arial" w:eastAsia="Arial" w:hAnsi="Arial"/>
          <w:sz w:val="16"/>
          <w:szCs w:val="16"/>
          <w:b w:val="1"/>
          <w:bCs w:val="1"/>
          <w:color w:val="auto"/>
        </w:rPr>
        <w:t>broker non-votes</w:t>
      </w:r>
      <w:r>
        <w:rPr>
          <w:rFonts w:ascii="Arial" w:cs="Arial" w:eastAsia="Arial" w:hAnsi="Arial"/>
          <w:sz w:val="16"/>
          <w:szCs w:val="16"/>
          <w:color w:val="auto"/>
        </w:rPr>
        <w:t>) will be considered as present for quorum purposes. If a quorum is not present at the meeting, the Board may call a second general meeting of shareholders, at which the quorum requirement will not apply.</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0233A1"/>
        </w:rPr>
        <w:t>Votes Required to Adopt Proposals</w:t>
      </w:r>
    </w:p>
    <w:p>
      <w:pPr>
        <w:spacing w:after="0" w:line="20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To be elected, director nominees must receive a majority of the votes cast, which means the number of votes cast “for” a director nominee must exceed the number of votes cast “against” that nominee. Approval of each of the other matters on the agenda also requires the affirmative vote of the majority of the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143510</wp:posOffset>
            </wp:positionV>
            <wp:extent cx="471805" cy="282575"/>
            <wp:wrapNone/>
            <wp:docPr id="3788" name="Picture 3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8"/>
                    <pic:cNvPicPr>
                      <a:picLocks noChangeAspect="1" noChangeArrowheads="1"/>
                    </pic:cNvPicPr>
                  </pic:nvPicPr>
                  <pic:blipFill>
                    <a:blip r:embed="rId3795">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Pr>
          <w:p>
            <w:pPr>
              <w:spacing w:after="0"/>
              <w:rPr>
                <w:sz w:val="9"/>
                <w:szCs w:val="9"/>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67</w:t>
            </w:r>
          </w:p>
        </w:tc>
        <w:tc>
          <w:tcPr>
            <w:tcW w:w="44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0233A1"/>
        </w:rPr>
        <w:t>Important Voting Information for Beneficial Owners</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If your SLB shares are held for you in street name (</w:t>
      </w:r>
      <w:r>
        <w:rPr>
          <w:rFonts w:ascii="Arial" w:cs="Arial" w:eastAsia="Arial" w:hAnsi="Arial"/>
          <w:sz w:val="16"/>
          <w:szCs w:val="16"/>
          <w:i w:val="1"/>
          <w:iCs w:val="1"/>
          <w:color w:val="auto"/>
        </w:rPr>
        <w:t>i.e.</w:t>
      </w:r>
      <w:r>
        <w:rPr>
          <w:rFonts w:ascii="Arial" w:cs="Arial" w:eastAsia="Arial" w:hAnsi="Arial"/>
          <w:sz w:val="16"/>
          <w:szCs w:val="16"/>
          <w:color w:val="auto"/>
        </w:rPr>
        <w:t>, you own your shares through a brokerage, bank, or other institutional account), you are considered the beneficial owner of those shares, but not the record holder. This means that you vote by providing instructions to your broker rather than directly to SLB. Brokers are not permitted to vote on certain proposals and may not vote on any of the proposals unless you provide voting instructions. Therefore, unless you provide specific voting instructions, your shares may not be represented or voted at the meeting.</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color w:val="0233A1"/>
        </w:rPr>
        <w:t>Effect of Abstentions and Broker Non-Votes</w:t>
      </w:r>
    </w:p>
    <w:p>
      <w:pPr>
        <w:spacing w:after="0" w:line="20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Brokers holding shares must vote according to specific instructions they receive from the beneficial owners of those shares. If brokers do not receive specific instructions, brokers may in some cases vote the shares in their discretion, but are not permitted to vote on certain proposals and may elect not to vote on any of the proposals unless you provide voting instructions. If you do not provide voting instructions and the broker elects to vote your shares on some but not all matters, it will result in a “broker non-vote” for the matters on which the broker does not vote. Abstentions occur when you provide voting instructions but instruct the broker to abstain from voting on a particular matter instead of voting for or against the matter. Abstentions and broker non-votes will be considered as present for quorum purposes, but they are not considered as votes cast and will not be counted in determining the outcome of the vote on the election of directors or on any of the other proposals.</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color w:val="0233A1"/>
        </w:rPr>
        <w:t>How to Cast Your Vote</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Shareholders with shares registered in their names with Computershare may authorize a proxy:</w:t>
      </w:r>
    </w:p>
    <w:p>
      <w:pPr>
        <w:sectPr>
          <w:pgSz w:w="11900" w:h="16838" w:orient="portrait"/>
          <w:cols w:equalWidth="0" w:num="1">
            <w:col w:w="11240"/>
          </w:cols>
          <w:pgMar w:left="320" w:top="238" w:right="339" w:bottom="1440" w:gutter="0" w:footer="0" w:header="0"/>
        </w:sectPr>
      </w:pPr>
    </w:p>
    <w:p>
      <w:pPr>
        <w:spacing w:after="0" w:line="19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0233A1"/>
        </w:rPr>
        <w:t>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282575" cy="248920"/>
            <wp:wrapNone/>
            <wp:docPr id="3789" name="Picture 3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9"/>
                    <pic:cNvPicPr>
                      <a:picLocks noChangeAspect="1" noChangeArrowheads="1"/>
                    </pic:cNvPicPr>
                  </pic:nvPicPr>
                  <pic:blipFill>
                    <a:blip r:embed="rId3796">
                      <a:extLst>
                        <a:ext uri="{28A0092B-C50C-407E-A947-70E740481C1C}"/>
                      </a:extLst>
                    </a:blip>
                    <a:srcRect/>
                    <a:stretch>
                      <a:fillRect/>
                    </a:stretch>
                  </pic:blipFill>
                  <pic:spPr bwMode="auto">
                    <a:xfrm>
                      <a:off x="0" y="0"/>
                      <a:ext cx="282575" cy="248920"/>
                    </a:xfrm>
                    <a:prstGeom prst="rect">
                      <a:avLst/>
                    </a:prstGeom>
                    <a:noFill/>
                  </pic:spPr>
                </pic:pic>
              </a:graphicData>
            </a:graphic>
          </wp:anchor>
        </w:drawing>
      </w:r>
    </w:p>
    <w:p>
      <w:pPr>
        <w:spacing w:after="0" w:line="1"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www.proxypush.com/SLB</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0233A1"/>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-107315</wp:posOffset>
            </wp:positionV>
            <wp:extent cx="282575" cy="283210"/>
            <wp:wrapNone/>
            <wp:docPr id="3790" name="Picture 3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
                    <pic:cNvPicPr>
                      <a:picLocks noChangeAspect="1" noChangeArrowheads="1"/>
                    </pic:cNvPicPr>
                  </pic:nvPicPr>
                  <pic:blipFill>
                    <a:blip r:embed="rId3797">
                      <a:extLst>
                        <a:ext uri="{28A0092B-C50C-407E-A947-70E740481C1C}"/>
                      </a:extLst>
                    </a:blip>
                    <a:srcRect/>
                    <a:stretch>
                      <a:fillRect/>
                    </a:stretch>
                  </pic:blipFill>
                  <pic:spPr bwMode="auto">
                    <a:xfrm>
                      <a:off x="0" y="0"/>
                      <a:ext cx="282575" cy="28321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(866) 240-5191</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0233A1"/>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-107315</wp:posOffset>
            </wp:positionV>
            <wp:extent cx="282575" cy="283210"/>
            <wp:wrapNone/>
            <wp:docPr id="3791" name="Picture 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1"/>
                    <pic:cNvPicPr>
                      <a:picLocks noChangeAspect="1" noChangeArrowheads="1"/>
                    </pic:cNvPicPr>
                  </pic:nvPicPr>
                  <pic:blipFill>
                    <a:blip r:embed="rId3798">
                      <a:extLst>
                        <a:ext uri="{28A0092B-C50C-407E-A947-70E740481C1C}"/>
                      </a:extLst>
                    </a:blip>
                    <a:srcRect/>
                    <a:stretch>
                      <a:fillRect/>
                    </a:stretch>
                  </pic:blipFill>
                  <pic:spPr bwMode="auto">
                    <a:xfrm>
                      <a:off x="0" y="0"/>
                      <a:ext cx="282575" cy="28321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Sign, date, and mail your proxy card</w:t>
      </w:r>
    </w:p>
    <w:p>
      <w:pPr>
        <w:spacing w:after="0" w:line="200" w:lineRule="exact"/>
        <w:rPr>
          <w:sz w:val="20"/>
          <w:szCs w:val="20"/>
          <w:color w:val="auto"/>
        </w:rPr>
      </w:pPr>
    </w:p>
    <w:p>
      <w:pPr>
        <w:sectPr>
          <w:pgSz w:w="11900" w:h="16838" w:orient="portrait"/>
          <w:cols w:equalWidth="0" w:num="3">
            <w:col w:w="3860" w:space="720"/>
            <w:col w:w="2640" w:space="720"/>
            <w:col w:w="3300"/>
          </w:cols>
          <w:pgMar w:left="320" w:top="238" w:right="339" w:bottom="1440" w:gutter="0" w:footer="0" w:header="0"/>
          <w:type w:val="continuous"/>
        </w:sectPr>
      </w:pPr>
    </w:p>
    <w:p>
      <w:pPr>
        <w:spacing w:after="0" w:line="4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 xml:space="preserve">The internet and telephone voting facilities for shareholders of record will close at 11:59 p.m. Eastern time on </w:t>
      </w:r>
      <w:r>
        <w:rPr>
          <w:rFonts w:ascii="Arial" w:cs="Arial" w:eastAsia="Arial" w:hAnsi="Arial"/>
          <w:sz w:val="16"/>
          <w:szCs w:val="16"/>
          <w:b w:val="1"/>
          <w:bCs w:val="1"/>
          <w:color w:val="auto"/>
        </w:rPr>
        <w:t>Tuesday, April 4, 2023</w:t>
      </w:r>
      <w:r>
        <w:rPr>
          <w:rFonts w:ascii="Arial" w:cs="Arial" w:eastAsia="Arial" w:hAnsi="Arial"/>
          <w:sz w:val="16"/>
          <w:szCs w:val="16"/>
          <w:color w:val="auto"/>
        </w:rPr>
        <w:t>. The internet and telephone voting procedures have been designed to authenticate shareholders and to allow you to vote your SLB shares and to confirm that your instructions have been properly recorded.</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Many banks and brokerage firms participate in programs that also permit beneficial owners to direct their vote by the internet or telephone. If you are a beneficial owner whose shares are held in an account at a bank or brokerage firm that participates in such a program, you may direct the vote of those shares by the internet or telephone by following the instructions on any voting instruction form or electronic voting instructions that you receive from your bank or brokerage firm.</w:t>
      </w:r>
    </w:p>
    <w:p>
      <w:pPr>
        <w:spacing w:after="0" w:line="15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All shares entitled to vote and represented by properly executed proxies received prior to the meeting and not revoked will be voted at the meeting in accordance with your instructions. If you are a shareholder with shares registered in your name with Computershare and you submit a properly executed proxy card but do not direct how to vote on each item, the persons named as proxies will vote as the Board recommends on each proposal.</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color w:val="0233A1"/>
        </w:rPr>
        <w:t>Changing Your Vote or Revoking Your Proxy</w:t>
      </w:r>
    </w:p>
    <w:p>
      <w:pPr>
        <w:spacing w:after="0" w:line="20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If you are a shareholder of record, you can change your vote or revoke your proxy at any time by timely delivering a properly executed, later-dated proxy (including an internet or telephone vote by April 4, 2023) or by voting by ballot at the meeting. If you hold shares through a broker, bank, or other holder of record, you must follow the instructions of your broker, bank, or other holder of record to change or revoke your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471170" cy="282575"/>
            <wp:wrapNone/>
            <wp:docPr id="3792" name="Picture 3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2"/>
                    <pic:cNvPicPr>
                      <a:picLocks noChangeAspect="1" noChangeArrowheads="1"/>
                    </pic:cNvPicPr>
                  </pic:nvPicPr>
                  <pic:blipFill>
                    <a:blip r:embed="rId3799">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32" w:lineRule="exact"/>
        <w:rPr>
          <w:sz w:val="20"/>
          <w:szCs w:val="20"/>
          <w:color w:val="auto"/>
        </w:rPr>
      </w:pPr>
    </w:p>
    <w:p>
      <w:pPr>
        <w:jc w:val="both"/>
        <w:ind w:left="5540"/>
        <w:spacing w:after="0"/>
        <w:tabs>
          <w:tab w:leader="none" w:pos="9540" w:val="left"/>
        </w:tabs>
        <w:rPr>
          <w:sz w:val="20"/>
          <w:szCs w:val="20"/>
          <w:color w:val="auto"/>
        </w:rPr>
      </w:pPr>
      <w:r>
        <w:rPr>
          <w:rFonts w:ascii="Arial" w:cs="Arial" w:eastAsia="Arial" w:hAnsi="Arial"/>
          <w:sz w:val="16"/>
          <w:szCs w:val="16"/>
          <w:b w:val="1"/>
          <w:bCs w:val="1"/>
          <w:color w:val="auto"/>
        </w:rPr>
        <w:t>68</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-46990</wp:posOffset>
            </wp:positionV>
            <wp:extent cx="5417820" cy="17145"/>
            <wp:wrapNone/>
            <wp:docPr id="3793" name="Picture 3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3"/>
                    <pic:cNvPicPr>
                      <a:picLocks noChangeAspect="1" noChangeArrowheads="1"/>
                    </pic:cNvPicPr>
                  </pic:nvPicPr>
                  <pic:blipFill>
                    <a:blip r:embed="rId3800">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3794" name="Picture 3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4"/>
                    <pic:cNvPicPr>
                      <a:picLocks noChangeAspect="1" noChangeArrowheads="1"/>
                    </pic:cNvPicPr>
                  </pic:nvPicPr>
                  <pic:blipFill>
                    <a:blip r:embed="rId380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9" w:lineRule="exact"/>
        <w:rPr>
          <w:sz w:val="20"/>
          <w:szCs w:val="20"/>
          <w:color w:val="auto"/>
        </w:rPr>
      </w:pPr>
    </w:p>
    <w:p>
      <w:pPr>
        <w:spacing w:after="0"/>
        <w:rPr>
          <w:sz w:val="20"/>
          <w:szCs w:val="20"/>
          <w:color w:val="auto"/>
        </w:rPr>
      </w:pPr>
      <w:r>
        <w:rPr>
          <w:rFonts w:ascii="Arial" w:cs="Arial" w:eastAsia="Arial" w:hAnsi="Arial"/>
          <w:sz w:val="50"/>
          <w:szCs w:val="50"/>
          <w:color w:val="0233A1"/>
        </w:rPr>
        <w:t>Other Information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color w:val="16458B"/>
        </w:rPr>
        <w:t>2024 Annual General Meeting of Shareholders</w:t>
      </w:r>
    </w:p>
    <w:p>
      <w:pPr>
        <w:spacing w:after="0" w:line="21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We intend to file a proxy statement and WHITE proxy card with the SEC in connection with the Board’s solicitation of proxies for our 2024 AGM. Shareholders may obtain a copy of our 2024 proxy statement (and any amendments and supplements thereto) and other documents as and when filed with the SEC without charge from the SEC’s website at www.sec.gov.</w:t>
      </w:r>
    </w:p>
    <w:p>
      <w:pPr>
        <w:spacing w:after="0" w:line="1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6"/>
          <w:szCs w:val="16"/>
          <w:color w:val="auto"/>
        </w:rPr>
        <w:t>In order for a shareholder proposal to be considered for inclusion in the proxy statement for our 2024 AGM pursuant to Exchange Act Rule 14a-8, or for director nominations to be included pursuant to SLB’s proxy access bylaw provisions, such proposals or notice of nominations must be received by the</w:t>
      </w:r>
    </w:p>
    <w:p>
      <w:pPr>
        <w:jc w:val="both"/>
        <w:spacing w:after="0" w:line="214" w:lineRule="auto"/>
        <w:rPr>
          <w:sz w:val="20"/>
          <w:szCs w:val="20"/>
          <w:color w:val="auto"/>
        </w:rPr>
      </w:pPr>
      <w:r>
        <w:rPr>
          <w:rFonts w:ascii="Arial" w:cs="Arial" w:eastAsia="Arial" w:hAnsi="Arial"/>
          <w:sz w:val="16"/>
          <w:szCs w:val="16"/>
          <w:color w:val="auto"/>
        </w:rPr>
        <w:t>Secretary of the Company, 5599 San Felipe, 17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Houston, Texas 77056, no later than October 26, 2023, and, in the case of a proxy access nomination, no earlier than September 26, 2023.</w:t>
      </w:r>
    </w:p>
    <w:p>
      <w:pPr>
        <w:spacing w:after="0" w:line="16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For shareholder proposals to be introduced for consideration at our 2024 AGM other than pursuant to Rule 14a-8 and for shareholder candidates to be nominated for election as directors other than pursuant to our proxy access bylaw provisions, notice must be delivered to the Secretary of the Company at our executive offices in Houston, Texas, not later than 120 days nor earlier than 150 days before the first anniversary of the date of the 2023 AGM. Accordingly, any such notice must be received no earlier than November 7, 2023, and no later than December 7, 2023, and must otherwise satisfy the requirements of our bylaws. Under the rules of the Exchange Act, we may use discretionary authority to vote with respect to any proposal not included in our proxy materials that is properly presented by a shareholder in person at the 2024 AGM if the shareholder making the proposal fails to meet these deadlines and fails to satisfy the requirements of Rule 14a-4 under the Exchange Act.</w:t>
      </w:r>
    </w:p>
    <w:p>
      <w:pPr>
        <w:spacing w:after="0" w:line="15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Further, to comply with the SEC’s universal proxy rules, if a shareholder intends to solicit proxies in support of director nominees submitted under these advance notice provisions, then we must receive proper written notice that sets forth all information required by Rule 14a-19 under the Exchange Act, delivered to the Secretary of the Company at our executive offices in Houston, Texas, by February 5, 2024 (or, if the 2024 AGM is called for a date that is more than 30 days before or more than 30 days after such anniversary date, then notice must be provided not later than the close of business on the later of</w:t>
      </w:r>
    </w:p>
    <w:p>
      <w:pPr>
        <w:spacing w:after="0" w:line="3" w:lineRule="exact"/>
        <w:rPr>
          <w:sz w:val="20"/>
          <w:szCs w:val="20"/>
          <w:color w:val="auto"/>
        </w:rPr>
      </w:pPr>
    </w:p>
    <w:p>
      <w:pPr>
        <w:jc w:val="both"/>
        <w:spacing w:after="0" w:line="214" w:lineRule="auto"/>
        <w:rPr>
          <w:sz w:val="20"/>
          <w:szCs w:val="20"/>
          <w:color w:val="auto"/>
        </w:rPr>
      </w:pPr>
      <w:r>
        <w:rPr>
          <w:rFonts w:ascii="Arial" w:cs="Arial" w:eastAsia="Arial" w:hAnsi="Arial"/>
          <w:sz w:val="16"/>
          <w:szCs w:val="16"/>
          <w:color w:val="auto"/>
        </w:rPr>
        <w:t>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2024 AGM or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date on which public announcement of the 2024 AGM is made). The notice requirement under Rule 14a-19 is in addition to the applicable advance notice requirements under our bylaws as described above.</w:t>
      </w:r>
    </w:p>
    <w:p>
      <w:pPr>
        <w:spacing w:after="0" w:line="267" w:lineRule="exact"/>
        <w:rPr>
          <w:sz w:val="20"/>
          <w:szCs w:val="20"/>
          <w:color w:val="auto"/>
        </w:rPr>
      </w:pPr>
    </w:p>
    <w:p>
      <w:pPr>
        <w:spacing w:after="0"/>
        <w:rPr>
          <w:sz w:val="20"/>
          <w:szCs w:val="20"/>
          <w:color w:val="auto"/>
        </w:rPr>
      </w:pPr>
      <w:r>
        <w:rPr>
          <w:rFonts w:ascii="Arial" w:cs="Arial" w:eastAsia="Arial" w:hAnsi="Arial"/>
          <w:sz w:val="29"/>
          <w:szCs w:val="29"/>
          <w:color w:val="16458B"/>
        </w:rPr>
        <w:t>Annual Report</w:t>
      </w:r>
    </w:p>
    <w:p>
      <w:pPr>
        <w:spacing w:after="0" w:line="211" w:lineRule="exact"/>
        <w:rPr>
          <w:sz w:val="20"/>
          <w:szCs w:val="20"/>
          <w:color w:val="auto"/>
        </w:rPr>
      </w:pPr>
    </w:p>
    <w:p>
      <w:pPr>
        <w:jc w:val="both"/>
        <w:ind w:right="20" w:firstLine="324"/>
        <w:spacing w:after="0" w:line="293" w:lineRule="auto"/>
        <w:rPr>
          <w:sz w:val="20"/>
          <w:szCs w:val="20"/>
          <w:color w:val="auto"/>
        </w:rPr>
      </w:pPr>
      <w:r>
        <w:rPr>
          <w:rFonts w:ascii="Arial" w:cs="Arial" w:eastAsia="Arial" w:hAnsi="Arial"/>
          <w:sz w:val="16"/>
          <w:szCs w:val="16"/>
          <w:color w:val="auto"/>
        </w:rPr>
        <w:t>Shareholders may obtain a copy of our most recent Form 10-K filed with the SEC, including financial statements and schedules, without charge by writing to our Investor Relations Department, 5599 San Felipe, 17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Houston, Texas 77056, or by calling (713) 375-3535.</w:t>
      </w:r>
    </w:p>
    <w:p>
      <w:pPr>
        <w:spacing w:after="0" w:line="121" w:lineRule="exact"/>
        <w:rPr>
          <w:sz w:val="20"/>
          <w:szCs w:val="20"/>
          <w:color w:val="auto"/>
        </w:rPr>
      </w:pPr>
    </w:p>
    <w:p>
      <w:pPr>
        <w:spacing w:after="0"/>
        <w:rPr>
          <w:sz w:val="20"/>
          <w:szCs w:val="20"/>
          <w:color w:val="auto"/>
        </w:rPr>
      </w:pPr>
      <w:r>
        <w:rPr>
          <w:rFonts w:ascii="Arial" w:cs="Arial" w:eastAsia="Arial" w:hAnsi="Arial"/>
          <w:sz w:val="29"/>
          <w:szCs w:val="29"/>
          <w:color w:val="16458B"/>
        </w:rPr>
        <w:t>Proxy Solicitation Costs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SLB will pay the cost of furnishing proxy materials to all shareholders and of soliciting proxies by mail and telephone. We have retained D.F. King &amp; Co., Inc. and its affiliate to assist in the solicitation of proxies for a fee estimated at $17,050 plus reasonable expenses. SLB directors, officers and employees may also solicit proxies for no additional compensation. We will reimburse brokerage firms, fiduciaries, and custodians for their reasonable expenses in forwarding the solicitation material to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147320</wp:posOffset>
            </wp:positionV>
            <wp:extent cx="471805" cy="282575"/>
            <wp:wrapNone/>
            <wp:docPr id="3795" name="Picture 3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5"/>
                    <pic:cNvPicPr>
                      <a:picLocks noChangeAspect="1" noChangeArrowheads="1"/>
                    </pic:cNvPicPr>
                  </pic:nvPicPr>
                  <pic:blipFill>
                    <a:blip r:embed="rId3802">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0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600" w:type="dxa"/>
            <w:vAlign w:val="bottom"/>
          </w:tcPr>
          <w:p>
            <w:pPr>
              <w:spacing w:after="0"/>
              <w:rPr>
                <w:sz w:val="9"/>
                <w:szCs w:val="9"/>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69</w:t>
            </w:r>
          </w:p>
        </w:tc>
        <w:tc>
          <w:tcPr>
            <w:tcW w:w="44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480" w:type="dxa"/>
            <w:vAlign w:val="bottom"/>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800" w:type="dxa"/>
            <w:vAlign w:val="bottom"/>
            <w:vMerge w:val="continue"/>
          </w:tcPr>
          <w:p>
            <w:pPr>
              <w:spacing w:after="0"/>
              <w:rPr>
                <w:sz w:val="5"/>
                <w:szCs w:val="5"/>
                <w:color w:val="auto"/>
              </w:rPr>
            </w:pPr>
          </w:p>
        </w:tc>
        <w:tc>
          <w:tcPr>
            <w:tcW w:w="3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C0C0C0"/>
            </w:tcBorders>
          </w:tcPr>
          <w:p>
            <w:pPr>
              <w:spacing w:after="0"/>
              <w:rPr>
                <w:sz w:val="24"/>
                <w:szCs w:val="24"/>
                <w:color w:val="auto"/>
              </w:rPr>
            </w:pPr>
          </w:p>
        </w:tc>
        <w:tc>
          <w:tcPr>
            <w:tcW w:w="360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4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color w:val="16458B"/>
        </w:rPr>
        <w:t>Other Matters</w:t>
      </w:r>
    </w:p>
    <w:p>
      <w:pPr>
        <w:spacing w:after="0" w:line="21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As of the date of this proxy statement, we know of no other business that will be presented at the meeting other than the matters described in this proxy statement. If any additional matters are properly presented at the meeting, we intend to vote the enclosed proxy in accordance with the discretion of the persons named in the proxy.</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Please sign, date, and return the accompanying proxy in the enclosed envelope at your earliest convenience.</w:t>
      </w:r>
    </w:p>
    <w:p>
      <w:pPr>
        <w:spacing w:after="0" w:line="194"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132080</wp:posOffset>
            </wp:positionV>
            <wp:extent cx="1543050" cy="283210"/>
            <wp:wrapNone/>
            <wp:docPr id="3796" name="Picture 3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6"/>
                    <pic:cNvPicPr>
                      <a:picLocks noChangeAspect="1" noChangeArrowheads="1"/>
                    </pic:cNvPicPr>
                  </pic:nvPicPr>
                  <pic:blipFill>
                    <a:blip r:embed="rId3803">
                      <a:extLst>
                        <a:ext uri="{28A0092B-C50C-407E-A947-70E740481C1C}"/>
                      </a:extLst>
                    </a:blip>
                    <a:srcRect/>
                    <a:stretch>
                      <a:fillRect/>
                    </a:stretch>
                  </pic:blipFill>
                  <pic:spPr bwMode="auto">
                    <a:xfrm>
                      <a:off x="0" y="0"/>
                      <a:ext cx="154305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860"/>
        <w:spacing w:after="0"/>
        <w:rPr>
          <w:sz w:val="20"/>
          <w:szCs w:val="20"/>
          <w:color w:val="auto"/>
        </w:rPr>
      </w:pPr>
      <w:r>
        <w:rPr>
          <w:rFonts w:ascii="Arial" w:cs="Arial" w:eastAsia="Arial" w:hAnsi="Arial"/>
          <w:sz w:val="16"/>
          <w:szCs w:val="16"/>
          <w:b w:val="1"/>
          <w:bCs w:val="1"/>
          <w:color w:val="auto"/>
        </w:rPr>
        <w:t>Dianne B. Ralston</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Chief Legal Officer and Secretary</w:t>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Houston, Texas</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February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471170" cy="283210"/>
            <wp:wrapNone/>
            <wp:docPr id="3797" name="Picture 3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7"/>
                    <pic:cNvPicPr>
                      <a:picLocks noChangeAspect="1" noChangeArrowheads="1"/>
                    </pic:cNvPicPr>
                  </pic:nvPicPr>
                  <pic:blipFill>
                    <a:blip r:embed="rId3804">
                      <a:extLst>
                        <a:ext uri="{28A0092B-C50C-407E-A947-70E740481C1C}"/>
                      </a:extLst>
                    </a:blip>
                    <a:srcRect/>
                    <a:stretch>
                      <a:fillRect/>
                    </a:stretch>
                  </pic:blipFill>
                  <pic:spPr bwMode="auto">
                    <a:xfrm>
                      <a:off x="0" y="0"/>
                      <a:ext cx="471170" cy="283210"/>
                    </a:xfrm>
                    <a:prstGeom prst="rect">
                      <a:avLst/>
                    </a:prstGeom>
                    <a:noFill/>
                  </pic:spPr>
                </pic:pic>
              </a:graphicData>
            </a:graphic>
          </wp:anchor>
        </w:drawing>
      </w:r>
    </w:p>
    <w:p>
      <w:pPr>
        <w:spacing w:after="0" w:line="282" w:lineRule="exact"/>
        <w:rPr>
          <w:sz w:val="20"/>
          <w:szCs w:val="20"/>
          <w:color w:val="auto"/>
        </w:rPr>
      </w:pPr>
    </w:p>
    <w:p>
      <w:pPr>
        <w:ind w:left="5540"/>
        <w:spacing w:after="0"/>
        <w:tabs>
          <w:tab w:leader="none" w:pos="9540" w:val="left"/>
        </w:tabs>
        <w:rPr>
          <w:sz w:val="20"/>
          <w:szCs w:val="20"/>
          <w:color w:val="auto"/>
        </w:rPr>
      </w:pPr>
      <w:r>
        <w:rPr>
          <w:rFonts w:ascii="Arial" w:cs="Arial" w:eastAsia="Arial" w:hAnsi="Arial"/>
          <w:sz w:val="16"/>
          <w:szCs w:val="16"/>
          <w:b w:val="1"/>
          <w:bCs w:val="1"/>
          <w:color w:val="auto"/>
        </w:rPr>
        <w:t>70</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-46990</wp:posOffset>
            </wp:positionV>
            <wp:extent cx="5417820" cy="17145"/>
            <wp:wrapNone/>
            <wp:docPr id="3798" name="Picture 3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8"/>
                    <pic:cNvPicPr>
                      <a:picLocks noChangeAspect="1" noChangeArrowheads="1"/>
                    </pic:cNvPicPr>
                  </pic:nvPicPr>
                  <pic:blipFill>
                    <a:blip r:embed="rId3805">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3799" name="Picture 3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9"/>
                    <pic:cNvPicPr>
                      <a:picLocks noChangeAspect="1" noChangeArrowheads="1"/>
                    </pic:cNvPicPr>
                  </pic:nvPicPr>
                  <pic:blipFill>
                    <a:blip r:embed="rId38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9" w:lineRule="exact"/>
        <w:rPr>
          <w:sz w:val="20"/>
          <w:szCs w:val="20"/>
          <w:color w:val="auto"/>
        </w:rPr>
      </w:pPr>
    </w:p>
    <w:p>
      <w:pPr>
        <w:spacing w:after="0"/>
        <w:rPr>
          <w:sz w:val="20"/>
          <w:szCs w:val="20"/>
          <w:color w:val="auto"/>
        </w:rPr>
      </w:pPr>
      <w:r>
        <w:rPr>
          <w:rFonts w:ascii="Arial" w:cs="Arial" w:eastAsia="Arial" w:hAnsi="Arial"/>
          <w:sz w:val="50"/>
          <w:szCs w:val="50"/>
          <w:color w:val="0233A1"/>
        </w:rPr>
        <w:t>Appendix A</w:t>
      </w:r>
    </w:p>
    <w:p>
      <w:pPr>
        <w:spacing w:after="0" w:line="331" w:lineRule="exact"/>
        <w:rPr>
          <w:sz w:val="20"/>
          <w:szCs w:val="20"/>
          <w:color w:val="auto"/>
        </w:rPr>
      </w:pPr>
    </w:p>
    <w:p>
      <w:pPr>
        <w:spacing w:after="0"/>
        <w:rPr>
          <w:sz w:val="20"/>
          <w:szCs w:val="20"/>
          <w:color w:val="auto"/>
        </w:rPr>
      </w:pPr>
      <w:r>
        <w:rPr>
          <w:rFonts w:ascii="Arial" w:cs="Arial" w:eastAsia="Arial" w:hAnsi="Arial"/>
          <w:sz w:val="29"/>
          <w:szCs w:val="29"/>
          <w:color w:val="16458B"/>
        </w:rPr>
        <w:t>Non-GAAP Financial Measures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This proxy statement includes non-GAAP financial measures, including free cash flow, free cash flow margin, adjusted EBITDA, adjusted EBITDA margin, earnings per share, excluding charges and credits, net income, excluding charges and credits, and net debt. Certain of these measures are used by management as performance metrics when determining incentive compensation for our executive officers. Below is a reconciliation of these non-GAAP financial measures to the comparable GAAP measures.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900" w:type="dxa"/>
            <w:vAlign w:val="bottom"/>
          </w:tcPr>
          <w:p>
            <w:pPr>
              <w:spacing w:after="0"/>
              <w:rPr>
                <w:sz w:val="18"/>
                <w:szCs w:val="18"/>
                <w:color w:val="auto"/>
              </w:rPr>
            </w:pPr>
          </w:p>
        </w:tc>
        <w:tc>
          <w:tcPr>
            <w:tcW w:w="2340" w:type="dxa"/>
            <w:vAlign w:val="bottom"/>
            <w:tcBorders>
              <w:bottom w:val="single" w:sz="8" w:color="0233A1"/>
            </w:tcBorders>
            <w:gridSpan w:val="2"/>
          </w:tcPr>
          <w:p>
            <w:pPr>
              <w:jc w:val="right"/>
              <w:ind w:right="419"/>
              <w:spacing w:after="0"/>
              <w:rPr>
                <w:sz w:val="20"/>
                <w:szCs w:val="20"/>
                <w:color w:val="auto"/>
              </w:rPr>
            </w:pPr>
            <w:r>
              <w:rPr>
                <w:rFonts w:ascii="Arial" w:cs="Arial" w:eastAsia="Arial" w:hAnsi="Arial"/>
                <w:sz w:val="16"/>
                <w:szCs w:val="16"/>
                <w:b w:val="1"/>
                <w:bCs w:val="1"/>
                <w:color w:val="0233A1"/>
              </w:rPr>
              <w:t>(Stated in millions)</w:t>
            </w:r>
          </w:p>
        </w:tc>
      </w:tr>
      <w:tr>
        <w:trPr>
          <w:trHeight w:val="168"/>
        </w:trPr>
        <w:tc>
          <w:tcPr>
            <w:tcW w:w="8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jc w:val="right"/>
              <w:ind w:right="19"/>
              <w:spacing w:after="0" w:line="168" w:lineRule="exact"/>
              <w:rPr>
                <w:sz w:val="20"/>
                <w:szCs w:val="20"/>
                <w:color w:val="auto"/>
              </w:rPr>
            </w:pPr>
            <w:r>
              <w:rPr>
                <w:rFonts w:ascii="Arial" w:cs="Arial" w:eastAsia="Arial" w:hAnsi="Arial"/>
                <w:sz w:val="16"/>
                <w:szCs w:val="16"/>
                <w:b w:val="1"/>
                <w:bCs w:val="1"/>
                <w:color w:val="0233A1"/>
              </w:rPr>
              <w:t>Year Ended</w:t>
            </w:r>
          </w:p>
        </w:tc>
      </w:tr>
      <w:tr>
        <w:trPr>
          <w:trHeight w:val="203"/>
        </w:trPr>
        <w:tc>
          <w:tcPr>
            <w:tcW w:w="8900" w:type="dxa"/>
            <w:vAlign w:val="bottom"/>
            <w:tcBorders>
              <w:bottom w:val="single" w:sz="8" w:color="0233A1"/>
            </w:tcBorders>
          </w:tcPr>
          <w:p>
            <w:pPr>
              <w:spacing w:after="0"/>
              <w:rPr>
                <w:sz w:val="17"/>
                <w:szCs w:val="17"/>
                <w:color w:val="auto"/>
              </w:rPr>
            </w:pPr>
          </w:p>
        </w:tc>
        <w:tc>
          <w:tcPr>
            <w:tcW w:w="1100" w:type="dxa"/>
            <w:vAlign w:val="bottom"/>
            <w:tcBorders>
              <w:bottom w:val="single" w:sz="8" w:color="0233A1"/>
            </w:tcBorders>
          </w:tcPr>
          <w:p>
            <w:pPr>
              <w:spacing w:after="0"/>
              <w:rPr>
                <w:sz w:val="17"/>
                <w:szCs w:val="17"/>
                <w:color w:val="auto"/>
              </w:rPr>
            </w:pPr>
          </w:p>
        </w:tc>
        <w:tc>
          <w:tcPr>
            <w:tcW w:w="1240" w:type="dxa"/>
            <w:vAlign w:val="bottom"/>
            <w:tcBorders>
              <w:bottom w:val="single" w:sz="8" w:color="0233A1"/>
            </w:tcBorders>
          </w:tcPr>
          <w:p>
            <w:pPr>
              <w:jc w:val="right"/>
              <w:ind w:right="19"/>
              <w:spacing w:after="0"/>
              <w:rPr>
                <w:sz w:val="20"/>
                <w:szCs w:val="20"/>
                <w:color w:val="auto"/>
              </w:rPr>
            </w:pPr>
            <w:r>
              <w:rPr>
                <w:rFonts w:ascii="Arial" w:cs="Arial" w:eastAsia="Arial" w:hAnsi="Arial"/>
                <w:sz w:val="16"/>
                <w:szCs w:val="16"/>
                <w:b w:val="1"/>
                <w:bCs w:val="1"/>
                <w:color w:val="0233A1"/>
              </w:rPr>
              <w:t>Dec. 31, 2022</w:t>
            </w:r>
          </w:p>
        </w:tc>
      </w:tr>
      <w:tr>
        <w:trPr>
          <w:trHeight w:val="195"/>
        </w:trPr>
        <w:tc>
          <w:tcPr>
            <w:tcW w:w="8900" w:type="dxa"/>
            <w:vAlign w:val="bottom"/>
          </w:tcPr>
          <w:p>
            <w:pPr>
              <w:ind w:left="60"/>
              <w:spacing w:after="0"/>
              <w:rPr>
                <w:sz w:val="20"/>
                <w:szCs w:val="20"/>
                <w:color w:val="auto"/>
              </w:rPr>
            </w:pPr>
            <w:r>
              <w:rPr>
                <w:rFonts w:ascii="Arial" w:cs="Arial" w:eastAsia="Arial" w:hAnsi="Arial"/>
                <w:sz w:val="16"/>
                <w:szCs w:val="16"/>
                <w:b w:val="1"/>
                <w:bCs w:val="1"/>
                <w:color w:val="auto"/>
              </w:rPr>
              <w:t>Cash flow from operations</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3,720</w:t>
            </w:r>
          </w:p>
        </w:tc>
      </w:tr>
      <w:tr>
        <w:trPr>
          <w:trHeight w:val="215"/>
        </w:trPr>
        <w:tc>
          <w:tcPr>
            <w:tcW w:w="890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1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(1,618)</w:t>
            </w:r>
          </w:p>
        </w:tc>
      </w:tr>
      <w:tr>
        <w:trPr>
          <w:trHeight w:val="216"/>
        </w:trPr>
        <w:tc>
          <w:tcPr>
            <w:tcW w:w="8900" w:type="dxa"/>
            <w:vAlign w:val="bottom"/>
          </w:tcPr>
          <w:p>
            <w:pPr>
              <w:ind w:left="180"/>
              <w:spacing w:after="0"/>
              <w:rPr>
                <w:sz w:val="20"/>
                <w:szCs w:val="20"/>
                <w:color w:val="auto"/>
              </w:rPr>
            </w:pPr>
            <w:r>
              <w:rPr>
                <w:rFonts w:ascii="Arial" w:cs="Arial" w:eastAsia="Arial" w:hAnsi="Arial"/>
                <w:sz w:val="16"/>
                <w:szCs w:val="16"/>
                <w:color w:val="auto"/>
              </w:rPr>
              <w:t>Asset Performance Solutions investments</w:t>
            </w:r>
          </w:p>
        </w:tc>
        <w:tc>
          <w:tcPr>
            <w:tcW w:w="1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(587)</w:t>
            </w:r>
          </w:p>
        </w:tc>
      </w:tr>
      <w:tr>
        <w:trPr>
          <w:trHeight w:val="217"/>
        </w:trPr>
        <w:tc>
          <w:tcPr>
            <w:tcW w:w="8900" w:type="dxa"/>
            <w:vAlign w:val="bottom"/>
            <w:tcBorders>
              <w:bottom w:val="single" w:sz="8" w:color="16458B"/>
            </w:tcBorders>
          </w:tcPr>
          <w:p>
            <w:pPr>
              <w:ind w:left="180"/>
              <w:spacing w:after="0"/>
              <w:rPr>
                <w:sz w:val="20"/>
                <w:szCs w:val="20"/>
                <w:color w:val="auto"/>
              </w:rPr>
            </w:pPr>
            <w:r>
              <w:rPr>
                <w:rFonts w:ascii="Arial" w:cs="Arial" w:eastAsia="Arial" w:hAnsi="Arial"/>
                <w:sz w:val="16"/>
                <w:szCs w:val="16"/>
                <w:color w:val="auto"/>
              </w:rPr>
              <w:t>Exploration data capitalized</w:t>
            </w:r>
          </w:p>
        </w:tc>
        <w:tc>
          <w:tcPr>
            <w:tcW w:w="1100" w:type="dxa"/>
            <w:vAlign w:val="bottom"/>
            <w:tcBorders>
              <w:bottom w:val="single" w:sz="8" w:color="16458B"/>
            </w:tcBorders>
          </w:tcPr>
          <w:p>
            <w:pPr>
              <w:spacing w:after="0"/>
              <w:rPr>
                <w:sz w:val="18"/>
                <w:szCs w:val="18"/>
                <w:color w:val="auto"/>
              </w:rPr>
            </w:pPr>
          </w:p>
        </w:tc>
        <w:tc>
          <w:tcPr>
            <w:tcW w:w="1240" w:type="dxa"/>
            <w:vAlign w:val="bottom"/>
            <w:tcBorders>
              <w:bottom w:val="single" w:sz="8" w:color="16458B"/>
            </w:tcBorders>
          </w:tcPr>
          <w:p>
            <w:pPr>
              <w:jc w:val="right"/>
              <w:spacing w:after="0"/>
              <w:rPr>
                <w:sz w:val="20"/>
                <w:szCs w:val="20"/>
                <w:color w:val="auto"/>
              </w:rPr>
            </w:pPr>
            <w:r>
              <w:rPr>
                <w:rFonts w:ascii="Arial" w:cs="Arial" w:eastAsia="Arial" w:hAnsi="Arial"/>
                <w:sz w:val="16"/>
                <w:szCs w:val="16"/>
                <w:color w:val="auto"/>
              </w:rPr>
              <w:t>(97)</w:t>
            </w:r>
          </w:p>
        </w:tc>
      </w:tr>
      <w:tr>
        <w:trPr>
          <w:trHeight w:val="204"/>
        </w:trPr>
        <w:tc>
          <w:tcPr>
            <w:tcW w:w="890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auto"/>
              </w:rPr>
              <w:t>Free cash flow</w:t>
            </w:r>
          </w:p>
        </w:tc>
        <w:tc>
          <w:tcPr>
            <w:tcW w:w="110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0233A1"/>
            </w:tcBorders>
          </w:tcPr>
          <w:p>
            <w:pPr>
              <w:jc w:val="right"/>
              <w:ind w:right="19"/>
              <w:spacing w:after="0"/>
              <w:rPr>
                <w:sz w:val="20"/>
                <w:szCs w:val="20"/>
                <w:color w:val="auto"/>
              </w:rPr>
            </w:pPr>
            <w:r>
              <w:rPr>
                <w:rFonts w:ascii="Arial" w:cs="Arial" w:eastAsia="Arial" w:hAnsi="Arial"/>
                <w:sz w:val="16"/>
                <w:szCs w:val="16"/>
                <w:color w:val="auto"/>
              </w:rPr>
              <w:t>1,418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8255"/>
            <wp:wrapNone/>
            <wp:docPr id="3800" name="Picture 3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0"/>
                    <pic:cNvPicPr>
                      <a:picLocks noChangeAspect="1" noChangeArrowheads="1"/>
                    </pic:cNvPicPr>
                  </pic:nvPicPr>
                  <pic:blipFill>
                    <a:blip r:embed="rId380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255"/>
            <wp:wrapNone/>
            <wp:docPr id="3801" name="Picture 3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1"/>
                    <pic:cNvPicPr>
                      <a:picLocks noChangeAspect="1" noChangeArrowheads="1"/>
                    </pic:cNvPicPr>
                  </pic:nvPicPr>
                  <pic:blipFill>
                    <a:blip r:embed="rId38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8255"/>
            <wp:wrapNone/>
            <wp:docPr id="3802" name="Picture 3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2"/>
                    <pic:cNvPicPr>
                      <a:picLocks noChangeAspect="1" noChangeArrowheads="1"/>
                    </pic:cNvPicPr>
                  </pic:nvPicPr>
                  <pic:blipFill>
                    <a:blip r:embed="rId38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Free cash flow represents cash flow from operations less capital expenditures, Asset Performance Solutions investments and exploration data costs capitalized. Management believes that free cash flow is an important liquidity measure for the Company and that it is useful to investors and management as a measure of SLB’s ability to generate cash.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15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Free cash flow margin is calculated as free cash flow divided by revenue. Free cash flow margin measures how efficiently SLB converts revenue into free cash flow, and is an indicator of capital efficiency.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900" w:type="dxa"/>
            <w:vAlign w:val="bottom"/>
          </w:tcPr>
          <w:p>
            <w:pPr>
              <w:spacing w:after="0"/>
              <w:rPr>
                <w:sz w:val="18"/>
                <w:szCs w:val="18"/>
                <w:color w:val="auto"/>
              </w:rPr>
            </w:pPr>
          </w:p>
        </w:tc>
        <w:tc>
          <w:tcPr>
            <w:tcW w:w="2340" w:type="dxa"/>
            <w:vAlign w:val="bottom"/>
            <w:tcBorders>
              <w:bottom w:val="single" w:sz="8" w:color="0233A1"/>
            </w:tcBorders>
            <w:gridSpan w:val="2"/>
          </w:tcPr>
          <w:p>
            <w:pPr>
              <w:jc w:val="right"/>
              <w:ind w:right="419"/>
              <w:spacing w:after="0"/>
              <w:rPr>
                <w:sz w:val="20"/>
                <w:szCs w:val="20"/>
                <w:color w:val="auto"/>
              </w:rPr>
            </w:pPr>
            <w:r>
              <w:rPr>
                <w:rFonts w:ascii="Arial" w:cs="Arial" w:eastAsia="Arial" w:hAnsi="Arial"/>
                <w:sz w:val="16"/>
                <w:szCs w:val="16"/>
                <w:b w:val="1"/>
                <w:bCs w:val="1"/>
                <w:color w:val="0233A1"/>
              </w:rPr>
              <w:t>(Stated in millions)</w:t>
            </w:r>
          </w:p>
        </w:tc>
      </w:tr>
      <w:tr>
        <w:trPr>
          <w:trHeight w:val="168"/>
        </w:trPr>
        <w:tc>
          <w:tcPr>
            <w:tcW w:w="8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jc w:val="right"/>
              <w:ind w:right="79"/>
              <w:spacing w:after="0" w:line="168" w:lineRule="exact"/>
              <w:rPr>
                <w:sz w:val="20"/>
                <w:szCs w:val="20"/>
                <w:color w:val="auto"/>
              </w:rPr>
            </w:pPr>
            <w:r>
              <w:rPr>
                <w:rFonts w:ascii="Arial" w:cs="Arial" w:eastAsia="Arial" w:hAnsi="Arial"/>
                <w:sz w:val="16"/>
                <w:szCs w:val="16"/>
                <w:b w:val="1"/>
                <w:bCs w:val="1"/>
                <w:color w:val="0233A1"/>
              </w:rPr>
              <w:t>Year Ended</w:t>
            </w:r>
          </w:p>
        </w:tc>
      </w:tr>
      <w:tr>
        <w:trPr>
          <w:trHeight w:val="217"/>
        </w:trPr>
        <w:tc>
          <w:tcPr>
            <w:tcW w:w="8900" w:type="dxa"/>
            <w:vAlign w:val="bottom"/>
            <w:tcBorders>
              <w:bottom w:val="single" w:sz="8" w:color="0233A1"/>
            </w:tcBorders>
          </w:tcPr>
          <w:p>
            <w:pPr>
              <w:spacing w:after="0"/>
              <w:rPr>
                <w:sz w:val="18"/>
                <w:szCs w:val="18"/>
                <w:color w:val="auto"/>
              </w:rPr>
            </w:pPr>
          </w:p>
        </w:tc>
        <w:tc>
          <w:tcPr>
            <w:tcW w:w="1100" w:type="dxa"/>
            <w:vAlign w:val="bottom"/>
            <w:tcBorders>
              <w:bottom w:val="single" w:sz="8" w:color="0233A1"/>
            </w:tcBorders>
          </w:tcPr>
          <w:p>
            <w:pPr>
              <w:spacing w:after="0"/>
              <w:rPr>
                <w:sz w:val="18"/>
                <w:szCs w:val="18"/>
                <w:color w:val="auto"/>
              </w:rPr>
            </w:pPr>
          </w:p>
        </w:tc>
        <w:tc>
          <w:tcPr>
            <w:tcW w:w="1240" w:type="dxa"/>
            <w:vAlign w:val="bottom"/>
            <w:tcBorders>
              <w:bottom w:val="single" w:sz="8" w:color="0233A1"/>
            </w:tcBorders>
          </w:tcPr>
          <w:p>
            <w:pPr>
              <w:jc w:val="right"/>
              <w:ind w:right="19"/>
              <w:spacing w:after="0"/>
              <w:rPr>
                <w:sz w:val="20"/>
                <w:szCs w:val="20"/>
                <w:color w:val="auto"/>
              </w:rPr>
            </w:pPr>
            <w:r>
              <w:rPr>
                <w:rFonts w:ascii="Arial" w:cs="Arial" w:eastAsia="Arial" w:hAnsi="Arial"/>
                <w:sz w:val="16"/>
                <w:szCs w:val="16"/>
                <w:b w:val="1"/>
                <w:bCs w:val="1"/>
                <w:color w:val="0233A1"/>
              </w:rPr>
              <w:t>Dec. 31, 2022</w:t>
            </w:r>
          </w:p>
        </w:tc>
      </w:tr>
      <w:tr>
        <w:trPr>
          <w:trHeight w:val="195"/>
        </w:trPr>
        <w:tc>
          <w:tcPr>
            <w:tcW w:w="8900" w:type="dxa"/>
            <w:vAlign w:val="bottom"/>
          </w:tcPr>
          <w:p>
            <w:pPr>
              <w:ind w:left="60"/>
              <w:spacing w:after="0"/>
              <w:rPr>
                <w:sz w:val="20"/>
                <w:szCs w:val="20"/>
                <w:color w:val="auto"/>
              </w:rPr>
            </w:pPr>
            <w:r>
              <w:rPr>
                <w:rFonts w:ascii="Arial" w:cs="Arial" w:eastAsia="Arial" w:hAnsi="Arial"/>
                <w:sz w:val="16"/>
                <w:szCs w:val="16"/>
                <w:b w:val="1"/>
                <w:bCs w:val="1"/>
                <w:color w:val="auto"/>
              </w:rPr>
              <w:t>Net income attributable to SLB – GAAP basis</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3,441</w:t>
            </w:r>
          </w:p>
        </w:tc>
      </w:tr>
      <w:tr>
        <w:trPr>
          <w:trHeight w:val="215"/>
        </w:trPr>
        <w:tc>
          <w:tcPr>
            <w:tcW w:w="8900" w:type="dxa"/>
            <w:vAlign w:val="bottom"/>
          </w:tcPr>
          <w:p>
            <w:pPr>
              <w:ind w:left="60"/>
              <w:spacing w:after="0"/>
              <w:rPr>
                <w:sz w:val="20"/>
                <w:szCs w:val="20"/>
                <w:color w:val="auto"/>
              </w:rPr>
            </w:pPr>
            <w:r>
              <w:rPr>
                <w:rFonts w:ascii="Arial" w:cs="Arial" w:eastAsia="Arial" w:hAnsi="Arial"/>
                <w:sz w:val="16"/>
                <w:szCs w:val="16"/>
                <w:color w:val="auto"/>
              </w:rPr>
              <w:t>Net income attributable to noncontrolling interests</w:t>
            </w:r>
          </w:p>
        </w:tc>
        <w:tc>
          <w:tcPr>
            <w:tcW w:w="1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217"/>
        </w:trPr>
        <w:tc>
          <w:tcPr>
            <w:tcW w:w="8900" w:type="dxa"/>
            <w:vAlign w:val="bottom"/>
            <w:tcBorders>
              <w:bottom w:val="single" w:sz="8" w:color="0233A1"/>
            </w:tcBorders>
          </w:tcPr>
          <w:p>
            <w:pPr>
              <w:ind w:left="60"/>
              <w:spacing w:after="0"/>
              <w:rPr>
                <w:sz w:val="20"/>
                <w:szCs w:val="20"/>
                <w:color w:val="auto"/>
              </w:rPr>
            </w:pPr>
            <w:r>
              <w:rPr>
                <w:rFonts w:ascii="Arial" w:cs="Arial" w:eastAsia="Arial" w:hAnsi="Arial"/>
                <w:sz w:val="16"/>
                <w:szCs w:val="16"/>
                <w:color w:val="auto"/>
              </w:rPr>
              <w:t>Tax expense</w:t>
            </w:r>
          </w:p>
        </w:tc>
        <w:tc>
          <w:tcPr>
            <w:tcW w:w="1100" w:type="dxa"/>
            <w:vAlign w:val="bottom"/>
            <w:tcBorders>
              <w:bottom w:val="single" w:sz="8" w:color="0233A1"/>
            </w:tcBorders>
          </w:tcPr>
          <w:p>
            <w:pPr>
              <w:spacing w:after="0"/>
              <w:rPr>
                <w:sz w:val="18"/>
                <w:szCs w:val="18"/>
                <w:color w:val="auto"/>
              </w:rPr>
            </w:pPr>
          </w:p>
        </w:tc>
        <w:tc>
          <w:tcPr>
            <w:tcW w:w="1240" w:type="dxa"/>
            <w:vAlign w:val="bottom"/>
            <w:tcBorders>
              <w:bottom w:val="single" w:sz="8" w:color="0233A1"/>
            </w:tcBorders>
          </w:tcPr>
          <w:p>
            <w:pPr>
              <w:jc w:val="right"/>
              <w:ind w:right="19"/>
              <w:spacing w:after="0"/>
              <w:rPr>
                <w:sz w:val="20"/>
                <w:szCs w:val="20"/>
                <w:color w:val="auto"/>
              </w:rPr>
            </w:pPr>
            <w:r>
              <w:rPr>
                <w:rFonts w:ascii="Arial" w:cs="Arial" w:eastAsia="Arial" w:hAnsi="Arial"/>
                <w:sz w:val="16"/>
                <w:szCs w:val="16"/>
                <w:color w:val="auto"/>
              </w:rPr>
              <w:t>779</w:t>
            </w:r>
          </w:p>
        </w:tc>
      </w:tr>
      <w:tr>
        <w:trPr>
          <w:trHeight w:val="196"/>
        </w:trPr>
        <w:tc>
          <w:tcPr>
            <w:tcW w:w="8900" w:type="dxa"/>
            <w:vAlign w:val="bottom"/>
          </w:tcPr>
          <w:p>
            <w:pPr>
              <w:ind w:left="60"/>
              <w:spacing w:after="0"/>
              <w:rPr>
                <w:sz w:val="20"/>
                <w:szCs w:val="20"/>
                <w:color w:val="auto"/>
              </w:rPr>
            </w:pPr>
            <w:r>
              <w:rPr>
                <w:rFonts w:ascii="Arial" w:cs="Arial" w:eastAsia="Arial" w:hAnsi="Arial"/>
                <w:sz w:val="16"/>
                <w:szCs w:val="16"/>
                <w:b w:val="1"/>
                <w:bCs w:val="1"/>
                <w:color w:val="auto"/>
              </w:rPr>
              <w:t>Income before taxes</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4,271</w:t>
            </w:r>
          </w:p>
        </w:tc>
      </w:tr>
      <w:tr>
        <w:trPr>
          <w:trHeight w:val="215"/>
        </w:trPr>
        <w:tc>
          <w:tcPr>
            <w:tcW w:w="8900" w:type="dxa"/>
            <w:vAlign w:val="bottom"/>
          </w:tcPr>
          <w:p>
            <w:pPr>
              <w:ind w:left="180"/>
              <w:spacing w:after="0"/>
              <w:rPr>
                <w:sz w:val="20"/>
                <w:szCs w:val="20"/>
                <w:color w:val="auto"/>
              </w:rPr>
            </w:pPr>
            <w:r>
              <w:rPr>
                <w:rFonts w:ascii="Arial" w:cs="Arial" w:eastAsia="Arial" w:hAnsi="Arial"/>
                <w:sz w:val="16"/>
                <w:szCs w:val="16"/>
                <w:color w:val="auto"/>
              </w:rPr>
              <w:t>Charges and credits:</w:t>
            </w: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6"/>
                <w:szCs w:val="16"/>
                <w:color w:val="auto"/>
              </w:rPr>
              <w:t>Gain on Arabian Drilling Company equity investment</w:t>
            </w:r>
          </w:p>
        </w:tc>
        <w:tc>
          <w:tcPr>
            <w:tcW w:w="1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16"/>
        </w:trPr>
        <w:tc>
          <w:tcPr>
            <w:tcW w:w="8900" w:type="dxa"/>
            <w:vAlign w:val="bottom"/>
          </w:tcPr>
          <w:p>
            <w:pPr>
              <w:ind w:left="360"/>
              <w:spacing w:after="0"/>
              <w:rPr>
                <w:sz w:val="20"/>
                <w:szCs w:val="20"/>
                <w:color w:val="auto"/>
              </w:rPr>
            </w:pPr>
            <w:r>
              <w:rPr>
                <w:rFonts w:ascii="Arial" w:cs="Arial" w:eastAsia="Arial" w:hAnsi="Arial"/>
                <w:sz w:val="16"/>
                <w:szCs w:val="16"/>
                <w:color w:val="auto"/>
              </w:rPr>
              <w:t>Gain on sale of Liberty shares</w:t>
            </w:r>
          </w:p>
        </w:tc>
        <w:tc>
          <w:tcPr>
            <w:tcW w:w="1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216"/>
        </w:trPr>
        <w:tc>
          <w:tcPr>
            <w:tcW w:w="8900" w:type="dxa"/>
            <w:vAlign w:val="bottom"/>
          </w:tcPr>
          <w:p>
            <w:pPr>
              <w:ind w:left="360"/>
              <w:spacing w:after="0"/>
              <w:rPr>
                <w:sz w:val="20"/>
                <w:szCs w:val="20"/>
                <w:color w:val="auto"/>
              </w:rPr>
            </w:pPr>
            <w:r>
              <w:rPr>
                <w:rFonts w:ascii="Arial" w:cs="Arial" w:eastAsia="Arial" w:hAnsi="Arial"/>
                <w:sz w:val="16"/>
                <w:szCs w:val="16"/>
                <w:color w:val="auto"/>
              </w:rPr>
              <w:t>Gain on repurchase of bonds</w:t>
            </w:r>
          </w:p>
        </w:tc>
        <w:tc>
          <w:tcPr>
            <w:tcW w:w="1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8900" w:type="dxa"/>
            <w:vAlign w:val="bottom"/>
          </w:tcPr>
          <w:p>
            <w:pPr>
              <w:ind w:left="360"/>
              <w:spacing w:after="0"/>
              <w:rPr>
                <w:sz w:val="20"/>
                <w:szCs w:val="20"/>
                <w:color w:val="auto"/>
              </w:rPr>
            </w:pPr>
            <w:r>
              <w:rPr>
                <w:rFonts w:ascii="Arial" w:cs="Arial" w:eastAsia="Arial" w:hAnsi="Arial"/>
                <w:sz w:val="16"/>
                <w:szCs w:val="16"/>
                <w:color w:val="auto"/>
              </w:rPr>
              <w:t>Loss on Blue Chip Swap transactions</w:t>
            </w:r>
          </w:p>
        </w:tc>
        <w:tc>
          <w:tcPr>
            <w:tcW w:w="1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139</w:t>
            </w:r>
          </w:p>
        </w:tc>
      </w:tr>
      <w:tr>
        <w:trPr>
          <w:trHeight w:val="216"/>
        </w:trPr>
        <w:tc>
          <w:tcPr>
            <w:tcW w:w="8900" w:type="dxa"/>
            <w:vAlign w:val="bottom"/>
          </w:tcPr>
          <w:p>
            <w:pPr>
              <w:ind w:left="360"/>
              <w:spacing w:after="0"/>
              <w:rPr>
                <w:sz w:val="20"/>
                <w:szCs w:val="20"/>
                <w:color w:val="auto"/>
              </w:rPr>
            </w:pPr>
            <w:r>
              <w:rPr>
                <w:rFonts w:ascii="Arial" w:cs="Arial" w:eastAsia="Arial" w:hAnsi="Arial"/>
                <w:sz w:val="16"/>
                <w:szCs w:val="16"/>
                <w:color w:val="auto"/>
              </w:rPr>
              <w:t>Gain on sale of real estate</w:t>
            </w:r>
          </w:p>
        </w:tc>
        <w:tc>
          <w:tcPr>
            <w:tcW w:w="1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6"/>
        </w:trPr>
        <w:tc>
          <w:tcPr>
            <w:tcW w:w="890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2,147</w:t>
            </w:r>
          </w:p>
        </w:tc>
      </w:tr>
      <w:tr>
        <w:trPr>
          <w:trHeight w:val="216"/>
        </w:trPr>
        <w:tc>
          <w:tcPr>
            <w:tcW w:w="890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1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490</w:t>
            </w:r>
          </w:p>
        </w:tc>
      </w:tr>
      <w:tr>
        <w:trPr>
          <w:trHeight w:val="217"/>
        </w:trPr>
        <w:tc>
          <w:tcPr>
            <w:tcW w:w="8900" w:type="dxa"/>
            <w:vAlign w:val="bottom"/>
            <w:tcBorders>
              <w:bottom w:val="single" w:sz="8" w:color="16458B"/>
            </w:tcBorders>
          </w:tcPr>
          <w:p>
            <w:pPr>
              <w:ind w:left="180"/>
              <w:spacing w:after="0"/>
              <w:rPr>
                <w:sz w:val="20"/>
                <w:szCs w:val="20"/>
                <w:color w:val="auto"/>
              </w:rPr>
            </w:pPr>
            <w:r>
              <w:rPr>
                <w:rFonts w:ascii="Arial" w:cs="Arial" w:eastAsia="Arial" w:hAnsi="Arial"/>
                <w:sz w:val="16"/>
                <w:szCs w:val="16"/>
                <w:color w:val="auto"/>
              </w:rPr>
              <w:t>Interest income</w:t>
            </w:r>
          </w:p>
        </w:tc>
        <w:tc>
          <w:tcPr>
            <w:tcW w:w="1100" w:type="dxa"/>
            <w:vAlign w:val="bottom"/>
            <w:tcBorders>
              <w:bottom w:val="single" w:sz="8" w:color="16458B"/>
            </w:tcBorders>
          </w:tcPr>
          <w:p>
            <w:pPr>
              <w:spacing w:after="0"/>
              <w:rPr>
                <w:sz w:val="18"/>
                <w:szCs w:val="18"/>
                <w:color w:val="auto"/>
              </w:rPr>
            </w:pPr>
          </w:p>
        </w:tc>
        <w:tc>
          <w:tcPr>
            <w:tcW w:w="1240" w:type="dxa"/>
            <w:vAlign w:val="bottom"/>
            <w:tcBorders>
              <w:bottom w:val="single" w:sz="8" w:color="16458B"/>
            </w:tcBorders>
          </w:tcPr>
          <w:p>
            <w:pPr>
              <w:jc w:val="right"/>
              <w:spacing w:after="0"/>
              <w:rPr>
                <w:sz w:val="20"/>
                <w:szCs w:val="20"/>
                <w:color w:val="auto"/>
              </w:rPr>
            </w:pPr>
            <w:r>
              <w:rPr>
                <w:rFonts w:ascii="Arial" w:cs="Arial" w:eastAsia="Arial" w:hAnsi="Arial"/>
                <w:sz w:val="16"/>
                <w:szCs w:val="16"/>
                <w:color w:val="auto"/>
              </w:rPr>
              <w:t>(99)</w:t>
            </w:r>
          </w:p>
        </w:tc>
      </w:tr>
      <w:tr>
        <w:trPr>
          <w:trHeight w:val="204"/>
        </w:trPr>
        <w:tc>
          <w:tcPr>
            <w:tcW w:w="8900" w:type="dxa"/>
            <w:vAlign w:val="bottom"/>
            <w:tcBorders>
              <w:bottom w:val="single" w:sz="8" w:color="0233A1"/>
            </w:tcBorders>
          </w:tcPr>
          <w:p>
            <w:pPr>
              <w:ind w:left="60"/>
              <w:spacing w:after="0"/>
              <w:rPr>
                <w:sz w:val="20"/>
                <w:szCs w:val="20"/>
                <w:color w:val="auto"/>
              </w:rPr>
            </w:pPr>
            <w:r>
              <w:rPr>
                <w:rFonts w:ascii="Arial" w:cs="Arial" w:eastAsia="Arial" w:hAnsi="Arial"/>
                <w:sz w:val="16"/>
                <w:szCs w:val="16"/>
                <w:b w:val="1"/>
                <w:bCs w:val="1"/>
                <w:color w:val="auto"/>
              </w:rPr>
              <w:t>Adjusted EBITDA</w:t>
            </w:r>
          </w:p>
        </w:tc>
        <w:tc>
          <w:tcPr>
            <w:tcW w:w="1100" w:type="dxa"/>
            <w:vAlign w:val="bottom"/>
            <w:tcBorders>
              <w:bottom w:val="single" w:sz="8" w:color="0233A1"/>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0233A1"/>
            </w:tcBorders>
          </w:tcPr>
          <w:p>
            <w:pPr>
              <w:jc w:val="right"/>
              <w:ind w:right="19"/>
              <w:spacing w:after="0"/>
              <w:rPr>
                <w:sz w:val="20"/>
                <w:szCs w:val="20"/>
                <w:color w:val="auto"/>
              </w:rPr>
            </w:pPr>
            <w:r>
              <w:rPr>
                <w:rFonts w:ascii="Arial" w:cs="Arial" w:eastAsia="Arial" w:hAnsi="Arial"/>
                <w:sz w:val="16"/>
                <w:szCs w:val="16"/>
                <w:color w:val="auto"/>
              </w:rPr>
              <w:t>6,462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8255"/>
            <wp:wrapNone/>
            <wp:docPr id="3803" name="Picture 3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3"/>
                    <pic:cNvPicPr>
                      <a:picLocks noChangeAspect="1" noChangeArrowheads="1"/>
                    </pic:cNvPicPr>
                  </pic:nvPicPr>
                  <pic:blipFill>
                    <a:blip r:embed="rId38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890"/>
            <wp:wrapNone/>
            <wp:docPr id="3804" name="Picture 3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4"/>
                    <pic:cNvPicPr>
                      <a:picLocks noChangeAspect="1" noChangeArrowheads="1"/>
                    </pic:cNvPicPr>
                  </pic:nvPicPr>
                  <pic:blipFill>
                    <a:blip r:embed="rId38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8255"/>
            <wp:wrapNone/>
            <wp:docPr id="3805" name="Picture 3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5"/>
                    <pic:cNvPicPr>
                      <a:picLocks noChangeAspect="1" noChangeArrowheads="1"/>
                    </pic:cNvPicPr>
                  </pic:nvPicPr>
                  <pic:blipFill>
                    <a:blip r:embed="rId38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8255"/>
            <wp:wrapNone/>
            <wp:docPr id="3806" name="Picture 3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6"/>
                    <pic:cNvPicPr>
                      <a:picLocks noChangeAspect="1" noChangeArrowheads="1"/>
                    </pic:cNvPicPr>
                  </pic:nvPicPr>
                  <pic:blipFill>
                    <a:blip r:embed="rId38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132320" cy="8890"/>
            <wp:wrapNone/>
            <wp:docPr id="3807" name="Picture 3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7"/>
                    <pic:cNvPicPr>
                      <a:picLocks noChangeAspect="1" noChangeArrowheads="1"/>
                    </pic:cNvPicPr>
                  </pic:nvPicPr>
                  <pic:blipFill>
                    <a:blip r:embed="rId38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8255"/>
            <wp:wrapNone/>
            <wp:docPr id="3808" name="Picture 3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8"/>
                    <pic:cNvPicPr>
                      <a:picLocks noChangeAspect="1" noChangeArrowheads="1"/>
                    </pic:cNvPicPr>
                  </pic:nvPicPr>
                  <pic:blipFill>
                    <a:blip r:embed="rId38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8890"/>
            <wp:wrapNone/>
            <wp:docPr id="3809" name="Picture 3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9"/>
                    <pic:cNvPicPr>
                      <a:picLocks noChangeAspect="1" noChangeArrowheads="1"/>
                    </pic:cNvPicPr>
                  </pic:nvPicPr>
                  <pic:blipFill>
                    <a:blip r:embed="rId38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-1250950</wp:posOffset>
            </wp:positionV>
            <wp:extent cx="7132320" cy="8255"/>
            <wp:wrapNone/>
            <wp:docPr id="3810" name="Picture 3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0"/>
                    <pic:cNvPicPr>
                      <a:picLocks noChangeAspect="1" noChangeArrowheads="1"/>
                    </pic:cNvPicPr>
                  </pic:nvPicPr>
                  <pic:blipFill>
                    <a:blip r:embed="rId38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-1388110</wp:posOffset>
            </wp:positionV>
            <wp:extent cx="7132320" cy="8255"/>
            <wp:wrapNone/>
            <wp:docPr id="3811" name="Picture 3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1"/>
                    <pic:cNvPicPr>
                      <a:picLocks noChangeAspect="1" noChangeArrowheads="1"/>
                    </pic:cNvPicPr>
                  </pic:nvPicPr>
                  <pic:blipFill>
                    <a:blip r:embed="rId38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-1662430</wp:posOffset>
            </wp:positionV>
            <wp:extent cx="7132320" cy="8255"/>
            <wp:wrapNone/>
            <wp:docPr id="3812" name="Picture 3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2"/>
                    <pic:cNvPicPr>
                      <a:picLocks noChangeAspect="1" noChangeArrowheads="1"/>
                    </pic:cNvPicPr>
                  </pic:nvPicPr>
                  <pic:blipFill>
                    <a:blip r:embed="rId38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-1799590</wp:posOffset>
            </wp:positionV>
            <wp:extent cx="7132320" cy="8255"/>
            <wp:wrapNone/>
            <wp:docPr id="3813" name="Picture 3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3"/>
                    <pic:cNvPicPr>
                      <a:picLocks noChangeAspect="1" noChangeArrowheads="1"/>
                    </pic:cNvPicPr>
                  </pic:nvPicPr>
                  <pic:blipFill>
                    <a:blip r:embed="rId38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Adjusted EBITDA represents income before taxes, excluding charges and credits, depreciation and amortization, interest expense, and interest income. Management believes that adjusted EBITDA is an important profitability measure for SLB and that it allows investors and management to more efficiently evaluate SLB’s operations period over period and to identify operating trends that could otherwise be masked. Adjusted EBITDA is a non-GAAP financial measure that should be considered in addition to, not as a substitute for or superior to, other measures of financial performance prepared in accordance with GAAP.</w:t>
      </w:r>
    </w:p>
    <w:p>
      <w:pPr>
        <w:spacing w:after="0" w:line="15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Adjusted EBITDA margin is calculated as adjusted EBITDA divided by revenue. For full-year 2022, adjusted EBITDA margin of 23.0% was calculated based on adjusted EBITDA of $6.462 billion divided by revenue of $28.091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30480</wp:posOffset>
            </wp:positionV>
            <wp:extent cx="471805" cy="282575"/>
            <wp:wrapNone/>
            <wp:docPr id="3814" name="Picture 3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4"/>
                    <pic:cNvPicPr>
                      <a:picLocks noChangeAspect="1" noChangeArrowheads="1"/>
                    </pic:cNvPicPr>
                  </pic:nvPicPr>
                  <pic:blipFill>
                    <a:blip r:embed="rId3821">
                      <a:extLst>
                        <a:ext uri="{28A0092B-C50C-407E-A947-70E740481C1C}"/>
                      </a:extLst>
                    </a:blip>
                    <a:srcRect/>
                    <a:stretch>
                      <a:fillRect/>
                    </a:stretch>
                  </pic:blipFill>
                  <pic:spPr bwMode="auto">
                    <a:xfrm>
                      <a:off x="0" y="0"/>
                      <a:ext cx="471805" cy="28257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95"/>
        </w:trPr>
        <w:tc>
          <w:tcPr>
            <w:tcW w:w="1960" w:type="dxa"/>
            <w:vAlign w:val="bottom"/>
            <w:vMerge w:val="restart"/>
          </w:tcPr>
          <w:p>
            <w:pPr>
              <w:spacing w:after="0"/>
              <w:rPr>
                <w:sz w:val="20"/>
                <w:szCs w:val="20"/>
                <w:color w:val="auto"/>
              </w:rPr>
            </w:pPr>
            <w:r>
              <w:rPr>
                <w:rFonts w:ascii="Arial" w:cs="Arial" w:eastAsia="Arial" w:hAnsi="Arial"/>
                <w:sz w:val="16"/>
                <w:szCs w:val="16"/>
                <w:b w:val="1"/>
                <w:bCs w:val="1"/>
                <w:color w:val="636466"/>
              </w:rPr>
              <w:t>2023 Proxy Statement</w:t>
            </w:r>
          </w:p>
        </w:tc>
        <w:tc>
          <w:tcPr>
            <w:tcW w:w="3720" w:type="dxa"/>
            <w:vAlign w:val="bottom"/>
            <w:tcBorders>
              <w:bottom w:val="single" w:sz="8" w:color="auto"/>
            </w:tcBorders>
          </w:tcPr>
          <w:p>
            <w:pPr>
              <w:spacing w:after="0"/>
              <w:rPr>
                <w:sz w:val="8"/>
                <w:szCs w:val="8"/>
                <w:color w:val="auto"/>
              </w:rPr>
            </w:pPr>
          </w:p>
        </w:tc>
        <w:tc>
          <w:tcPr>
            <w:tcW w:w="80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A-1</w:t>
            </w:r>
          </w:p>
        </w:tc>
        <w:tc>
          <w:tcPr>
            <w:tcW w:w="3740" w:type="dxa"/>
            <w:vAlign w:val="bottom"/>
            <w:tcBorders>
              <w:bottom w:val="single" w:sz="8" w:color="auto"/>
            </w:tcBorders>
          </w:tcPr>
          <w:p>
            <w:pPr>
              <w:spacing w:after="0"/>
              <w:rPr>
                <w:sz w:val="8"/>
                <w:szCs w:val="8"/>
                <w:color w:val="auto"/>
              </w:rPr>
            </w:pPr>
          </w:p>
        </w:tc>
        <w:tc>
          <w:tcPr>
            <w:tcW w:w="10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960" w:type="dxa"/>
            <w:vAlign w:val="bottom"/>
            <w:vMerge w:val="continue"/>
          </w:tcPr>
          <w:p>
            <w:pPr>
              <w:spacing w:after="0"/>
              <w:rPr>
                <w:sz w:val="9"/>
                <w:szCs w:val="9"/>
                <w:color w:val="auto"/>
              </w:rPr>
            </w:pPr>
          </w:p>
        </w:tc>
        <w:tc>
          <w:tcPr>
            <w:tcW w:w="37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37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9"/>
        </w:trPr>
        <w:tc>
          <w:tcPr>
            <w:tcW w:w="1960" w:type="dxa"/>
            <w:vAlign w:val="bottom"/>
            <w:tcBorders>
              <w:bottom w:val="single" w:sz="8" w:color="C0C0C0"/>
            </w:tcBorders>
          </w:tcPr>
          <w:p>
            <w:pPr>
              <w:spacing w:after="0"/>
              <w:rPr>
                <w:sz w:val="24"/>
                <w:szCs w:val="24"/>
                <w:color w:val="auto"/>
              </w:rPr>
            </w:pPr>
          </w:p>
        </w:tc>
        <w:tc>
          <w:tcPr>
            <w:tcW w:w="3720" w:type="dxa"/>
            <w:vAlign w:val="bottom"/>
            <w:tcBorders>
              <w:bottom w:val="single" w:sz="8" w:color="C0C0C0"/>
            </w:tcBorders>
          </w:tcPr>
          <w:p>
            <w:pPr>
              <w:spacing w:after="0"/>
              <w:rPr>
                <w:sz w:val="24"/>
                <w:szCs w:val="24"/>
                <w:color w:val="auto"/>
              </w:rPr>
            </w:pPr>
          </w:p>
        </w:tc>
        <w:tc>
          <w:tcPr>
            <w:tcW w:w="800" w:type="dxa"/>
            <w:vAlign w:val="bottom"/>
            <w:tcBorders>
              <w:bottom w:val="single" w:sz="8" w:color="C0C0C0"/>
            </w:tcBorders>
          </w:tcPr>
          <w:p>
            <w:pPr>
              <w:spacing w:after="0"/>
              <w:rPr>
                <w:sz w:val="24"/>
                <w:szCs w:val="24"/>
                <w:color w:val="auto"/>
              </w:rPr>
            </w:pPr>
          </w:p>
        </w:tc>
        <w:tc>
          <w:tcPr>
            <w:tcW w:w="3740" w:type="dxa"/>
            <w:vAlign w:val="bottom"/>
            <w:tcBorders>
              <w:bottom w:val="single" w:sz="8" w:color="C0C0C0"/>
            </w:tcBorders>
          </w:tcPr>
          <w:p>
            <w:pPr>
              <w:spacing w:after="0"/>
              <w:rPr>
                <w:sz w:val="24"/>
                <w:szCs w:val="24"/>
                <w:color w:val="auto"/>
              </w:rPr>
            </w:pPr>
          </w:p>
        </w:tc>
        <w:tc>
          <w:tcPr>
            <w:tcW w:w="10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gridSpan w:val="2"/>
          </w:tcPr>
          <w:p>
            <w:pPr>
              <w:spacing w:after="0"/>
              <w:rPr>
                <w:sz w:val="20"/>
                <w:szCs w:val="20"/>
                <w:color w:val="auto"/>
              </w:rPr>
            </w:pPr>
            <w:r>
              <w:rPr>
                <w:rFonts w:ascii="Arial" w:cs="Arial" w:eastAsia="Arial" w:hAnsi="Arial"/>
                <w:sz w:val="14"/>
                <w:szCs w:val="14"/>
                <w:b w:val="1"/>
                <w:bCs w:val="1"/>
                <w:color w:val="0000EE"/>
              </w:rPr>
              <w:t>Back to Contents</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72"/>
        </w:trPr>
        <w:tc>
          <w:tcPr>
            <w:tcW w:w="120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400" w:type="dxa"/>
            <w:vAlign w:val="bottom"/>
            <w:tcBorders>
              <w:bottom w:val="single" w:sz="8" w:color="0233A1"/>
            </w:tcBorders>
          </w:tcPr>
          <w:p>
            <w:pPr>
              <w:spacing w:after="0"/>
              <w:rPr>
                <w:sz w:val="24"/>
                <w:szCs w:val="24"/>
                <w:color w:val="auto"/>
              </w:rPr>
            </w:pPr>
          </w:p>
        </w:tc>
        <w:tc>
          <w:tcPr>
            <w:tcW w:w="960" w:type="dxa"/>
            <w:vAlign w:val="bottom"/>
            <w:tcBorders>
              <w:bottom w:val="single" w:sz="8" w:color="0233A1"/>
            </w:tcBorders>
          </w:tcPr>
          <w:p>
            <w:pPr>
              <w:spacing w:after="0"/>
              <w:rPr>
                <w:sz w:val="24"/>
                <w:szCs w:val="24"/>
                <w:color w:val="auto"/>
              </w:rPr>
            </w:pPr>
          </w:p>
        </w:tc>
        <w:tc>
          <w:tcPr>
            <w:tcW w:w="300" w:type="dxa"/>
            <w:vAlign w:val="bottom"/>
            <w:tcBorders>
              <w:bottom w:val="single" w:sz="8" w:color="0233A1"/>
            </w:tcBorders>
          </w:tcPr>
          <w:p>
            <w:pPr>
              <w:spacing w:after="0"/>
              <w:rPr>
                <w:sz w:val="24"/>
                <w:szCs w:val="24"/>
                <w:color w:val="auto"/>
              </w:rPr>
            </w:pPr>
          </w:p>
        </w:tc>
        <w:tc>
          <w:tcPr>
            <w:tcW w:w="4060" w:type="dxa"/>
            <w:vAlign w:val="bottom"/>
            <w:tcBorders>
              <w:bottom w:val="single" w:sz="8" w:color="0233A1"/>
            </w:tcBorders>
            <w:gridSpan w:val="5"/>
          </w:tcPr>
          <w:p>
            <w:pPr>
              <w:jc w:val="right"/>
              <w:ind w:right="399"/>
              <w:spacing w:after="0"/>
              <w:rPr>
                <w:sz w:val="20"/>
                <w:szCs w:val="20"/>
                <w:color w:val="auto"/>
              </w:rPr>
            </w:pPr>
            <w:r>
              <w:rPr>
                <w:rFonts w:ascii="Arial" w:cs="Arial" w:eastAsia="Arial" w:hAnsi="Arial"/>
                <w:sz w:val="16"/>
                <w:szCs w:val="16"/>
                <w:b w:val="1"/>
                <w:bCs w:val="1"/>
                <w:color w:val="0233A1"/>
              </w:rPr>
              <w:t>(Stated in millions, except per share amounts)</w:t>
            </w:r>
          </w:p>
        </w:tc>
        <w:tc>
          <w:tcPr>
            <w:tcW w:w="440" w:type="dxa"/>
            <w:vAlign w:val="bottom"/>
            <w:tcBorders>
              <w:bottom w:val="single" w:sz="8" w:color="0233A1"/>
            </w:tcBorders>
          </w:tcPr>
          <w:p>
            <w:pPr>
              <w:spacing w:after="0"/>
              <w:rPr>
                <w:sz w:val="24"/>
                <w:szCs w:val="24"/>
                <w:color w:val="auto"/>
              </w:rPr>
            </w:pPr>
          </w:p>
        </w:tc>
        <w:tc>
          <w:tcPr>
            <w:tcW w:w="900" w:type="dxa"/>
            <w:vAlign w:val="bottom"/>
            <w:tcBorders>
              <w:bottom w:val="single" w:sz="8" w:color="0233A1"/>
            </w:tcBorders>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00" w:type="dxa"/>
            <w:vAlign w:val="bottom"/>
            <w:tcBorders>
              <w:bottom w:val="single" w:sz="8" w:color="0233A1"/>
            </w:tcBorders>
          </w:tcPr>
          <w:p>
            <w:pPr>
              <w:spacing w:after="0"/>
              <w:rPr>
                <w:sz w:val="17"/>
                <w:szCs w:val="17"/>
                <w:color w:val="auto"/>
              </w:rPr>
            </w:pPr>
          </w:p>
        </w:tc>
        <w:tc>
          <w:tcPr>
            <w:tcW w:w="960" w:type="dxa"/>
            <w:vAlign w:val="bottom"/>
            <w:tcBorders>
              <w:bottom w:val="single" w:sz="8" w:color="0233A1"/>
            </w:tcBorders>
          </w:tcPr>
          <w:p>
            <w:pPr>
              <w:spacing w:after="0"/>
              <w:rPr>
                <w:sz w:val="17"/>
                <w:szCs w:val="17"/>
                <w:color w:val="auto"/>
              </w:rPr>
            </w:pPr>
          </w:p>
        </w:tc>
        <w:tc>
          <w:tcPr>
            <w:tcW w:w="300" w:type="dxa"/>
            <w:vAlign w:val="bottom"/>
            <w:tcBorders>
              <w:bottom w:val="single" w:sz="8" w:color="0233A1"/>
            </w:tcBorders>
          </w:tcPr>
          <w:p>
            <w:pPr>
              <w:spacing w:after="0"/>
              <w:rPr>
                <w:sz w:val="17"/>
                <w:szCs w:val="17"/>
                <w:color w:val="auto"/>
              </w:rPr>
            </w:pPr>
          </w:p>
        </w:tc>
        <w:tc>
          <w:tcPr>
            <w:tcW w:w="3060" w:type="dxa"/>
            <w:vAlign w:val="bottom"/>
            <w:tcBorders>
              <w:bottom w:val="single" w:sz="8" w:color="0233A1"/>
            </w:tcBorders>
            <w:gridSpan w:val="4"/>
          </w:tcPr>
          <w:p>
            <w:pPr>
              <w:jc w:val="right"/>
              <w:ind w:right="199"/>
              <w:spacing w:after="0"/>
              <w:rPr>
                <w:sz w:val="20"/>
                <w:szCs w:val="20"/>
                <w:color w:val="auto"/>
              </w:rPr>
            </w:pPr>
            <w:r>
              <w:rPr>
                <w:rFonts w:ascii="Arial" w:cs="Arial" w:eastAsia="Arial" w:hAnsi="Arial"/>
                <w:sz w:val="16"/>
                <w:szCs w:val="16"/>
                <w:b w:val="1"/>
                <w:bCs w:val="1"/>
                <w:color w:val="0233A1"/>
              </w:rPr>
              <w:t>Year Ended Dec. 31, 2022</w:t>
            </w:r>
          </w:p>
        </w:tc>
        <w:tc>
          <w:tcPr>
            <w:tcW w:w="1000" w:type="dxa"/>
            <w:vAlign w:val="bottom"/>
            <w:tcBorders>
              <w:bottom w:val="single" w:sz="8" w:color="0233A1"/>
            </w:tcBorders>
          </w:tcPr>
          <w:p>
            <w:pPr>
              <w:spacing w:after="0"/>
              <w:rPr>
                <w:sz w:val="17"/>
                <w:szCs w:val="17"/>
                <w:color w:val="auto"/>
              </w:rPr>
            </w:pPr>
          </w:p>
        </w:tc>
        <w:tc>
          <w:tcPr>
            <w:tcW w:w="440" w:type="dxa"/>
            <w:vAlign w:val="bottom"/>
            <w:tcBorders>
              <w:bottom w:val="single" w:sz="8" w:color="0233A1"/>
            </w:tcBorders>
          </w:tcPr>
          <w:p>
            <w:pPr>
              <w:spacing w:after="0"/>
              <w:rPr>
                <w:sz w:val="17"/>
                <w:szCs w:val="17"/>
                <w:color w:val="auto"/>
              </w:rPr>
            </w:pPr>
          </w:p>
        </w:tc>
        <w:tc>
          <w:tcPr>
            <w:tcW w:w="900" w:type="dxa"/>
            <w:vAlign w:val="bottom"/>
            <w:tcBorders>
              <w:bottom w:val="single" w:sz="8" w:color="0233A1"/>
            </w:tcBorders>
          </w:tcPr>
          <w:p>
            <w:pPr>
              <w:spacing w:after="0"/>
              <w:rPr>
                <w:sz w:val="17"/>
                <w:szCs w:val="17"/>
                <w:color w:val="auto"/>
              </w:rPr>
            </w:pPr>
          </w:p>
        </w:tc>
      </w:tr>
      <w:tr>
        <w:trPr>
          <w:trHeight w:val="183"/>
        </w:trPr>
        <w:tc>
          <w:tcPr>
            <w:tcW w:w="12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ind w:right="79"/>
              <w:spacing w:after="0" w:line="183" w:lineRule="exact"/>
              <w:rPr>
                <w:sz w:val="20"/>
                <w:szCs w:val="20"/>
                <w:color w:val="auto"/>
              </w:rPr>
            </w:pPr>
            <w:r>
              <w:rPr>
                <w:rFonts w:ascii="Arial" w:cs="Arial" w:eastAsia="Arial" w:hAnsi="Arial"/>
                <w:sz w:val="16"/>
                <w:szCs w:val="16"/>
                <w:b w:val="1"/>
                <w:bCs w:val="1"/>
                <w:color w:val="0233A1"/>
              </w:rPr>
              <w:t>Noncont.</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ind w:right="80"/>
              <w:spacing w:after="0" w:line="183" w:lineRule="exact"/>
              <w:rPr>
                <w:sz w:val="20"/>
                <w:szCs w:val="20"/>
                <w:color w:val="auto"/>
              </w:rPr>
            </w:pPr>
            <w:r>
              <w:rPr>
                <w:rFonts w:ascii="Arial" w:cs="Arial" w:eastAsia="Arial" w:hAnsi="Arial"/>
                <w:sz w:val="16"/>
                <w:szCs w:val="16"/>
                <w:b w:val="1"/>
                <w:bCs w:val="1"/>
                <w:color w:val="0233A1"/>
              </w:rPr>
              <w:t>Diluted</w:t>
            </w:r>
          </w:p>
        </w:tc>
      </w:tr>
      <w:tr>
        <w:trPr>
          <w:trHeight w:val="243"/>
        </w:trPr>
        <w:tc>
          <w:tcPr>
            <w:tcW w:w="1200" w:type="dxa"/>
            <w:vAlign w:val="bottom"/>
            <w:tcBorders>
              <w:bottom w:val="single" w:sz="8" w:color="0233A1"/>
            </w:tcBorders>
          </w:tcPr>
          <w:p>
            <w:pPr>
              <w:spacing w:after="0"/>
              <w:rPr>
                <w:sz w:val="21"/>
                <w:szCs w:val="21"/>
                <w:color w:val="auto"/>
              </w:rPr>
            </w:pPr>
          </w:p>
        </w:tc>
        <w:tc>
          <w:tcPr>
            <w:tcW w:w="2980" w:type="dxa"/>
            <w:vAlign w:val="bottom"/>
            <w:tcBorders>
              <w:bottom w:val="single" w:sz="8" w:color="0233A1"/>
            </w:tcBorders>
          </w:tcPr>
          <w:p>
            <w:pPr>
              <w:spacing w:after="0"/>
              <w:rPr>
                <w:sz w:val="21"/>
                <w:szCs w:val="21"/>
                <w:color w:val="auto"/>
              </w:rPr>
            </w:pPr>
          </w:p>
        </w:tc>
        <w:tc>
          <w:tcPr>
            <w:tcW w:w="400" w:type="dxa"/>
            <w:vAlign w:val="bottom"/>
            <w:tcBorders>
              <w:bottom w:val="single" w:sz="8" w:color="0233A1"/>
            </w:tcBorders>
          </w:tcPr>
          <w:p>
            <w:pPr>
              <w:spacing w:after="0"/>
              <w:rPr>
                <w:sz w:val="21"/>
                <w:szCs w:val="21"/>
                <w:color w:val="auto"/>
              </w:rPr>
            </w:pPr>
          </w:p>
        </w:tc>
        <w:tc>
          <w:tcPr>
            <w:tcW w:w="960" w:type="dxa"/>
            <w:vAlign w:val="bottom"/>
            <w:tcBorders>
              <w:bottom w:val="single" w:sz="8" w:color="0233A1"/>
            </w:tcBorders>
          </w:tcPr>
          <w:p>
            <w:pPr>
              <w:jc w:val="right"/>
              <w:ind w:right="139"/>
              <w:spacing w:after="0"/>
              <w:rPr>
                <w:sz w:val="20"/>
                <w:szCs w:val="20"/>
                <w:color w:val="auto"/>
              </w:rPr>
            </w:pPr>
            <w:r>
              <w:rPr>
                <w:rFonts w:ascii="Arial" w:cs="Arial" w:eastAsia="Arial" w:hAnsi="Arial"/>
                <w:sz w:val="16"/>
                <w:szCs w:val="16"/>
                <w:b w:val="1"/>
                <w:bCs w:val="1"/>
                <w:color w:val="0233A1"/>
              </w:rPr>
              <w:t>Pretax</w:t>
            </w:r>
          </w:p>
        </w:tc>
        <w:tc>
          <w:tcPr>
            <w:tcW w:w="300" w:type="dxa"/>
            <w:vAlign w:val="bottom"/>
            <w:tcBorders>
              <w:bottom w:val="single" w:sz="8" w:color="0233A1"/>
            </w:tcBorders>
          </w:tcPr>
          <w:p>
            <w:pPr>
              <w:spacing w:after="0"/>
              <w:rPr>
                <w:sz w:val="21"/>
                <w:szCs w:val="21"/>
                <w:color w:val="auto"/>
              </w:rPr>
            </w:pPr>
          </w:p>
        </w:tc>
        <w:tc>
          <w:tcPr>
            <w:tcW w:w="1180" w:type="dxa"/>
            <w:vAlign w:val="bottom"/>
            <w:tcBorders>
              <w:bottom w:val="single" w:sz="8" w:color="0233A1"/>
            </w:tcBorders>
          </w:tcPr>
          <w:p>
            <w:pPr>
              <w:jc w:val="right"/>
              <w:ind w:right="139"/>
              <w:spacing w:after="0"/>
              <w:rPr>
                <w:sz w:val="20"/>
                <w:szCs w:val="20"/>
                <w:color w:val="auto"/>
              </w:rPr>
            </w:pPr>
            <w:r>
              <w:rPr>
                <w:rFonts w:ascii="Arial" w:cs="Arial" w:eastAsia="Arial" w:hAnsi="Arial"/>
                <w:sz w:val="16"/>
                <w:szCs w:val="16"/>
                <w:b w:val="1"/>
                <w:bCs w:val="1"/>
                <w:color w:val="0233A1"/>
              </w:rPr>
              <w:t>Tax</w:t>
            </w:r>
          </w:p>
        </w:tc>
        <w:tc>
          <w:tcPr>
            <w:tcW w:w="400" w:type="dxa"/>
            <w:vAlign w:val="bottom"/>
            <w:tcBorders>
              <w:bottom w:val="single" w:sz="8" w:color="0233A1"/>
            </w:tcBorders>
          </w:tcPr>
          <w:p>
            <w:pPr>
              <w:spacing w:after="0"/>
              <w:rPr>
                <w:sz w:val="21"/>
                <w:szCs w:val="21"/>
                <w:color w:val="auto"/>
              </w:rPr>
            </w:pPr>
          </w:p>
        </w:tc>
        <w:tc>
          <w:tcPr>
            <w:tcW w:w="1020" w:type="dxa"/>
            <w:vAlign w:val="bottom"/>
            <w:tcBorders>
              <w:bottom w:val="single" w:sz="8" w:color="0233A1"/>
            </w:tcBorders>
          </w:tcPr>
          <w:p>
            <w:pPr>
              <w:jc w:val="right"/>
              <w:ind w:right="79"/>
              <w:spacing w:after="0"/>
              <w:rPr>
                <w:sz w:val="20"/>
                <w:szCs w:val="20"/>
                <w:color w:val="auto"/>
              </w:rPr>
            </w:pPr>
            <w:r>
              <w:rPr>
                <w:rFonts w:ascii="Arial" w:cs="Arial" w:eastAsia="Arial" w:hAnsi="Arial"/>
                <w:sz w:val="16"/>
                <w:szCs w:val="16"/>
                <w:b w:val="1"/>
                <w:bCs w:val="1"/>
                <w:color w:val="0233A1"/>
              </w:rPr>
              <w:t>Interests</w:t>
            </w:r>
          </w:p>
        </w:tc>
        <w:tc>
          <w:tcPr>
            <w:tcW w:w="460" w:type="dxa"/>
            <w:vAlign w:val="bottom"/>
            <w:tcBorders>
              <w:bottom w:val="single" w:sz="8" w:color="0233A1"/>
            </w:tcBorders>
          </w:tcPr>
          <w:p>
            <w:pPr>
              <w:spacing w:after="0"/>
              <w:rPr>
                <w:sz w:val="21"/>
                <w:szCs w:val="21"/>
                <w:color w:val="auto"/>
              </w:rPr>
            </w:pPr>
          </w:p>
        </w:tc>
        <w:tc>
          <w:tcPr>
            <w:tcW w:w="1000" w:type="dxa"/>
            <w:vAlign w:val="bottom"/>
            <w:tcBorders>
              <w:bottom w:val="single" w:sz="8" w:color="0233A1"/>
            </w:tcBorders>
          </w:tcPr>
          <w:p>
            <w:pPr>
              <w:jc w:val="right"/>
              <w:ind w:right="119"/>
              <w:spacing w:after="0"/>
              <w:rPr>
                <w:sz w:val="20"/>
                <w:szCs w:val="20"/>
                <w:color w:val="auto"/>
              </w:rPr>
            </w:pPr>
            <w:r>
              <w:rPr>
                <w:rFonts w:ascii="Arial" w:cs="Arial" w:eastAsia="Arial" w:hAnsi="Arial"/>
                <w:sz w:val="16"/>
                <w:szCs w:val="16"/>
                <w:b w:val="1"/>
                <w:bCs w:val="1"/>
                <w:color w:val="0233A1"/>
              </w:rPr>
              <w:t>Net</w:t>
            </w:r>
          </w:p>
        </w:tc>
        <w:tc>
          <w:tcPr>
            <w:tcW w:w="440" w:type="dxa"/>
            <w:vAlign w:val="bottom"/>
            <w:tcBorders>
              <w:bottom w:val="single" w:sz="8" w:color="0233A1"/>
            </w:tcBorders>
          </w:tcPr>
          <w:p>
            <w:pPr>
              <w:spacing w:after="0"/>
              <w:rPr>
                <w:sz w:val="21"/>
                <w:szCs w:val="21"/>
                <w:color w:val="auto"/>
              </w:rPr>
            </w:pPr>
          </w:p>
        </w:tc>
        <w:tc>
          <w:tcPr>
            <w:tcW w:w="900" w:type="dxa"/>
            <w:vAlign w:val="bottom"/>
            <w:tcBorders>
              <w:bottom w:val="single" w:sz="8" w:color="0233A1"/>
            </w:tcBorders>
          </w:tcPr>
          <w:p>
            <w:pPr>
              <w:jc w:val="right"/>
              <w:ind w:right="20"/>
              <w:spacing w:after="0" w:line="243" w:lineRule="exact"/>
              <w:rPr>
                <w:sz w:val="20"/>
                <w:szCs w:val="20"/>
                <w:color w:val="auto"/>
              </w:rPr>
            </w:pPr>
            <w:r>
              <w:rPr>
                <w:rFonts w:ascii="Arial" w:cs="Arial" w:eastAsia="Arial" w:hAnsi="Arial"/>
                <w:sz w:val="28"/>
                <w:szCs w:val="28"/>
                <w:b w:val="1"/>
                <w:bCs w:val="1"/>
                <w:color w:val="0233A1"/>
                <w:vertAlign w:val="subscript"/>
              </w:rPr>
              <w:t>EPS</w:t>
            </w:r>
            <w:r>
              <w:rPr>
                <w:rFonts w:ascii="Arial" w:cs="Arial" w:eastAsia="Arial" w:hAnsi="Arial"/>
                <w:sz w:val="12"/>
                <w:szCs w:val="12"/>
                <w:b w:val="1"/>
                <w:bCs w:val="1"/>
                <w:color w:val="0233A1"/>
              </w:rPr>
              <w:t>(1)</w:t>
            </w:r>
          </w:p>
        </w:tc>
      </w:tr>
      <w:tr>
        <w:trPr>
          <w:trHeight w:val="195"/>
        </w:trPr>
        <w:tc>
          <w:tcPr>
            <w:tcW w:w="4180" w:type="dxa"/>
            <w:vAlign w:val="bottom"/>
            <w:gridSpan w:val="2"/>
          </w:tcPr>
          <w:p>
            <w:pPr>
              <w:ind w:left="60"/>
              <w:spacing w:after="0"/>
              <w:rPr>
                <w:sz w:val="20"/>
                <w:szCs w:val="20"/>
                <w:color w:val="auto"/>
              </w:rPr>
            </w:pPr>
            <w:r>
              <w:rPr>
                <w:rFonts w:ascii="Arial" w:cs="Arial" w:eastAsia="Arial" w:hAnsi="Arial"/>
                <w:sz w:val="16"/>
                <w:szCs w:val="16"/>
                <w:b w:val="1"/>
                <w:bCs w:val="1"/>
                <w:color w:val="auto"/>
              </w:rPr>
              <w:t>Net income attributable to SLB – GAAP basis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4,271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779</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51</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3,441</w:t>
            </w:r>
          </w:p>
        </w:tc>
        <w:tc>
          <w:tcPr>
            <w:tcW w:w="4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2.39</w:t>
            </w:r>
          </w:p>
        </w:tc>
      </w:tr>
      <w:tr>
        <w:trPr>
          <w:trHeight w:val="215"/>
        </w:trPr>
        <w:tc>
          <w:tcPr>
            <w:tcW w:w="4180" w:type="dxa"/>
            <w:vAlign w:val="bottom"/>
            <w:gridSpan w:val="2"/>
          </w:tcPr>
          <w:p>
            <w:pPr>
              <w:ind w:left="180"/>
              <w:spacing w:after="0"/>
              <w:rPr>
                <w:sz w:val="20"/>
                <w:szCs w:val="20"/>
                <w:color w:val="auto"/>
              </w:rPr>
            </w:pPr>
            <w:r>
              <w:rPr>
                <w:rFonts w:ascii="Arial" w:cs="Arial" w:eastAsia="Arial" w:hAnsi="Arial"/>
                <w:sz w:val="16"/>
                <w:szCs w:val="16"/>
                <w:color w:val="auto"/>
              </w:rPr>
              <w:t>Gain on Arabian Drilling Company equity investment</w:t>
            </w:r>
          </w:p>
        </w:tc>
        <w:tc>
          <w:tcPr>
            <w:tcW w:w="40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(107)</w:t>
            </w:r>
          </w:p>
        </w:tc>
        <w:tc>
          <w:tcPr>
            <w:tcW w:w="30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40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(104)</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(0.07)</w:t>
            </w:r>
          </w:p>
        </w:tc>
      </w:tr>
      <w:tr>
        <w:trPr>
          <w:trHeight w:val="216"/>
        </w:trPr>
        <w:tc>
          <w:tcPr>
            <w:tcW w:w="4180" w:type="dxa"/>
            <w:vAlign w:val="bottom"/>
            <w:gridSpan w:val="2"/>
          </w:tcPr>
          <w:p>
            <w:pPr>
              <w:ind w:left="180"/>
              <w:spacing w:after="0"/>
              <w:rPr>
                <w:sz w:val="20"/>
                <w:szCs w:val="20"/>
                <w:color w:val="auto"/>
              </w:rPr>
            </w:pPr>
            <w:r>
              <w:rPr>
                <w:rFonts w:ascii="Arial" w:cs="Arial" w:eastAsia="Arial" w:hAnsi="Arial"/>
                <w:sz w:val="16"/>
                <w:szCs w:val="16"/>
                <w:color w:val="auto"/>
              </w:rPr>
              <w:t>Gain on sale of Liberty shares</w:t>
            </w:r>
          </w:p>
        </w:tc>
        <w:tc>
          <w:tcPr>
            <w:tcW w:w="40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(325)</w:t>
            </w:r>
          </w:p>
        </w:tc>
        <w:tc>
          <w:tcPr>
            <w:tcW w:w="30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(37)</w:t>
            </w:r>
          </w:p>
        </w:tc>
        <w:tc>
          <w:tcPr>
            <w:tcW w:w="40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(288)</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(0.21)</w:t>
            </w:r>
          </w:p>
        </w:tc>
      </w:tr>
      <w:tr>
        <w:trPr>
          <w:trHeight w:val="216"/>
        </w:trPr>
        <w:tc>
          <w:tcPr>
            <w:tcW w:w="4180" w:type="dxa"/>
            <w:vAlign w:val="bottom"/>
            <w:gridSpan w:val="2"/>
          </w:tcPr>
          <w:p>
            <w:pPr>
              <w:ind w:left="180"/>
              <w:spacing w:after="0"/>
              <w:rPr>
                <w:sz w:val="20"/>
                <w:szCs w:val="20"/>
                <w:color w:val="auto"/>
              </w:rPr>
            </w:pPr>
            <w:r>
              <w:rPr>
                <w:rFonts w:ascii="Arial" w:cs="Arial" w:eastAsia="Arial" w:hAnsi="Arial"/>
                <w:sz w:val="16"/>
                <w:szCs w:val="16"/>
                <w:color w:val="auto"/>
              </w:rPr>
              <w:t>Gain on repurchase of bonds</w:t>
            </w:r>
          </w:p>
        </w:tc>
        <w:tc>
          <w:tcPr>
            <w:tcW w:w="40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40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16"/>
        </w:trPr>
        <w:tc>
          <w:tcPr>
            <w:tcW w:w="4180" w:type="dxa"/>
            <w:vAlign w:val="bottom"/>
            <w:gridSpan w:val="2"/>
          </w:tcPr>
          <w:p>
            <w:pPr>
              <w:ind w:left="180"/>
              <w:spacing w:after="0"/>
              <w:rPr>
                <w:sz w:val="20"/>
                <w:szCs w:val="20"/>
                <w:color w:val="auto"/>
              </w:rPr>
            </w:pPr>
            <w:r>
              <w:rPr>
                <w:rFonts w:ascii="Arial" w:cs="Arial" w:eastAsia="Arial" w:hAnsi="Arial"/>
                <w:sz w:val="16"/>
                <w:szCs w:val="16"/>
                <w:color w:val="auto"/>
              </w:rPr>
              <w:t>Loss on Blue Chip Swap transactions</w:t>
            </w:r>
          </w:p>
        </w:tc>
        <w:tc>
          <w:tcPr>
            <w:tcW w:w="40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139</w:t>
            </w:r>
          </w:p>
        </w:tc>
        <w:tc>
          <w:tcPr>
            <w:tcW w:w="30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139</w:t>
            </w:r>
          </w:p>
        </w:tc>
        <w:tc>
          <w:tcPr>
            <w:tcW w:w="44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0.10</w:t>
            </w:r>
          </w:p>
        </w:tc>
      </w:tr>
      <w:tr>
        <w:trPr>
          <w:trHeight w:val="217"/>
        </w:trPr>
        <w:tc>
          <w:tcPr>
            <w:tcW w:w="4180" w:type="dxa"/>
            <w:vAlign w:val="bottom"/>
            <w:tcBorders>
              <w:bottom w:val="single" w:sz="8" w:color="16458B"/>
            </w:tcBorders>
            <w:gridSpan w:val="2"/>
          </w:tcPr>
          <w:p>
            <w:pPr>
              <w:ind w:left="180"/>
              <w:spacing w:after="0"/>
              <w:rPr>
                <w:sz w:val="20"/>
                <w:szCs w:val="20"/>
                <w:color w:val="auto"/>
              </w:rPr>
            </w:pPr>
            <w:r>
              <w:rPr>
                <w:rFonts w:ascii="Arial" w:cs="Arial" w:eastAsia="Arial" w:hAnsi="Arial"/>
                <w:sz w:val="16"/>
                <w:szCs w:val="16"/>
                <w:color w:val="auto"/>
              </w:rPr>
              <w:t>Gain on sale of real estate</w:t>
            </w:r>
          </w:p>
        </w:tc>
        <w:tc>
          <w:tcPr>
            <w:tcW w:w="400" w:type="dxa"/>
            <w:vAlign w:val="bottom"/>
            <w:tcBorders>
              <w:bottom w:val="single" w:sz="8" w:color="16458B"/>
            </w:tcBorders>
          </w:tcPr>
          <w:p>
            <w:pPr>
              <w:spacing w:after="0"/>
              <w:rPr>
                <w:sz w:val="18"/>
                <w:szCs w:val="18"/>
                <w:color w:val="auto"/>
              </w:rPr>
            </w:pPr>
          </w:p>
        </w:tc>
        <w:tc>
          <w:tcPr>
            <w:tcW w:w="960" w:type="dxa"/>
            <w:vAlign w:val="bottom"/>
            <w:tcBorders>
              <w:bottom w:val="single" w:sz="8" w:color="16458B"/>
            </w:tcBorders>
          </w:tcPr>
          <w:p>
            <w:pPr>
              <w:jc w:val="right"/>
              <w:ind w:right="99"/>
              <w:spacing w:after="0"/>
              <w:rPr>
                <w:sz w:val="20"/>
                <w:szCs w:val="20"/>
                <w:color w:val="auto"/>
              </w:rPr>
            </w:pPr>
            <w:r>
              <w:rPr>
                <w:rFonts w:ascii="Arial" w:cs="Arial" w:eastAsia="Arial" w:hAnsi="Arial"/>
                <w:sz w:val="16"/>
                <w:szCs w:val="16"/>
                <w:color w:val="auto"/>
              </w:rPr>
              <w:t>(43)</w:t>
            </w:r>
          </w:p>
        </w:tc>
        <w:tc>
          <w:tcPr>
            <w:tcW w:w="300" w:type="dxa"/>
            <w:vAlign w:val="bottom"/>
            <w:tcBorders>
              <w:bottom w:val="single" w:sz="8" w:color="16458B"/>
            </w:tcBorders>
          </w:tcPr>
          <w:p>
            <w:pPr>
              <w:spacing w:after="0"/>
              <w:rPr>
                <w:sz w:val="18"/>
                <w:szCs w:val="18"/>
                <w:color w:val="auto"/>
              </w:rPr>
            </w:pPr>
          </w:p>
        </w:tc>
        <w:tc>
          <w:tcPr>
            <w:tcW w:w="1180" w:type="dxa"/>
            <w:vAlign w:val="bottom"/>
            <w:tcBorders>
              <w:bottom w:val="single" w:sz="8" w:color="16458B"/>
            </w:tcBorders>
          </w:tcPr>
          <w:p>
            <w:pPr>
              <w:jc w:val="right"/>
              <w:ind w:right="79"/>
              <w:spacing w:after="0"/>
              <w:rPr>
                <w:sz w:val="20"/>
                <w:szCs w:val="20"/>
                <w:color w:val="auto"/>
              </w:rPr>
            </w:pPr>
            <w:r>
              <w:rPr>
                <w:rFonts w:ascii="Arial" w:cs="Arial" w:eastAsia="Arial" w:hAnsi="Arial"/>
                <w:sz w:val="16"/>
                <w:szCs w:val="16"/>
                <w:color w:val="auto"/>
              </w:rPr>
              <w:t>(2)</w:t>
            </w:r>
          </w:p>
        </w:tc>
        <w:tc>
          <w:tcPr>
            <w:tcW w:w="400" w:type="dxa"/>
            <w:vAlign w:val="bottom"/>
            <w:tcBorders>
              <w:bottom w:val="single" w:sz="8" w:color="16458B"/>
            </w:tcBorders>
          </w:tcPr>
          <w:p>
            <w:pPr>
              <w:spacing w:after="0"/>
              <w:rPr>
                <w:sz w:val="18"/>
                <w:szCs w:val="18"/>
                <w:color w:val="auto"/>
              </w:rPr>
            </w:pPr>
          </w:p>
        </w:tc>
        <w:tc>
          <w:tcPr>
            <w:tcW w:w="1020" w:type="dxa"/>
            <w:vAlign w:val="bottom"/>
            <w:tcBorders>
              <w:bottom w:val="single" w:sz="8" w:color="16458B"/>
            </w:tcBorders>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16458B"/>
            </w:tcBorders>
          </w:tcPr>
          <w:p>
            <w:pPr>
              <w:spacing w:after="0"/>
              <w:rPr>
                <w:sz w:val="18"/>
                <w:szCs w:val="18"/>
                <w:color w:val="auto"/>
              </w:rPr>
            </w:pPr>
          </w:p>
        </w:tc>
        <w:tc>
          <w:tcPr>
            <w:tcW w:w="1000" w:type="dxa"/>
            <w:vAlign w:val="bottom"/>
            <w:tcBorders>
              <w:bottom w:val="single" w:sz="8" w:color="16458B"/>
            </w:tcBorders>
          </w:tcPr>
          <w:p>
            <w:pPr>
              <w:jc w:val="right"/>
              <w:ind w:right="59"/>
              <w:spacing w:after="0"/>
              <w:rPr>
                <w:sz w:val="20"/>
                <w:szCs w:val="20"/>
                <w:color w:val="auto"/>
              </w:rPr>
            </w:pPr>
            <w:r>
              <w:rPr>
                <w:rFonts w:ascii="Arial" w:cs="Arial" w:eastAsia="Arial" w:hAnsi="Arial"/>
                <w:sz w:val="16"/>
                <w:szCs w:val="16"/>
                <w:color w:val="auto"/>
              </w:rPr>
              <w:t>(41)</w:t>
            </w:r>
          </w:p>
        </w:tc>
        <w:tc>
          <w:tcPr>
            <w:tcW w:w="440" w:type="dxa"/>
            <w:vAlign w:val="bottom"/>
            <w:tcBorders>
              <w:bottom w:val="single" w:sz="8" w:color="16458B"/>
            </w:tcBorders>
          </w:tcPr>
          <w:p>
            <w:pPr>
              <w:spacing w:after="0"/>
              <w:rPr>
                <w:sz w:val="18"/>
                <w:szCs w:val="18"/>
                <w:color w:val="auto"/>
              </w:rPr>
            </w:pPr>
          </w:p>
        </w:tc>
        <w:tc>
          <w:tcPr>
            <w:tcW w:w="900" w:type="dxa"/>
            <w:vAlign w:val="bottom"/>
            <w:tcBorders>
              <w:bottom w:val="single" w:sz="8" w:color="16458B"/>
            </w:tcBorders>
          </w:tcPr>
          <w:p>
            <w:pPr>
              <w:jc w:val="right"/>
              <w:spacing w:after="0"/>
              <w:rPr>
                <w:sz w:val="20"/>
                <w:szCs w:val="20"/>
                <w:color w:val="auto"/>
              </w:rPr>
            </w:pPr>
            <w:r>
              <w:rPr>
                <w:rFonts w:ascii="Arial" w:cs="Arial" w:eastAsia="Arial" w:hAnsi="Arial"/>
                <w:sz w:val="16"/>
                <w:szCs w:val="16"/>
                <w:color w:val="auto"/>
              </w:rPr>
              <w:t>(0.03)</w:t>
            </w:r>
          </w:p>
        </w:tc>
      </w:tr>
      <w:tr>
        <w:trPr>
          <w:trHeight w:val="169"/>
        </w:trPr>
        <w:tc>
          <w:tcPr>
            <w:tcW w:w="4180" w:type="dxa"/>
            <w:vAlign w:val="bottom"/>
            <w:gridSpan w:val="2"/>
          </w:tcPr>
          <w:p>
            <w:pPr>
              <w:ind w:left="60"/>
              <w:spacing w:after="0" w:line="169" w:lineRule="exact"/>
              <w:rPr>
                <w:sz w:val="20"/>
                <w:szCs w:val="20"/>
                <w:color w:val="auto"/>
              </w:rPr>
            </w:pPr>
            <w:r>
              <w:rPr>
                <w:rFonts w:ascii="Arial" w:cs="Arial" w:eastAsia="Arial" w:hAnsi="Arial"/>
                <w:sz w:val="16"/>
                <w:szCs w:val="16"/>
                <w:b w:val="1"/>
                <w:bCs w:val="1"/>
                <w:color w:val="auto"/>
              </w:rPr>
              <w:t>Net income attributable to SLB, excluding charges</w:t>
            </w:r>
          </w:p>
        </w:tc>
        <w:tc>
          <w:tcPr>
            <w:tcW w:w="400" w:type="dxa"/>
            <w:vAlign w:val="bottom"/>
          </w:tcPr>
          <w:p>
            <w:pPr>
              <w:jc w:val="right"/>
              <w:ind w:right="199"/>
              <w:spacing w:after="0" w:line="169"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3,924</w:t>
            </w:r>
          </w:p>
        </w:tc>
        <w:tc>
          <w:tcPr>
            <w:tcW w:w="30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735</w:t>
            </w:r>
          </w:p>
        </w:tc>
        <w:tc>
          <w:tcPr>
            <w:tcW w:w="400" w:type="dxa"/>
            <w:vAlign w:val="bottom"/>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line="169" w:lineRule="exact"/>
              <w:rPr>
                <w:sz w:val="20"/>
                <w:szCs w:val="20"/>
                <w:color w:val="auto"/>
              </w:rPr>
            </w:pPr>
            <w:r>
              <w:rPr>
                <w:rFonts w:ascii="Arial" w:cs="Arial" w:eastAsia="Arial" w:hAnsi="Arial"/>
                <w:sz w:val="16"/>
                <w:szCs w:val="16"/>
                <w:color w:val="auto"/>
              </w:rPr>
              <w:t>51</w:t>
            </w:r>
          </w:p>
        </w:tc>
        <w:tc>
          <w:tcPr>
            <w:tcW w:w="460" w:type="dxa"/>
            <w:vAlign w:val="bottom"/>
          </w:tcPr>
          <w:p>
            <w:pPr>
              <w:jc w:val="right"/>
              <w:ind w:right="119"/>
              <w:spacing w:after="0" w:line="169"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119"/>
              <w:spacing w:after="0" w:line="169" w:lineRule="exact"/>
              <w:rPr>
                <w:sz w:val="20"/>
                <w:szCs w:val="20"/>
                <w:color w:val="auto"/>
              </w:rPr>
            </w:pPr>
            <w:r>
              <w:rPr>
                <w:rFonts w:ascii="Arial" w:cs="Arial" w:eastAsia="Arial" w:hAnsi="Arial"/>
                <w:sz w:val="16"/>
                <w:szCs w:val="16"/>
                <w:color w:val="auto"/>
              </w:rPr>
              <w:t>3,138</w:t>
            </w:r>
          </w:p>
        </w:tc>
        <w:tc>
          <w:tcPr>
            <w:tcW w:w="440" w:type="dxa"/>
            <w:vAlign w:val="bottom"/>
          </w:tcPr>
          <w:p>
            <w:pPr>
              <w:jc w:val="right"/>
              <w:ind w:right="119"/>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line="169" w:lineRule="exact"/>
              <w:rPr>
                <w:sz w:val="20"/>
                <w:szCs w:val="20"/>
                <w:color w:val="auto"/>
              </w:rPr>
            </w:pPr>
            <w:r>
              <w:rPr>
                <w:rFonts w:ascii="Arial" w:cs="Arial" w:eastAsia="Arial" w:hAnsi="Arial"/>
                <w:sz w:val="16"/>
                <w:szCs w:val="16"/>
                <w:color w:val="auto"/>
              </w:rPr>
              <w:t>2.18</w:t>
            </w:r>
          </w:p>
        </w:tc>
      </w:tr>
      <w:tr>
        <w:trPr>
          <w:trHeight w:val="210"/>
        </w:trPr>
        <w:tc>
          <w:tcPr>
            <w:tcW w:w="4180" w:type="dxa"/>
            <w:vAlign w:val="bottom"/>
            <w:tcBorders>
              <w:bottom w:val="single" w:sz="8" w:color="0233A1"/>
            </w:tcBorders>
            <w:gridSpan w:val="2"/>
          </w:tcPr>
          <w:p>
            <w:pPr>
              <w:ind w:left="60"/>
              <w:spacing w:after="0"/>
              <w:rPr>
                <w:sz w:val="20"/>
                <w:szCs w:val="20"/>
                <w:color w:val="auto"/>
              </w:rPr>
            </w:pPr>
            <w:r>
              <w:rPr>
                <w:rFonts w:ascii="Arial" w:cs="Arial" w:eastAsia="Arial" w:hAnsi="Arial"/>
                <w:sz w:val="16"/>
                <w:szCs w:val="16"/>
                <w:b w:val="1"/>
                <w:bCs w:val="1"/>
                <w:color w:val="auto"/>
              </w:rPr>
              <w:t>and credits</w:t>
            </w:r>
          </w:p>
        </w:tc>
        <w:tc>
          <w:tcPr>
            <w:tcW w:w="400" w:type="dxa"/>
            <w:vAlign w:val="bottom"/>
            <w:tcBorders>
              <w:bottom w:val="single" w:sz="8" w:color="0233A1"/>
            </w:tcBorders>
          </w:tcPr>
          <w:p>
            <w:pPr>
              <w:spacing w:after="0"/>
              <w:rPr>
                <w:sz w:val="18"/>
                <w:szCs w:val="18"/>
                <w:color w:val="auto"/>
              </w:rPr>
            </w:pPr>
          </w:p>
        </w:tc>
        <w:tc>
          <w:tcPr>
            <w:tcW w:w="960" w:type="dxa"/>
            <w:vAlign w:val="bottom"/>
            <w:tcBorders>
              <w:bottom w:val="single" w:sz="8" w:color="0233A1"/>
            </w:tcBorders>
          </w:tcPr>
          <w:p>
            <w:pPr>
              <w:spacing w:after="0"/>
              <w:rPr>
                <w:sz w:val="18"/>
                <w:szCs w:val="18"/>
                <w:color w:val="auto"/>
              </w:rPr>
            </w:pPr>
          </w:p>
        </w:tc>
        <w:tc>
          <w:tcPr>
            <w:tcW w:w="300" w:type="dxa"/>
            <w:vAlign w:val="bottom"/>
            <w:tcBorders>
              <w:bottom w:val="single" w:sz="8" w:color="0233A1"/>
            </w:tcBorders>
          </w:tcPr>
          <w:p>
            <w:pPr>
              <w:spacing w:after="0"/>
              <w:rPr>
                <w:sz w:val="18"/>
                <w:szCs w:val="18"/>
                <w:color w:val="auto"/>
              </w:rPr>
            </w:pPr>
          </w:p>
        </w:tc>
        <w:tc>
          <w:tcPr>
            <w:tcW w:w="1180" w:type="dxa"/>
            <w:vAlign w:val="bottom"/>
            <w:tcBorders>
              <w:bottom w:val="single" w:sz="8" w:color="0233A1"/>
            </w:tcBorders>
          </w:tcPr>
          <w:p>
            <w:pPr>
              <w:spacing w:after="0"/>
              <w:rPr>
                <w:sz w:val="18"/>
                <w:szCs w:val="18"/>
                <w:color w:val="auto"/>
              </w:rPr>
            </w:pPr>
          </w:p>
        </w:tc>
        <w:tc>
          <w:tcPr>
            <w:tcW w:w="400" w:type="dxa"/>
            <w:vAlign w:val="bottom"/>
            <w:tcBorders>
              <w:bottom w:val="single" w:sz="8" w:color="0233A1"/>
            </w:tcBorders>
          </w:tcPr>
          <w:p>
            <w:pPr>
              <w:spacing w:after="0"/>
              <w:rPr>
                <w:sz w:val="18"/>
                <w:szCs w:val="18"/>
                <w:color w:val="auto"/>
              </w:rPr>
            </w:pPr>
          </w:p>
        </w:tc>
        <w:tc>
          <w:tcPr>
            <w:tcW w:w="1020" w:type="dxa"/>
            <w:vAlign w:val="bottom"/>
            <w:tcBorders>
              <w:bottom w:val="single" w:sz="8" w:color="0233A1"/>
            </w:tcBorders>
          </w:tcPr>
          <w:p>
            <w:pPr>
              <w:spacing w:after="0"/>
              <w:rPr>
                <w:sz w:val="18"/>
                <w:szCs w:val="18"/>
                <w:color w:val="auto"/>
              </w:rPr>
            </w:pPr>
          </w:p>
        </w:tc>
        <w:tc>
          <w:tcPr>
            <w:tcW w:w="460" w:type="dxa"/>
            <w:vAlign w:val="bottom"/>
            <w:tcBorders>
              <w:bottom w:val="single" w:sz="8" w:color="0233A1"/>
            </w:tcBorders>
          </w:tcPr>
          <w:p>
            <w:pPr>
              <w:spacing w:after="0"/>
              <w:rPr>
                <w:sz w:val="18"/>
                <w:szCs w:val="18"/>
                <w:color w:val="auto"/>
              </w:rPr>
            </w:pPr>
          </w:p>
        </w:tc>
        <w:tc>
          <w:tcPr>
            <w:tcW w:w="1000" w:type="dxa"/>
            <w:vAlign w:val="bottom"/>
            <w:tcBorders>
              <w:bottom w:val="single" w:sz="8" w:color="0233A1"/>
            </w:tcBorders>
          </w:tcPr>
          <w:p>
            <w:pPr>
              <w:spacing w:after="0"/>
              <w:rPr>
                <w:sz w:val="18"/>
                <w:szCs w:val="18"/>
                <w:color w:val="auto"/>
              </w:rPr>
            </w:pPr>
          </w:p>
        </w:tc>
        <w:tc>
          <w:tcPr>
            <w:tcW w:w="440" w:type="dxa"/>
            <w:vAlign w:val="bottom"/>
            <w:tcBorders>
              <w:bottom w:val="single" w:sz="8" w:color="0233A1"/>
            </w:tcBorders>
          </w:tcPr>
          <w:p>
            <w:pPr>
              <w:spacing w:after="0"/>
              <w:rPr>
                <w:sz w:val="18"/>
                <w:szCs w:val="18"/>
                <w:color w:val="auto"/>
              </w:rPr>
            </w:pPr>
          </w:p>
        </w:tc>
        <w:tc>
          <w:tcPr>
            <w:tcW w:w="900" w:type="dxa"/>
            <w:vAlign w:val="bottom"/>
            <w:tcBorders>
              <w:bottom w:val="single" w:sz="8" w:color="0233A1"/>
            </w:tcBorders>
          </w:tcPr>
          <w:p>
            <w:pPr>
              <w:spacing w:after="0"/>
              <w:rPr>
                <w:sz w:val="18"/>
                <w:szCs w:val="18"/>
                <w:color w:val="auto"/>
              </w:rPr>
            </w:pPr>
          </w:p>
        </w:tc>
      </w:tr>
      <w:tr>
        <w:trPr>
          <w:trHeight w:val="248"/>
        </w:trPr>
        <w:tc>
          <w:tcPr>
            <w:tcW w:w="4180" w:type="dxa"/>
            <w:vAlign w:val="bottom"/>
            <w:gridSpan w:val="2"/>
          </w:tcPr>
          <w:p>
            <w:pPr>
              <w:spacing w:after="0"/>
              <w:rPr>
                <w:sz w:val="20"/>
                <w:szCs w:val="20"/>
                <w:color w:val="auto"/>
              </w:rPr>
            </w:pPr>
            <w:r>
              <w:rPr>
                <w:rFonts w:ascii="Arial" w:cs="Arial" w:eastAsia="Arial" w:hAnsi="Arial"/>
                <w:sz w:val="14"/>
                <w:szCs w:val="14"/>
                <w:color w:val="auto"/>
              </w:rPr>
              <w:t>(1) Does not add due to rounding.</w:t>
            </w: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46"/>
        </w:trPr>
        <w:tc>
          <w:tcPr>
            <w:tcW w:w="12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40" w:type="dxa"/>
            <w:vAlign w:val="bottom"/>
            <w:tcBorders>
              <w:bottom w:val="single" w:sz="8" w:color="0233A1"/>
            </w:tcBorders>
            <w:gridSpan w:val="3"/>
          </w:tcPr>
          <w:p>
            <w:pPr>
              <w:jc w:val="right"/>
              <w:ind w:right="420"/>
              <w:spacing w:after="0"/>
              <w:rPr>
                <w:sz w:val="20"/>
                <w:szCs w:val="20"/>
                <w:color w:val="auto"/>
              </w:rPr>
            </w:pPr>
            <w:r>
              <w:rPr>
                <w:rFonts w:ascii="Arial" w:cs="Arial" w:eastAsia="Arial" w:hAnsi="Arial"/>
                <w:sz w:val="16"/>
                <w:szCs w:val="16"/>
                <w:b w:val="1"/>
                <w:bCs w:val="1"/>
                <w:color w:val="0233A1"/>
              </w:rPr>
              <w:t>(Stated in millions)</w:t>
            </w:r>
          </w:p>
        </w:tc>
      </w:tr>
      <w:tr>
        <w:trPr>
          <w:trHeight w:val="196"/>
        </w:trPr>
        <w:tc>
          <w:tcPr>
            <w:tcW w:w="1200" w:type="dxa"/>
            <w:vAlign w:val="bottom"/>
            <w:tcBorders>
              <w:bottom w:val="single" w:sz="8" w:color="0233A1"/>
            </w:tcBorders>
          </w:tcPr>
          <w:p>
            <w:pPr>
              <w:spacing w:after="0"/>
              <w:rPr>
                <w:sz w:val="17"/>
                <w:szCs w:val="17"/>
                <w:color w:val="auto"/>
              </w:rPr>
            </w:pPr>
          </w:p>
        </w:tc>
        <w:tc>
          <w:tcPr>
            <w:tcW w:w="2980" w:type="dxa"/>
            <w:vAlign w:val="bottom"/>
            <w:tcBorders>
              <w:bottom w:val="single" w:sz="8" w:color="0233A1"/>
            </w:tcBorders>
          </w:tcPr>
          <w:p>
            <w:pPr>
              <w:spacing w:after="0"/>
              <w:rPr>
                <w:sz w:val="17"/>
                <w:szCs w:val="17"/>
                <w:color w:val="auto"/>
              </w:rPr>
            </w:pPr>
          </w:p>
        </w:tc>
        <w:tc>
          <w:tcPr>
            <w:tcW w:w="400" w:type="dxa"/>
            <w:vAlign w:val="bottom"/>
            <w:tcBorders>
              <w:bottom w:val="single" w:sz="8" w:color="0233A1"/>
            </w:tcBorders>
          </w:tcPr>
          <w:p>
            <w:pPr>
              <w:spacing w:after="0"/>
              <w:rPr>
                <w:sz w:val="17"/>
                <w:szCs w:val="17"/>
                <w:color w:val="auto"/>
              </w:rPr>
            </w:pPr>
          </w:p>
        </w:tc>
        <w:tc>
          <w:tcPr>
            <w:tcW w:w="960" w:type="dxa"/>
            <w:vAlign w:val="bottom"/>
            <w:tcBorders>
              <w:bottom w:val="single" w:sz="8" w:color="0233A1"/>
            </w:tcBorders>
          </w:tcPr>
          <w:p>
            <w:pPr>
              <w:spacing w:after="0"/>
              <w:rPr>
                <w:sz w:val="17"/>
                <w:szCs w:val="17"/>
                <w:color w:val="auto"/>
              </w:rPr>
            </w:pPr>
          </w:p>
        </w:tc>
        <w:tc>
          <w:tcPr>
            <w:tcW w:w="300" w:type="dxa"/>
            <w:vAlign w:val="bottom"/>
            <w:tcBorders>
              <w:bottom w:val="single" w:sz="8" w:color="0233A1"/>
            </w:tcBorders>
          </w:tcPr>
          <w:p>
            <w:pPr>
              <w:spacing w:after="0"/>
              <w:rPr>
                <w:sz w:val="17"/>
                <w:szCs w:val="17"/>
                <w:color w:val="auto"/>
              </w:rPr>
            </w:pPr>
          </w:p>
        </w:tc>
        <w:tc>
          <w:tcPr>
            <w:tcW w:w="1180" w:type="dxa"/>
            <w:vAlign w:val="bottom"/>
            <w:tcBorders>
              <w:bottom w:val="single" w:sz="8" w:color="0233A1"/>
            </w:tcBorders>
          </w:tcPr>
          <w:p>
            <w:pPr>
              <w:spacing w:after="0"/>
              <w:rPr>
                <w:sz w:val="17"/>
                <w:szCs w:val="17"/>
                <w:color w:val="auto"/>
              </w:rPr>
            </w:pPr>
          </w:p>
        </w:tc>
        <w:tc>
          <w:tcPr>
            <w:tcW w:w="400" w:type="dxa"/>
            <w:vAlign w:val="bottom"/>
            <w:tcBorders>
              <w:bottom w:val="single" w:sz="8" w:color="0233A1"/>
            </w:tcBorders>
          </w:tcPr>
          <w:p>
            <w:pPr>
              <w:spacing w:after="0"/>
              <w:rPr>
                <w:sz w:val="17"/>
                <w:szCs w:val="17"/>
                <w:color w:val="auto"/>
              </w:rPr>
            </w:pPr>
          </w:p>
        </w:tc>
        <w:tc>
          <w:tcPr>
            <w:tcW w:w="1020" w:type="dxa"/>
            <w:vAlign w:val="bottom"/>
            <w:tcBorders>
              <w:bottom w:val="single" w:sz="8" w:color="0233A1"/>
            </w:tcBorders>
          </w:tcPr>
          <w:p>
            <w:pPr>
              <w:spacing w:after="0"/>
              <w:rPr>
                <w:sz w:val="17"/>
                <w:szCs w:val="17"/>
                <w:color w:val="auto"/>
              </w:rPr>
            </w:pPr>
          </w:p>
        </w:tc>
        <w:tc>
          <w:tcPr>
            <w:tcW w:w="460" w:type="dxa"/>
            <w:vAlign w:val="bottom"/>
            <w:tcBorders>
              <w:bottom w:val="single" w:sz="8" w:color="0233A1"/>
            </w:tcBorders>
          </w:tcPr>
          <w:p>
            <w:pPr>
              <w:spacing w:after="0"/>
              <w:rPr>
                <w:sz w:val="17"/>
                <w:szCs w:val="17"/>
                <w:color w:val="auto"/>
              </w:rPr>
            </w:pPr>
          </w:p>
        </w:tc>
        <w:tc>
          <w:tcPr>
            <w:tcW w:w="1000" w:type="dxa"/>
            <w:vAlign w:val="bottom"/>
            <w:tcBorders>
              <w:bottom w:val="single" w:sz="8" w:color="0233A1"/>
            </w:tcBorders>
          </w:tcPr>
          <w:p>
            <w:pPr>
              <w:spacing w:after="0"/>
              <w:rPr>
                <w:sz w:val="17"/>
                <w:szCs w:val="17"/>
                <w:color w:val="auto"/>
              </w:rPr>
            </w:pPr>
          </w:p>
        </w:tc>
        <w:tc>
          <w:tcPr>
            <w:tcW w:w="1340" w:type="dxa"/>
            <w:vAlign w:val="bottom"/>
            <w:tcBorders>
              <w:bottom w:val="single" w:sz="8" w:color="0233A1"/>
            </w:tcBorders>
            <w:gridSpan w:val="2"/>
          </w:tcPr>
          <w:p>
            <w:pPr>
              <w:jc w:val="right"/>
              <w:ind w:right="20"/>
              <w:spacing w:after="0"/>
              <w:rPr>
                <w:sz w:val="20"/>
                <w:szCs w:val="20"/>
                <w:color w:val="auto"/>
              </w:rPr>
            </w:pPr>
            <w:r>
              <w:rPr>
                <w:rFonts w:ascii="Arial" w:cs="Arial" w:eastAsia="Arial" w:hAnsi="Arial"/>
                <w:sz w:val="16"/>
                <w:szCs w:val="16"/>
                <w:b w:val="1"/>
                <w:bCs w:val="1"/>
                <w:color w:val="0233A1"/>
              </w:rPr>
              <w:t>At Dec. 31, 2022</w:t>
            </w:r>
          </w:p>
        </w:tc>
      </w:tr>
      <w:tr>
        <w:trPr>
          <w:trHeight w:val="195"/>
        </w:trPr>
        <w:tc>
          <w:tcPr>
            <w:tcW w:w="4180" w:type="dxa"/>
            <w:vAlign w:val="bottom"/>
            <w:gridSpan w:val="2"/>
          </w:tcPr>
          <w:p>
            <w:pPr>
              <w:ind w:left="60"/>
              <w:spacing w:after="0"/>
              <w:rPr>
                <w:sz w:val="20"/>
                <w:szCs w:val="20"/>
                <w:color w:val="auto"/>
              </w:rPr>
            </w:pPr>
            <w:r>
              <w:rPr>
                <w:rFonts w:ascii="Arial" w:cs="Arial" w:eastAsia="Arial" w:hAnsi="Arial"/>
                <w:sz w:val="16"/>
                <w:szCs w:val="16"/>
                <w:color w:val="auto"/>
              </w:rPr>
              <w:t>Cash</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1,655</w:t>
            </w:r>
          </w:p>
        </w:tc>
      </w:tr>
      <w:tr>
        <w:trPr>
          <w:trHeight w:val="215"/>
        </w:trPr>
        <w:tc>
          <w:tcPr>
            <w:tcW w:w="4180" w:type="dxa"/>
            <w:vAlign w:val="bottom"/>
            <w:gridSpan w:val="2"/>
          </w:tcPr>
          <w:p>
            <w:pPr>
              <w:ind w:left="60"/>
              <w:spacing w:after="0"/>
              <w:rPr>
                <w:sz w:val="20"/>
                <w:szCs w:val="20"/>
                <w:color w:val="auto"/>
              </w:rPr>
            </w:pPr>
            <w:r>
              <w:rPr>
                <w:rFonts w:ascii="Arial" w:cs="Arial" w:eastAsia="Arial" w:hAnsi="Arial"/>
                <w:sz w:val="16"/>
                <w:szCs w:val="16"/>
                <w:color w:val="auto"/>
              </w:rPr>
              <w:t>Short-term investments</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1,239</w:t>
            </w:r>
          </w:p>
        </w:tc>
      </w:tr>
      <w:tr>
        <w:trPr>
          <w:trHeight w:val="216"/>
        </w:trPr>
        <w:tc>
          <w:tcPr>
            <w:tcW w:w="4580" w:type="dxa"/>
            <w:vAlign w:val="bottom"/>
            <w:gridSpan w:val="3"/>
          </w:tcPr>
          <w:p>
            <w:pPr>
              <w:ind w:left="60"/>
              <w:spacing w:after="0"/>
              <w:rPr>
                <w:sz w:val="20"/>
                <w:szCs w:val="20"/>
                <w:color w:val="auto"/>
              </w:rPr>
            </w:pPr>
            <w:r>
              <w:rPr>
                <w:rFonts w:ascii="Arial" w:cs="Arial" w:eastAsia="Arial" w:hAnsi="Arial"/>
                <w:sz w:val="16"/>
                <w:szCs w:val="16"/>
                <w:color w:val="auto"/>
              </w:rPr>
              <w:t>Short-term borrowings and current portion of long-term debt</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(1,632)</w:t>
            </w:r>
          </w:p>
        </w:tc>
      </w:tr>
      <w:tr>
        <w:trPr>
          <w:trHeight w:val="217"/>
        </w:trPr>
        <w:tc>
          <w:tcPr>
            <w:tcW w:w="4180" w:type="dxa"/>
            <w:vAlign w:val="bottom"/>
            <w:tcBorders>
              <w:bottom w:val="single" w:sz="8" w:color="16458B"/>
            </w:tcBorders>
            <w:gridSpan w:val="2"/>
          </w:tcPr>
          <w:p>
            <w:pPr>
              <w:ind w:left="60"/>
              <w:spacing w:after="0"/>
              <w:rPr>
                <w:sz w:val="20"/>
                <w:szCs w:val="20"/>
                <w:color w:val="auto"/>
              </w:rPr>
            </w:pPr>
            <w:r>
              <w:rPr>
                <w:rFonts w:ascii="Arial" w:cs="Arial" w:eastAsia="Arial" w:hAnsi="Arial"/>
                <w:sz w:val="16"/>
                <w:szCs w:val="16"/>
                <w:color w:val="auto"/>
              </w:rPr>
              <w:t>Long-term debt</w:t>
            </w:r>
          </w:p>
        </w:tc>
        <w:tc>
          <w:tcPr>
            <w:tcW w:w="400" w:type="dxa"/>
            <w:vAlign w:val="bottom"/>
            <w:tcBorders>
              <w:bottom w:val="single" w:sz="8" w:color="16458B"/>
            </w:tcBorders>
          </w:tcPr>
          <w:p>
            <w:pPr>
              <w:spacing w:after="0"/>
              <w:rPr>
                <w:sz w:val="18"/>
                <w:szCs w:val="18"/>
                <w:color w:val="auto"/>
              </w:rPr>
            </w:pPr>
          </w:p>
        </w:tc>
        <w:tc>
          <w:tcPr>
            <w:tcW w:w="960" w:type="dxa"/>
            <w:vAlign w:val="bottom"/>
            <w:tcBorders>
              <w:bottom w:val="single" w:sz="8" w:color="16458B"/>
            </w:tcBorders>
          </w:tcPr>
          <w:p>
            <w:pPr>
              <w:spacing w:after="0"/>
              <w:rPr>
                <w:sz w:val="18"/>
                <w:szCs w:val="18"/>
                <w:color w:val="auto"/>
              </w:rPr>
            </w:pPr>
          </w:p>
        </w:tc>
        <w:tc>
          <w:tcPr>
            <w:tcW w:w="300" w:type="dxa"/>
            <w:vAlign w:val="bottom"/>
            <w:tcBorders>
              <w:bottom w:val="single" w:sz="8" w:color="16458B"/>
            </w:tcBorders>
          </w:tcPr>
          <w:p>
            <w:pPr>
              <w:spacing w:after="0"/>
              <w:rPr>
                <w:sz w:val="18"/>
                <w:szCs w:val="18"/>
                <w:color w:val="auto"/>
              </w:rPr>
            </w:pPr>
          </w:p>
        </w:tc>
        <w:tc>
          <w:tcPr>
            <w:tcW w:w="1180" w:type="dxa"/>
            <w:vAlign w:val="bottom"/>
            <w:tcBorders>
              <w:bottom w:val="single" w:sz="8" w:color="16458B"/>
            </w:tcBorders>
          </w:tcPr>
          <w:p>
            <w:pPr>
              <w:spacing w:after="0"/>
              <w:rPr>
                <w:sz w:val="18"/>
                <w:szCs w:val="18"/>
                <w:color w:val="auto"/>
              </w:rPr>
            </w:pPr>
          </w:p>
        </w:tc>
        <w:tc>
          <w:tcPr>
            <w:tcW w:w="400" w:type="dxa"/>
            <w:vAlign w:val="bottom"/>
            <w:tcBorders>
              <w:bottom w:val="single" w:sz="8" w:color="16458B"/>
            </w:tcBorders>
          </w:tcPr>
          <w:p>
            <w:pPr>
              <w:spacing w:after="0"/>
              <w:rPr>
                <w:sz w:val="18"/>
                <w:szCs w:val="18"/>
                <w:color w:val="auto"/>
              </w:rPr>
            </w:pPr>
          </w:p>
        </w:tc>
        <w:tc>
          <w:tcPr>
            <w:tcW w:w="1020" w:type="dxa"/>
            <w:vAlign w:val="bottom"/>
            <w:tcBorders>
              <w:bottom w:val="single" w:sz="8" w:color="16458B"/>
            </w:tcBorders>
          </w:tcPr>
          <w:p>
            <w:pPr>
              <w:spacing w:after="0"/>
              <w:rPr>
                <w:sz w:val="18"/>
                <w:szCs w:val="18"/>
                <w:color w:val="auto"/>
              </w:rPr>
            </w:pPr>
          </w:p>
        </w:tc>
        <w:tc>
          <w:tcPr>
            <w:tcW w:w="460" w:type="dxa"/>
            <w:vAlign w:val="bottom"/>
            <w:tcBorders>
              <w:bottom w:val="single" w:sz="8" w:color="16458B"/>
            </w:tcBorders>
          </w:tcPr>
          <w:p>
            <w:pPr>
              <w:spacing w:after="0"/>
              <w:rPr>
                <w:sz w:val="18"/>
                <w:szCs w:val="18"/>
                <w:color w:val="auto"/>
              </w:rPr>
            </w:pPr>
          </w:p>
        </w:tc>
        <w:tc>
          <w:tcPr>
            <w:tcW w:w="1000" w:type="dxa"/>
            <w:vAlign w:val="bottom"/>
            <w:tcBorders>
              <w:bottom w:val="single" w:sz="8" w:color="16458B"/>
            </w:tcBorders>
          </w:tcPr>
          <w:p>
            <w:pPr>
              <w:spacing w:after="0"/>
              <w:rPr>
                <w:sz w:val="18"/>
                <w:szCs w:val="18"/>
                <w:color w:val="auto"/>
              </w:rPr>
            </w:pPr>
          </w:p>
        </w:tc>
        <w:tc>
          <w:tcPr>
            <w:tcW w:w="440" w:type="dxa"/>
            <w:vAlign w:val="bottom"/>
            <w:tcBorders>
              <w:bottom w:val="single" w:sz="8" w:color="16458B"/>
            </w:tcBorders>
          </w:tcPr>
          <w:p>
            <w:pPr>
              <w:spacing w:after="0"/>
              <w:rPr>
                <w:sz w:val="18"/>
                <w:szCs w:val="18"/>
                <w:color w:val="auto"/>
              </w:rPr>
            </w:pPr>
          </w:p>
        </w:tc>
        <w:tc>
          <w:tcPr>
            <w:tcW w:w="900" w:type="dxa"/>
            <w:vAlign w:val="bottom"/>
            <w:tcBorders>
              <w:bottom w:val="single" w:sz="8" w:color="16458B"/>
            </w:tcBorders>
          </w:tcPr>
          <w:p>
            <w:pPr>
              <w:jc w:val="right"/>
              <w:spacing w:after="0"/>
              <w:rPr>
                <w:sz w:val="20"/>
                <w:szCs w:val="20"/>
                <w:color w:val="auto"/>
              </w:rPr>
            </w:pPr>
            <w:r>
              <w:rPr>
                <w:rFonts w:ascii="Arial" w:cs="Arial" w:eastAsia="Arial" w:hAnsi="Arial"/>
                <w:sz w:val="16"/>
                <w:szCs w:val="16"/>
                <w:color w:val="auto"/>
              </w:rPr>
              <w:t>(10,594)</w:t>
            </w:r>
          </w:p>
        </w:tc>
      </w:tr>
      <w:tr>
        <w:trPr>
          <w:trHeight w:val="204"/>
        </w:trPr>
        <w:tc>
          <w:tcPr>
            <w:tcW w:w="4180" w:type="dxa"/>
            <w:vAlign w:val="bottom"/>
            <w:tcBorders>
              <w:bottom w:val="single" w:sz="8" w:color="0233A1"/>
            </w:tcBorders>
            <w:gridSpan w:val="2"/>
          </w:tcPr>
          <w:p>
            <w:pPr>
              <w:ind w:left="60"/>
              <w:spacing w:after="0"/>
              <w:rPr>
                <w:sz w:val="20"/>
                <w:szCs w:val="20"/>
                <w:color w:val="auto"/>
              </w:rPr>
            </w:pPr>
            <w:r>
              <w:rPr>
                <w:rFonts w:ascii="Arial" w:cs="Arial" w:eastAsia="Arial" w:hAnsi="Arial"/>
                <w:sz w:val="16"/>
                <w:szCs w:val="16"/>
                <w:color w:val="auto"/>
              </w:rPr>
              <w:t>Net debt</w:t>
            </w:r>
          </w:p>
        </w:tc>
        <w:tc>
          <w:tcPr>
            <w:tcW w:w="400" w:type="dxa"/>
            <w:vAlign w:val="bottom"/>
            <w:tcBorders>
              <w:bottom w:val="single" w:sz="8" w:color="0233A1"/>
            </w:tcBorders>
          </w:tcPr>
          <w:p>
            <w:pPr>
              <w:spacing w:after="0"/>
              <w:rPr>
                <w:sz w:val="17"/>
                <w:szCs w:val="17"/>
                <w:color w:val="auto"/>
              </w:rPr>
            </w:pPr>
          </w:p>
        </w:tc>
        <w:tc>
          <w:tcPr>
            <w:tcW w:w="960" w:type="dxa"/>
            <w:vAlign w:val="bottom"/>
            <w:tcBorders>
              <w:bottom w:val="single" w:sz="8" w:color="0233A1"/>
            </w:tcBorders>
          </w:tcPr>
          <w:p>
            <w:pPr>
              <w:spacing w:after="0"/>
              <w:rPr>
                <w:sz w:val="17"/>
                <w:szCs w:val="17"/>
                <w:color w:val="auto"/>
              </w:rPr>
            </w:pPr>
          </w:p>
        </w:tc>
        <w:tc>
          <w:tcPr>
            <w:tcW w:w="300" w:type="dxa"/>
            <w:vAlign w:val="bottom"/>
            <w:tcBorders>
              <w:bottom w:val="single" w:sz="8" w:color="0233A1"/>
            </w:tcBorders>
          </w:tcPr>
          <w:p>
            <w:pPr>
              <w:spacing w:after="0"/>
              <w:rPr>
                <w:sz w:val="17"/>
                <w:szCs w:val="17"/>
                <w:color w:val="auto"/>
              </w:rPr>
            </w:pPr>
          </w:p>
        </w:tc>
        <w:tc>
          <w:tcPr>
            <w:tcW w:w="1180" w:type="dxa"/>
            <w:vAlign w:val="bottom"/>
            <w:tcBorders>
              <w:bottom w:val="single" w:sz="8" w:color="0233A1"/>
            </w:tcBorders>
          </w:tcPr>
          <w:p>
            <w:pPr>
              <w:spacing w:after="0"/>
              <w:rPr>
                <w:sz w:val="17"/>
                <w:szCs w:val="17"/>
                <w:color w:val="auto"/>
              </w:rPr>
            </w:pPr>
          </w:p>
        </w:tc>
        <w:tc>
          <w:tcPr>
            <w:tcW w:w="400" w:type="dxa"/>
            <w:vAlign w:val="bottom"/>
            <w:tcBorders>
              <w:bottom w:val="single" w:sz="8" w:color="0233A1"/>
            </w:tcBorders>
          </w:tcPr>
          <w:p>
            <w:pPr>
              <w:spacing w:after="0"/>
              <w:rPr>
                <w:sz w:val="17"/>
                <w:szCs w:val="17"/>
                <w:color w:val="auto"/>
              </w:rPr>
            </w:pPr>
          </w:p>
        </w:tc>
        <w:tc>
          <w:tcPr>
            <w:tcW w:w="1020" w:type="dxa"/>
            <w:vAlign w:val="bottom"/>
            <w:tcBorders>
              <w:bottom w:val="single" w:sz="8" w:color="0233A1"/>
            </w:tcBorders>
          </w:tcPr>
          <w:p>
            <w:pPr>
              <w:spacing w:after="0"/>
              <w:rPr>
                <w:sz w:val="17"/>
                <w:szCs w:val="17"/>
                <w:color w:val="auto"/>
              </w:rPr>
            </w:pPr>
          </w:p>
        </w:tc>
        <w:tc>
          <w:tcPr>
            <w:tcW w:w="460" w:type="dxa"/>
            <w:vAlign w:val="bottom"/>
            <w:tcBorders>
              <w:bottom w:val="single" w:sz="8" w:color="0233A1"/>
            </w:tcBorders>
          </w:tcPr>
          <w:p>
            <w:pPr>
              <w:spacing w:after="0"/>
              <w:rPr>
                <w:sz w:val="17"/>
                <w:szCs w:val="17"/>
                <w:color w:val="auto"/>
              </w:rPr>
            </w:pPr>
          </w:p>
        </w:tc>
        <w:tc>
          <w:tcPr>
            <w:tcW w:w="100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0233A1"/>
            </w:tcBorders>
          </w:tcPr>
          <w:p>
            <w:pPr>
              <w:spacing w:after="0"/>
              <w:rPr>
                <w:sz w:val="17"/>
                <w:szCs w:val="17"/>
                <w:color w:val="auto"/>
              </w:rPr>
            </w:pPr>
          </w:p>
        </w:tc>
        <w:tc>
          <w:tcPr>
            <w:tcW w:w="900" w:type="dxa"/>
            <w:vAlign w:val="bottom"/>
            <w:tcBorders>
              <w:bottom w:val="single" w:sz="8" w:color="0233A1"/>
            </w:tcBorders>
          </w:tcPr>
          <w:p>
            <w:pPr>
              <w:jc w:val="right"/>
              <w:spacing w:after="0"/>
              <w:rPr>
                <w:sz w:val="20"/>
                <w:szCs w:val="20"/>
                <w:color w:val="auto"/>
              </w:rPr>
            </w:pPr>
            <w:r>
              <w:rPr>
                <w:rFonts w:ascii="Arial" w:cs="Arial" w:eastAsia="Arial" w:hAnsi="Arial"/>
                <w:sz w:val="16"/>
                <w:szCs w:val="16"/>
                <w:color w:val="auto"/>
              </w:rPr>
              <w:t>(9,332)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-1619885</wp:posOffset>
            </wp:positionV>
            <wp:extent cx="7132320" cy="8890"/>
            <wp:wrapNone/>
            <wp:docPr id="3815" name="Picture 3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5"/>
                    <pic:cNvPicPr>
                      <a:picLocks noChangeAspect="1" noChangeArrowheads="1"/>
                    </pic:cNvPicPr>
                  </pic:nvPicPr>
                  <pic:blipFill>
                    <a:blip r:embed="rId38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-1757045</wp:posOffset>
            </wp:positionV>
            <wp:extent cx="7132320" cy="8255"/>
            <wp:wrapNone/>
            <wp:docPr id="3816" name="Picture 3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6"/>
                    <pic:cNvPicPr>
                      <a:picLocks noChangeAspect="1" noChangeArrowheads="1"/>
                    </pic:cNvPicPr>
                  </pic:nvPicPr>
                  <pic:blipFill>
                    <a:blip r:embed="rId38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-1893570</wp:posOffset>
            </wp:positionV>
            <wp:extent cx="7132320" cy="8255"/>
            <wp:wrapNone/>
            <wp:docPr id="3817" name="Picture 3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7"/>
                    <pic:cNvPicPr>
                      <a:picLocks noChangeAspect="1" noChangeArrowheads="1"/>
                    </pic:cNvPicPr>
                  </pic:nvPicPr>
                  <pic:blipFill>
                    <a:blip r:embed="rId38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-2030730</wp:posOffset>
            </wp:positionV>
            <wp:extent cx="7132320" cy="8255"/>
            <wp:wrapNone/>
            <wp:docPr id="3818" name="Picture 3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8"/>
                    <pic:cNvPicPr>
                      <a:picLocks noChangeAspect="1" noChangeArrowheads="1"/>
                    </pic:cNvPicPr>
                  </pic:nvPicPr>
                  <pic:blipFill>
                    <a:blip r:embed="rId38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-2167890</wp:posOffset>
            </wp:positionV>
            <wp:extent cx="7132320" cy="8255"/>
            <wp:wrapNone/>
            <wp:docPr id="3819" name="Picture 3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9"/>
                    <pic:cNvPicPr>
                      <a:picLocks noChangeAspect="1" noChangeArrowheads="1"/>
                    </pic:cNvPicPr>
                  </pic:nvPicPr>
                  <pic:blipFill>
                    <a:blip r:embed="rId38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8255"/>
            <wp:wrapNone/>
            <wp:docPr id="3820" name="Picture 3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0"/>
                    <pic:cNvPicPr>
                      <a:picLocks noChangeAspect="1" noChangeArrowheads="1"/>
                    </pic:cNvPicPr>
                  </pic:nvPicPr>
                  <pic:blipFill>
                    <a:blip r:embed="rId38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255"/>
            <wp:wrapNone/>
            <wp:docPr id="3821" name="Picture 3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1"/>
                    <pic:cNvPicPr>
                      <a:picLocks noChangeAspect="1" noChangeArrowheads="1"/>
                    </pic:cNvPicPr>
                  </pic:nvPicPr>
                  <pic:blipFill>
                    <a:blip r:embed="rId38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8255"/>
            <wp:wrapNone/>
            <wp:docPr id="3822" name="Picture 3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2"/>
                    <pic:cNvPicPr>
                      <a:picLocks noChangeAspect="1" noChangeArrowheads="1"/>
                    </pic:cNvPicPr>
                  </pic:nvPicPr>
                  <pic:blipFill>
                    <a:blip r:embed="rId38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Net debt represents gross debt less cash and short-term investments. Management believes that net debt provides useful information regarding the level of SLB’s indebtedness by reflecting cash and investments that could be used to repay debt. Net debt is a non-GAAP financial measure that should be considered in addition to, not as a substitute for or superior to, 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471170" cy="282575"/>
            <wp:wrapNone/>
            <wp:docPr id="3823" name="Picture 3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3"/>
                    <pic:cNvPicPr>
                      <a:picLocks noChangeAspect="1" noChangeArrowheads="1"/>
                    </pic:cNvPicPr>
                  </pic:nvPicPr>
                  <pic:blipFill>
                    <a:blip r:embed="rId3830">
                      <a:extLst>
                        <a:ext uri="{28A0092B-C50C-407E-A947-70E740481C1C}"/>
                      </a:extLst>
                    </a:blip>
                    <a:srcRect/>
                    <a:stretch>
                      <a:fillRect/>
                    </a:stretch>
                  </pic:blipFill>
                  <pic:spPr bwMode="auto">
                    <a:xfrm>
                      <a:off x="0" y="0"/>
                      <a:ext cx="471170" cy="282575"/>
                    </a:xfrm>
                    <a:prstGeom prst="rect">
                      <a:avLst/>
                    </a:prstGeom>
                    <a:noFill/>
                  </pic:spPr>
                </pic:pic>
              </a:graphicData>
            </a:graphic>
          </wp:anchor>
        </w:drawing>
      </w:r>
    </w:p>
    <w:p>
      <w:pPr>
        <w:spacing w:after="0" w:line="232" w:lineRule="exact"/>
        <w:rPr>
          <w:sz w:val="20"/>
          <w:szCs w:val="20"/>
          <w:color w:val="auto"/>
        </w:rPr>
      </w:pPr>
    </w:p>
    <w:p>
      <w:pPr>
        <w:jc w:val="right"/>
        <w:spacing w:after="0"/>
        <w:tabs>
          <w:tab w:leader="none" w:pos="1660" w:val="left"/>
        </w:tabs>
        <w:rPr>
          <w:sz w:val="20"/>
          <w:szCs w:val="20"/>
          <w:color w:val="auto"/>
        </w:rPr>
      </w:pPr>
      <w:r>
        <w:rPr>
          <w:rFonts w:ascii="Arial" w:cs="Arial" w:eastAsia="Arial" w:hAnsi="Arial"/>
          <w:sz w:val="16"/>
          <w:szCs w:val="16"/>
          <w:b w:val="1"/>
          <w:bCs w:val="1"/>
          <w:color w:val="auto"/>
        </w:rPr>
        <w:t>A-2</w:t>
      </w:r>
      <w:r>
        <w:rPr>
          <w:sz w:val="20"/>
          <w:szCs w:val="20"/>
          <w:color w:val="auto"/>
        </w:rPr>
        <w:tab/>
      </w:r>
      <w:r>
        <w:rPr>
          <w:rFonts w:ascii="Arial" w:cs="Arial" w:eastAsia="Arial" w:hAnsi="Arial"/>
          <w:sz w:val="16"/>
          <w:szCs w:val="16"/>
          <w:b w:val="1"/>
          <w:bCs w:val="1"/>
          <w:color w:val="636466"/>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-46990</wp:posOffset>
            </wp:positionV>
            <wp:extent cx="5417820" cy="17145"/>
            <wp:wrapNone/>
            <wp:docPr id="3824" name="Picture 3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4"/>
                    <pic:cNvPicPr>
                      <a:picLocks noChangeAspect="1" noChangeArrowheads="1"/>
                    </pic:cNvPicPr>
                  </pic:nvPicPr>
                  <pic:blipFill>
                    <a:blip r:embed="rId3831">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3825" name="Picture 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5"/>
                    <pic:cNvPicPr>
                      <a:picLocks noChangeAspect="1" noChangeArrowheads="1"/>
                    </pic:cNvPicPr>
                  </pic:nvPicPr>
                  <pic:blipFill>
                    <a:blip r:embed="rId38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right"/>
        <w:ind w:right="3359"/>
        <w:spacing w:after="0"/>
        <w:rPr>
          <w:sz w:val="20"/>
          <w:szCs w:val="20"/>
          <w:color w:val="auto"/>
        </w:rPr>
      </w:pPr>
      <w:r>
        <w:rPr>
          <w:rFonts w:ascii="Arial" w:cs="Arial" w:eastAsia="Arial" w:hAnsi="Arial"/>
          <w:sz w:val="16"/>
          <w:szCs w:val="16"/>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3826" name="Picture 3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6"/>
                    <pic:cNvPicPr>
                      <a:picLocks noChangeAspect="1" noChangeArrowheads="1"/>
                    </pic:cNvPicPr>
                  </pic:nvPicPr>
                  <pic:blipFill>
                    <a:blip r:embed="rId38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238" w:right="1440"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right"/>
        <w:ind w:right="3359"/>
        <w:spacing w:after="0"/>
        <w:rPr>
          <w:sz w:val="20"/>
          <w:szCs w:val="20"/>
          <w:color w:val="auto"/>
        </w:rPr>
      </w:pPr>
      <w:r>
        <w:rPr>
          <w:rFonts w:ascii="Arial" w:cs="Arial" w:eastAsia="Arial" w:hAnsi="Arial"/>
          <w:sz w:val="16"/>
          <w:szCs w:val="16"/>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3827" name="Picture 3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7"/>
                    <pic:cNvPicPr>
                      <a:picLocks noChangeAspect="1" noChangeArrowheads="1"/>
                    </pic:cNvPicPr>
                  </pic:nvPicPr>
                  <pic:blipFill>
                    <a:blip r:embed="rId38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238" w:right="1440"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9138285"/>
            <wp:wrapNone/>
            <wp:docPr id="3828" name="Picture 3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8"/>
                    <pic:cNvPicPr>
                      <a:picLocks noChangeAspect="1" noChangeArrowheads="1"/>
                    </pic:cNvPicPr>
                  </pic:nvPicPr>
                  <pic:blipFill>
                    <a:blip r:embed="rId3835">
                      <a:extLst>
                        <a:ext uri="{28A0092B-C50C-407E-A947-70E740481C1C}"/>
                      </a:extLst>
                    </a:blip>
                    <a:srcRect/>
                    <a:stretch>
                      <a:fillRect/>
                    </a:stretch>
                  </pic:blipFill>
                  <pic:spPr bwMode="auto">
                    <a:xfrm>
                      <a:off x="0" y="0"/>
                      <a:ext cx="7132320" cy="9138285"/>
                    </a:xfrm>
                    <a:prstGeom prst="rect">
                      <a:avLst/>
                    </a:prstGeom>
                    <a:noFill/>
                  </pic:spPr>
                </pic:pic>
              </a:graphicData>
            </a:graphic>
          </wp:anchor>
        </w:drawing>
      </w:r>
    </w:p>
    <w:p>
      <w:pPr>
        <w:sectPr>
          <w:pgSz w:w="11900" w:h="16838" w:orient="portrait"/>
          <w:cols w:equalWidth="0" w:num="1">
            <w:col w:w="10139"/>
          </w:cols>
          <w:pgMar w:left="320" w:top="238" w:right="1440"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9044305"/>
            <wp:wrapNone/>
            <wp:docPr id="3829" name="Picture 3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9"/>
                    <pic:cNvPicPr>
                      <a:picLocks noChangeAspect="1" noChangeArrowheads="1"/>
                    </pic:cNvPicPr>
                  </pic:nvPicPr>
                  <pic:blipFill>
                    <a:blip r:embed="rId3836">
                      <a:extLst>
                        <a:ext uri="{28A0092B-C50C-407E-A947-70E740481C1C}"/>
                      </a:extLst>
                    </a:blip>
                    <a:srcRect/>
                    <a:stretch>
                      <a:fillRect/>
                    </a:stretch>
                  </pic:blipFill>
                  <pic:spPr bwMode="auto">
                    <a:xfrm>
                      <a:off x="0" y="0"/>
                      <a:ext cx="7132320" cy="9044305"/>
                    </a:xfrm>
                    <a:prstGeom prst="rect">
                      <a:avLst/>
                    </a:prstGeom>
                    <a:noFill/>
                  </pic:spPr>
                </pic:pic>
              </a:graphicData>
            </a:graphic>
          </wp:anchor>
        </w:drawing>
      </w:r>
    </w:p>
    <w:p>
      <w:pPr>
        <w:sectPr>
          <w:pgSz w:w="11900" w:h="16838" w:orient="portrait"/>
          <w:cols w:equalWidth="0" w:num="1">
            <w:col w:w="10139"/>
          </w:cols>
          <w:pgMar w:left="320" w:top="238" w:right="1440"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9061450"/>
            <wp:wrapNone/>
            <wp:docPr id="3830" name="Picture 3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0"/>
                    <pic:cNvPicPr>
                      <a:picLocks noChangeAspect="1" noChangeArrowheads="1"/>
                    </pic:cNvPicPr>
                  </pic:nvPicPr>
                  <pic:blipFill>
                    <a:blip r:embed="rId3837">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sectPr>
      <w:pgSz w:w="11900" w:h="16838" w:orient="portrait"/>
      <w:cols w:equalWidth="0" w:num="1">
        <w:col w:w="10139"/>
      </w:cols>
      <w:pgMar w:left="320" w:top="2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1."/>
      <w:numFmt w:val="decimal"/>
      <w:start w:val="1"/>
    </w:lvl>
  </w:abstractNum>
  <w:abstractNum w:abstractNumId="1">
    <w:nsid w:val="3804823E"/>
    <w:multiLevelType w:val="hybridMultilevel"/>
    <w:lvl w:ilvl="0">
      <w:lvlJc w:val="left"/>
      <w:lvlText w:val="2"/>
      <w:numFmt w:val="bullet"/>
      <w:start w:val="1"/>
    </w:lvl>
  </w:abstractNum>
  <w:abstractNum w:abstractNumId="2">
    <w:nsid w:val="77465F01"/>
    <w:multiLevelType w:val="hybridMultilevel"/>
    <w:lvl w:ilvl="0">
      <w:lvlJc w:val="left"/>
      <w:lvlText w:val="3"/>
      <w:numFmt w:val="bullet"/>
      <w:start w:val="1"/>
    </w:lvl>
  </w:abstractNum>
  <w:abstractNum w:abstractNumId="3">
    <w:nsid w:val="7724C67E"/>
    <w:multiLevelType w:val="hybridMultilevel"/>
    <w:lvl w:ilvl="0">
      <w:lvlJc w:val="left"/>
      <w:lvlText w:val="4"/>
      <w:numFmt w:val="bullet"/>
      <w:start w:val="1"/>
    </w:lvl>
  </w:abstractNum>
  <w:abstractNum w:abstractNumId="4">
    <w:nsid w:val="5C482A97"/>
    <w:multiLevelType w:val="hybridMultilevel"/>
    <w:lvl w:ilvl="0">
      <w:lvlJc w:val="left"/>
      <w:lvlText w:val="(%1)"/>
      <w:numFmt w:val="decimal"/>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1)"/>
      <w:numFmt w:val="decimal"/>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lvl w:ilvl="1">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lvl w:ilvl="1">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1)"/>
      <w:numFmt w:val="decimal"/>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1)"/>
      <w:numFmt w:val="decimal"/>
      <w:start w:val="1"/>
    </w:lvl>
  </w:abstractNum>
  <w:abstractNum w:abstractNumId="30">
    <w:nsid w:val="1BA026FA"/>
    <w:multiLevelType w:val="hybridMultilevel"/>
    <w:lvl w:ilvl="0">
      <w:lvlJc w:val="left"/>
      <w:lvlText w:val="(%1)"/>
      <w:numFmt w:val="decimal"/>
      <w:start w:val="1"/>
    </w:lvl>
  </w:abstractNum>
  <w:abstractNum w:abstractNumId="31">
    <w:nsid w:val="79A1DEAA"/>
    <w:multiLevelType w:val="hybridMultilevel"/>
    <w:lvl w:ilvl="0">
      <w:lvlJc w:val="left"/>
      <w:lvlText w:val="(%1)"/>
      <w:numFmt w:val="decimal"/>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1)"/>
      <w:numFmt w:val="decimal"/>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1)"/>
      <w:numFmt w:val="decimal"/>
    </w:lvl>
    <w:lvl w:ilvl="1">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1)"/>
      <w:numFmt w:val="decimal"/>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1)"/>
      <w:numFmt w:val="decimal"/>
      <w:start w:val="1"/>
    </w:lvl>
  </w:abstractNum>
  <w:abstractNum w:abstractNumId="43">
    <w:nsid w:val="180115BE"/>
    <w:multiLevelType w:val="hybridMultilevel"/>
    <w:lvl w:ilvl="0">
      <w:lvlJc w:val="left"/>
      <w:lvlText w:val="(%1)"/>
      <w:numFmt w:val="decimal"/>
      <w:start w:val="1"/>
    </w:lvl>
  </w:abstractNum>
  <w:abstractNum w:abstractNumId="44">
    <w:nsid w:val="235BA861"/>
    <w:multiLevelType w:val="hybridMultilevel"/>
    <w:lvl w:ilvl="0">
      <w:lvlJc w:val="left"/>
      <w:lvlText w:val="(%1)"/>
      <w:numFmt w:val="decimal"/>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1)"/>
      <w:numFmt w:val="decimal"/>
      <w:start w:val="1"/>
    </w:lvl>
  </w:abstractNum>
  <w:abstractNum w:abstractNumId="53">
    <w:nsid w:val="7E0C57B1"/>
    <w:multiLevelType w:val="hybridMultilevel"/>
    <w:lvl w:ilvl="0">
      <w:lvlJc w:val="left"/>
      <w:lvlText w:val="(%1)"/>
      <w:numFmt w:val="decimal"/>
      <w:start w:val="4"/>
    </w:lvl>
  </w:abstractNum>
  <w:abstractNum w:abstractNumId="54">
    <w:nsid w:val="77AE35EB"/>
    <w:multiLevelType w:val="hybridMultilevel"/>
    <w:lvl w:ilvl="0">
      <w:lvlJc w:val="left"/>
      <w:lvlText w:val="(%1)"/>
      <w:numFmt w:val="decimal"/>
      <w:start w:val="1"/>
    </w:lvl>
  </w:abstractNum>
  <w:abstractNum w:abstractNumId="55">
    <w:nsid w:val="579BE4F1"/>
    <w:multiLevelType w:val="hybridMultilevel"/>
    <w:lvl w:ilvl="0">
      <w:lvlJc w:val="left"/>
      <w:lvlText w:val="(%1)"/>
      <w:numFmt w:val="decimal"/>
      <w:start w:val="1"/>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1)"/>
      <w:numFmt w:val="decimal"/>
      <w:start w:val="1"/>
    </w:lvl>
  </w:abstractNum>
  <w:abstractNum w:abstractNumId="58">
    <w:nsid w:val="2F305DEF"/>
    <w:multiLevelType w:val="hybridMultilevel"/>
    <w:lvl w:ilvl="0">
      <w:lvlJc w:val="left"/>
      <w:lvlText w:val="(%1)"/>
      <w:numFmt w:val="decimal"/>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1)"/>
      <w:numFmt w:val="decimal"/>
      <w:start w:val="1"/>
    </w:lvl>
  </w:abstractNum>
  <w:abstractNum w:abstractNumId="61">
    <w:nsid w:val="4AD084E9"/>
    <w:multiLevelType w:val="hybridMultilevel"/>
    <w:lvl w:ilvl="0">
      <w:lvlJc w:val="left"/>
      <w:lvlText w:val="(%1)"/>
      <w:numFmt w:val="decimal"/>
      <w:start w:val="1"/>
    </w:lvl>
  </w:abstractNum>
  <w:abstractNum w:abstractNumId="62">
    <w:nsid w:val="1F48EAA1"/>
    <w:multiLevelType w:val="hybridMultilevel"/>
    <w:lvl w:ilvl="0">
      <w:lvlJc w:val="left"/>
      <w:lvlText w:val="•"/>
      <w:numFmt w:val="bullet"/>
      <w:start w:val="1"/>
    </w:lvl>
  </w:abstractNum>
  <w:abstractNum w:abstractNumId="63">
    <w:nsid w:val="1381823A"/>
    <w:multiLevelType w:val="hybridMultilevel"/>
    <w:lvl w:ilvl="0">
      <w:lvlJc w:val="left"/>
      <w:lvlText w:val="(%1)"/>
      <w:numFmt w:val="decimal"/>
      <w:start w:val="1"/>
    </w:lvl>
  </w:abstractNum>
  <w:abstractNum w:abstractNumId="64">
    <w:nsid w:val="5DB70AE5"/>
    <w:multiLevelType w:val="hybridMultilevel"/>
    <w:lvl w:ilvl="0">
      <w:lvlJc w:val="left"/>
      <w:lvlText w:val="(%1)"/>
      <w:numFmt w:val="decimal"/>
      <w:start w:val="1"/>
    </w:lvl>
  </w:abstractNum>
  <w:abstractNum w:abstractNumId="65">
    <w:nsid w:val="100F8FCA"/>
    <w:multiLevelType w:val="hybridMultilevel"/>
    <w:lvl w:ilvl="0">
      <w:lvlJc w:val="left"/>
      <w:lvlText w:val="(%1)"/>
      <w:numFmt w:val="decimal"/>
      <w:start w:val="3"/>
    </w:lvl>
  </w:abstractNum>
  <w:abstractNum w:abstractNumId="66">
    <w:nsid w:val="6590700B"/>
    <w:multiLevelType w:val="hybridMultilevel"/>
    <w:lvl w:ilvl="0">
      <w:lvlJc w:val="left"/>
      <w:lvlText w:val="(%1)"/>
      <w:numFmt w:val="decimal"/>
      <w:start w:val="1"/>
    </w:lvl>
  </w:abstractNum>
  <w:abstractNum w:abstractNumId="67">
    <w:nsid w:val="15014ACB"/>
    <w:multiLevelType w:val="hybridMultilevel"/>
    <w:lvl w:ilvl="0">
      <w:lvlJc w:val="left"/>
      <w:lvlText w:val="(%1)"/>
      <w:numFmt w:val="decimal"/>
      <w:start w:val="3"/>
    </w:lvl>
  </w:abstractNum>
  <w:abstractNum w:abstractNumId="68">
    <w:nsid w:val="5F5E7FD0"/>
    <w:multiLevelType w:val="hybridMultilevel"/>
    <w:lvl w:ilvl="0">
      <w:lvlJc w:val="left"/>
      <w:lvlText w:val="•"/>
      <w:numFmt w:val="bullet"/>
      <w:start w:val="1"/>
    </w:lvl>
  </w:abstractNum>
  <w:abstractNum w:abstractNumId="69">
    <w:nsid w:val="98A3148"/>
    <w:multiLevelType w:val="hybridMultilevel"/>
    <w:lvl w:ilvl="0">
      <w:lvlJc w:val="left"/>
      <w:lvlText w:val="•"/>
      <w:numFmt w:val="bullet"/>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jpe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jpe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jpe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jpe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jpeg"/><Relationship Id="rId1226" Type="http://schemas.openxmlformats.org/officeDocument/2006/relationships/image" Target="media/image1219.png"/><Relationship Id="rId1227" Type="http://schemas.openxmlformats.org/officeDocument/2006/relationships/image" Target="media/image1220.jpeg"/><Relationship Id="rId1228" Type="http://schemas.openxmlformats.org/officeDocument/2006/relationships/image" Target="media/image1221.png"/><Relationship Id="rId1229" Type="http://schemas.openxmlformats.org/officeDocument/2006/relationships/image" Target="media/image1222.jpeg"/><Relationship Id="rId1230" Type="http://schemas.openxmlformats.org/officeDocument/2006/relationships/image" Target="media/image1223.jpeg"/><Relationship Id="rId1231" Type="http://schemas.openxmlformats.org/officeDocument/2006/relationships/image" Target="media/image1224.jpeg"/><Relationship Id="rId1232" Type="http://schemas.openxmlformats.org/officeDocument/2006/relationships/image" Target="media/image1225.jpeg"/><Relationship Id="rId1233" Type="http://schemas.openxmlformats.org/officeDocument/2006/relationships/image" Target="media/image1226.jpeg"/><Relationship Id="rId1234" Type="http://schemas.openxmlformats.org/officeDocument/2006/relationships/image" Target="media/image1227.jpeg"/><Relationship Id="rId1235" Type="http://schemas.openxmlformats.org/officeDocument/2006/relationships/image" Target="media/image1228.jpeg"/><Relationship Id="rId1236" Type="http://schemas.openxmlformats.org/officeDocument/2006/relationships/image" Target="media/image1229.jpeg"/><Relationship Id="rId1237" Type="http://schemas.openxmlformats.org/officeDocument/2006/relationships/image" Target="media/image1230.jpeg"/><Relationship Id="rId1238" Type="http://schemas.openxmlformats.org/officeDocument/2006/relationships/image" Target="media/image1231.jpeg"/><Relationship Id="rId1239" Type="http://schemas.openxmlformats.org/officeDocument/2006/relationships/image" Target="media/image1232.jpeg"/><Relationship Id="rId1240" Type="http://schemas.openxmlformats.org/officeDocument/2006/relationships/image" Target="media/image1233.jpeg"/><Relationship Id="rId1241" Type="http://schemas.openxmlformats.org/officeDocument/2006/relationships/image" Target="media/image1234.jpeg"/><Relationship Id="rId1242" Type="http://schemas.openxmlformats.org/officeDocument/2006/relationships/image" Target="media/image1235.jpe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jpe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jpe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jpeg"/><Relationship Id="rId1255" Type="http://schemas.openxmlformats.org/officeDocument/2006/relationships/image" Target="media/image1248.jpeg"/><Relationship Id="rId1256" Type="http://schemas.openxmlformats.org/officeDocument/2006/relationships/image" Target="media/image1249.jpeg"/><Relationship Id="rId1257" Type="http://schemas.openxmlformats.org/officeDocument/2006/relationships/image" Target="media/image1250.jpeg"/><Relationship Id="rId1258" Type="http://schemas.openxmlformats.org/officeDocument/2006/relationships/image" Target="media/image1251.jpe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jpeg"/><Relationship Id="rId1271" Type="http://schemas.openxmlformats.org/officeDocument/2006/relationships/image" Target="media/image1264.jpe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jpeg"/><Relationship Id="rId1285" Type="http://schemas.openxmlformats.org/officeDocument/2006/relationships/image" Target="media/image1278.jpe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jpe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jpe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jpeg"/><Relationship Id="rId1352" Type="http://schemas.openxmlformats.org/officeDocument/2006/relationships/image" Target="media/image1345.png"/><Relationship Id="rId1353" Type="http://schemas.openxmlformats.org/officeDocument/2006/relationships/image" Target="media/image1346.jpe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jpe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jpe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jpe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jpe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jpeg"/><Relationship Id="rId1582" Type="http://schemas.openxmlformats.org/officeDocument/2006/relationships/image" Target="media/image1575.jpe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jpe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 Id="rId2339" Type="http://schemas.openxmlformats.org/officeDocument/2006/relationships/image" Target="media/image2332.png"/><Relationship Id="rId2340" Type="http://schemas.openxmlformats.org/officeDocument/2006/relationships/image" Target="media/image2333.png"/><Relationship Id="rId2341" Type="http://schemas.openxmlformats.org/officeDocument/2006/relationships/image" Target="media/image2334.png"/><Relationship Id="rId2342" Type="http://schemas.openxmlformats.org/officeDocument/2006/relationships/image" Target="media/image2335.png"/><Relationship Id="rId2343" Type="http://schemas.openxmlformats.org/officeDocument/2006/relationships/image" Target="media/image2336.png"/><Relationship Id="rId2344" Type="http://schemas.openxmlformats.org/officeDocument/2006/relationships/image" Target="media/image2337.png"/><Relationship Id="rId2345" Type="http://schemas.openxmlformats.org/officeDocument/2006/relationships/image" Target="media/image2338.png"/><Relationship Id="rId2346" Type="http://schemas.openxmlformats.org/officeDocument/2006/relationships/image" Target="media/image2339.png"/><Relationship Id="rId2347" Type="http://schemas.openxmlformats.org/officeDocument/2006/relationships/image" Target="media/image2340.png"/><Relationship Id="rId2348" Type="http://schemas.openxmlformats.org/officeDocument/2006/relationships/image" Target="media/image2341.png"/><Relationship Id="rId2349" Type="http://schemas.openxmlformats.org/officeDocument/2006/relationships/image" Target="media/image2342.png"/><Relationship Id="rId2350" Type="http://schemas.openxmlformats.org/officeDocument/2006/relationships/image" Target="media/image2343.png"/><Relationship Id="rId2351" Type="http://schemas.openxmlformats.org/officeDocument/2006/relationships/image" Target="media/image2344.png"/><Relationship Id="rId2352" Type="http://schemas.openxmlformats.org/officeDocument/2006/relationships/image" Target="media/image2345.png"/><Relationship Id="rId2353" Type="http://schemas.openxmlformats.org/officeDocument/2006/relationships/image" Target="media/image2346.png"/><Relationship Id="rId2354" Type="http://schemas.openxmlformats.org/officeDocument/2006/relationships/image" Target="media/image2347.pn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png"/><Relationship Id="rId2358" Type="http://schemas.openxmlformats.org/officeDocument/2006/relationships/image" Target="media/image2351.png"/><Relationship Id="rId2359" Type="http://schemas.openxmlformats.org/officeDocument/2006/relationships/image" Target="media/image2352.png"/><Relationship Id="rId2360" Type="http://schemas.openxmlformats.org/officeDocument/2006/relationships/image" Target="media/image2353.png"/><Relationship Id="rId2361" Type="http://schemas.openxmlformats.org/officeDocument/2006/relationships/image" Target="media/image2354.png"/><Relationship Id="rId2362" Type="http://schemas.openxmlformats.org/officeDocument/2006/relationships/image" Target="media/image2355.png"/><Relationship Id="rId2363" Type="http://schemas.openxmlformats.org/officeDocument/2006/relationships/image" Target="media/image2356.png"/><Relationship Id="rId2364" Type="http://schemas.openxmlformats.org/officeDocument/2006/relationships/image" Target="media/image2357.png"/><Relationship Id="rId2365" Type="http://schemas.openxmlformats.org/officeDocument/2006/relationships/image" Target="media/image2358.png"/><Relationship Id="rId2366" Type="http://schemas.openxmlformats.org/officeDocument/2006/relationships/image" Target="media/image2359.png"/><Relationship Id="rId2367" Type="http://schemas.openxmlformats.org/officeDocument/2006/relationships/image" Target="media/image2360.png"/><Relationship Id="rId2368" Type="http://schemas.openxmlformats.org/officeDocument/2006/relationships/image" Target="media/image2361.png"/><Relationship Id="rId2369" Type="http://schemas.openxmlformats.org/officeDocument/2006/relationships/image" Target="media/image2362.png"/><Relationship Id="rId2370" Type="http://schemas.openxmlformats.org/officeDocument/2006/relationships/image" Target="media/image2363.png"/><Relationship Id="rId2371" Type="http://schemas.openxmlformats.org/officeDocument/2006/relationships/image" Target="media/image2364.png"/><Relationship Id="rId2372" Type="http://schemas.openxmlformats.org/officeDocument/2006/relationships/image" Target="media/image2365.png"/><Relationship Id="rId2373" Type="http://schemas.openxmlformats.org/officeDocument/2006/relationships/image" Target="media/image2366.png"/><Relationship Id="rId2374" Type="http://schemas.openxmlformats.org/officeDocument/2006/relationships/image" Target="media/image2367.png"/><Relationship Id="rId2375" Type="http://schemas.openxmlformats.org/officeDocument/2006/relationships/image" Target="media/image2368.png"/><Relationship Id="rId2376" Type="http://schemas.openxmlformats.org/officeDocument/2006/relationships/image" Target="media/image2369.png"/><Relationship Id="rId2377" Type="http://schemas.openxmlformats.org/officeDocument/2006/relationships/image" Target="media/image2370.png"/><Relationship Id="rId2378" Type="http://schemas.openxmlformats.org/officeDocument/2006/relationships/image" Target="media/image2371.png"/><Relationship Id="rId2379" Type="http://schemas.openxmlformats.org/officeDocument/2006/relationships/image" Target="media/image2372.png"/><Relationship Id="rId2380" Type="http://schemas.openxmlformats.org/officeDocument/2006/relationships/image" Target="media/image2373.png"/><Relationship Id="rId2381" Type="http://schemas.openxmlformats.org/officeDocument/2006/relationships/image" Target="media/image2374.png"/><Relationship Id="rId2382" Type="http://schemas.openxmlformats.org/officeDocument/2006/relationships/image" Target="media/image2375.png"/><Relationship Id="rId2383" Type="http://schemas.openxmlformats.org/officeDocument/2006/relationships/image" Target="media/image2376.png"/><Relationship Id="rId2384" Type="http://schemas.openxmlformats.org/officeDocument/2006/relationships/image" Target="media/image2377.png"/><Relationship Id="rId2385" Type="http://schemas.openxmlformats.org/officeDocument/2006/relationships/image" Target="media/image2378.png"/><Relationship Id="rId2386" Type="http://schemas.openxmlformats.org/officeDocument/2006/relationships/image" Target="media/image2379.png"/><Relationship Id="rId2387" Type="http://schemas.openxmlformats.org/officeDocument/2006/relationships/image" Target="media/image2380.png"/><Relationship Id="rId2388" Type="http://schemas.openxmlformats.org/officeDocument/2006/relationships/image" Target="media/image2381.png"/><Relationship Id="rId2389" Type="http://schemas.openxmlformats.org/officeDocument/2006/relationships/image" Target="media/image2382.png"/><Relationship Id="rId2390" Type="http://schemas.openxmlformats.org/officeDocument/2006/relationships/image" Target="media/image2383.png"/><Relationship Id="rId2391" Type="http://schemas.openxmlformats.org/officeDocument/2006/relationships/image" Target="media/image2384.pn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png"/><Relationship Id="rId2396" Type="http://schemas.openxmlformats.org/officeDocument/2006/relationships/image" Target="media/image2389.png"/><Relationship Id="rId2397" Type="http://schemas.openxmlformats.org/officeDocument/2006/relationships/image" Target="media/image2390.png"/><Relationship Id="rId2398" Type="http://schemas.openxmlformats.org/officeDocument/2006/relationships/image" Target="media/image2391.png"/><Relationship Id="rId2399" Type="http://schemas.openxmlformats.org/officeDocument/2006/relationships/image" Target="media/image2392.png"/><Relationship Id="rId2400" Type="http://schemas.openxmlformats.org/officeDocument/2006/relationships/image" Target="media/image2393.png"/><Relationship Id="rId2401" Type="http://schemas.openxmlformats.org/officeDocument/2006/relationships/image" Target="media/image2394.png"/><Relationship Id="rId2402" Type="http://schemas.openxmlformats.org/officeDocument/2006/relationships/image" Target="media/image2395.png"/><Relationship Id="rId2403" Type="http://schemas.openxmlformats.org/officeDocument/2006/relationships/image" Target="media/image2396.png"/><Relationship Id="rId2404" Type="http://schemas.openxmlformats.org/officeDocument/2006/relationships/image" Target="media/image2397.png"/><Relationship Id="rId2405" Type="http://schemas.openxmlformats.org/officeDocument/2006/relationships/image" Target="media/image2398.png"/><Relationship Id="rId2406" Type="http://schemas.openxmlformats.org/officeDocument/2006/relationships/image" Target="media/image2399.png"/><Relationship Id="rId2407" Type="http://schemas.openxmlformats.org/officeDocument/2006/relationships/image" Target="media/image2400.png"/><Relationship Id="rId2408" Type="http://schemas.openxmlformats.org/officeDocument/2006/relationships/image" Target="media/image2401.png"/><Relationship Id="rId2409" Type="http://schemas.openxmlformats.org/officeDocument/2006/relationships/image" Target="media/image2402.png"/><Relationship Id="rId2410" Type="http://schemas.openxmlformats.org/officeDocument/2006/relationships/image" Target="media/image2403.png"/><Relationship Id="rId2411" Type="http://schemas.openxmlformats.org/officeDocument/2006/relationships/image" Target="media/image2404.png"/><Relationship Id="rId2412" Type="http://schemas.openxmlformats.org/officeDocument/2006/relationships/image" Target="media/image2405.png"/><Relationship Id="rId2413" Type="http://schemas.openxmlformats.org/officeDocument/2006/relationships/image" Target="media/image2406.png"/><Relationship Id="rId2414" Type="http://schemas.openxmlformats.org/officeDocument/2006/relationships/image" Target="media/image2407.png"/><Relationship Id="rId2415" Type="http://schemas.openxmlformats.org/officeDocument/2006/relationships/image" Target="media/image2408.png"/><Relationship Id="rId2416" Type="http://schemas.openxmlformats.org/officeDocument/2006/relationships/image" Target="media/image2409.png"/><Relationship Id="rId2417" Type="http://schemas.openxmlformats.org/officeDocument/2006/relationships/image" Target="media/image2410.png"/><Relationship Id="rId2418" Type="http://schemas.openxmlformats.org/officeDocument/2006/relationships/image" Target="media/image2411.png"/><Relationship Id="rId2419" Type="http://schemas.openxmlformats.org/officeDocument/2006/relationships/image" Target="media/image2412.png"/><Relationship Id="rId2420" Type="http://schemas.openxmlformats.org/officeDocument/2006/relationships/image" Target="media/image2413.png"/><Relationship Id="rId2421" Type="http://schemas.openxmlformats.org/officeDocument/2006/relationships/image" Target="media/image2414.png"/><Relationship Id="rId2422" Type="http://schemas.openxmlformats.org/officeDocument/2006/relationships/image" Target="media/image2415.png"/><Relationship Id="rId2423" Type="http://schemas.openxmlformats.org/officeDocument/2006/relationships/image" Target="media/image2416.png"/><Relationship Id="rId2424" Type="http://schemas.openxmlformats.org/officeDocument/2006/relationships/image" Target="media/image2417.png"/><Relationship Id="rId2425" Type="http://schemas.openxmlformats.org/officeDocument/2006/relationships/image" Target="media/image2418.png"/><Relationship Id="rId2426" Type="http://schemas.openxmlformats.org/officeDocument/2006/relationships/image" Target="media/image2419.png"/><Relationship Id="rId2427" Type="http://schemas.openxmlformats.org/officeDocument/2006/relationships/image" Target="media/image2420.png"/><Relationship Id="rId2428" Type="http://schemas.openxmlformats.org/officeDocument/2006/relationships/image" Target="media/image2421.jpeg"/><Relationship Id="rId2429" Type="http://schemas.openxmlformats.org/officeDocument/2006/relationships/image" Target="media/image2422.png"/><Relationship Id="rId2430" Type="http://schemas.openxmlformats.org/officeDocument/2006/relationships/image" Target="media/image2423.png"/><Relationship Id="rId2431" Type="http://schemas.openxmlformats.org/officeDocument/2006/relationships/image" Target="media/image2424.png"/><Relationship Id="rId2432" Type="http://schemas.openxmlformats.org/officeDocument/2006/relationships/image" Target="media/image2425.png"/><Relationship Id="rId2433" Type="http://schemas.openxmlformats.org/officeDocument/2006/relationships/image" Target="media/image2426.png"/><Relationship Id="rId2434" Type="http://schemas.openxmlformats.org/officeDocument/2006/relationships/image" Target="media/image2427.png"/><Relationship Id="rId2435" Type="http://schemas.openxmlformats.org/officeDocument/2006/relationships/image" Target="media/image2428.png"/><Relationship Id="rId2436" Type="http://schemas.openxmlformats.org/officeDocument/2006/relationships/image" Target="media/image2429.png"/><Relationship Id="rId2437" Type="http://schemas.openxmlformats.org/officeDocument/2006/relationships/image" Target="media/image2430.png"/><Relationship Id="rId2438" Type="http://schemas.openxmlformats.org/officeDocument/2006/relationships/image" Target="media/image2431.jpeg"/><Relationship Id="rId2439" Type="http://schemas.openxmlformats.org/officeDocument/2006/relationships/image" Target="media/image2432.jpeg"/><Relationship Id="rId2440" Type="http://schemas.openxmlformats.org/officeDocument/2006/relationships/image" Target="media/image2433.jpeg"/><Relationship Id="rId2441" Type="http://schemas.openxmlformats.org/officeDocument/2006/relationships/image" Target="media/image2434.png"/><Relationship Id="rId2442" Type="http://schemas.openxmlformats.org/officeDocument/2006/relationships/image" Target="media/image2435.png"/><Relationship Id="rId2443" Type="http://schemas.openxmlformats.org/officeDocument/2006/relationships/image" Target="media/image2436.jpeg"/><Relationship Id="rId2444" Type="http://schemas.openxmlformats.org/officeDocument/2006/relationships/image" Target="media/image2437.jpeg"/><Relationship Id="rId2445" Type="http://schemas.openxmlformats.org/officeDocument/2006/relationships/image" Target="media/image2438.jpeg"/><Relationship Id="rId2446" Type="http://schemas.openxmlformats.org/officeDocument/2006/relationships/image" Target="media/image2439.jpeg"/><Relationship Id="rId2447" Type="http://schemas.openxmlformats.org/officeDocument/2006/relationships/image" Target="media/image2440.png"/><Relationship Id="rId2448" Type="http://schemas.openxmlformats.org/officeDocument/2006/relationships/image" Target="media/image2441.png"/><Relationship Id="rId2449" Type="http://schemas.openxmlformats.org/officeDocument/2006/relationships/image" Target="media/image2442.png"/><Relationship Id="rId2450" Type="http://schemas.openxmlformats.org/officeDocument/2006/relationships/image" Target="media/image2443.png"/><Relationship Id="rId2451" Type="http://schemas.openxmlformats.org/officeDocument/2006/relationships/image" Target="media/image2444.png"/><Relationship Id="rId2452" Type="http://schemas.openxmlformats.org/officeDocument/2006/relationships/image" Target="media/image2445.png"/><Relationship Id="rId2453" Type="http://schemas.openxmlformats.org/officeDocument/2006/relationships/image" Target="media/image2446.jpeg"/><Relationship Id="rId2454" Type="http://schemas.openxmlformats.org/officeDocument/2006/relationships/image" Target="media/image2447.jpeg"/><Relationship Id="rId2455" Type="http://schemas.openxmlformats.org/officeDocument/2006/relationships/image" Target="media/image2448.png"/><Relationship Id="rId2456" Type="http://schemas.openxmlformats.org/officeDocument/2006/relationships/image" Target="media/image2449.png"/><Relationship Id="rId2457" Type="http://schemas.openxmlformats.org/officeDocument/2006/relationships/image" Target="media/image2450.png"/><Relationship Id="rId2458" Type="http://schemas.openxmlformats.org/officeDocument/2006/relationships/image" Target="media/image2451.png"/><Relationship Id="rId2459" Type="http://schemas.openxmlformats.org/officeDocument/2006/relationships/image" Target="media/image2452.png"/><Relationship Id="rId2460" Type="http://schemas.openxmlformats.org/officeDocument/2006/relationships/image" Target="media/image2453.png"/><Relationship Id="rId2461" Type="http://schemas.openxmlformats.org/officeDocument/2006/relationships/image" Target="media/image2454.png"/><Relationship Id="rId2462" Type="http://schemas.openxmlformats.org/officeDocument/2006/relationships/image" Target="media/image2455.png"/><Relationship Id="rId2463" Type="http://schemas.openxmlformats.org/officeDocument/2006/relationships/image" Target="media/image2456.png"/><Relationship Id="rId2464" Type="http://schemas.openxmlformats.org/officeDocument/2006/relationships/image" Target="media/image2457.png"/><Relationship Id="rId2465" Type="http://schemas.openxmlformats.org/officeDocument/2006/relationships/image" Target="media/image2458.png"/><Relationship Id="rId2466" Type="http://schemas.openxmlformats.org/officeDocument/2006/relationships/image" Target="media/image2459.png"/><Relationship Id="rId2467" Type="http://schemas.openxmlformats.org/officeDocument/2006/relationships/image" Target="media/image2460.png"/><Relationship Id="rId2468" Type="http://schemas.openxmlformats.org/officeDocument/2006/relationships/image" Target="media/image2461.png"/><Relationship Id="rId2469" Type="http://schemas.openxmlformats.org/officeDocument/2006/relationships/image" Target="media/image2462.png"/><Relationship Id="rId2470" Type="http://schemas.openxmlformats.org/officeDocument/2006/relationships/image" Target="media/image2463.png"/><Relationship Id="rId2471" Type="http://schemas.openxmlformats.org/officeDocument/2006/relationships/image" Target="media/image2464.png"/><Relationship Id="rId2472" Type="http://schemas.openxmlformats.org/officeDocument/2006/relationships/image" Target="media/image2465.png"/><Relationship Id="rId2473" Type="http://schemas.openxmlformats.org/officeDocument/2006/relationships/image" Target="media/image2466.png"/><Relationship Id="rId2474" Type="http://schemas.openxmlformats.org/officeDocument/2006/relationships/image" Target="media/image2467.png"/><Relationship Id="rId2475" Type="http://schemas.openxmlformats.org/officeDocument/2006/relationships/image" Target="media/image2468.png"/><Relationship Id="rId2476" Type="http://schemas.openxmlformats.org/officeDocument/2006/relationships/image" Target="media/image2469.png"/><Relationship Id="rId2477" Type="http://schemas.openxmlformats.org/officeDocument/2006/relationships/image" Target="media/image2470.png"/><Relationship Id="rId2478" Type="http://schemas.openxmlformats.org/officeDocument/2006/relationships/image" Target="media/image2471.png"/><Relationship Id="rId2479" Type="http://schemas.openxmlformats.org/officeDocument/2006/relationships/image" Target="media/image2472.png"/><Relationship Id="rId2480" Type="http://schemas.openxmlformats.org/officeDocument/2006/relationships/image" Target="media/image2473.png"/><Relationship Id="rId2481" Type="http://schemas.openxmlformats.org/officeDocument/2006/relationships/image" Target="media/image2474.png"/><Relationship Id="rId2482" Type="http://schemas.openxmlformats.org/officeDocument/2006/relationships/image" Target="media/image2475.png"/><Relationship Id="rId2483" Type="http://schemas.openxmlformats.org/officeDocument/2006/relationships/image" Target="media/image2476.png"/><Relationship Id="rId2484" Type="http://schemas.openxmlformats.org/officeDocument/2006/relationships/image" Target="media/image2477.png"/><Relationship Id="rId2485" Type="http://schemas.openxmlformats.org/officeDocument/2006/relationships/image" Target="media/image2478.png"/><Relationship Id="rId2486" Type="http://schemas.openxmlformats.org/officeDocument/2006/relationships/image" Target="media/image2479.png"/><Relationship Id="rId2487" Type="http://schemas.openxmlformats.org/officeDocument/2006/relationships/image" Target="media/image2480.png"/><Relationship Id="rId2488" Type="http://schemas.openxmlformats.org/officeDocument/2006/relationships/image" Target="media/image2481.png"/><Relationship Id="rId2489" Type="http://schemas.openxmlformats.org/officeDocument/2006/relationships/image" Target="media/image2482.png"/><Relationship Id="rId2490" Type="http://schemas.openxmlformats.org/officeDocument/2006/relationships/image" Target="media/image2483.png"/><Relationship Id="rId2491" Type="http://schemas.openxmlformats.org/officeDocument/2006/relationships/image" Target="media/image2484.png"/><Relationship Id="rId2492" Type="http://schemas.openxmlformats.org/officeDocument/2006/relationships/image" Target="media/image2485.png"/><Relationship Id="rId2493" Type="http://schemas.openxmlformats.org/officeDocument/2006/relationships/image" Target="media/image2486.png"/><Relationship Id="rId2494" Type="http://schemas.openxmlformats.org/officeDocument/2006/relationships/image" Target="media/image2487.png"/><Relationship Id="rId2495" Type="http://schemas.openxmlformats.org/officeDocument/2006/relationships/image" Target="media/image2488.png"/><Relationship Id="rId2496" Type="http://schemas.openxmlformats.org/officeDocument/2006/relationships/image" Target="media/image2489.png"/><Relationship Id="rId2497" Type="http://schemas.openxmlformats.org/officeDocument/2006/relationships/image" Target="media/image2490.png"/><Relationship Id="rId2498" Type="http://schemas.openxmlformats.org/officeDocument/2006/relationships/image" Target="media/image2491.png"/><Relationship Id="rId2499" Type="http://schemas.openxmlformats.org/officeDocument/2006/relationships/image" Target="media/image2492.png"/><Relationship Id="rId2500" Type="http://schemas.openxmlformats.org/officeDocument/2006/relationships/image" Target="media/image2493.png"/><Relationship Id="rId2501" Type="http://schemas.openxmlformats.org/officeDocument/2006/relationships/image" Target="media/image2494.png"/><Relationship Id="rId2502" Type="http://schemas.openxmlformats.org/officeDocument/2006/relationships/image" Target="media/image2495.png"/><Relationship Id="rId2503" Type="http://schemas.openxmlformats.org/officeDocument/2006/relationships/image" Target="media/image2496.png"/><Relationship Id="rId2504" Type="http://schemas.openxmlformats.org/officeDocument/2006/relationships/image" Target="media/image2497.png"/><Relationship Id="rId2505" Type="http://schemas.openxmlformats.org/officeDocument/2006/relationships/image" Target="media/image2498.png"/><Relationship Id="rId2506" Type="http://schemas.openxmlformats.org/officeDocument/2006/relationships/image" Target="media/image2499.png"/><Relationship Id="rId2507" Type="http://schemas.openxmlformats.org/officeDocument/2006/relationships/image" Target="media/image2500.png"/><Relationship Id="rId2508" Type="http://schemas.openxmlformats.org/officeDocument/2006/relationships/image" Target="media/image2501.png"/><Relationship Id="rId2509" Type="http://schemas.openxmlformats.org/officeDocument/2006/relationships/image" Target="media/image2502.png"/><Relationship Id="rId2510" Type="http://schemas.openxmlformats.org/officeDocument/2006/relationships/image" Target="media/image2503.png"/><Relationship Id="rId2511" Type="http://schemas.openxmlformats.org/officeDocument/2006/relationships/image" Target="media/image2504.png"/><Relationship Id="rId2512" Type="http://schemas.openxmlformats.org/officeDocument/2006/relationships/image" Target="media/image2505.png"/><Relationship Id="rId2513" Type="http://schemas.openxmlformats.org/officeDocument/2006/relationships/image" Target="media/image2506.png"/><Relationship Id="rId2514" Type="http://schemas.openxmlformats.org/officeDocument/2006/relationships/image" Target="media/image2507.png"/><Relationship Id="rId2515" Type="http://schemas.openxmlformats.org/officeDocument/2006/relationships/image" Target="media/image2508.png"/><Relationship Id="rId2516" Type="http://schemas.openxmlformats.org/officeDocument/2006/relationships/image" Target="media/image2509.png"/><Relationship Id="rId2517" Type="http://schemas.openxmlformats.org/officeDocument/2006/relationships/image" Target="media/image2510.png"/><Relationship Id="rId2518" Type="http://schemas.openxmlformats.org/officeDocument/2006/relationships/image" Target="media/image2511.png"/><Relationship Id="rId2519" Type="http://schemas.openxmlformats.org/officeDocument/2006/relationships/image" Target="media/image2512.png"/><Relationship Id="rId2520" Type="http://schemas.openxmlformats.org/officeDocument/2006/relationships/image" Target="media/image2513.png"/><Relationship Id="rId2521" Type="http://schemas.openxmlformats.org/officeDocument/2006/relationships/image" Target="media/image2514.png"/><Relationship Id="rId2522" Type="http://schemas.openxmlformats.org/officeDocument/2006/relationships/image" Target="media/image2515.png"/><Relationship Id="rId2523" Type="http://schemas.openxmlformats.org/officeDocument/2006/relationships/image" Target="media/image2516.png"/><Relationship Id="rId2524" Type="http://schemas.openxmlformats.org/officeDocument/2006/relationships/image" Target="media/image2517.png"/><Relationship Id="rId2525" Type="http://schemas.openxmlformats.org/officeDocument/2006/relationships/image" Target="media/image2518.png"/><Relationship Id="rId2526" Type="http://schemas.openxmlformats.org/officeDocument/2006/relationships/image" Target="media/image2519.png"/><Relationship Id="rId2527" Type="http://schemas.openxmlformats.org/officeDocument/2006/relationships/image" Target="media/image2520.png"/><Relationship Id="rId2528" Type="http://schemas.openxmlformats.org/officeDocument/2006/relationships/image" Target="media/image2521.png"/><Relationship Id="rId2529" Type="http://schemas.openxmlformats.org/officeDocument/2006/relationships/image" Target="media/image2522.png"/><Relationship Id="rId2530" Type="http://schemas.openxmlformats.org/officeDocument/2006/relationships/image" Target="media/image2523.png"/><Relationship Id="rId2531" Type="http://schemas.openxmlformats.org/officeDocument/2006/relationships/image" Target="media/image2524.png"/><Relationship Id="rId2532" Type="http://schemas.openxmlformats.org/officeDocument/2006/relationships/image" Target="media/image2525.png"/><Relationship Id="rId2533" Type="http://schemas.openxmlformats.org/officeDocument/2006/relationships/image" Target="media/image2526.png"/><Relationship Id="rId2534" Type="http://schemas.openxmlformats.org/officeDocument/2006/relationships/image" Target="media/image2527.png"/><Relationship Id="rId2535" Type="http://schemas.openxmlformats.org/officeDocument/2006/relationships/image" Target="media/image2528.png"/><Relationship Id="rId2536" Type="http://schemas.openxmlformats.org/officeDocument/2006/relationships/image" Target="media/image2529.png"/><Relationship Id="rId2537" Type="http://schemas.openxmlformats.org/officeDocument/2006/relationships/image" Target="media/image2530.png"/><Relationship Id="rId2538" Type="http://schemas.openxmlformats.org/officeDocument/2006/relationships/image" Target="media/image2531.png"/><Relationship Id="rId2539" Type="http://schemas.openxmlformats.org/officeDocument/2006/relationships/image" Target="media/image2532.png"/><Relationship Id="rId2540" Type="http://schemas.openxmlformats.org/officeDocument/2006/relationships/image" Target="media/image2533.png"/><Relationship Id="rId2541" Type="http://schemas.openxmlformats.org/officeDocument/2006/relationships/image" Target="media/image2534.png"/><Relationship Id="rId2542" Type="http://schemas.openxmlformats.org/officeDocument/2006/relationships/image" Target="media/image2535.png"/><Relationship Id="rId2543" Type="http://schemas.openxmlformats.org/officeDocument/2006/relationships/image" Target="media/image2536.png"/><Relationship Id="rId2544" Type="http://schemas.openxmlformats.org/officeDocument/2006/relationships/image" Target="media/image2537.png"/><Relationship Id="rId2545" Type="http://schemas.openxmlformats.org/officeDocument/2006/relationships/image" Target="media/image2538.png"/><Relationship Id="rId2546" Type="http://schemas.openxmlformats.org/officeDocument/2006/relationships/image" Target="media/image2539.png"/><Relationship Id="rId2547" Type="http://schemas.openxmlformats.org/officeDocument/2006/relationships/image" Target="media/image2540.png"/><Relationship Id="rId2548" Type="http://schemas.openxmlformats.org/officeDocument/2006/relationships/image" Target="media/image2541.png"/><Relationship Id="rId2549" Type="http://schemas.openxmlformats.org/officeDocument/2006/relationships/image" Target="media/image2542.png"/><Relationship Id="rId2550" Type="http://schemas.openxmlformats.org/officeDocument/2006/relationships/image" Target="media/image2543.png"/><Relationship Id="rId2551" Type="http://schemas.openxmlformats.org/officeDocument/2006/relationships/image" Target="media/image2544.png"/><Relationship Id="rId2552" Type="http://schemas.openxmlformats.org/officeDocument/2006/relationships/image" Target="media/image2545.png"/><Relationship Id="rId2553" Type="http://schemas.openxmlformats.org/officeDocument/2006/relationships/image" Target="media/image2546.png"/><Relationship Id="rId2554" Type="http://schemas.openxmlformats.org/officeDocument/2006/relationships/image" Target="media/image2547.png"/><Relationship Id="rId2555" Type="http://schemas.openxmlformats.org/officeDocument/2006/relationships/image" Target="media/image2548.png"/><Relationship Id="rId2556" Type="http://schemas.openxmlformats.org/officeDocument/2006/relationships/image" Target="media/image2549.png"/><Relationship Id="rId2557" Type="http://schemas.openxmlformats.org/officeDocument/2006/relationships/image" Target="media/image2550.png"/><Relationship Id="rId2558" Type="http://schemas.openxmlformats.org/officeDocument/2006/relationships/image" Target="media/image2551.png"/><Relationship Id="rId2559" Type="http://schemas.openxmlformats.org/officeDocument/2006/relationships/image" Target="media/image2552.png"/><Relationship Id="rId2560" Type="http://schemas.openxmlformats.org/officeDocument/2006/relationships/image" Target="media/image2553.png"/><Relationship Id="rId2561" Type="http://schemas.openxmlformats.org/officeDocument/2006/relationships/image" Target="media/image2554.png"/><Relationship Id="rId2562" Type="http://schemas.openxmlformats.org/officeDocument/2006/relationships/image" Target="media/image2555.png"/><Relationship Id="rId2563" Type="http://schemas.openxmlformats.org/officeDocument/2006/relationships/image" Target="media/image2556.png"/><Relationship Id="rId2564" Type="http://schemas.openxmlformats.org/officeDocument/2006/relationships/image" Target="media/image2557.png"/><Relationship Id="rId2565" Type="http://schemas.openxmlformats.org/officeDocument/2006/relationships/image" Target="media/image2558.png"/><Relationship Id="rId2566" Type="http://schemas.openxmlformats.org/officeDocument/2006/relationships/image" Target="media/image2559.png"/><Relationship Id="rId2567" Type="http://schemas.openxmlformats.org/officeDocument/2006/relationships/image" Target="media/image2560.png"/><Relationship Id="rId2568" Type="http://schemas.openxmlformats.org/officeDocument/2006/relationships/image" Target="media/image2561.png"/><Relationship Id="rId2569" Type="http://schemas.openxmlformats.org/officeDocument/2006/relationships/image" Target="media/image2562.png"/><Relationship Id="rId2570" Type="http://schemas.openxmlformats.org/officeDocument/2006/relationships/image" Target="media/image2563.png"/><Relationship Id="rId2571" Type="http://schemas.openxmlformats.org/officeDocument/2006/relationships/image" Target="media/image2564.png"/><Relationship Id="rId2572" Type="http://schemas.openxmlformats.org/officeDocument/2006/relationships/image" Target="media/image2565.png"/><Relationship Id="rId2573" Type="http://schemas.openxmlformats.org/officeDocument/2006/relationships/image" Target="media/image2566.png"/><Relationship Id="rId2574" Type="http://schemas.openxmlformats.org/officeDocument/2006/relationships/image" Target="media/image2567.png"/><Relationship Id="rId2575" Type="http://schemas.openxmlformats.org/officeDocument/2006/relationships/image" Target="media/image2568.png"/><Relationship Id="rId2576" Type="http://schemas.openxmlformats.org/officeDocument/2006/relationships/image" Target="media/image2569.png"/><Relationship Id="rId2577" Type="http://schemas.openxmlformats.org/officeDocument/2006/relationships/image" Target="media/image2570.png"/><Relationship Id="rId2578" Type="http://schemas.openxmlformats.org/officeDocument/2006/relationships/image" Target="media/image2571.png"/><Relationship Id="rId2579" Type="http://schemas.openxmlformats.org/officeDocument/2006/relationships/image" Target="media/image2572.png"/><Relationship Id="rId2580" Type="http://schemas.openxmlformats.org/officeDocument/2006/relationships/image" Target="media/image2573.png"/><Relationship Id="rId2581" Type="http://schemas.openxmlformats.org/officeDocument/2006/relationships/image" Target="media/image2574.png"/><Relationship Id="rId2582" Type="http://schemas.openxmlformats.org/officeDocument/2006/relationships/image" Target="media/image2575.png"/><Relationship Id="rId2583" Type="http://schemas.openxmlformats.org/officeDocument/2006/relationships/image" Target="media/image2576.png"/><Relationship Id="rId2584" Type="http://schemas.openxmlformats.org/officeDocument/2006/relationships/image" Target="media/image2577.png"/><Relationship Id="rId2585" Type="http://schemas.openxmlformats.org/officeDocument/2006/relationships/image" Target="media/image2578.png"/><Relationship Id="rId2586" Type="http://schemas.openxmlformats.org/officeDocument/2006/relationships/image" Target="media/image2579.png"/><Relationship Id="rId2587" Type="http://schemas.openxmlformats.org/officeDocument/2006/relationships/image" Target="media/image2580.png"/><Relationship Id="rId2588" Type="http://schemas.openxmlformats.org/officeDocument/2006/relationships/image" Target="media/image2581.png"/><Relationship Id="rId2589" Type="http://schemas.openxmlformats.org/officeDocument/2006/relationships/image" Target="media/image2582.png"/><Relationship Id="rId2590" Type="http://schemas.openxmlformats.org/officeDocument/2006/relationships/image" Target="media/image2583.png"/><Relationship Id="rId2591" Type="http://schemas.openxmlformats.org/officeDocument/2006/relationships/image" Target="media/image2584.png"/><Relationship Id="rId2592" Type="http://schemas.openxmlformats.org/officeDocument/2006/relationships/image" Target="media/image2585.png"/><Relationship Id="rId2593" Type="http://schemas.openxmlformats.org/officeDocument/2006/relationships/image" Target="media/image2586.png"/><Relationship Id="rId2594" Type="http://schemas.openxmlformats.org/officeDocument/2006/relationships/image" Target="media/image2587.png"/><Relationship Id="rId2595" Type="http://schemas.openxmlformats.org/officeDocument/2006/relationships/image" Target="media/image2588.png"/><Relationship Id="rId2596" Type="http://schemas.openxmlformats.org/officeDocument/2006/relationships/image" Target="media/image2589.png"/><Relationship Id="rId2597" Type="http://schemas.openxmlformats.org/officeDocument/2006/relationships/image" Target="media/image2590.png"/><Relationship Id="rId2598" Type="http://schemas.openxmlformats.org/officeDocument/2006/relationships/image" Target="media/image2591.png"/><Relationship Id="rId2599" Type="http://schemas.openxmlformats.org/officeDocument/2006/relationships/image" Target="media/image2592.png"/><Relationship Id="rId2600" Type="http://schemas.openxmlformats.org/officeDocument/2006/relationships/image" Target="media/image2593.png"/><Relationship Id="rId2601" Type="http://schemas.openxmlformats.org/officeDocument/2006/relationships/image" Target="media/image2594.png"/><Relationship Id="rId2602" Type="http://schemas.openxmlformats.org/officeDocument/2006/relationships/image" Target="media/image2595.png"/><Relationship Id="rId2603" Type="http://schemas.openxmlformats.org/officeDocument/2006/relationships/image" Target="media/image2596.png"/><Relationship Id="rId2604" Type="http://schemas.openxmlformats.org/officeDocument/2006/relationships/image" Target="media/image2597.png"/><Relationship Id="rId2605" Type="http://schemas.openxmlformats.org/officeDocument/2006/relationships/image" Target="media/image2598.png"/><Relationship Id="rId2606" Type="http://schemas.openxmlformats.org/officeDocument/2006/relationships/image" Target="media/image2599.png"/><Relationship Id="rId2607" Type="http://schemas.openxmlformats.org/officeDocument/2006/relationships/image" Target="media/image2600.png"/><Relationship Id="rId2608" Type="http://schemas.openxmlformats.org/officeDocument/2006/relationships/image" Target="media/image2601.png"/><Relationship Id="rId2609" Type="http://schemas.openxmlformats.org/officeDocument/2006/relationships/image" Target="media/image2602.png"/><Relationship Id="rId2610" Type="http://schemas.openxmlformats.org/officeDocument/2006/relationships/image" Target="media/image2603.png"/><Relationship Id="rId2611" Type="http://schemas.openxmlformats.org/officeDocument/2006/relationships/image" Target="media/image2604.png"/><Relationship Id="rId2612" Type="http://schemas.openxmlformats.org/officeDocument/2006/relationships/image" Target="media/image2605.png"/><Relationship Id="rId2613" Type="http://schemas.openxmlformats.org/officeDocument/2006/relationships/image" Target="media/image2606.png"/><Relationship Id="rId2614" Type="http://schemas.openxmlformats.org/officeDocument/2006/relationships/image" Target="media/image2607.png"/><Relationship Id="rId2615" Type="http://schemas.openxmlformats.org/officeDocument/2006/relationships/image" Target="media/image2608.png"/><Relationship Id="rId2616" Type="http://schemas.openxmlformats.org/officeDocument/2006/relationships/image" Target="media/image2609.png"/><Relationship Id="rId2617" Type="http://schemas.openxmlformats.org/officeDocument/2006/relationships/image" Target="media/image2610.png"/><Relationship Id="rId2618" Type="http://schemas.openxmlformats.org/officeDocument/2006/relationships/image" Target="media/image2611.png"/><Relationship Id="rId2619" Type="http://schemas.openxmlformats.org/officeDocument/2006/relationships/image" Target="media/image2612.png"/><Relationship Id="rId2620" Type="http://schemas.openxmlformats.org/officeDocument/2006/relationships/image" Target="media/image2613.png"/><Relationship Id="rId2621" Type="http://schemas.openxmlformats.org/officeDocument/2006/relationships/image" Target="media/image2614.png"/><Relationship Id="rId2622" Type="http://schemas.openxmlformats.org/officeDocument/2006/relationships/image" Target="media/image2615.png"/><Relationship Id="rId2623" Type="http://schemas.openxmlformats.org/officeDocument/2006/relationships/image" Target="media/image2616.png"/><Relationship Id="rId2624" Type="http://schemas.openxmlformats.org/officeDocument/2006/relationships/image" Target="media/image2617.png"/><Relationship Id="rId2625" Type="http://schemas.openxmlformats.org/officeDocument/2006/relationships/image" Target="media/image2618.png"/><Relationship Id="rId2626" Type="http://schemas.openxmlformats.org/officeDocument/2006/relationships/image" Target="media/image2619.png"/><Relationship Id="rId2627" Type="http://schemas.openxmlformats.org/officeDocument/2006/relationships/image" Target="media/image2620.png"/><Relationship Id="rId2628" Type="http://schemas.openxmlformats.org/officeDocument/2006/relationships/image" Target="media/image2621.png"/><Relationship Id="rId2629" Type="http://schemas.openxmlformats.org/officeDocument/2006/relationships/image" Target="media/image2622.png"/><Relationship Id="rId2630" Type="http://schemas.openxmlformats.org/officeDocument/2006/relationships/image" Target="media/image2623.png"/><Relationship Id="rId2631" Type="http://schemas.openxmlformats.org/officeDocument/2006/relationships/image" Target="media/image2624.png"/><Relationship Id="rId2632" Type="http://schemas.openxmlformats.org/officeDocument/2006/relationships/image" Target="media/image2625.png"/><Relationship Id="rId2633" Type="http://schemas.openxmlformats.org/officeDocument/2006/relationships/image" Target="media/image2626.png"/><Relationship Id="rId2634" Type="http://schemas.openxmlformats.org/officeDocument/2006/relationships/image" Target="media/image2627.png"/><Relationship Id="rId2635" Type="http://schemas.openxmlformats.org/officeDocument/2006/relationships/image" Target="media/image2628.png"/><Relationship Id="rId2636" Type="http://schemas.openxmlformats.org/officeDocument/2006/relationships/image" Target="media/image2629.png"/><Relationship Id="rId2637" Type="http://schemas.openxmlformats.org/officeDocument/2006/relationships/image" Target="media/image2630.png"/><Relationship Id="rId2638" Type="http://schemas.openxmlformats.org/officeDocument/2006/relationships/image" Target="media/image2631.png"/><Relationship Id="rId2639" Type="http://schemas.openxmlformats.org/officeDocument/2006/relationships/image" Target="media/image2632.png"/><Relationship Id="rId2640" Type="http://schemas.openxmlformats.org/officeDocument/2006/relationships/image" Target="media/image2633.png"/><Relationship Id="rId2641" Type="http://schemas.openxmlformats.org/officeDocument/2006/relationships/image" Target="media/image2634.png"/><Relationship Id="rId2642" Type="http://schemas.openxmlformats.org/officeDocument/2006/relationships/image" Target="media/image2635.png"/><Relationship Id="rId2643" Type="http://schemas.openxmlformats.org/officeDocument/2006/relationships/image" Target="media/image2636.png"/><Relationship Id="rId2644" Type="http://schemas.openxmlformats.org/officeDocument/2006/relationships/image" Target="media/image2637.png"/><Relationship Id="rId2645" Type="http://schemas.openxmlformats.org/officeDocument/2006/relationships/image" Target="media/image2638.png"/><Relationship Id="rId2646" Type="http://schemas.openxmlformats.org/officeDocument/2006/relationships/image" Target="media/image2639.png"/><Relationship Id="rId2647" Type="http://schemas.openxmlformats.org/officeDocument/2006/relationships/image" Target="media/image2640.png"/><Relationship Id="rId2648" Type="http://schemas.openxmlformats.org/officeDocument/2006/relationships/image" Target="media/image2641.png"/><Relationship Id="rId2649" Type="http://schemas.openxmlformats.org/officeDocument/2006/relationships/image" Target="media/image2642.png"/><Relationship Id="rId2650" Type="http://schemas.openxmlformats.org/officeDocument/2006/relationships/image" Target="media/image2643.png"/><Relationship Id="rId2651" Type="http://schemas.openxmlformats.org/officeDocument/2006/relationships/image" Target="media/image2644.png"/><Relationship Id="rId2652" Type="http://schemas.openxmlformats.org/officeDocument/2006/relationships/image" Target="media/image2645.png"/><Relationship Id="rId2653" Type="http://schemas.openxmlformats.org/officeDocument/2006/relationships/image" Target="media/image2646.png"/><Relationship Id="rId2654" Type="http://schemas.openxmlformats.org/officeDocument/2006/relationships/image" Target="media/image2647.png"/><Relationship Id="rId2655" Type="http://schemas.openxmlformats.org/officeDocument/2006/relationships/image" Target="media/image2648.png"/><Relationship Id="rId2656" Type="http://schemas.openxmlformats.org/officeDocument/2006/relationships/image" Target="media/image2649.png"/><Relationship Id="rId2657" Type="http://schemas.openxmlformats.org/officeDocument/2006/relationships/image" Target="media/image2650.png"/><Relationship Id="rId2658" Type="http://schemas.openxmlformats.org/officeDocument/2006/relationships/image" Target="media/image2651.png"/><Relationship Id="rId2659" Type="http://schemas.openxmlformats.org/officeDocument/2006/relationships/image" Target="media/image2652.png"/><Relationship Id="rId2660" Type="http://schemas.openxmlformats.org/officeDocument/2006/relationships/image" Target="media/image2653.png"/><Relationship Id="rId2661" Type="http://schemas.openxmlformats.org/officeDocument/2006/relationships/image" Target="media/image2654.png"/><Relationship Id="rId2662" Type="http://schemas.openxmlformats.org/officeDocument/2006/relationships/image" Target="media/image2655.png"/><Relationship Id="rId2663" Type="http://schemas.openxmlformats.org/officeDocument/2006/relationships/image" Target="media/image2656.png"/><Relationship Id="rId2664" Type="http://schemas.openxmlformats.org/officeDocument/2006/relationships/image" Target="media/image2657.png"/><Relationship Id="rId2665" Type="http://schemas.openxmlformats.org/officeDocument/2006/relationships/image" Target="media/image2658.png"/><Relationship Id="rId2666" Type="http://schemas.openxmlformats.org/officeDocument/2006/relationships/image" Target="media/image2659.png"/><Relationship Id="rId2667" Type="http://schemas.openxmlformats.org/officeDocument/2006/relationships/image" Target="media/image2660.png"/><Relationship Id="rId2668" Type="http://schemas.openxmlformats.org/officeDocument/2006/relationships/image" Target="media/image2661.png"/><Relationship Id="rId2669" Type="http://schemas.openxmlformats.org/officeDocument/2006/relationships/image" Target="media/image2662.png"/><Relationship Id="rId2670" Type="http://schemas.openxmlformats.org/officeDocument/2006/relationships/image" Target="media/image2663.png"/><Relationship Id="rId2671" Type="http://schemas.openxmlformats.org/officeDocument/2006/relationships/image" Target="media/image2664.png"/><Relationship Id="rId2672" Type="http://schemas.openxmlformats.org/officeDocument/2006/relationships/image" Target="media/image2665.png"/><Relationship Id="rId2673" Type="http://schemas.openxmlformats.org/officeDocument/2006/relationships/image" Target="media/image2666.png"/><Relationship Id="rId2674" Type="http://schemas.openxmlformats.org/officeDocument/2006/relationships/image" Target="media/image2667.png"/><Relationship Id="rId2675" Type="http://schemas.openxmlformats.org/officeDocument/2006/relationships/image" Target="media/image2668.png"/><Relationship Id="rId2676" Type="http://schemas.openxmlformats.org/officeDocument/2006/relationships/image" Target="media/image2669.png"/><Relationship Id="rId2677" Type="http://schemas.openxmlformats.org/officeDocument/2006/relationships/image" Target="media/image2670.png"/><Relationship Id="rId2678" Type="http://schemas.openxmlformats.org/officeDocument/2006/relationships/image" Target="media/image2671.png"/><Relationship Id="rId2679" Type="http://schemas.openxmlformats.org/officeDocument/2006/relationships/image" Target="media/image2672.png"/><Relationship Id="rId2680" Type="http://schemas.openxmlformats.org/officeDocument/2006/relationships/image" Target="media/image2673.png"/><Relationship Id="rId2681" Type="http://schemas.openxmlformats.org/officeDocument/2006/relationships/image" Target="media/image2674.png"/><Relationship Id="rId2682" Type="http://schemas.openxmlformats.org/officeDocument/2006/relationships/image" Target="media/image2675.png"/><Relationship Id="rId2683" Type="http://schemas.openxmlformats.org/officeDocument/2006/relationships/image" Target="media/image2676.png"/><Relationship Id="rId2684" Type="http://schemas.openxmlformats.org/officeDocument/2006/relationships/image" Target="media/image2677.png"/><Relationship Id="rId2685" Type="http://schemas.openxmlformats.org/officeDocument/2006/relationships/image" Target="media/image2678.png"/><Relationship Id="rId2686" Type="http://schemas.openxmlformats.org/officeDocument/2006/relationships/image" Target="media/image2679.png"/><Relationship Id="rId2687" Type="http://schemas.openxmlformats.org/officeDocument/2006/relationships/image" Target="media/image2680.png"/><Relationship Id="rId2688" Type="http://schemas.openxmlformats.org/officeDocument/2006/relationships/image" Target="media/image2681.png"/><Relationship Id="rId2689" Type="http://schemas.openxmlformats.org/officeDocument/2006/relationships/image" Target="media/image2682.png"/><Relationship Id="rId2690" Type="http://schemas.openxmlformats.org/officeDocument/2006/relationships/image" Target="media/image2683.png"/><Relationship Id="rId2691" Type="http://schemas.openxmlformats.org/officeDocument/2006/relationships/image" Target="media/image2684.png"/><Relationship Id="rId2692" Type="http://schemas.openxmlformats.org/officeDocument/2006/relationships/image" Target="media/image2685.png"/><Relationship Id="rId2693" Type="http://schemas.openxmlformats.org/officeDocument/2006/relationships/image" Target="media/image2686.png"/><Relationship Id="rId2694" Type="http://schemas.openxmlformats.org/officeDocument/2006/relationships/image" Target="media/image2687.png"/><Relationship Id="rId2695" Type="http://schemas.openxmlformats.org/officeDocument/2006/relationships/image" Target="media/image2688.png"/><Relationship Id="rId2696" Type="http://schemas.openxmlformats.org/officeDocument/2006/relationships/image" Target="media/image2689.png"/><Relationship Id="rId2697" Type="http://schemas.openxmlformats.org/officeDocument/2006/relationships/image" Target="media/image2690.png"/><Relationship Id="rId2698" Type="http://schemas.openxmlformats.org/officeDocument/2006/relationships/image" Target="media/image2691.png"/><Relationship Id="rId2699" Type="http://schemas.openxmlformats.org/officeDocument/2006/relationships/image" Target="media/image2692.png"/><Relationship Id="rId2700" Type="http://schemas.openxmlformats.org/officeDocument/2006/relationships/image" Target="media/image2693.png"/><Relationship Id="rId2701" Type="http://schemas.openxmlformats.org/officeDocument/2006/relationships/image" Target="media/image2694.png"/><Relationship Id="rId2702" Type="http://schemas.openxmlformats.org/officeDocument/2006/relationships/image" Target="media/image2695.png"/><Relationship Id="rId2703" Type="http://schemas.openxmlformats.org/officeDocument/2006/relationships/image" Target="media/image2696.png"/><Relationship Id="rId2704" Type="http://schemas.openxmlformats.org/officeDocument/2006/relationships/image" Target="media/image2697.png"/><Relationship Id="rId2705" Type="http://schemas.openxmlformats.org/officeDocument/2006/relationships/image" Target="media/image2698.png"/><Relationship Id="rId2706" Type="http://schemas.openxmlformats.org/officeDocument/2006/relationships/image" Target="media/image2699.png"/><Relationship Id="rId2707" Type="http://schemas.openxmlformats.org/officeDocument/2006/relationships/image" Target="media/image2700.png"/><Relationship Id="rId2708" Type="http://schemas.openxmlformats.org/officeDocument/2006/relationships/image" Target="media/image2701.png"/><Relationship Id="rId2709" Type="http://schemas.openxmlformats.org/officeDocument/2006/relationships/image" Target="media/image2702.png"/><Relationship Id="rId2710" Type="http://schemas.openxmlformats.org/officeDocument/2006/relationships/image" Target="media/image2703.png"/><Relationship Id="rId2711" Type="http://schemas.openxmlformats.org/officeDocument/2006/relationships/image" Target="media/image2704.png"/><Relationship Id="rId2712" Type="http://schemas.openxmlformats.org/officeDocument/2006/relationships/image" Target="media/image2705.png"/><Relationship Id="rId2713" Type="http://schemas.openxmlformats.org/officeDocument/2006/relationships/image" Target="media/image2706.png"/><Relationship Id="rId2714" Type="http://schemas.openxmlformats.org/officeDocument/2006/relationships/image" Target="media/image2707.png"/><Relationship Id="rId2715" Type="http://schemas.openxmlformats.org/officeDocument/2006/relationships/image" Target="media/image2708.png"/><Relationship Id="rId2716" Type="http://schemas.openxmlformats.org/officeDocument/2006/relationships/image" Target="media/image2709.png"/><Relationship Id="rId2717" Type="http://schemas.openxmlformats.org/officeDocument/2006/relationships/image" Target="media/image2710.png"/><Relationship Id="rId2718" Type="http://schemas.openxmlformats.org/officeDocument/2006/relationships/image" Target="media/image2711.png"/><Relationship Id="rId2719" Type="http://schemas.openxmlformats.org/officeDocument/2006/relationships/image" Target="media/image2712.png"/><Relationship Id="rId2720" Type="http://schemas.openxmlformats.org/officeDocument/2006/relationships/image" Target="media/image2713.png"/><Relationship Id="rId2721" Type="http://schemas.openxmlformats.org/officeDocument/2006/relationships/image" Target="media/image2714.png"/><Relationship Id="rId2722" Type="http://schemas.openxmlformats.org/officeDocument/2006/relationships/image" Target="media/image2715.png"/><Relationship Id="rId2723" Type="http://schemas.openxmlformats.org/officeDocument/2006/relationships/image" Target="media/image2716.png"/><Relationship Id="rId2724" Type="http://schemas.openxmlformats.org/officeDocument/2006/relationships/image" Target="media/image2717.png"/><Relationship Id="rId2725" Type="http://schemas.openxmlformats.org/officeDocument/2006/relationships/image" Target="media/image2718.png"/><Relationship Id="rId2726" Type="http://schemas.openxmlformats.org/officeDocument/2006/relationships/image" Target="media/image2719.png"/><Relationship Id="rId2727" Type="http://schemas.openxmlformats.org/officeDocument/2006/relationships/image" Target="media/image2720.png"/><Relationship Id="rId2728" Type="http://schemas.openxmlformats.org/officeDocument/2006/relationships/image" Target="media/image2721.png"/><Relationship Id="rId2729" Type="http://schemas.openxmlformats.org/officeDocument/2006/relationships/image" Target="media/image2722.png"/><Relationship Id="rId2730" Type="http://schemas.openxmlformats.org/officeDocument/2006/relationships/image" Target="media/image2723.png"/><Relationship Id="rId2731" Type="http://schemas.openxmlformats.org/officeDocument/2006/relationships/image" Target="media/image2724.png"/><Relationship Id="rId2732" Type="http://schemas.openxmlformats.org/officeDocument/2006/relationships/image" Target="media/image2725.png"/><Relationship Id="rId2733" Type="http://schemas.openxmlformats.org/officeDocument/2006/relationships/image" Target="media/image2726.png"/><Relationship Id="rId2734" Type="http://schemas.openxmlformats.org/officeDocument/2006/relationships/image" Target="media/image2727.png"/><Relationship Id="rId2735" Type="http://schemas.openxmlformats.org/officeDocument/2006/relationships/image" Target="media/image2728.png"/><Relationship Id="rId2736" Type="http://schemas.openxmlformats.org/officeDocument/2006/relationships/image" Target="media/image2729.png"/><Relationship Id="rId2737" Type="http://schemas.openxmlformats.org/officeDocument/2006/relationships/image" Target="media/image2730.png"/><Relationship Id="rId2738" Type="http://schemas.openxmlformats.org/officeDocument/2006/relationships/image" Target="media/image2731.png"/><Relationship Id="rId2739" Type="http://schemas.openxmlformats.org/officeDocument/2006/relationships/image" Target="media/image2732.png"/><Relationship Id="rId2740" Type="http://schemas.openxmlformats.org/officeDocument/2006/relationships/image" Target="media/image2733.png"/><Relationship Id="rId2741" Type="http://schemas.openxmlformats.org/officeDocument/2006/relationships/image" Target="media/image2734.png"/><Relationship Id="rId2742" Type="http://schemas.openxmlformats.org/officeDocument/2006/relationships/image" Target="media/image2735.png"/><Relationship Id="rId2743" Type="http://schemas.openxmlformats.org/officeDocument/2006/relationships/image" Target="media/image2736.png"/><Relationship Id="rId2744" Type="http://schemas.openxmlformats.org/officeDocument/2006/relationships/image" Target="media/image2737.png"/><Relationship Id="rId2745" Type="http://schemas.openxmlformats.org/officeDocument/2006/relationships/image" Target="media/image2738.png"/><Relationship Id="rId2746" Type="http://schemas.openxmlformats.org/officeDocument/2006/relationships/image" Target="media/image2739.png"/><Relationship Id="rId2747" Type="http://schemas.openxmlformats.org/officeDocument/2006/relationships/image" Target="media/image2740.png"/><Relationship Id="rId2748" Type="http://schemas.openxmlformats.org/officeDocument/2006/relationships/image" Target="media/image2741.png"/><Relationship Id="rId2749" Type="http://schemas.openxmlformats.org/officeDocument/2006/relationships/image" Target="media/image2742.png"/><Relationship Id="rId2750" Type="http://schemas.openxmlformats.org/officeDocument/2006/relationships/image" Target="media/image2743.png"/><Relationship Id="rId2751" Type="http://schemas.openxmlformats.org/officeDocument/2006/relationships/image" Target="media/image2744.png"/><Relationship Id="rId2752" Type="http://schemas.openxmlformats.org/officeDocument/2006/relationships/image" Target="media/image2745.png"/><Relationship Id="rId2753" Type="http://schemas.openxmlformats.org/officeDocument/2006/relationships/image" Target="media/image2746.png"/><Relationship Id="rId2754" Type="http://schemas.openxmlformats.org/officeDocument/2006/relationships/image" Target="media/image2747.png"/><Relationship Id="rId2755" Type="http://schemas.openxmlformats.org/officeDocument/2006/relationships/image" Target="media/image2748.png"/><Relationship Id="rId2756" Type="http://schemas.openxmlformats.org/officeDocument/2006/relationships/image" Target="media/image2749.png"/><Relationship Id="rId2757" Type="http://schemas.openxmlformats.org/officeDocument/2006/relationships/image" Target="media/image2750.png"/><Relationship Id="rId2758" Type="http://schemas.openxmlformats.org/officeDocument/2006/relationships/image" Target="media/image2751.png"/><Relationship Id="rId2759" Type="http://schemas.openxmlformats.org/officeDocument/2006/relationships/image" Target="media/image2752.png"/><Relationship Id="rId2760" Type="http://schemas.openxmlformats.org/officeDocument/2006/relationships/image" Target="media/image2753.png"/><Relationship Id="rId2761" Type="http://schemas.openxmlformats.org/officeDocument/2006/relationships/image" Target="media/image2754.png"/><Relationship Id="rId2762" Type="http://schemas.openxmlformats.org/officeDocument/2006/relationships/image" Target="media/image2755.png"/><Relationship Id="rId2763" Type="http://schemas.openxmlformats.org/officeDocument/2006/relationships/image" Target="media/image2756.png"/><Relationship Id="rId2764" Type="http://schemas.openxmlformats.org/officeDocument/2006/relationships/image" Target="media/image2757.png"/><Relationship Id="rId2765" Type="http://schemas.openxmlformats.org/officeDocument/2006/relationships/image" Target="media/image2758.png"/><Relationship Id="rId2766" Type="http://schemas.openxmlformats.org/officeDocument/2006/relationships/image" Target="media/image2759.png"/><Relationship Id="rId2767" Type="http://schemas.openxmlformats.org/officeDocument/2006/relationships/image" Target="media/image2760.png"/><Relationship Id="rId2768" Type="http://schemas.openxmlformats.org/officeDocument/2006/relationships/image" Target="media/image2761.png"/><Relationship Id="rId2769" Type="http://schemas.openxmlformats.org/officeDocument/2006/relationships/image" Target="media/image2762.png"/><Relationship Id="rId2770" Type="http://schemas.openxmlformats.org/officeDocument/2006/relationships/image" Target="media/image2763.png"/><Relationship Id="rId2771" Type="http://schemas.openxmlformats.org/officeDocument/2006/relationships/image" Target="media/image2764.png"/><Relationship Id="rId2772" Type="http://schemas.openxmlformats.org/officeDocument/2006/relationships/image" Target="media/image2765.png"/><Relationship Id="rId2773" Type="http://schemas.openxmlformats.org/officeDocument/2006/relationships/image" Target="media/image2766.png"/><Relationship Id="rId2774" Type="http://schemas.openxmlformats.org/officeDocument/2006/relationships/image" Target="media/image2767.png"/><Relationship Id="rId2775" Type="http://schemas.openxmlformats.org/officeDocument/2006/relationships/image" Target="media/image2768.png"/><Relationship Id="rId2776" Type="http://schemas.openxmlformats.org/officeDocument/2006/relationships/image" Target="media/image2769.png"/><Relationship Id="rId2777" Type="http://schemas.openxmlformats.org/officeDocument/2006/relationships/image" Target="media/image2770.png"/><Relationship Id="rId2778" Type="http://schemas.openxmlformats.org/officeDocument/2006/relationships/image" Target="media/image2771.png"/><Relationship Id="rId2779" Type="http://schemas.openxmlformats.org/officeDocument/2006/relationships/image" Target="media/image2772.jpeg"/><Relationship Id="rId2780" Type="http://schemas.openxmlformats.org/officeDocument/2006/relationships/image" Target="media/image2773.png"/><Relationship Id="rId2781" Type="http://schemas.openxmlformats.org/officeDocument/2006/relationships/image" Target="media/image2774.png"/><Relationship Id="rId2782" Type="http://schemas.openxmlformats.org/officeDocument/2006/relationships/image" Target="media/image2775.png"/><Relationship Id="rId2783" Type="http://schemas.openxmlformats.org/officeDocument/2006/relationships/image" Target="media/image2776.jpeg"/><Relationship Id="rId2784" Type="http://schemas.openxmlformats.org/officeDocument/2006/relationships/image" Target="media/image2777.png"/><Relationship Id="rId2785" Type="http://schemas.openxmlformats.org/officeDocument/2006/relationships/image" Target="media/image2778.png"/><Relationship Id="rId2786" Type="http://schemas.openxmlformats.org/officeDocument/2006/relationships/image" Target="media/image2779.png"/><Relationship Id="rId2787" Type="http://schemas.openxmlformats.org/officeDocument/2006/relationships/image" Target="media/image2780.png"/><Relationship Id="rId2788" Type="http://schemas.openxmlformats.org/officeDocument/2006/relationships/image" Target="media/image2781.png"/><Relationship Id="rId2789" Type="http://schemas.openxmlformats.org/officeDocument/2006/relationships/image" Target="media/image2782.png"/><Relationship Id="rId2790" Type="http://schemas.openxmlformats.org/officeDocument/2006/relationships/image" Target="media/image2783.png"/><Relationship Id="rId2791" Type="http://schemas.openxmlformats.org/officeDocument/2006/relationships/image" Target="media/image2784.png"/><Relationship Id="rId2792" Type="http://schemas.openxmlformats.org/officeDocument/2006/relationships/image" Target="media/image2785.png"/><Relationship Id="rId2793" Type="http://schemas.openxmlformats.org/officeDocument/2006/relationships/image" Target="media/image2786.png"/><Relationship Id="rId2794" Type="http://schemas.openxmlformats.org/officeDocument/2006/relationships/image" Target="media/image2787.png"/><Relationship Id="rId2795" Type="http://schemas.openxmlformats.org/officeDocument/2006/relationships/image" Target="media/image2788.png"/><Relationship Id="rId2796" Type="http://schemas.openxmlformats.org/officeDocument/2006/relationships/image" Target="media/image2789.png"/><Relationship Id="rId2797" Type="http://schemas.openxmlformats.org/officeDocument/2006/relationships/image" Target="media/image2790.png"/><Relationship Id="rId2798" Type="http://schemas.openxmlformats.org/officeDocument/2006/relationships/image" Target="media/image2791.png"/><Relationship Id="rId2799" Type="http://schemas.openxmlformats.org/officeDocument/2006/relationships/image" Target="media/image2792.png"/><Relationship Id="rId2800" Type="http://schemas.openxmlformats.org/officeDocument/2006/relationships/image" Target="media/image2793.png"/><Relationship Id="rId2801" Type="http://schemas.openxmlformats.org/officeDocument/2006/relationships/image" Target="media/image2794.png"/><Relationship Id="rId2802" Type="http://schemas.openxmlformats.org/officeDocument/2006/relationships/image" Target="media/image2795.png"/><Relationship Id="rId2803" Type="http://schemas.openxmlformats.org/officeDocument/2006/relationships/image" Target="media/image2796.png"/><Relationship Id="rId2804" Type="http://schemas.openxmlformats.org/officeDocument/2006/relationships/image" Target="media/image2797.png"/><Relationship Id="rId2805" Type="http://schemas.openxmlformats.org/officeDocument/2006/relationships/image" Target="media/image2798.png"/><Relationship Id="rId2806" Type="http://schemas.openxmlformats.org/officeDocument/2006/relationships/image" Target="media/image2799.png"/><Relationship Id="rId2807" Type="http://schemas.openxmlformats.org/officeDocument/2006/relationships/image" Target="media/image2800.png"/><Relationship Id="rId2808" Type="http://schemas.openxmlformats.org/officeDocument/2006/relationships/image" Target="media/image2801.png"/><Relationship Id="rId2809" Type="http://schemas.openxmlformats.org/officeDocument/2006/relationships/image" Target="media/image2802.png"/><Relationship Id="rId2810" Type="http://schemas.openxmlformats.org/officeDocument/2006/relationships/image" Target="media/image2803.png"/><Relationship Id="rId2811" Type="http://schemas.openxmlformats.org/officeDocument/2006/relationships/image" Target="media/image2804.png"/><Relationship Id="rId2812" Type="http://schemas.openxmlformats.org/officeDocument/2006/relationships/image" Target="media/image2805.png"/><Relationship Id="rId2813" Type="http://schemas.openxmlformats.org/officeDocument/2006/relationships/image" Target="media/image2806.png"/><Relationship Id="rId2814" Type="http://schemas.openxmlformats.org/officeDocument/2006/relationships/image" Target="media/image2807.png"/><Relationship Id="rId2815" Type="http://schemas.openxmlformats.org/officeDocument/2006/relationships/image" Target="media/image2808.png"/><Relationship Id="rId2816" Type="http://schemas.openxmlformats.org/officeDocument/2006/relationships/image" Target="media/image2809.png"/><Relationship Id="rId2817" Type="http://schemas.openxmlformats.org/officeDocument/2006/relationships/image" Target="media/image2810.png"/><Relationship Id="rId2818" Type="http://schemas.openxmlformats.org/officeDocument/2006/relationships/image" Target="media/image2811.png"/><Relationship Id="rId2819" Type="http://schemas.openxmlformats.org/officeDocument/2006/relationships/image" Target="media/image2812.png"/><Relationship Id="rId2820" Type="http://schemas.openxmlformats.org/officeDocument/2006/relationships/image" Target="media/image2813.png"/><Relationship Id="rId2821" Type="http://schemas.openxmlformats.org/officeDocument/2006/relationships/image" Target="media/image2814.png"/><Relationship Id="rId2822" Type="http://schemas.openxmlformats.org/officeDocument/2006/relationships/image" Target="media/image2815.png"/><Relationship Id="rId2823" Type="http://schemas.openxmlformats.org/officeDocument/2006/relationships/image" Target="media/image2816.png"/><Relationship Id="rId2824" Type="http://schemas.openxmlformats.org/officeDocument/2006/relationships/image" Target="media/image2817.png"/><Relationship Id="rId2825" Type="http://schemas.openxmlformats.org/officeDocument/2006/relationships/image" Target="media/image2818.png"/><Relationship Id="rId2826" Type="http://schemas.openxmlformats.org/officeDocument/2006/relationships/image" Target="media/image2819.png"/><Relationship Id="rId2827" Type="http://schemas.openxmlformats.org/officeDocument/2006/relationships/image" Target="media/image2820.png"/><Relationship Id="rId2828" Type="http://schemas.openxmlformats.org/officeDocument/2006/relationships/image" Target="media/image2821.png"/><Relationship Id="rId2829" Type="http://schemas.openxmlformats.org/officeDocument/2006/relationships/image" Target="media/image2822.png"/><Relationship Id="rId2830" Type="http://schemas.openxmlformats.org/officeDocument/2006/relationships/image" Target="media/image2823.png"/><Relationship Id="rId2831" Type="http://schemas.openxmlformats.org/officeDocument/2006/relationships/image" Target="media/image2824.png"/><Relationship Id="rId2832" Type="http://schemas.openxmlformats.org/officeDocument/2006/relationships/image" Target="media/image2825.png"/><Relationship Id="rId2833" Type="http://schemas.openxmlformats.org/officeDocument/2006/relationships/image" Target="media/image2826.png"/><Relationship Id="rId2834" Type="http://schemas.openxmlformats.org/officeDocument/2006/relationships/image" Target="media/image2827.png"/><Relationship Id="rId2835" Type="http://schemas.openxmlformats.org/officeDocument/2006/relationships/image" Target="media/image2828.png"/><Relationship Id="rId2836" Type="http://schemas.openxmlformats.org/officeDocument/2006/relationships/image" Target="media/image2829.png"/><Relationship Id="rId2837" Type="http://schemas.openxmlformats.org/officeDocument/2006/relationships/image" Target="media/image2830.png"/><Relationship Id="rId2838" Type="http://schemas.openxmlformats.org/officeDocument/2006/relationships/image" Target="media/image2831.png"/><Relationship Id="rId2839" Type="http://schemas.openxmlformats.org/officeDocument/2006/relationships/image" Target="media/image2832.png"/><Relationship Id="rId2840" Type="http://schemas.openxmlformats.org/officeDocument/2006/relationships/image" Target="media/image2833.png"/><Relationship Id="rId2841" Type="http://schemas.openxmlformats.org/officeDocument/2006/relationships/image" Target="media/image2834.png"/><Relationship Id="rId2842" Type="http://schemas.openxmlformats.org/officeDocument/2006/relationships/image" Target="media/image2835.png"/><Relationship Id="rId2843" Type="http://schemas.openxmlformats.org/officeDocument/2006/relationships/image" Target="media/image2836.png"/><Relationship Id="rId2844" Type="http://schemas.openxmlformats.org/officeDocument/2006/relationships/image" Target="media/image2837.png"/><Relationship Id="rId2845" Type="http://schemas.openxmlformats.org/officeDocument/2006/relationships/image" Target="media/image2838.png"/><Relationship Id="rId2846" Type="http://schemas.openxmlformats.org/officeDocument/2006/relationships/image" Target="media/image2839.png"/><Relationship Id="rId2847" Type="http://schemas.openxmlformats.org/officeDocument/2006/relationships/image" Target="media/image2840.png"/><Relationship Id="rId2848" Type="http://schemas.openxmlformats.org/officeDocument/2006/relationships/image" Target="media/image2841.png"/><Relationship Id="rId2849" Type="http://schemas.openxmlformats.org/officeDocument/2006/relationships/image" Target="media/image2842.png"/><Relationship Id="rId2850" Type="http://schemas.openxmlformats.org/officeDocument/2006/relationships/image" Target="media/image2843.png"/><Relationship Id="rId2851" Type="http://schemas.openxmlformats.org/officeDocument/2006/relationships/image" Target="media/image2844.png"/><Relationship Id="rId2852" Type="http://schemas.openxmlformats.org/officeDocument/2006/relationships/image" Target="media/image2845.png"/><Relationship Id="rId2853" Type="http://schemas.openxmlformats.org/officeDocument/2006/relationships/image" Target="media/image2846.png"/><Relationship Id="rId2854" Type="http://schemas.openxmlformats.org/officeDocument/2006/relationships/image" Target="media/image2847.png"/><Relationship Id="rId2855" Type="http://schemas.openxmlformats.org/officeDocument/2006/relationships/image" Target="media/image2848.png"/><Relationship Id="rId2856" Type="http://schemas.openxmlformats.org/officeDocument/2006/relationships/image" Target="media/image2849.png"/><Relationship Id="rId2857" Type="http://schemas.openxmlformats.org/officeDocument/2006/relationships/image" Target="media/image2850.png"/><Relationship Id="rId2858" Type="http://schemas.openxmlformats.org/officeDocument/2006/relationships/image" Target="media/image2851.png"/><Relationship Id="rId2859" Type="http://schemas.openxmlformats.org/officeDocument/2006/relationships/image" Target="media/image2852.png"/><Relationship Id="rId2860" Type="http://schemas.openxmlformats.org/officeDocument/2006/relationships/image" Target="media/image2853.png"/><Relationship Id="rId2861" Type="http://schemas.openxmlformats.org/officeDocument/2006/relationships/image" Target="media/image2854.png"/><Relationship Id="rId2862" Type="http://schemas.openxmlformats.org/officeDocument/2006/relationships/image" Target="media/image2855.png"/><Relationship Id="rId2863" Type="http://schemas.openxmlformats.org/officeDocument/2006/relationships/image" Target="media/image2856.png"/><Relationship Id="rId2864" Type="http://schemas.openxmlformats.org/officeDocument/2006/relationships/image" Target="media/image2857.png"/><Relationship Id="rId2865" Type="http://schemas.openxmlformats.org/officeDocument/2006/relationships/image" Target="media/image2858.png"/><Relationship Id="rId2866" Type="http://schemas.openxmlformats.org/officeDocument/2006/relationships/image" Target="media/image2859.png"/><Relationship Id="rId2867" Type="http://schemas.openxmlformats.org/officeDocument/2006/relationships/image" Target="media/image2860.png"/><Relationship Id="rId2868" Type="http://schemas.openxmlformats.org/officeDocument/2006/relationships/image" Target="media/image2861.png"/><Relationship Id="rId2869" Type="http://schemas.openxmlformats.org/officeDocument/2006/relationships/image" Target="media/image2862.png"/><Relationship Id="rId2870" Type="http://schemas.openxmlformats.org/officeDocument/2006/relationships/image" Target="media/image2863.png"/><Relationship Id="rId2871" Type="http://schemas.openxmlformats.org/officeDocument/2006/relationships/image" Target="media/image2864.png"/><Relationship Id="rId2872" Type="http://schemas.openxmlformats.org/officeDocument/2006/relationships/image" Target="media/image2865.png"/><Relationship Id="rId2873" Type="http://schemas.openxmlformats.org/officeDocument/2006/relationships/image" Target="media/image2866.png"/><Relationship Id="rId2874" Type="http://schemas.openxmlformats.org/officeDocument/2006/relationships/image" Target="media/image2867.png"/><Relationship Id="rId2875" Type="http://schemas.openxmlformats.org/officeDocument/2006/relationships/image" Target="media/image2868.png"/><Relationship Id="rId2876" Type="http://schemas.openxmlformats.org/officeDocument/2006/relationships/image" Target="media/image2869.png"/><Relationship Id="rId2877" Type="http://schemas.openxmlformats.org/officeDocument/2006/relationships/image" Target="media/image2870.png"/><Relationship Id="rId2878" Type="http://schemas.openxmlformats.org/officeDocument/2006/relationships/image" Target="media/image2871.png"/><Relationship Id="rId2879" Type="http://schemas.openxmlformats.org/officeDocument/2006/relationships/image" Target="media/image2872.png"/><Relationship Id="rId2880" Type="http://schemas.openxmlformats.org/officeDocument/2006/relationships/image" Target="media/image2873.png"/><Relationship Id="rId2881" Type="http://schemas.openxmlformats.org/officeDocument/2006/relationships/image" Target="media/image2874.png"/><Relationship Id="rId2882" Type="http://schemas.openxmlformats.org/officeDocument/2006/relationships/image" Target="media/image2875.png"/><Relationship Id="rId2883" Type="http://schemas.openxmlformats.org/officeDocument/2006/relationships/image" Target="media/image2876.png"/><Relationship Id="rId2884" Type="http://schemas.openxmlformats.org/officeDocument/2006/relationships/image" Target="media/image2877.png"/><Relationship Id="rId2885" Type="http://schemas.openxmlformats.org/officeDocument/2006/relationships/image" Target="media/image2878.png"/><Relationship Id="rId2886" Type="http://schemas.openxmlformats.org/officeDocument/2006/relationships/image" Target="media/image2879.png"/><Relationship Id="rId2887" Type="http://schemas.openxmlformats.org/officeDocument/2006/relationships/image" Target="media/image2880.png"/><Relationship Id="rId2888" Type="http://schemas.openxmlformats.org/officeDocument/2006/relationships/image" Target="media/image2881.png"/><Relationship Id="rId2889" Type="http://schemas.openxmlformats.org/officeDocument/2006/relationships/image" Target="media/image2882.png"/><Relationship Id="rId2890" Type="http://schemas.openxmlformats.org/officeDocument/2006/relationships/image" Target="media/image2883.png"/><Relationship Id="rId2891" Type="http://schemas.openxmlformats.org/officeDocument/2006/relationships/image" Target="media/image2884.png"/><Relationship Id="rId2892" Type="http://schemas.openxmlformats.org/officeDocument/2006/relationships/image" Target="media/image2885.png"/><Relationship Id="rId2893" Type="http://schemas.openxmlformats.org/officeDocument/2006/relationships/image" Target="media/image2886.png"/><Relationship Id="rId2894" Type="http://schemas.openxmlformats.org/officeDocument/2006/relationships/image" Target="media/image2887.png"/><Relationship Id="rId2895" Type="http://schemas.openxmlformats.org/officeDocument/2006/relationships/image" Target="media/image2888.png"/><Relationship Id="rId2896" Type="http://schemas.openxmlformats.org/officeDocument/2006/relationships/image" Target="media/image2889.png"/><Relationship Id="rId2897" Type="http://schemas.openxmlformats.org/officeDocument/2006/relationships/image" Target="media/image2890.png"/><Relationship Id="rId2898" Type="http://schemas.openxmlformats.org/officeDocument/2006/relationships/image" Target="media/image2891.png"/><Relationship Id="rId2899" Type="http://schemas.openxmlformats.org/officeDocument/2006/relationships/image" Target="media/image2892.png"/><Relationship Id="rId2900" Type="http://schemas.openxmlformats.org/officeDocument/2006/relationships/image" Target="media/image2893.png"/><Relationship Id="rId2901" Type="http://schemas.openxmlformats.org/officeDocument/2006/relationships/image" Target="media/image2894.png"/><Relationship Id="rId2902" Type="http://schemas.openxmlformats.org/officeDocument/2006/relationships/image" Target="media/image2895.png"/><Relationship Id="rId2903" Type="http://schemas.openxmlformats.org/officeDocument/2006/relationships/image" Target="media/image2896.png"/><Relationship Id="rId2904" Type="http://schemas.openxmlformats.org/officeDocument/2006/relationships/image" Target="media/image2897.png"/><Relationship Id="rId2905" Type="http://schemas.openxmlformats.org/officeDocument/2006/relationships/image" Target="media/image2898.png"/><Relationship Id="rId2906" Type="http://schemas.openxmlformats.org/officeDocument/2006/relationships/image" Target="media/image2899.png"/><Relationship Id="rId2907" Type="http://schemas.openxmlformats.org/officeDocument/2006/relationships/image" Target="media/image2900.png"/><Relationship Id="rId2908" Type="http://schemas.openxmlformats.org/officeDocument/2006/relationships/image" Target="media/image2901.png"/><Relationship Id="rId2909" Type="http://schemas.openxmlformats.org/officeDocument/2006/relationships/image" Target="media/image2902.png"/><Relationship Id="rId2910" Type="http://schemas.openxmlformats.org/officeDocument/2006/relationships/image" Target="media/image2903.png"/><Relationship Id="rId2911" Type="http://schemas.openxmlformats.org/officeDocument/2006/relationships/image" Target="media/image2904.png"/><Relationship Id="rId2912" Type="http://schemas.openxmlformats.org/officeDocument/2006/relationships/image" Target="media/image2905.png"/><Relationship Id="rId2913" Type="http://schemas.openxmlformats.org/officeDocument/2006/relationships/image" Target="media/image2906.png"/><Relationship Id="rId2914" Type="http://schemas.openxmlformats.org/officeDocument/2006/relationships/image" Target="media/image2907.png"/><Relationship Id="rId2915" Type="http://schemas.openxmlformats.org/officeDocument/2006/relationships/image" Target="media/image2908.png"/><Relationship Id="rId2916" Type="http://schemas.openxmlformats.org/officeDocument/2006/relationships/image" Target="media/image2909.png"/><Relationship Id="rId2917" Type="http://schemas.openxmlformats.org/officeDocument/2006/relationships/image" Target="media/image2910.png"/><Relationship Id="rId2918" Type="http://schemas.openxmlformats.org/officeDocument/2006/relationships/image" Target="media/image2911.png"/><Relationship Id="rId2919" Type="http://schemas.openxmlformats.org/officeDocument/2006/relationships/image" Target="media/image2912.png"/><Relationship Id="rId2920" Type="http://schemas.openxmlformats.org/officeDocument/2006/relationships/image" Target="media/image2913.png"/><Relationship Id="rId2921" Type="http://schemas.openxmlformats.org/officeDocument/2006/relationships/image" Target="media/image2914.png"/><Relationship Id="rId2922" Type="http://schemas.openxmlformats.org/officeDocument/2006/relationships/image" Target="media/image2915.png"/><Relationship Id="rId2923" Type="http://schemas.openxmlformats.org/officeDocument/2006/relationships/image" Target="media/image2916.png"/><Relationship Id="rId2924" Type="http://schemas.openxmlformats.org/officeDocument/2006/relationships/image" Target="media/image2917.png"/><Relationship Id="rId2925" Type="http://schemas.openxmlformats.org/officeDocument/2006/relationships/image" Target="media/image2918.png"/><Relationship Id="rId2926" Type="http://schemas.openxmlformats.org/officeDocument/2006/relationships/image" Target="media/image2919.png"/><Relationship Id="rId2927" Type="http://schemas.openxmlformats.org/officeDocument/2006/relationships/image" Target="media/image2920.png"/><Relationship Id="rId2928" Type="http://schemas.openxmlformats.org/officeDocument/2006/relationships/image" Target="media/image2921.png"/><Relationship Id="rId2929" Type="http://schemas.openxmlformats.org/officeDocument/2006/relationships/image" Target="media/image2922.png"/><Relationship Id="rId2930" Type="http://schemas.openxmlformats.org/officeDocument/2006/relationships/image" Target="media/image2923.png"/><Relationship Id="rId2931" Type="http://schemas.openxmlformats.org/officeDocument/2006/relationships/image" Target="media/image2924.png"/><Relationship Id="rId2932" Type="http://schemas.openxmlformats.org/officeDocument/2006/relationships/image" Target="media/image2925.png"/><Relationship Id="rId2933" Type="http://schemas.openxmlformats.org/officeDocument/2006/relationships/image" Target="media/image2926.png"/><Relationship Id="rId2934" Type="http://schemas.openxmlformats.org/officeDocument/2006/relationships/image" Target="media/image2927.png"/><Relationship Id="rId2935" Type="http://schemas.openxmlformats.org/officeDocument/2006/relationships/image" Target="media/image2928.png"/><Relationship Id="rId2936" Type="http://schemas.openxmlformats.org/officeDocument/2006/relationships/image" Target="media/image2929.png"/><Relationship Id="rId2937" Type="http://schemas.openxmlformats.org/officeDocument/2006/relationships/image" Target="media/image2930.png"/><Relationship Id="rId2938" Type="http://schemas.openxmlformats.org/officeDocument/2006/relationships/image" Target="media/image2931.png"/><Relationship Id="rId2939" Type="http://schemas.openxmlformats.org/officeDocument/2006/relationships/image" Target="media/image2932.png"/><Relationship Id="rId2940" Type="http://schemas.openxmlformats.org/officeDocument/2006/relationships/image" Target="media/image2933.png"/><Relationship Id="rId2941" Type="http://schemas.openxmlformats.org/officeDocument/2006/relationships/image" Target="media/image2934.png"/><Relationship Id="rId2942" Type="http://schemas.openxmlformats.org/officeDocument/2006/relationships/image" Target="media/image2935.png"/><Relationship Id="rId2943" Type="http://schemas.openxmlformats.org/officeDocument/2006/relationships/image" Target="media/image2936.png"/><Relationship Id="rId2944" Type="http://schemas.openxmlformats.org/officeDocument/2006/relationships/image" Target="media/image2937.png"/><Relationship Id="rId2945" Type="http://schemas.openxmlformats.org/officeDocument/2006/relationships/image" Target="media/image2938.png"/><Relationship Id="rId2946" Type="http://schemas.openxmlformats.org/officeDocument/2006/relationships/image" Target="media/image2939.png"/><Relationship Id="rId2947" Type="http://schemas.openxmlformats.org/officeDocument/2006/relationships/image" Target="media/image2940.png"/><Relationship Id="rId2948" Type="http://schemas.openxmlformats.org/officeDocument/2006/relationships/image" Target="media/image2941.png"/><Relationship Id="rId2949" Type="http://schemas.openxmlformats.org/officeDocument/2006/relationships/image" Target="media/image2942.png"/><Relationship Id="rId2950" Type="http://schemas.openxmlformats.org/officeDocument/2006/relationships/image" Target="media/image2943.png"/><Relationship Id="rId2951" Type="http://schemas.openxmlformats.org/officeDocument/2006/relationships/image" Target="media/image2944.png"/><Relationship Id="rId2952" Type="http://schemas.openxmlformats.org/officeDocument/2006/relationships/image" Target="media/image2945.png"/><Relationship Id="rId2953" Type="http://schemas.openxmlformats.org/officeDocument/2006/relationships/image" Target="media/image2946.png"/><Relationship Id="rId2954" Type="http://schemas.openxmlformats.org/officeDocument/2006/relationships/image" Target="media/image2947.png"/><Relationship Id="rId2955" Type="http://schemas.openxmlformats.org/officeDocument/2006/relationships/image" Target="media/image2948.png"/><Relationship Id="rId2956" Type="http://schemas.openxmlformats.org/officeDocument/2006/relationships/image" Target="media/image2949.png"/><Relationship Id="rId2957" Type="http://schemas.openxmlformats.org/officeDocument/2006/relationships/image" Target="media/image2950.png"/><Relationship Id="rId2958" Type="http://schemas.openxmlformats.org/officeDocument/2006/relationships/image" Target="media/image2951.png"/><Relationship Id="rId2959" Type="http://schemas.openxmlformats.org/officeDocument/2006/relationships/image" Target="media/image2952.png"/><Relationship Id="rId2960" Type="http://schemas.openxmlformats.org/officeDocument/2006/relationships/image" Target="media/image2953.png"/><Relationship Id="rId2961" Type="http://schemas.openxmlformats.org/officeDocument/2006/relationships/image" Target="media/image2954.png"/><Relationship Id="rId2962" Type="http://schemas.openxmlformats.org/officeDocument/2006/relationships/image" Target="media/image2955.png"/><Relationship Id="rId2963" Type="http://schemas.openxmlformats.org/officeDocument/2006/relationships/image" Target="media/image2956.png"/><Relationship Id="rId2964" Type="http://schemas.openxmlformats.org/officeDocument/2006/relationships/image" Target="media/image2957.png"/><Relationship Id="rId2965" Type="http://schemas.openxmlformats.org/officeDocument/2006/relationships/image" Target="media/image2958.png"/><Relationship Id="rId2966" Type="http://schemas.openxmlformats.org/officeDocument/2006/relationships/image" Target="media/image2959.png"/><Relationship Id="rId2967" Type="http://schemas.openxmlformats.org/officeDocument/2006/relationships/image" Target="media/image2960.png"/><Relationship Id="rId2968" Type="http://schemas.openxmlformats.org/officeDocument/2006/relationships/image" Target="media/image2961.png"/><Relationship Id="rId2969" Type="http://schemas.openxmlformats.org/officeDocument/2006/relationships/image" Target="media/image2962.png"/><Relationship Id="rId2970" Type="http://schemas.openxmlformats.org/officeDocument/2006/relationships/image" Target="media/image2963.png"/><Relationship Id="rId2971" Type="http://schemas.openxmlformats.org/officeDocument/2006/relationships/image" Target="media/image2964.png"/><Relationship Id="rId2972" Type="http://schemas.openxmlformats.org/officeDocument/2006/relationships/image" Target="media/image2965.png"/><Relationship Id="rId2973" Type="http://schemas.openxmlformats.org/officeDocument/2006/relationships/image" Target="media/image2966.png"/><Relationship Id="rId2974" Type="http://schemas.openxmlformats.org/officeDocument/2006/relationships/image" Target="media/image2967.png"/><Relationship Id="rId2975" Type="http://schemas.openxmlformats.org/officeDocument/2006/relationships/image" Target="media/image2968.png"/><Relationship Id="rId2976" Type="http://schemas.openxmlformats.org/officeDocument/2006/relationships/image" Target="media/image2969.png"/><Relationship Id="rId2977" Type="http://schemas.openxmlformats.org/officeDocument/2006/relationships/image" Target="media/image2970.png"/><Relationship Id="rId2978" Type="http://schemas.openxmlformats.org/officeDocument/2006/relationships/image" Target="media/image2971.png"/><Relationship Id="rId2979" Type="http://schemas.openxmlformats.org/officeDocument/2006/relationships/image" Target="media/image2972.png"/><Relationship Id="rId2980" Type="http://schemas.openxmlformats.org/officeDocument/2006/relationships/image" Target="media/image2973.png"/><Relationship Id="rId2981" Type="http://schemas.openxmlformats.org/officeDocument/2006/relationships/image" Target="media/image2974.png"/><Relationship Id="rId2982" Type="http://schemas.openxmlformats.org/officeDocument/2006/relationships/image" Target="media/image2975.png"/><Relationship Id="rId2983" Type="http://schemas.openxmlformats.org/officeDocument/2006/relationships/image" Target="media/image2976.png"/><Relationship Id="rId2984" Type="http://schemas.openxmlformats.org/officeDocument/2006/relationships/image" Target="media/image2977.png"/><Relationship Id="rId2985" Type="http://schemas.openxmlformats.org/officeDocument/2006/relationships/image" Target="media/image2978.png"/><Relationship Id="rId2986" Type="http://schemas.openxmlformats.org/officeDocument/2006/relationships/image" Target="media/image2979.png"/><Relationship Id="rId2987" Type="http://schemas.openxmlformats.org/officeDocument/2006/relationships/image" Target="media/image2980.png"/><Relationship Id="rId2988" Type="http://schemas.openxmlformats.org/officeDocument/2006/relationships/image" Target="media/image2981.png"/><Relationship Id="rId2989" Type="http://schemas.openxmlformats.org/officeDocument/2006/relationships/image" Target="media/image2982.png"/><Relationship Id="rId2990" Type="http://schemas.openxmlformats.org/officeDocument/2006/relationships/image" Target="media/image2983.png"/><Relationship Id="rId2991" Type="http://schemas.openxmlformats.org/officeDocument/2006/relationships/image" Target="media/image2984.png"/><Relationship Id="rId2992" Type="http://schemas.openxmlformats.org/officeDocument/2006/relationships/image" Target="media/image2985.png"/><Relationship Id="rId2993" Type="http://schemas.openxmlformats.org/officeDocument/2006/relationships/image" Target="media/image2986.png"/><Relationship Id="rId2994" Type="http://schemas.openxmlformats.org/officeDocument/2006/relationships/image" Target="media/image2987.png"/><Relationship Id="rId2995" Type="http://schemas.openxmlformats.org/officeDocument/2006/relationships/image" Target="media/image2988.png"/><Relationship Id="rId2996" Type="http://schemas.openxmlformats.org/officeDocument/2006/relationships/image" Target="media/image2989.png"/><Relationship Id="rId2997" Type="http://schemas.openxmlformats.org/officeDocument/2006/relationships/image" Target="media/image2990.png"/><Relationship Id="rId2998" Type="http://schemas.openxmlformats.org/officeDocument/2006/relationships/image" Target="media/image2991.png"/><Relationship Id="rId2999" Type="http://schemas.openxmlformats.org/officeDocument/2006/relationships/image" Target="media/image2992.png"/><Relationship Id="rId3000" Type="http://schemas.openxmlformats.org/officeDocument/2006/relationships/image" Target="media/image2993.png"/><Relationship Id="rId3001" Type="http://schemas.openxmlformats.org/officeDocument/2006/relationships/image" Target="media/image2994.png"/><Relationship Id="rId3002" Type="http://schemas.openxmlformats.org/officeDocument/2006/relationships/image" Target="media/image2995.png"/><Relationship Id="rId3003" Type="http://schemas.openxmlformats.org/officeDocument/2006/relationships/image" Target="media/image2996.png"/><Relationship Id="rId3004" Type="http://schemas.openxmlformats.org/officeDocument/2006/relationships/image" Target="media/image2997.png"/><Relationship Id="rId3005" Type="http://schemas.openxmlformats.org/officeDocument/2006/relationships/image" Target="media/image2998.png"/><Relationship Id="rId3006" Type="http://schemas.openxmlformats.org/officeDocument/2006/relationships/image" Target="media/image2999.png"/><Relationship Id="rId3007" Type="http://schemas.openxmlformats.org/officeDocument/2006/relationships/image" Target="media/image3000.png"/><Relationship Id="rId3008" Type="http://schemas.openxmlformats.org/officeDocument/2006/relationships/image" Target="media/image3001.png"/><Relationship Id="rId3009" Type="http://schemas.openxmlformats.org/officeDocument/2006/relationships/image" Target="media/image3002.png"/><Relationship Id="rId3010" Type="http://schemas.openxmlformats.org/officeDocument/2006/relationships/image" Target="media/image3003.png"/><Relationship Id="rId3011" Type="http://schemas.openxmlformats.org/officeDocument/2006/relationships/image" Target="media/image3004.png"/><Relationship Id="rId3012" Type="http://schemas.openxmlformats.org/officeDocument/2006/relationships/image" Target="media/image3005.png"/><Relationship Id="rId3013" Type="http://schemas.openxmlformats.org/officeDocument/2006/relationships/image" Target="media/image3006.png"/><Relationship Id="rId3014" Type="http://schemas.openxmlformats.org/officeDocument/2006/relationships/image" Target="media/image3007.png"/><Relationship Id="rId3015" Type="http://schemas.openxmlformats.org/officeDocument/2006/relationships/image" Target="media/image3008.png"/><Relationship Id="rId3016" Type="http://schemas.openxmlformats.org/officeDocument/2006/relationships/image" Target="media/image3009.png"/><Relationship Id="rId3017" Type="http://schemas.openxmlformats.org/officeDocument/2006/relationships/image" Target="media/image3010.png"/><Relationship Id="rId3018" Type="http://schemas.openxmlformats.org/officeDocument/2006/relationships/image" Target="media/image3011.png"/><Relationship Id="rId3019" Type="http://schemas.openxmlformats.org/officeDocument/2006/relationships/image" Target="media/image3012.png"/><Relationship Id="rId3020" Type="http://schemas.openxmlformats.org/officeDocument/2006/relationships/image" Target="media/image3013.png"/><Relationship Id="rId3021" Type="http://schemas.openxmlformats.org/officeDocument/2006/relationships/image" Target="media/image3014.png"/><Relationship Id="rId3022" Type="http://schemas.openxmlformats.org/officeDocument/2006/relationships/image" Target="media/image3015.png"/><Relationship Id="rId3023" Type="http://schemas.openxmlformats.org/officeDocument/2006/relationships/image" Target="media/image3016.png"/><Relationship Id="rId3024" Type="http://schemas.openxmlformats.org/officeDocument/2006/relationships/image" Target="media/image3017.png"/><Relationship Id="rId3025" Type="http://schemas.openxmlformats.org/officeDocument/2006/relationships/image" Target="media/image3018.png"/><Relationship Id="rId3026" Type="http://schemas.openxmlformats.org/officeDocument/2006/relationships/image" Target="media/image3019.png"/><Relationship Id="rId3027" Type="http://schemas.openxmlformats.org/officeDocument/2006/relationships/image" Target="media/image3020.png"/><Relationship Id="rId3028" Type="http://schemas.openxmlformats.org/officeDocument/2006/relationships/image" Target="media/image3021.png"/><Relationship Id="rId3029" Type="http://schemas.openxmlformats.org/officeDocument/2006/relationships/image" Target="media/image3022.png"/><Relationship Id="rId3030" Type="http://schemas.openxmlformats.org/officeDocument/2006/relationships/image" Target="media/image3023.png"/><Relationship Id="rId3031" Type="http://schemas.openxmlformats.org/officeDocument/2006/relationships/image" Target="media/image3024.png"/><Relationship Id="rId3032" Type="http://schemas.openxmlformats.org/officeDocument/2006/relationships/image" Target="media/image3025.png"/><Relationship Id="rId3033" Type="http://schemas.openxmlformats.org/officeDocument/2006/relationships/image" Target="media/image3026.png"/><Relationship Id="rId3034" Type="http://schemas.openxmlformats.org/officeDocument/2006/relationships/image" Target="media/image3027.png"/><Relationship Id="rId3035" Type="http://schemas.openxmlformats.org/officeDocument/2006/relationships/image" Target="media/image3028.png"/><Relationship Id="rId3036" Type="http://schemas.openxmlformats.org/officeDocument/2006/relationships/image" Target="media/image3029.png"/><Relationship Id="rId3037" Type="http://schemas.openxmlformats.org/officeDocument/2006/relationships/image" Target="media/image3030.png"/><Relationship Id="rId3038" Type="http://schemas.openxmlformats.org/officeDocument/2006/relationships/image" Target="media/image3031.png"/><Relationship Id="rId3039" Type="http://schemas.openxmlformats.org/officeDocument/2006/relationships/image" Target="media/image3032.png"/><Relationship Id="rId3040" Type="http://schemas.openxmlformats.org/officeDocument/2006/relationships/image" Target="media/image3033.png"/><Relationship Id="rId3041" Type="http://schemas.openxmlformats.org/officeDocument/2006/relationships/image" Target="media/image3034.png"/><Relationship Id="rId3042" Type="http://schemas.openxmlformats.org/officeDocument/2006/relationships/image" Target="media/image3035.png"/><Relationship Id="rId3043" Type="http://schemas.openxmlformats.org/officeDocument/2006/relationships/image" Target="media/image3036.png"/><Relationship Id="rId3044" Type="http://schemas.openxmlformats.org/officeDocument/2006/relationships/image" Target="media/image3037.png"/><Relationship Id="rId3045" Type="http://schemas.openxmlformats.org/officeDocument/2006/relationships/image" Target="media/image3038.png"/><Relationship Id="rId3046" Type="http://schemas.openxmlformats.org/officeDocument/2006/relationships/image" Target="media/image3039.png"/><Relationship Id="rId3047" Type="http://schemas.openxmlformats.org/officeDocument/2006/relationships/image" Target="media/image3040.png"/><Relationship Id="rId3048" Type="http://schemas.openxmlformats.org/officeDocument/2006/relationships/image" Target="media/image3041.png"/><Relationship Id="rId3049" Type="http://schemas.openxmlformats.org/officeDocument/2006/relationships/image" Target="media/image3042.png"/><Relationship Id="rId3050" Type="http://schemas.openxmlformats.org/officeDocument/2006/relationships/image" Target="media/image3043.png"/><Relationship Id="rId3051" Type="http://schemas.openxmlformats.org/officeDocument/2006/relationships/image" Target="media/image3044.png"/><Relationship Id="rId3052" Type="http://schemas.openxmlformats.org/officeDocument/2006/relationships/image" Target="media/image3045.png"/><Relationship Id="rId3053" Type="http://schemas.openxmlformats.org/officeDocument/2006/relationships/image" Target="media/image3046.png"/><Relationship Id="rId3054" Type="http://schemas.openxmlformats.org/officeDocument/2006/relationships/image" Target="media/image3047.png"/><Relationship Id="rId3055" Type="http://schemas.openxmlformats.org/officeDocument/2006/relationships/image" Target="media/image3048.png"/><Relationship Id="rId3056" Type="http://schemas.openxmlformats.org/officeDocument/2006/relationships/image" Target="media/image3049.png"/><Relationship Id="rId3057" Type="http://schemas.openxmlformats.org/officeDocument/2006/relationships/image" Target="media/image3050.png"/><Relationship Id="rId3058" Type="http://schemas.openxmlformats.org/officeDocument/2006/relationships/image" Target="media/image3051.png"/><Relationship Id="rId3059" Type="http://schemas.openxmlformats.org/officeDocument/2006/relationships/image" Target="media/image3052.png"/><Relationship Id="rId3060" Type="http://schemas.openxmlformats.org/officeDocument/2006/relationships/image" Target="media/image3053.png"/><Relationship Id="rId3061" Type="http://schemas.openxmlformats.org/officeDocument/2006/relationships/image" Target="media/image3054.png"/><Relationship Id="rId3062" Type="http://schemas.openxmlformats.org/officeDocument/2006/relationships/image" Target="media/image3055.jpeg"/><Relationship Id="rId3063" Type="http://schemas.openxmlformats.org/officeDocument/2006/relationships/image" Target="media/image3056.png"/><Relationship Id="rId3064" Type="http://schemas.openxmlformats.org/officeDocument/2006/relationships/image" Target="media/image3057.png"/><Relationship Id="rId3065" Type="http://schemas.openxmlformats.org/officeDocument/2006/relationships/image" Target="media/image3058.png"/><Relationship Id="rId3066" Type="http://schemas.openxmlformats.org/officeDocument/2006/relationships/image" Target="media/image3059.png"/><Relationship Id="rId3067" Type="http://schemas.openxmlformats.org/officeDocument/2006/relationships/image" Target="media/image3060.png"/><Relationship Id="rId3068" Type="http://schemas.openxmlformats.org/officeDocument/2006/relationships/image" Target="media/image3061.png"/><Relationship Id="rId3069" Type="http://schemas.openxmlformats.org/officeDocument/2006/relationships/image" Target="media/image3062.png"/><Relationship Id="rId3070" Type="http://schemas.openxmlformats.org/officeDocument/2006/relationships/image" Target="media/image3063.png"/><Relationship Id="rId3071" Type="http://schemas.openxmlformats.org/officeDocument/2006/relationships/image" Target="media/image3064.png"/><Relationship Id="rId3072" Type="http://schemas.openxmlformats.org/officeDocument/2006/relationships/image" Target="media/image3065.png"/><Relationship Id="rId3073" Type="http://schemas.openxmlformats.org/officeDocument/2006/relationships/image" Target="media/image3066.png"/><Relationship Id="rId3074" Type="http://schemas.openxmlformats.org/officeDocument/2006/relationships/image" Target="media/image3067.png"/><Relationship Id="rId3075" Type="http://schemas.openxmlformats.org/officeDocument/2006/relationships/image" Target="media/image3068.png"/><Relationship Id="rId3076" Type="http://schemas.openxmlformats.org/officeDocument/2006/relationships/image" Target="media/image3069.png"/><Relationship Id="rId3077" Type="http://schemas.openxmlformats.org/officeDocument/2006/relationships/image" Target="media/image3070.png"/><Relationship Id="rId3078" Type="http://schemas.openxmlformats.org/officeDocument/2006/relationships/image" Target="media/image3071.png"/><Relationship Id="rId3079" Type="http://schemas.openxmlformats.org/officeDocument/2006/relationships/image" Target="media/image3072.png"/><Relationship Id="rId3080" Type="http://schemas.openxmlformats.org/officeDocument/2006/relationships/image" Target="media/image3073.png"/><Relationship Id="rId3081" Type="http://schemas.openxmlformats.org/officeDocument/2006/relationships/image" Target="media/image3074.png"/><Relationship Id="rId3082" Type="http://schemas.openxmlformats.org/officeDocument/2006/relationships/image" Target="media/image3075.png"/><Relationship Id="rId3083" Type="http://schemas.openxmlformats.org/officeDocument/2006/relationships/image" Target="media/image3076.png"/><Relationship Id="rId3084" Type="http://schemas.openxmlformats.org/officeDocument/2006/relationships/image" Target="media/image3077.png"/><Relationship Id="rId3085" Type="http://schemas.openxmlformats.org/officeDocument/2006/relationships/image" Target="media/image3078.png"/><Relationship Id="rId3086" Type="http://schemas.openxmlformats.org/officeDocument/2006/relationships/image" Target="media/image3079.png"/><Relationship Id="rId3087" Type="http://schemas.openxmlformats.org/officeDocument/2006/relationships/image" Target="media/image3080.png"/><Relationship Id="rId3088" Type="http://schemas.openxmlformats.org/officeDocument/2006/relationships/image" Target="media/image3081.png"/><Relationship Id="rId3089" Type="http://schemas.openxmlformats.org/officeDocument/2006/relationships/image" Target="media/image3082.png"/><Relationship Id="rId3090" Type="http://schemas.openxmlformats.org/officeDocument/2006/relationships/image" Target="media/image3083.png"/><Relationship Id="rId3091" Type="http://schemas.openxmlformats.org/officeDocument/2006/relationships/image" Target="media/image3084.png"/><Relationship Id="rId3092" Type="http://schemas.openxmlformats.org/officeDocument/2006/relationships/image" Target="media/image3085.png"/><Relationship Id="rId3093" Type="http://schemas.openxmlformats.org/officeDocument/2006/relationships/image" Target="media/image3086.png"/><Relationship Id="rId3094" Type="http://schemas.openxmlformats.org/officeDocument/2006/relationships/image" Target="media/image3087.png"/><Relationship Id="rId3095" Type="http://schemas.openxmlformats.org/officeDocument/2006/relationships/image" Target="media/image3088.png"/><Relationship Id="rId3096" Type="http://schemas.openxmlformats.org/officeDocument/2006/relationships/image" Target="media/image3089.png"/><Relationship Id="rId3097" Type="http://schemas.openxmlformats.org/officeDocument/2006/relationships/image" Target="media/image3090.png"/><Relationship Id="rId3098" Type="http://schemas.openxmlformats.org/officeDocument/2006/relationships/image" Target="media/image3091.png"/><Relationship Id="rId3099" Type="http://schemas.openxmlformats.org/officeDocument/2006/relationships/image" Target="media/image3092.png"/><Relationship Id="rId3100" Type="http://schemas.openxmlformats.org/officeDocument/2006/relationships/image" Target="media/image3093.png"/><Relationship Id="rId3101" Type="http://schemas.openxmlformats.org/officeDocument/2006/relationships/image" Target="media/image3094.png"/><Relationship Id="rId3102" Type="http://schemas.openxmlformats.org/officeDocument/2006/relationships/image" Target="media/image3095.png"/><Relationship Id="rId3103" Type="http://schemas.openxmlformats.org/officeDocument/2006/relationships/image" Target="media/image3096.png"/><Relationship Id="rId3104" Type="http://schemas.openxmlformats.org/officeDocument/2006/relationships/image" Target="media/image3097.png"/><Relationship Id="rId3105" Type="http://schemas.openxmlformats.org/officeDocument/2006/relationships/image" Target="media/image3098.png"/><Relationship Id="rId3106" Type="http://schemas.openxmlformats.org/officeDocument/2006/relationships/image" Target="media/image3099.png"/><Relationship Id="rId3107" Type="http://schemas.openxmlformats.org/officeDocument/2006/relationships/image" Target="media/image3100.png"/><Relationship Id="rId3108" Type="http://schemas.openxmlformats.org/officeDocument/2006/relationships/image" Target="media/image3101.png"/><Relationship Id="rId3109" Type="http://schemas.openxmlformats.org/officeDocument/2006/relationships/image" Target="media/image3102.png"/><Relationship Id="rId3110" Type="http://schemas.openxmlformats.org/officeDocument/2006/relationships/image" Target="media/image3103.png"/><Relationship Id="rId3111" Type="http://schemas.openxmlformats.org/officeDocument/2006/relationships/image" Target="media/image3104.png"/><Relationship Id="rId3112" Type="http://schemas.openxmlformats.org/officeDocument/2006/relationships/image" Target="media/image3105.png"/><Relationship Id="rId3113" Type="http://schemas.openxmlformats.org/officeDocument/2006/relationships/image" Target="media/image3106.png"/><Relationship Id="rId3114" Type="http://schemas.openxmlformats.org/officeDocument/2006/relationships/image" Target="media/image3107.png"/><Relationship Id="rId3115" Type="http://schemas.openxmlformats.org/officeDocument/2006/relationships/image" Target="media/image3108.png"/><Relationship Id="rId3116" Type="http://schemas.openxmlformats.org/officeDocument/2006/relationships/image" Target="media/image3109.png"/><Relationship Id="rId3117" Type="http://schemas.openxmlformats.org/officeDocument/2006/relationships/image" Target="media/image3110.png"/><Relationship Id="rId3118" Type="http://schemas.openxmlformats.org/officeDocument/2006/relationships/image" Target="media/image3111.png"/><Relationship Id="rId3119" Type="http://schemas.openxmlformats.org/officeDocument/2006/relationships/image" Target="media/image3112.png"/><Relationship Id="rId3120" Type="http://schemas.openxmlformats.org/officeDocument/2006/relationships/image" Target="media/image3113.png"/><Relationship Id="rId3121" Type="http://schemas.openxmlformats.org/officeDocument/2006/relationships/image" Target="media/image3114.png"/><Relationship Id="rId3122" Type="http://schemas.openxmlformats.org/officeDocument/2006/relationships/image" Target="media/image3115.png"/><Relationship Id="rId3123" Type="http://schemas.openxmlformats.org/officeDocument/2006/relationships/image" Target="media/image3116.png"/><Relationship Id="rId3124" Type="http://schemas.openxmlformats.org/officeDocument/2006/relationships/image" Target="media/image3117.png"/><Relationship Id="rId3125" Type="http://schemas.openxmlformats.org/officeDocument/2006/relationships/image" Target="media/image3118.png"/><Relationship Id="rId3126" Type="http://schemas.openxmlformats.org/officeDocument/2006/relationships/image" Target="media/image3119.png"/><Relationship Id="rId3127" Type="http://schemas.openxmlformats.org/officeDocument/2006/relationships/image" Target="media/image3120.png"/><Relationship Id="rId3128" Type="http://schemas.openxmlformats.org/officeDocument/2006/relationships/image" Target="media/image3121.png"/><Relationship Id="rId3129" Type="http://schemas.openxmlformats.org/officeDocument/2006/relationships/image" Target="media/image3122.png"/><Relationship Id="rId3130" Type="http://schemas.openxmlformats.org/officeDocument/2006/relationships/image" Target="media/image3123.png"/><Relationship Id="rId3131" Type="http://schemas.openxmlformats.org/officeDocument/2006/relationships/image" Target="media/image3124.png"/><Relationship Id="rId3132" Type="http://schemas.openxmlformats.org/officeDocument/2006/relationships/image" Target="media/image3125.png"/><Relationship Id="rId3133" Type="http://schemas.openxmlformats.org/officeDocument/2006/relationships/image" Target="media/image3126.png"/><Relationship Id="rId3134" Type="http://schemas.openxmlformats.org/officeDocument/2006/relationships/image" Target="media/image3127.png"/><Relationship Id="rId3135" Type="http://schemas.openxmlformats.org/officeDocument/2006/relationships/image" Target="media/image3128.png"/><Relationship Id="rId3136" Type="http://schemas.openxmlformats.org/officeDocument/2006/relationships/image" Target="media/image3129.png"/><Relationship Id="rId3137" Type="http://schemas.openxmlformats.org/officeDocument/2006/relationships/image" Target="media/image3130.png"/><Relationship Id="rId3138" Type="http://schemas.openxmlformats.org/officeDocument/2006/relationships/image" Target="media/image3131.png"/><Relationship Id="rId3139" Type="http://schemas.openxmlformats.org/officeDocument/2006/relationships/image" Target="media/image3132.png"/><Relationship Id="rId3140" Type="http://schemas.openxmlformats.org/officeDocument/2006/relationships/image" Target="media/image3133.png"/><Relationship Id="rId3141" Type="http://schemas.openxmlformats.org/officeDocument/2006/relationships/image" Target="media/image3134.png"/><Relationship Id="rId3142" Type="http://schemas.openxmlformats.org/officeDocument/2006/relationships/image" Target="media/image3135.png"/><Relationship Id="rId3143" Type="http://schemas.openxmlformats.org/officeDocument/2006/relationships/image" Target="media/image3136.png"/><Relationship Id="rId3144" Type="http://schemas.openxmlformats.org/officeDocument/2006/relationships/image" Target="media/image3137.png"/><Relationship Id="rId3145" Type="http://schemas.openxmlformats.org/officeDocument/2006/relationships/image" Target="media/image3138.png"/><Relationship Id="rId3146" Type="http://schemas.openxmlformats.org/officeDocument/2006/relationships/image" Target="media/image3139.png"/><Relationship Id="rId3147" Type="http://schemas.openxmlformats.org/officeDocument/2006/relationships/image" Target="media/image3140.png"/><Relationship Id="rId3148" Type="http://schemas.openxmlformats.org/officeDocument/2006/relationships/image" Target="media/image3141.png"/><Relationship Id="rId3149" Type="http://schemas.openxmlformats.org/officeDocument/2006/relationships/image" Target="media/image3142.png"/><Relationship Id="rId3150" Type="http://schemas.openxmlformats.org/officeDocument/2006/relationships/image" Target="media/image3143.png"/><Relationship Id="rId3151" Type="http://schemas.openxmlformats.org/officeDocument/2006/relationships/image" Target="media/image3144.png"/><Relationship Id="rId3152" Type="http://schemas.openxmlformats.org/officeDocument/2006/relationships/image" Target="media/image3145.png"/><Relationship Id="rId3153" Type="http://schemas.openxmlformats.org/officeDocument/2006/relationships/image" Target="media/image3146.png"/><Relationship Id="rId3154" Type="http://schemas.openxmlformats.org/officeDocument/2006/relationships/image" Target="media/image3147.png"/><Relationship Id="rId3155" Type="http://schemas.openxmlformats.org/officeDocument/2006/relationships/image" Target="media/image3148.png"/><Relationship Id="rId3156" Type="http://schemas.openxmlformats.org/officeDocument/2006/relationships/image" Target="media/image3149.png"/><Relationship Id="rId3157" Type="http://schemas.openxmlformats.org/officeDocument/2006/relationships/image" Target="media/image3150.png"/><Relationship Id="rId3158" Type="http://schemas.openxmlformats.org/officeDocument/2006/relationships/image" Target="media/image3151.png"/><Relationship Id="rId3159" Type="http://schemas.openxmlformats.org/officeDocument/2006/relationships/image" Target="media/image3152.png"/><Relationship Id="rId3160" Type="http://schemas.openxmlformats.org/officeDocument/2006/relationships/image" Target="media/image3153.png"/><Relationship Id="rId3161" Type="http://schemas.openxmlformats.org/officeDocument/2006/relationships/image" Target="media/image3154.png"/><Relationship Id="rId3162" Type="http://schemas.openxmlformats.org/officeDocument/2006/relationships/image" Target="media/image3155.png"/><Relationship Id="rId3163" Type="http://schemas.openxmlformats.org/officeDocument/2006/relationships/image" Target="media/image3156.png"/><Relationship Id="rId3164" Type="http://schemas.openxmlformats.org/officeDocument/2006/relationships/image" Target="media/image3157.png"/><Relationship Id="rId3165" Type="http://schemas.openxmlformats.org/officeDocument/2006/relationships/image" Target="media/image3158.png"/><Relationship Id="rId3166" Type="http://schemas.openxmlformats.org/officeDocument/2006/relationships/image" Target="media/image3159.png"/><Relationship Id="rId3167" Type="http://schemas.openxmlformats.org/officeDocument/2006/relationships/image" Target="media/image3160.png"/><Relationship Id="rId3168" Type="http://schemas.openxmlformats.org/officeDocument/2006/relationships/image" Target="media/image3161.png"/><Relationship Id="rId3169" Type="http://schemas.openxmlformats.org/officeDocument/2006/relationships/image" Target="media/image3162.png"/><Relationship Id="rId3170" Type="http://schemas.openxmlformats.org/officeDocument/2006/relationships/image" Target="media/image3163.png"/><Relationship Id="rId3171" Type="http://schemas.openxmlformats.org/officeDocument/2006/relationships/image" Target="media/image3164.png"/><Relationship Id="rId3172" Type="http://schemas.openxmlformats.org/officeDocument/2006/relationships/image" Target="media/image3165.png"/><Relationship Id="rId3173" Type="http://schemas.openxmlformats.org/officeDocument/2006/relationships/image" Target="media/image3166.png"/><Relationship Id="rId3174" Type="http://schemas.openxmlformats.org/officeDocument/2006/relationships/image" Target="media/image3167.png"/><Relationship Id="rId3175" Type="http://schemas.openxmlformats.org/officeDocument/2006/relationships/image" Target="media/image3168.png"/><Relationship Id="rId3176" Type="http://schemas.openxmlformats.org/officeDocument/2006/relationships/image" Target="media/image3169.png"/><Relationship Id="rId3177" Type="http://schemas.openxmlformats.org/officeDocument/2006/relationships/image" Target="media/image3170.png"/><Relationship Id="rId3178" Type="http://schemas.openxmlformats.org/officeDocument/2006/relationships/image" Target="media/image3171.png"/><Relationship Id="rId3179" Type="http://schemas.openxmlformats.org/officeDocument/2006/relationships/image" Target="media/image3172.png"/><Relationship Id="rId3180" Type="http://schemas.openxmlformats.org/officeDocument/2006/relationships/image" Target="media/image3173.png"/><Relationship Id="rId3181" Type="http://schemas.openxmlformats.org/officeDocument/2006/relationships/image" Target="media/image3174.png"/><Relationship Id="rId3182" Type="http://schemas.openxmlformats.org/officeDocument/2006/relationships/image" Target="media/image3175.png"/><Relationship Id="rId3183" Type="http://schemas.openxmlformats.org/officeDocument/2006/relationships/image" Target="media/image3176.png"/><Relationship Id="rId3184" Type="http://schemas.openxmlformats.org/officeDocument/2006/relationships/image" Target="media/image3177.png"/><Relationship Id="rId3185" Type="http://schemas.openxmlformats.org/officeDocument/2006/relationships/image" Target="media/image3178.png"/><Relationship Id="rId3186" Type="http://schemas.openxmlformats.org/officeDocument/2006/relationships/image" Target="media/image3179.png"/><Relationship Id="rId3187" Type="http://schemas.openxmlformats.org/officeDocument/2006/relationships/image" Target="media/image3180.png"/><Relationship Id="rId3188" Type="http://schemas.openxmlformats.org/officeDocument/2006/relationships/image" Target="media/image3181.png"/><Relationship Id="rId3189" Type="http://schemas.openxmlformats.org/officeDocument/2006/relationships/image" Target="media/image3182.png"/><Relationship Id="rId3190" Type="http://schemas.openxmlformats.org/officeDocument/2006/relationships/image" Target="media/image3183.png"/><Relationship Id="rId3191" Type="http://schemas.openxmlformats.org/officeDocument/2006/relationships/image" Target="media/image3184.png"/><Relationship Id="rId3192" Type="http://schemas.openxmlformats.org/officeDocument/2006/relationships/image" Target="media/image3185.png"/><Relationship Id="rId3193" Type="http://schemas.openxmlformats.org/officeDocument/2006/relationships/image" Target="media/image3186.png"/><Relationship Id="rId3194" Type="http://schemas.openxmlformats.org/officeDocument/2006/relationships/image" Target="media/image3187.png"/><Relationship Id="rId3195" Type="http://schemas.openxmlformats.org/officeDocument/2006/relationships/image" Target="media/image3188.png"/><Relationship Id="rId3196" Type="http://schemas.openxmlformats.org/officeDocument/2006/relationships/image" Target="media/image3189.png"/><Relationship Id="rId3197" Type="http://schemas.openxmlformats.org/officeDocument/2006/relationships/image" Target="media/image3190.png"/><Relationship Id="rId3198" Type="http://schemas.openxmlformats.org/officeDocument/2006/relationships/image" Target="media/image3191.png"/><Relationship Id="rId3199" Type="http://schemas.openxmlformats.org/officeDocument/2006/relationships/image" Target="media/image3192.png"/><Relationship Id="rId3200" Type="http://schemas.openxmlformats.org/officeDocument/2006/relationships/image" Target="media/image3193.png"/><Relationship Id="rId3201" Type="http://schemas.openxmlformats.org/officeDocument/2006/relationships/image" Target="media/image3194.png"/><Relationship Id="rId3202" Type="http://schemas.openxmlformats.org/officeDocument/2006/relationships/image" Target="media/image3195.png"/><Relationship Id="rId3203" Type="http://schemas.openxmlformats.org/officeDocument/2006/relationships/image" Target="media/image3196.png"/><Relationship Id="rId3204" Type="http://schemas.openxmlformats.org/officeDocument/2006/relationships/image" Target="media/image3197.png"/><Relationship Id="rId3205" Type="http://schemas.openxmlformats.org/officeDocument/2006/relationships/image" Target="media/image3198.png"/><Relationship Id="rId3206" Type="http://schemas.openxmlformats.org/officeDocument/2006/relationships/image" Target="media/image3199.png"/><Relationship Id="rId3207" Type="http://schemas.openxmlformats.org/officeDocument/2006/relationships/image" Target="media/image3200.png"/><Relationship Id="rId3208" Type="http://schemas.openxmlformats.org/officeDocument/2006/relationships/image" Target="media/image3201.png"/><Relationship Id="rId3209" Type="http://schemas.openxmlformats.org/officeDocument/2006/relationships/image" Target="media/image3202.png"/><Relationship Id="rId3210" Type="http://schemas.openxmlformats.org/officeDocument/2006/relationships/image" Target="media/image3203.png"/><Relationship Id="rId3211" Type="http://schemas.openxmlformats.org/officeDocument/2006/relationships/image" Target="media/image3204.png"/><Relationship Id="rId3212" Type="http://schemas.openxmlformats.org/officeDocument/2006/relationships/image" Target="media/image3205.png"/><Relationship Id="rId3213" Type="http://schemas.openxmlformats.org/officeDocument/2006/relationships/image" Target="media/image3206.png"/><Relationship Id="rId3214" Type="http://schemas.openxmlformats.org/officeDocument/2006/relationships/image" Target="media/image3207.png"/><Relationship Id="rId3215" Type="http://schemas.openxmlformats.org/officeDocument/2006/relationships/image" Target="media/image3208.png"/><Relationship Id="rId3216" Type="http://schemas.openxmlformats.org/officeDocument/2006/relationships/image" Target="media/image3209.png"/><Relationship Id="rId3217" Type="http://schemas.openxmlformats.org/officeDocument/2006/relationships/image" Target="media/image3210.png"/><Relationship Id="rId3218" Type="http://schemas.openxmlformats.org/officeDocument/2006/relationships/image" Target="media/image3211.png"/><Relationship Id="rId3219" Type="http://schemas.openxmlformats.org/officeDocument/2006/relationships/image" Target="media/image3212.png"/><Relationship Id="rId3220" Type="http://schemas.openxmlformats.org/officeDocument/2006/relationships/image" Target="media/image3213.png"/><Relationship Id="rId3221" Type="http://schemas.openxmlformats.org/officeDocument/2006/relationships/image" Target="media/image3214.png"/><Relationship Id="rId3222" Type="http://schemas.openxmlformats.org/officeDocument/2006/relationships/image" Target="media/image3215.png"/><Relationship Id="rId3223" Type="http://schemas.openxmlformats.org/officeDocument/2006/relationships/image" Target="media/image3216.png"/><Relationship Id="rId3224" Type="http://schemas.openxmlformats.org/officeDocument/2006/relationships/image" Target="media/image3217.png"/><Relationship Id="rId3225" Type="http://schemas.openxmlformats.org/officeDocument/2006/relationships/image" Target="media/image3218.png"/><Relationship Id="rId3226" Type="http://schemas.openxmlformats.org/officeDocument/2006/relationships/image" Target="media/image3219.png"/><Relationship Id="rId3227" Type="http://schemas.openxmlformats.org/officeDocument/2006/relationships/image" Target="media/image3220.png"/><Relationship Id="rId3228" Type="http://schemas.openxmlformats.org/officeDocument/2006/relationships/image" Target="media/image3221.png"/><Relationship Id="rId3229" Type="http://schemas.openxmlformats.org/officeDocument/2006/relationships/image" Target="media/image3222.png"/><Relationship Id="rId3230" Type="http://schemas.openxmlformats.org/officeDocument/2006/relationships/image" Target="media/image3223.png"/><Relationship Id="rId3231" Type="http://schemas.openxmlformats.org/officeDocument/2006/relationships/image" Target="media/image3224.png"/><Relationship Id="rId3232" Type="http://schemas.openxmlformats.org/officeDocument/2006/relationships/image" Target="media/image3225.png"/><Relationship Id="rId3233" Type="http://schemas.openxmlformats.org/officeDocument/2006/relationships/image" Target="media/image3226.png"/><Relationship Id="rId3234" Type="http://schemas.openxmlformats.org/officeDocument/2006/relationships/image" Target="media/image3227.png"/><Relationship Id="rId3235" Type="http://schemas.openxmlformats.org/officeDocument/2006/relationships/image" Target="media/image3228.png"/><Relationship Id="rId3236" Type="http://schemas.openxmlformats.org/officeDocument/2006/relationships/image" Target="media/image3229.png"/><Relationship Id="rId3237" Type="http://schemas.openxmlformats.org/officeDocument/2006/relationships/image" Target="media/image3230.png"/><Relationship Id="rId3238" Type="http://schemas.openxmlformats.org/officeDocument/2006/relationships/image" Target="media/image3231.png"/><Relationship Id="rId3239" Type="http://schemas.openxmlformats.org/officeDocument/2006/relationships/image" Target="media/image3232.png"/><Relationship Id="rId3240" Type="http://schemas.openxmlformats.org/officeDocument/2006/relationships/image" Target="media/image3233.png"/><Relationship Id="rId3241" Type="http://schemas.openxmlformats.org/officeDocument/2006/relationships/image" Target="media/image3234.png"/><Relationship Id="rId3242" Type="http://schemas.openxmlformats.org/officeDocument/2006/relationships/image" Target="media/image3235.png"/><Relationship Id="rId3243" Type="http://schemas.openxmlformats.org/officeDocument/2006/relationships/image" Target="media/image3236.png"/><Relationship Id="rId3244" Type="http://schemas.openxmlformats.org/officeDocument/2006/relationships/image" Target="media/image3237.png"/><Relationship Id="rId3245" Type="http://schemas.openxmlformats.org/officeDocument/2006/relationships/image" Target="media/image3238.png"/><Relationship Id="rId3246" Type="http://schemas.openxmlformats.org/officeDocument/2006/relationships/image" Target="media/image3239.png"/><Relationship Id="rId3247" Type="http://schemas.openxmlformats.org/officeDocument/2006/relationships/image" Target="media/image3240.png"/><Relationship Id="rId3248" Type="http://schemas.openxmlformats.org/officeDocument/2006/relationships/image" Target="media/image3241.png"/><Relationship Id="rId3249" Type="http://schemas.openxmlformats.org/officeDocument/2006/relationships/image" Target="media/image3242.png"/><Relationship Id="rId3250" Type="http://schemas.openxmlformats.org/officeDocument/2006/relationships/image" Target="media/image3243.png"/><Relationship Id="rId3251" Type="http://schemas.openxmlformats.org/officeDocument/2006/relationships/image" Target="media/image3244.png"/><Relationship Id="rId3252" Type="http://schemas.openxmlformats.org/officeDocument/2006/relationships/image" Target="media/image3245.png"/><Relationship Id="rId3253" Type="http://schemas.openxmlformats.org/officeDocument/2006/relationships/image" Target="media/image3246.png"/><Relationship Id="rId3254" Type="http://schemas.openxmlformats.org/officeDocument/2006/relationships/image" Target="media/image3247.png"/><Relationship Id="rId3255" Type="http://schemas.openxmlformats.org/officeDocument/2006/relationships/image" Target="media/image3248.png"/><Relationship Id="rId3256" Type="http://schemas.openxmlformats.org/officeDocument/2006/relationships/image" Target="media/image3249.png"/><Relationship Id="rId3257" Type="http://schemas.openxmlformats.org/officeDocument/2006/relationships/image" Target="media/image3250.png"/><Relationship Id="rId3258" Type="http://schemas.openxmlformats.org/officeDocument/2006/relationships/image" Target="media/image3251.png"/><Relationship Id="rId3259" Type="http://schemas.openxmlformats.org/officeDocument/2006/relationships/image" Target="media/image3252.png"/><Relationship Id="rId3260" Type="http://schemas.openxmlformats.org/officeDocument/2006/relationships/image" Target="media/image3253.png"/><Relationship Id="rId3261" Type="http://schemas.openxmlformats.org/officeDocument/2006/relationships/image" Target="media/image3254.png"/><Relationship Id="rId3262" Type="http://schemas.openxmlformats.org/officeDocument/2006/relationships/image" Target="media/image3255.png"/><Relationship Id="rId3263" Type="http://schemas.openxmlformats.org/officeDocument/2006/relationships/image" Target="media/image3256.png"/><Relationship Id="rId3264" Type="http://schemas.openxmlformats.org/officeDocument/2006/relationships/image" Target="media/image3257.png"/><Relationship Id="rId3265" Type="http://schemas.openxmlformats.org/officeDocument/2006/relationships/image" Target="media/image3258.png"/><Relationship Id="rId3266" Type="http://schemas.openxmlformats.org/officeDocument/2006/relationships/image" Target="media/image3259.png"/><Relationship Id="rId3267" Type="http://schemas.openxmlformats.org/officeDocument/2006/relationships/image" Target="media/image3260.png"/><Relationship Id="rId3268" Type="http://schemas.openxmlformats.org/officeDocument/2006/relationships/image" Target="media/image3261.png"/><Relationship Id="rId3269" Type="http://schemas.openxmlformats.org/officeDocument/2006/relationships/image" Target="media/image3262.png"/><Relationship Id="rId3270" Type="http://schemas.openxmlformats.org/officeDocument/2006/relationships/image" Target="media/image3263.png"/><Relationship Id="rId3271" Type="http://schemas.openxmlformats.org/officeDocument/2006/relationships/image" Target="media/image3264.png"/><Relationship Id="rId3272" Type="http://schemas.openxmlformats.org/officeDocument/2006/relationships/image" Target="media/image3265.png"/><Relationship Id="rId3273" Type="http://schemas.openxmlformats.org/officeDocument/2006/relationships/image" Target="media/image3266.png"/><Relationship Id="rId3274" Type="http://schemas.openxmlformats.org/officeDocument/2006/relationships/image" Target="media/image3267.png"/><Relationship Id="rId3275" Type="http://schemas.openxmlformats.org/officeDocument/2006/relationships/image" Target="media/image3268.png"/><Relationship Id="rId3276" Type="http://schemas.openxmlformats.org/officeDocument/2006/relationships/image" Target="media/image3269.png"/><Relationship Id="rId3277" Type="http://schemas.openxmlformats.org/officeDocument/2006/relationships/image" Target="media/image3270.png"/><Relationship Id="rId3278" Type="http://schemas.openxmlformats.org/officeDocument/2006/relationships/image" Target="media/image3271.png"/><Relationship Id="rId3279" Type="http://schemas.openxmlformats.org/officeDocument/2006/relationships/image" Target="media/image3272.png"/><Relationship Id="rId3280" Type="http://schemas.openxmlformats.org/officeDocument/2006/relationships/image" Target="media/image3273.png"/><Relationship Id="rId3281" Type="http://schemas.openxmlformats.org/officeDocument/2006/relationships/image" Target="media/image3274.png"/><Relationship Id="rId3282" Type="http://schemas.openxmlformats.org/officeDocument/2006/relationships/image" Target="media/image3275.png"/><Relationship Id="rId3283" Type="http://schemas.openxmlformats.org/officeDocument/2006/relationships/image" Target="media/image3276.png"/><Relationship Id="rId3284" Type="http://schemas.openxmlformats.org/officeDocument/2006/relationships/image" Target="media/image3277.png"/><Relationship Id="rId3285" Type="http://schemas.openxmlformats.org/officeDocument/2006/relationships/image" Target="media/image3278.png"/><Relationship Id="rId3286" Type="http://schemas.openxmlformats.org/officeDocument/2006/relationships/image" Target="media/image3279.png"/><Relationship Id="rId3287" Type="http://schemas.openxmlformats.org/officeDocument/2006/relationships/image" Target="media/image3280.png"/><Relationship Id="rId3288" Type="http://schemas.openxmlformats.org/officeDocument/2006/relationships/image" Target="media/image3281.png"/><Relationship Id="rId3289" Type="http://schemas.openxmlformats.org/officeDocument/2006/relationships/image" Target="media/image3282.png"/><Relationship Id="rId3290" Type="http://schemas.openxmlformats.org/officeDocument/2006/relationships/image" Target="media/image3283.png"/><Relationship Id="rId3291" Type="http://schemas.openxmlformats.org/officeDocument/2006/relationships/image" Target="media/image3284.png"/><Relationship Id="rId3292" Type="http://schemas.openxmlformats.org/officeDocument/2006/relationships/image" Target="media/image3285.png"/><Relationship Id="rId3293" Type="http://schemas.openxmlformats.org/officeDocument/2006/relationships/image" Target="media/image3286.png"/><Relationship Id="rId3294" Type="http://schemas.openxmlformats.org/officeDocument/2006/relationships/image" Target="media/image3287.png"/><Relationship Id="rId3295" Type="http://schemas.openxmlformats.org/officeDocument/2006/relationships/image" Target="media/image3288.png"/><Relationship Id="rId3296" Type="http://schemas.openxmlformats.org/officeDocument/2006/relationships/image" Target="media/image3289.png"/><Relationship Id="rId3297" Type="http://schemas.openxmlformats.org/officeDocument/2006/relationships/image" Target="media/image3290.png"/><Relationship Id="rId3298" Type="http://schemas.openxmlformats.org/officeDocument/2006/relationships/image" Target="media/image3291.png"/><Relationship Id="rId3299" Type="http://schemas.openxmlformats.org/officeDocument/2006/relationships/image" Target="media/image3292.png"/><Relationship Id="rId3300" Type="http://schemas.openxmlformats.org/officeDocument/2006/relationships/image" Target="media/image3293.png"/><Relationship Id="rId3301" Type="http://schemas.openxmlformats.org/officeDocument/2006/relationships/image" Target="media/image3294.png"/><Relationship Id="rId3302" Type="http://schemas.openxmlformats.org/officeDocument/2006/relationships/image" Target="media/image3295.png"/><Relationship Id="rId3303" Type="http://schemas.openxmlformats.org/officeDocument/2006/relationships/image" Target="media/image3296.png"/><Relationship Id="rId3304" Type="http://schemas.openxmlformats.org/officeDocument/2006/relationships/image" Target="media/image3297.png"/><Relationship Id="rId3305" Type="http://schemas.openxmlformats.org/officeDocument/2006/relationships/image" Target="media/image3298.png"/><Relationship Id="rId3306" Type="http://schemas.openxmlformats.org/officeDocument/2006/relationships/image" Target="media/image3299.png"/><Relationship Id="rId3307" Type="http://schemas.openxmlformats.org/officeDocument/2006/relationships/image" Target="media/image3300.png"/><Relationship Id="rId3308" Type="http://schemas.openxmlformats.org/officeDocument/2006/relationships/image" Target="media/image3301.png"/><Relationship Id="rId3309" Type="http://schemas.openxmlformats.org/officeDocument/2006/relationships/image" Target="media/image3302.png"/><Relationship Id="rId3310" Type="http://schemas.openxmlformats.org/officeDocument/2006/relationships/image" Target="media/image3303.png"/><Relationship Id="rId3311" Type="http://schemas.openxmlformats.org/officeDocument/2006/relationships/image" Target="media/image3304.png"/><Relationship Id="rId3312" Type="http://schemas.openxmlformats.org/officeDocument/2006/relationships/image" Target="media/image3305.png"/><Relationship Id="rId3313" Type="http://schemas.openxmlformats.org/officeDocument/2006/relationships/image" Target="media/image3306.png"/><Relationship Id="rId3314" Type="http://schemas.openxmlformats.org/officeDocument/2006/relationships/image" Target="media/image3307.png"/><Relationship Id="rId3315" Type="http://schemas.openxmlformats.org/officeDocument/2006/relationships/image" Target="media/image3308.png"/><Relationship Id="rId3316" Type="http://schemas.openxmlformats.org/officeDocument/2006/relationships/image" Target="media/image3309.png"/><Relationship Id="rId3317" Type="http://schemas.openxmlformats.org/officeDocument/2006/relationships/image" Target="media/image3310.png"/><Relationship Id="rId3318" Type="http://schemas.openxmlformats.org/officeDocument/2006/relationships/image" Target="media/image3311.png"/><Relationship Id="rId3319" Type="http://schemas.openxmlformats.org/officeDocument/2006/relationships/image" Target="media/image3312.png"/><Relationship Id="rId3320" Type="http://schemas.openxmlformats.org/officeDocument/2006/relationships/image" Target="media/image3313.png"/><Relationship Id="rId3321" Type="http://schemas.openxmlformats.org/officeDocument/2006/relationships/image" Target="media/image3314.png"/><Relationship Id="rId3322" Type="http://schemas.openxmlformats.org/officeDocument/2006/relationships/image" Target="media/image3315.png"/><Relationship Id="rId3323" Type="http://schemas.openxmlformats.org/officeDocument/2006/relationships/image" Target="media/image3316.png"/><Relationship Id="rId3324" Type="http://schemas.openxmlformats.org/officeDocument/2006/relationships/image" Target="media/image3317.png"/><Relationship Id="rId3325" Type="http://schemas.openxmlformats.org/officeDocument/2006/relationships/image" Target="media/image3318.png"/><Relationship Id="rId3326" Type="http://schemas.openxmlformats.org/officeDocument/2006/relationships/image" Target="media/image3319.png"/><Relationship Id="rId3327" Type="http://schemas.openxmlformats.org/officeDocument/2006/relationships/image" Target="media/image3320.png"/><Relationship Id="rId3328" Type="http://schemas.openxmlformats.org/officeDocument/2006/relationships/image" Target="media/image3321.png"/><Relationship Id="rId3329" Type="http://schemas.openxmlformats.org/officeDocument/2006/relationships/image" Target="media/image3322.png"/><Relationship Id="rId3330" Type="http://schemas.openxmlformats.org/officeDocument/2006/relationships/image" Target="media/image3323.png"/><Relationship Id="rId3331" Type="http://schemas.openxmlformats.org/officeDocument/2006/relationships/image" Target="media/image3324.png"/><Relationship Id="rId3332" Type="http://schemas.openxmlformats.org/officeDocument/2006/relationships/image" Target="media/image3325.png"/><Relationship Id="rId3333" Type="http://schemas.openxmlformats.org/officeDocument/2006/relationships/image" Target="media/image3326.png"/><Relationship Id="rId3334" Type="http://schemas.openxmlformats.org/officeDocument/2006/relationships/image" Target="media/image3327.png"/><Relationship Id="rId3335" Type="http://schemas.openxmlformats.org/officeDocument/2006/relationships/image" Target="media/image3328.png"/><Relationship Id="rId3336" Type="http://schemas.openxmlformats.org/officeDocument/2006/relationships/image" Target="media/image3329.png"/><Relationship Id="rId3337" Type="http://schemas.openxmlformats.org/officeDocument/2006/relationships/image" Target="media/image3330.png"/><Relationship Id="rId3338" Type="http://schemas.openxmlformats.org/officeDocument/2006/relationships/image" Target="media/image3331.png"/><Relationship Id="rId3339" Type="http://schemas.openxmlformats.org/officeDocument/2006/relationships/image" Target="media/image3332.png"/><Relationship Id="rId3340" Type="http://schemas.openxmlformats.org/officeDocument/2006/relationships/image" Target="media/image3333.png"/><Relationship Id="rId3341" Type="http://schemas.openxmlformats.org/officeDocument/2006/relationships/image" Target="media/image3334.png"/><Relationship Id="rId3342" Type="http://schemas.openxmlformats.org/officeDocument/2006/relationships/image" Target="media/image3335.png"/><Relationship Id="rId3343" Type="http://schemas.openxmlformats.org/officeDocument/2006/relationships/image" Target="media/image3336.png"/><Relationship Id="rId3344" Type="http://schemas.openxmlformats.org/officeDocument/2006/relationships/image" Target="media/image3337.png"/><Relationship Id="rId3345" Type="http://schemas.openxmlformats.org/officeDocument/2006/relationships/image" Target="media/image3338.png"/><Relationship Id="rId3346" Type="http://schemas.openxmlformats.org/officeDocument/2006/relationships/image" Target="media/image3339.png"/><Relationship Id="rId3347" Type="http://schemas.openxmlformats.org/officeDocument/2006/relationships/image" Target="media/image3340.png"/><Relationship Id="rId3348" Type="http://schemas.openxmlformats.org/officeDocument/2006/relationships/image" Target="media/image3341.png"/><Relationship Id="rId3349" Type="http://schemas.openxmlformats.org/officeDocument/2006/relationships/image" Target="media/image3342.png"/><Relationship Id="rId3350" Type="http://schemas.openxmlformats.org/officeDocument/2006/relationships/image" Target="media/image3343.png"/><Relationship Id="rId3351" Type="http://schemas.openxmlformats.org/officeDocument/2006/relationships/image" Target="media/image3344.png"/><Relationship Id="rId3352" Type="http://schemas.openxmlformats.org/officeDocument/2006/relationships/image" Target="media/image3345.png"/><Relationship Id="rId3353" Type="http://schemas.openxmlformats.org/officeDocument/2006/relationships/image" Target="media/image3346.png"/><Relationship Id="rId3354" Type="http://schemas.openxmlformats.org/officeDocument/2006/relationships/image" Target="media/image3347.png"/><Relationship Id="rId3355" Type="http://schemas.openxmlformats.org/officeDocument/2006/relationships/image" Target="media/image3348.png"/><Relationship Id="rId3356" Type="http://schemas.openxmlformats.org/officeDocument/2006/relationships/image" Target="media/image3349.png"/><Relationship Id="rId3357" Type="http://schemas.openxmlformats.org/officeDocument/2006/relationships/image" Target="media/image3350.png"/><Relationship Id="rId3358" Type="http://schemas.openxmlformats.org/officeDocument/2006/relationships/image" Target="media/image3351.png"/><Relationship Id="rId3359" Type="http://schemas.openxmlformats.org/officeDocument/2006/relationships/image" Target="media/image3352.png"/><Relationship Id="rId3360" Type="http://schemas.openxmlformats.org/officeDocument/2006/relationships/image" Target="media/image3353.png"/><Relationship Id="rId3361" Type="http://schemas.openxmlformats.org/officeDocument/2006/relationships/image" Target="media/image3354.png"/><Relationship Id="rId3362" Type="http://schemas.openxmlformats.org/officeDocument/2006/relationships/image" Target="media/image3355.png"/><Relationship Id="rId3363" Type="http://schemas.openxmlformats.org/officeDocument/2006/relationships/image" Target="media/image3356.png"/><Relationship Id="rId3364" Type="http://schemas.openxmlformats.org/officeDocument/2006/relationships/image" Target="media/image3357.png"/><Relationship Id="rId3365" Type="http://schemas.openxmlformats.org/officeDocument/2006/relationships/image" Target="media/image3358.png"/><Relationship Id="rId3366" Type="http://schemas.openxmlformats.org/officeDocument/2006/relationships/image" Target="media/image3359.png"/><Relationship Id="rId3367" Type="http://schemas.openxmlformats.org/officeDocument/2006/relationships/image" Target="media/image3360.png"/><Relationship Id="rId3368" Type="http://schemas.openxmlformats.org/officeDocument/2006/relationships/image" Target="media/image3361.png"/><Relationship Id="rId3369" Type="http://schemas.openxmlformats.org/officeDocument/2006/relationships/image" Target="media/image3362.png"/><Relationship Id="rId3370" Type="http://schemas.openxmlformats.org/officeDocument/2006/relationships/image" Target="media/image3363.png"/><Relationship Id="rId3371" Type="http://schemas.openxmlformats.org/officeDocument/2006/relationships/image" Target="media/image3364.png"/><Relationship Id="rId3372" Type="http://schemas.openxmlformats.org/officeDocument/2006/relationships/image" Target="media/image3365.png"/><Relationship Id="rId3373" Type="http://schemas.openxmlformats.org/officeDocument/2006/relationships/image" Target="media/image3366.png"/><Relationship Id="rId3374" Type="http://schemas.openxmlformats.org/officeDocument/2006/relationships/image" Target="media/image3367.png"/><Relationship Id="rId3375" Type="http://schemas.openxmlformats.org/officeDocument/2006/relationships/image" Target="media/image3368.png"/><Relationship Id="rId3376" Type="http://schemas.openxmlformats.org/officeDocument/2006/relationships/image" Target="media/image3369.png"/><Relationship Id="rId3377" Type="http://schemas.openxmlformats.org/officeDocument/2006/relationships/image" Target="media/image3370.png"/><Relationship Id="rId3378" Type="http://schemas.openxmlformats.org/officeDocument/2006/relationships/image" Target="media/image3371.png"/><Relationship Id="rId3379" Type="http://schemas.openxmlformats.org/officeDocument/2006/relationships/image" Target="media/image3372.png"/><Relationship Id="rId3380" Type="http://schemas.openxmlformats.org/officeDocument/2006/relationships/image" Target="media/image3373.png"/><Relationship Id="rId3381" Type="http://schemas.openxmlformats.org/officeDocument/2006/relationships/image" Target="media/image3374.png"/><Relationship Id="rId3382" Type="http://schemas.openxmlformats.org/officeDocument/2006/relationships/image" Target="media/image3375.png"/><Relationship Id="rId3383" Type="http://schemas.openxmlformats.org/officeDocument/2006/relationships/image" Target="media/image3376.png"/><Relationship Id="rId3384" Type="http://schemas.openxmlformats.org/officeDocument/2006/relationships/image" Target="media/image3377.png"/><Relationship Id="rId3385" Type="http://schemas.openxmlformats.org/officeDocument/2006/relationships/image" Target="media/image3378.png"/><Relationship Id="rId3386" Type="http://schemas.openxmlformats.org/officeDocument/2006/relationships/image" Target="media/image3379.png"/><Relationship Id="rId3387" Type="http://schemas.openxmlformats.org/officeDocument/2006/relationships/image" Target="media/image3380.png"/><Relationship Id="rId3388" Type="http://schemas.openxmlformats.org/officeDocument/2006/relationships/image" Target="media/image3381.png"/><Relationship Id="rId3389" Type="http://schemas.openxmlformats.org/officeDocument/2006/relationships/image" Target="media/image3382.png"/><Relationship Id="rId3390" Type="http://schemas.openxmlformats.org/officeDocument/2006/relationships/image" Target="media/image3383.png"/><Relationship Id="rId3391" Type="http://schemas.openxmlformats.org/officeDocument/2006/relationships/image" Target="media/image3384.png"/><Relationship Id="rId3392" Type="http://schemas.openxmlformats.org/officeDocument/2006/relationships/image" Target="media/image3385.png"/><Relationship Id="rId3393" Type="http://schemas.openxmlformats.org/officeDocument/2006/relationships/image" Target="media/image3386.png"/><Relationship Id="rId3394" Type="http://schemas.openxmlformats.org/officeDocument/2006/relationships/image" Target="media/image3387.png"/><Relationship Id="rId3395" Type="http://schemas.openxmlformats.org/officeDocument/2006/relationships/image" Target="media/image3388.png"/><Relationship Id="rId3396" Type="http://schemas.openxmlformats.org/officeDocument/2006/relationships/image" Target="media/image3389.png"/><Relationship Id="rId3397" Type="http://schemas.openxmlformats.org/officeDocument/2006/relationships/image" Target="media/image3390.png"/><Relationship Id="rId3398" Type="http://schemas.openxmlformats.org/officeDocument/2006/relationships/image" Target="media/image3391.png"/><Relationship Id="rId3399" Type="http://schemas.openxmlformats.org/officeDocument/2006/relationships/image" Target="media/image3392.png"/><Relationship Id="rId3400" Type="http://schemas.openxmlformats.org/officeDocument/2006/relationships/image" Target="media/image3393.png"/><Relationship Id="rId3401" Type="http://schemas.openxmlformats.org/officeDocument/2006/relationships/image" Target="media/image3394.png"/><Relationship Id="rId3402" Type="http://schemas.openxmlformats.org/officeDocument/2006/relationships/image" Target="media/image3395.png"/><Relationship Id="rId3403" Type="http://schemas.openxmlformats.org/officeDocument/2006/relationships/image" Target="media/image3396.png"/><Relationship Id="rId3404" Type="http://schemas.openxmlformats.org/officeDocument/2006/relationships/image" Target="media/image3397.png"/><Relationship Id="rId3405" Type="http://schemas.openxmlformats.org/officeDocument/2006/relationships/image" Target="media/image3398.png"/><Relationship Id="rId3406" Type="http://schemas.openxmlformats.org/officeDocument/2006/relationships/image" Target="media/image3399.png"/><Relationship Id="rId3407" Type="http://schemas.openxmlformats.org/officeDocument/2006/relationships/image" Target="media/image3400.png"/><Relationship Id="rId3408" Type="http://schemas.openxmlformats.org/officeDocument/2006/relationships/image" Target="media/image3401.png"/><Relationship Id="rId3409" Type="http://schemas.openxmlformats.org/officeDocument/2006/relationships/image" Target="media/image3402.png"/><Relationship Id="rId3410" Type="http://schemas.openxmlformats.org/officeDocument/2006/relationships/image" Target="media/image3403.png"/><Relationship Id="rId3411" Type="http://schemas.openxmlformats.org/officeDocument/2006/relationships/image" Target="media/image3404.png"/><Relationship Id="rId3412" Type="http://schemas.openxmlformats.org/officeDocument/2006/relationships/image" Target="media/image3405.png"/><Relationship Id="rId3413" Type="http://schemas.openxmlformats.org/officeDocument/2006/relationships/image" Target="media/image3406.png"/><Relationship Id="rId3414" Type="http://schemas.openxmlformats.org/officeDocument/2006/relationships/image" Target="media/image3407.png"/><Relationship Id="rId3415" Type="http://schemas.openxmlformats.org/officeDocument/2006/relationships/image" Target="media/image3408.png"/><Relationship Id="rId3416" Type="http://schemas.openxmlformats.org/officeDocument/2006/relationships/image" Target="media/image3409.png"/><Relationship Id="rId3417" Type="http://schemas.openxmlformats.org/officeDocument/2006/relationships/image" Target="media/image3410.png"/><Relationship Id="rId3418" Type="http://schemas.openxmlformats.org/officeDocument/2006/relationships/image" Target="media/image3411.png"/><Relationship Id="rId3419" Type="http://schemas.openxmlformats.org/officeDocument/2006/relationships/image" Target="media/image3412.png"/><Relationship Id="rId3420" Type="http://schemas.openxmlformats.org/officeDocument/2006/relationships/image" Target="media/image3413.png"/><Relationship Id="rId3421" Type="http://schemas.openxmlformats.org/officeDocument/2006/relationships/image" Target="media/image3414.png"/><Relationship Id="rId3422" Type="http://schemas.openxmlformats.org/officeDocument/2006/relationships/image" Target="media/image3415.png"/><Relationship Id="rId3423" Type="http://schemas.openxmlformats.org/officeDocument/2006/relationships/image" Target="media/image3416.png"/><Relationship Id="rId3424" Type="http://schemas.openxmlformats.org/officeDocument/2006/relationships/image" Target="media/image3417.png"/><Relationship Id="rId3425" Type="http://schemas.openxmlformats.org/officeDocument/2006/relationships/image" Target="media/image3418.png"/><Relationship Id="rId3426" Type="http://schemas.openxmlformats.org/officeDocument/2006/relationships/image" Target="media/image3419.png"/><Relationship Id="rId3427" Type="http://schemas.openxmlformats.org/officeDocument/2006/relationships/image" Target="media/image3420.png"/><Relationship Id="rId3428" Type="http://schemas.openxmlformats.org/officeDocument/2006/relationships/image" Target="media/image3421.png"/><Relationship Id="rId3429" Type="http://schemas.openxmlformats.org/officeDocument/2006/relationships/image" Target="media/image3422.png"/><Relationship Id="rId3430" Type="http://schemas.openxmlformats.org/officeDocument/2006/relationships/image" Target="media/image3423.png"/><Relationship Id="rId3431" Type="http://schemas.openxmlformats.org/officeDocument/2006/relationships/image" Target="media/image3424.png"/><Relationship Id="rId3432" Type="http://schemas.openxmlformats.org/officeDocument/2006/relationships/image" Target="media/image3425.png"/><Relationship Id="rId3433" Type="http://schemas.openxmlformats.org/officeDocument/2006/relationships/image" Target="media/image3426.png"/><Relationship Id="rId3434" Type="http://schemas.openxmlformats.org/officeDocument/2006/relationships/image" Target="media/image3427.png"/><Relationship Id="rId3435" Type="http://schemas.openxmlformats.org/officeDocument/2006/relationships/image" Target="media/image3428.png"/><Relationship Id="rId3436" Type="http://schemas.openxmlformats.org/officeDocument/2006/relationships/image" Target="media/image3429.png"/><Relationship Id="rId3437" Type="http://schemas.openxmlformats.org/officeDocument/2006/relationships/image" Target="media/image3430.png"/><Relationship Id="rId3438" Type="http://schemas.openxmlformats.org/officeDocument/2006/relationships/image" Target="media/image3431.png"/><Relationship Id="rId3439" Type="http://schemas.openxmlformats.org/officeDocument/2006/relationships/image" Target="media/image3432.png"/><Relationship Id="rId3440" Type="http://schemas.openxmlformats.org/officeDocument/2006/relationships/image" Target="media/image3433.png"/><Relationship Id="rId3441" Type="http://schemas.openxmlformats.org/officeDocument/2006/relationships/image" Target="media/image3434.png"/><Relationship Id="rId3442" Type="http://schemas.openxmlformats.org/officeDocument/2006/relationships/image" Target="media/image3435.png"/><Relationship Id="rId3443" Type="http://schemas.openxmlformats.org/officeDocument/2006/relationships/image" Target="media/image3436.png"/><Relationship Id="rId3444" Type="http://schemas.openxmlformats.org/officeDocument/2006/relationships/image" Target="media/image3437.png"/><Relationship Id="rId3445" Type="http://schemas.openxmlformats.org/officeDocument/2006/relationships/image" Target="media/image3438.png"/><Relationship Id="rId3446" Type="http://schemas.openxmlformats.org/officeDocument/2006/relationships/image" Target="media/image3439.png"/><Relationship Id="rId3447" Type="http://schemas.openxmlformats.org/officeDocument/2006/relationships/image" Target="media/image3440.png"/><Relationship Id="rId3448" Type="http://schemas.openxmlformats.org/officeDocument/2006/relationships/image" Target="media/image3441.png"/><Relationship Id="rId3449" Type="http://schemas.openxmlformats.org/officeDocument/2006/relationships/image" Target="media/image3442.png"/><Relationship Id="rId3450" Type="http://schemas.openxmlformats.org/officeDocument/2006/relationships/image" Target="media/image3443.png"/><Relationship Id="rId3451" Type="http://schemas.openxmlformats.org/officeDocument/2006/relationships/image" Target="media/image3444.png"/><Relationship Id="rId3452" Type="http://schemas.openxmlformats.org/officeDocument/2006/relationships/image" Target="media/image3445.png"/><Relationship Id="rId3453" Type="http://schemas.openxmlformats.org/officeDocument/2006/relationships/image" Target="media/image3446.png"/><Relationship Id="rId3454" Type="http://schemas.openxmlformats.org/officeDocument/2006/relationships/image" Target="media/image3447.png"/><Relationship Id="rId3455" Type="http://schemas.openxmlformats.org/officeDocument/2006/relationships/image" Target="media/image3448.png"/><Relationship Id="rId3456" Type="http://schemas.openxmlformats.org/officeDocument/2006/relationships/image" Target="media/image3449.png"/><Relationship Id="rId3457" Type="http://schemas.openxmlformats.org/officeDocument/2006/relationships/image" Target="media/image3450.png"/><Relationship Id="rId3458" Type="http://schemas.openxmlformats.org/officeDocument/2006/relationships/image" Target="media/image3451.png"/><Relationship Id="rId3459" Type="http://schemas.openxmlformats.org/officeDocument/2006/relationships/image" Target="media/image3452.png"/><Relationship Id="rId3460" Type="http://schemas.openxmlformats.org/officeDocument/2006/relationships/image" Target="media/image3453.png"/><Relationship Id="rId3461" Type="http://schemas.openxmlformats.org/officeDocument/2006/relationships/image" Target="media/image3454.png"/><Relationship Id="rId3462" Type="http://schemas.openxmlformats.org/officeDocument/2006/relationships/image" Target="media/image3455.png"/><Relationship Id="rId3463" Type="http://schemas.openxmlformats.org/officeDocument/2006/relationships/image" Target="media/image3456.png"/><Relationship Id="rId3464" Type="http://schemas.openxmlformats.org/officeDocument/2006/relationships/image" Target="media/image3457.png"/><Relationship Id="rId3465" Type="http://schemas.openxmlformats.org/officeDocument/2006/relationships/image" Target="media/image3458.png"/><Relationship Id="rId3466" Type="http://schemas.openxmlformats.org/officeDocument/2006/relationships/image" Target="media/image3459.png"/><Relationship Id="rId3467" Type="http://schemas.openxmlformats.org/officeDocument/2006/relationships/image" Target="media/image3460.png"/><Relationship Id="rId3468" Type="http://schemas.openxmlformats.org/officeDocument/2006/relationships/image" Target="media/image3461.png"/><Relationship Id="rId3469" Type="http://schemas.openxmlformats.org/officeDocument/2006/relationships/image" Target="media/image3462.png"/><Relationship Id="rId3470" Type="http://schemas.openxmlformats.org/officeDocument/2006/relationships/image" Target="media/image3463.jpeg"/><Relationship Id="rId3471" Type="http://schemas.openxmlformats.org/officeDocument/2006/relationships/image" Target="media/image3464.png"/><Relationship Id="rId3472" Type="http://schemas.openxmlformats.org/officeDocument/2006/relationships/image" Target="media/image3465.png"/><Relationship Id="rId3473" Type="http://schemas.openxmlformats.org/officeDocument/2006/relationships/image" Target="media/image3466.jpeg"/><Relationship Id="rId3474" Type="http://schemas.openxmlformats.org/officeDocument/2006/relationships/image" Target="media/image3467.png"/><Relationship Id="rId3475" Type="http://schemas.openxmlformats.org/officeDocument/2006/relationships/image" Target="media/image3468.png"/><Relationship Id="rId3476" Type="http://schemas.openxmlformats.org/officeDocument/2006/relationships/image" Target="media/image3469.png"/><Relationship Id="rId3477" Type="http://schemas.openxmlformats.org/officeDocument/2006/relationships/image" Target="media/image3470.png"/><Relationship Id="rId3478" Type="http://schemas.openxmlformats.org/officeDocument/2006/relationships/image" Target="media/image3471.png"/><Relationship Id="rId3479" Type="http://schemas.openxmlformats.org/officeDocument/2006/relationships/image" Target="media/image3472.png"/><Relationship Id="rId3480" Type="http://schemas.openxmlformats.org/officeDocument/2006/relationships/image" Target="media/image3473.png"/><Relationship Id="rId3481" Type="http://schemas.openxmlformats.org/officeDocument/2006/relationships/image" Target="media/image3474.jpeg"/><Relationship Id="rId3482" Type="http://schemas.openxmlformats.org/officeDocument/2006/relationships/image" Target="media/image3475.png"/><Relationship Id="rId3483" Type="http://schemas.openxmlformats.org/officeDocument/2006/relationships/image" Target="media/image3476.png"/><Relationship Id="rId3484" Type="http://schemas.openxmlformats.org/officeDocument/2006/relationships/image" Target="media/image3477.png"/><Relationship Id="rId3485" Type="http://schemas.openxmlformats.org/officeDocument/2006/relationships/image" Target="media/image3478.png"/><Relationship Id="rId3486" Type="http://schemas.openxmlformats.org/officeDocument/2006/relationships/image" Target="media/image3479.png"/><Relationship Id="rId3487" Type="http://schemas.openxmlformats.org/officeDocument/2006/relationships/image" Target="media/image3480.png"/><Relationship Id="rId3488" Type="http://schemas.openxmlformats.org/officeDocument/2006/relationships/image" Target="media/image3481.png"/><Relationship Id="rId3489" Type="http://schemas.openxmlformats.org/officeDocument/2006/relationships/image" Target="media/image3482.png"/><Relationship Id="rId3490" Type="http://schemas.openxmlformats.org/officeDocument/2006/relationships/image" Target="media/image3483.png"/><Relationship Id="rId3491" Type="http://schemas.openxmlformats.org/officeDocument/2006/relationships/image" Target="media/image3484.png"/><Relationship Id="rId3492" Type="http://schemas.openxmlformats.org/officeDocument/2006/relationships/image" Target="media/image3485.png"/><Relationship Id="rId3493" Type="http://schemas.openxmlformats.org/officeDocument/2006/relationships/image" Target="media/image3486.png"/><Relationship Id="rId3494" Type="http://schemas.openxmlformats.org/officeDocument/2006/relationships/image" Target="media/image3487.png"/><Relationship Id="rId3495" Type="http://schemas.openxmlformats.org/officeDocument/2006/relationships/image" Target="media/image3488.png"/><Relationship Id="rId3496" Type="http://schemas.openxmlformats.org/officeDocument/2006/relationships/image" Target="media/image3489.png"/><Relationship Id="rId3497" Type="http://schemas.openxmlformats.org/officeDocument/2006/relationships/image" Target="media/image3490.png"/><Relationship Id="rId3498" Type="http://schemas.openxmlformats.org/officeDocument/2006/relationships/image" Target="media/image3491.png"/><Relationship Id="rId3499" Type="http://schemas.openxmlformats.org/officeDocument/2006/relationships/image" Target="media/image3492.png"/><Relationship Id="rId3500" Type="http://schemas.openxmlformats.org/officeDocument/2006/relationships/image" Target="media/image3493.png"/><Relationship Id="rId3501" Type="http://schemas.openxmlformats.org/officeDocument/2006/relationships/image" Target="media/image3494.png"/><Relationship Id="rId3502" Type="http://schemas.openxmlformats.org/officeDocument/2006/relationships/image" Target="media/image3495.png"/><Relationship Id="rId3503" Type="http://schemas.openxmlformats.org/officeDocument/2006/relationships/image" Target="media/image3496.png"/><Relationship Id="rId3504" Type="http://schemas.openxmlformats.org/officeDocument/2006/relationships/image" Target="media/image3497.png"/><Relationship Id="rId3505" Type="http://schemas.openxmlformats.org/officeDocument/2006/relationships/image" Target="media/image3498.png"/><Relationship Id="rId3506" Type="http://schemas.openxmlformats.org/officeDocument/2006/relationships/image" Target="media/image3499.png"/><Relationship Id="rId3507" Type="http://schemas.openxmlformats.org/officeDocument/2006/relationships/image" Target="media/image3500.png"/><Relationship Id="rId3508" Type="http://schemas.openxmlformats.org/officeDocument/2006/relationships/image" Target="media/image3501.png"/><Relationship Id="rId3509" Type="http://schemas.openxmlformats.org/officeDocument/2006/relationships/image" Target="media/image3502.png"/><Relationship Id="rId3510" Type="http://schemas.openxmlformats.org/officeDocument/2006/relationships/image" Target="media/image3503.png"/><Relationship Id="rId3511" Type="http://schemas.openxmlformats.org/officeDocument/2006/relationships/image" Target="media/image3504.png"/><Relationship Id="rId3512" Type="http://schemas.openxmlformats.org/officeDocument/2006/relationships/image" Target="media/image3505.png"/><Relationship Id="rId3513" Type="http://schemas.openxmlformats.org/officeDocument/2006/relationships/image" Target="media/image3506.png"/><Relationship Id="rId3514" Type="http://schemas.openxmlformats.org/officeDocument/2006/relationships/image" Target="media/image3507.png"/><Relationship Id="rId3515" Type="http://schemas.openxmlformats.org/officeDocument/2006/relationships/image" Target="media/image3508.png"/><Relationship Id="rId3516" Type="http://schemas.openxmlformats.org/officeDocument/2006/relationships/image" Target="media/image3509.png"/><Relationship Id="rId3517" Type="http://schemas.openxmlformats.org/officeDocument/2006/relationships/image" Target="media/image3510.jpeg"/><Relationship Id="rId3518" Type="http://schemas.openxmlformats.org/officeDocument/2006/relationships/image" Target="media/image3511.png"/><Relationship Id="rId3519" Type="http://schemas.openxmlformats.org/officeDocument/2006/relationships/image" Target="media/image3512.png"/><Relationship Id="rId3520" Type="http://schemas.openxmlformats.org/officeDocument/2006/relationships/image" Target="media/image3513.png"/><Relationship Id="rId3521" Type="http://schemas.openxmlformats.org/officeDocument/2006/relationships/image" Target="media/image3514.png"/><Relationship Id="rId3522" Type="http://schemas.openxmlformats.org/officeDocument/2006/relationships/image" Target="media/image3515.png"/><Relationship Id="rId3523" Type="http://schemas.openxmlformats.org/officeDocument/2006/relationships/image" Target="media/image3516.png"/><Relationship Id="rId3524" Type="http://schemas.openxmlformats.org/officeDocument/2006/relationships/image" Target="media/image3517.png"/><Relationship Id="rId3525" Type="http://schemas.openxmlformats.org/officeDocument/2006/relationships/image" Target="media/image3518.png"/><Relationship Id="rId3526" Type="http://schemas.openxmlformats.org/officeDocument/2006/relationships/image" Target="media/image3519.png"/><Relationship Id="rId3527" Type="http://schemas.openxmlformats.org/officeDocument/2006/relationships/image" Target="media/image3520.png"/><Relationship Id="rId3528" Type="http://schemas.openxmlformats.org/officeDocument/2006/relationships/image" Target="media/image3521.png"/><Relationship Id="rId3529" Type="http://schemas.openxmlformats.org/officeDocument/2006/relationships/image" Target="media/image3522.png"/><Relationship Id="rId3530" Type="http://schemas.openxmlformats.org/officeDocument/2006/relationships/image" Target="media/image3523.png"/><Relationship Id="rId3531" Type="http://schemas.openxmlformats.org/officeDocument/2006/relationships/image" Target="media/image3524.png"/><Relationship Id="rId3532" Type="http://schemas.openxmlformats.org/officeDocument/2006/relationships/image" Target="media/image3525.png"/><Relationship Id="rId3533" Type="http://schemas.openxmlformats.org/officeDocument/2006/relationships/image" Target="media/image3526.png"/><Relationship Id="rId3534" Type="http://schemas.openxmlformats.org/officeDocument/2006/relationships/image" Target="media/image3527.png"/><Relationship Id="rId3535" Type="http://schemas.openxmlformats.org/officeDocument/2006/relationships/image" Target="media/image3528.png"/><Relationship Id="rId3536" Type="http://schemas.openxmlformats.org/officeDocument/2006/relationships/image" Target="media/image3529.png"/><Relationship Id="rId3537" Type="http://schemas.openxmlformats.org/officeDocument/2006/relationships/image" Target="media/image3530.png"/><Relationship Id="rId3538" Type="http://schemas.openxmlformats.org/officeDocument/2006/relationships/image" Target="media/image3531.png"/><Relationship Id="rId3539" Type="http://schemas.openxmlformats.org/officeDocument/2006/relationships/image" Target="media/image3532.png"/><Relationship Id="rId3540" Type="http://schemas.openxmlformats.org/officeDocument/2006/relationships/image" Target="media/image3533.png"/><Relationship Id="rId3541" Type="http://schemas.openxmlformats.org/officeDocument/2006/relationships/image" Target="media/image3534.png"/><Relationship Id="rId3542" Type="http://schemas.openxmlformats.org/officeDocument/2006/relationships/image" Target="media/image3535.png"/><Relationship Id="rId3543" Type="http://schemas.openxmlformats.org/officeDocument/2006/relationships/image" Target="media/image3536.png"/><Relationship Id="rId3544" Type="http://schemas.openxmlformats.org/officeDocument/2006/relationships/image" Target="media/image3537.png"/><Relationship Id="rId3545" Type="http://schemas.openxmlformats.org/officeDocument/2006/relationships/image" Target="media/image3538.png"/><Relationship Id="rId3546" Type="http://schemas.openxmlformats.org/officeDocument/2006/relationships/image" Target="media/image3539.png"/><Relationship Id="rId3547" Type="http://schemas.openxmlformats.org/officeDocument/2006/relationships/image" Target="media/image3540.png"/><Relationship Id="rId3548" Type="http://schemas.openxmlformats.org/officeDocument/2006/relationships/image" Target="media/image3541.png"/><Relationship Id="rId3549" Type="http://schemas.openxmlformats.org/officeDocument/2006/relationships/image" Target="media/image3542.png"/><Relationship Id="rId3550" Type="http://schemas.openxmlformats.org/officeDocument/2006/relationships/image" Target="media/image3543.jpeg"/><Relationship Id="rId3551" Type="http://schemas.openxmlformats.org/officeDocument/2006/relationships/image" Target="media/image3544.png"/><Relationship Id="rId3552" Type="http://schemas.openxmlformats.org/officeDocument/2006/relationships/image" Target="media/image3545.png"/><Relationship Id="rId3553" Type="http://schemas.openxmlformats.org/officeDocument/2006/relationships/image" Target="media/image3546.png"/><Relationship Id="rId3554" Type="http://schemas.openxmlformats.org/officeDocument/2006/relationships/image" Target="media/image3547.png"/><Relationship Id="rId3555" Type="http://schemas.openxmlformats.org/officeDocument/2006/relationships/image" Target="media/image3548.png"/><Relationship Id="rId3556" Type="http://schemas.openxmlformats.org/officeDocument/2006/relationships/image" Target="media/image3549.png"/><Relationship Id="rId3557" Type="http://schemas.openxmlformats.org/officeDocument/2006/relationships/image" Target="media/image3550.png"/><Relationship Id="rId3558" Type="http://schemas.openxmlformats.org/officeDocument/2006/relationships/image" Target="media/image3551.png"/><Relationship Id="rId3559" Type="http://schemas.openxmlformats.org/officeDocument/2006/relationships/image" Target="media/image3552.png"/><Relationship Id="rId3560" Type="http://schemas.openxmlformats.org/officeDocument/2006/relationships/image" Target="media/image3553.png"/><Relationship Id="rId3561" Type="http://schemas.openxmlformats.org/officeDocument/2006/relationships/image" Target="media/image3554.png"/><Relationship Id="rId3562" Type="http://schemas.openxmlformats.org/officeDocument/2006/relationships/image" Target="media/image3555.png"/><Relationship Id="rId3563" Type="http://schemas.openxmlformats.org/officeDocument/2006/relationships/image" Target="media/image3556.png"/><Relationship Id="rId3564" Type="http://schemas.openxmlformats.org/officeDocument/2006/relationships/image" Target="media/image3557.png"/><Relationship Id="rId3565" Type="http://schemas.openxmlformats.org/officeDocument/2006/relationships/image" Target="media/image3558.png"/><Relationship Id="rId3566" Type="http://schemas.openxmlformats.org/officeDocument/2006/relationships/image" Target="media/image3559.png"/><Relationship Id="rId3567" Type="http://schemas.openxmlformats.org/officeDocument/2006/relationships/image" Target="media/image3560.png"/><Relationship Id="rId3568" Type="http://schemas.openxmlformats.org/officeDocument/2006/relationships/image" Target="media/image3561.png"/><Relationship Id="rId3569" Type="http://schemas.openxmlformats.org/officeDocument/2006/relationships/image" Target="media/image3562.png"/><Relationship Id="rId3570" Type="http://schemas.openxmlformats.org/officeDocument/2006/relationships/image" Target="media/image3563.png"/><Relationship Id="rId3571" Type="http://schemas.openxmlformats.org/officeDocument/2006/relationships/image" Target="media/image3564.png"/><Relationship Id="rId3572" Type="http://schemas.openxmlformats.org/officeDocument/2006/relationships/image" Target="media/image3565.png"/><Relationship Id="rId3573" Type="http://schemas.openxmlformats.org/officeDocument/2006/relationships/image" Target="media/image3566.png"/><Relationship Id="rId3574" Type="http://schemas.openxmlformats.org/officeDocument/2006/relationships/image" Target="media/image3567.png"/><Relationship Id="rId3575" Type="http://schemas.openxmlformats.org/officeDocument/2006/relationships/image" Target="media/image3568.png"/><Relationship Id="rId3576" Type="http://schemas.openxmlformats.org/officeDocument/2006/relationships/image" Target="media/image3569.png"/><Relationship Id="rId3577" Type="http://schemas.openxmlformats.org/officeDocument/2006/relationships/image" Target="media/image3570.png"/><Relationship Id="rId3578" Type="http://schemas.openxmlformats.org/officeDocument/2006/relationships/image" Target="media/image3571.png"/><Relationship Id="rId3579" Type="http://schemas.openxmlformats.org/officeDocument/2006/relationships/image" Target="media/image3572.jpeg"/><Relationship Id="rId3580" Type="http://schemas.openxmlformats.org/officeDocument/2006/relationships/image" Target="media/image3573.png"/><Relationship Id="rId3581" Type="http://schemas.openxmlformats.org/officeDocument/2006/relationships/image" Target="media/image3574.png"/><Relationship Id="rId3582" Type="http://schemas.openxmlformats.org/officeDocument/2006/relationships/image" Target="media/image3575.png"/><Relationship Id="rId3583" Type="http://schemas.openxmlformats.org/officeDocument/2006/relationships/image" Target="media/image3576.png"/><Relationship Id="rId3584" Type="http://schemas.openxmlformats.org/officeDocument/2006/relationships/image" Target="media/image3577.png"/><Relationship Id="rId3585" Type="http://schemas.openxmlformats.org/officeDocument/2006/relationships/image" Target="media/image3578.png"/><Relationship Id="rId3586" Type="http://schemas.openxmlformats.org/officeDocument/2006/relationships/image" Target="media/image3579.png"/><Relationship Id="rId3587" Type="http://schemas.openxmlformats.org/officeDocument/2006/relationships/image" Target="media/image3580.png"/><Relationship Id="rId3588" Type="http://schemas.openxmlformats.org/officeDocument/2006/relationships/image" Target="media/image3581.png"/><Relationship Id="rId3589" Type="http://schemas.openxmlformats.org/officeDocument/2006/relationships/image" Target="media/image3582.png"/><Relationship Id="rId3590" Type="http://schemas.openxmlformats.org/officeDocument/2006/relationships/image" Target="media/image3583.png"/><Relationship Id="rId3591" Type="http://schemas.openxmlformats.org/officeDocument/2006/relationships/image" Target="media/image3584.png"/><Relationship Id="rId3592" Type="http://schemas.openxmlformats.org/officeDocument/2006/relationships/image" Target="media/image3585.png"/><Relationship Id="rId3593" Type="http://schemas.openxmlformats.org/officeDocument/2006/relationships/image" Target="media/image3586.png"/><Relationship Id="rId3594" Type="http://schemas.openxmlformats.org/officeDocument/2006/relationships/image" Target="media/image3587.png"/><Relationship Id="rId3595" Type="http://schemas.openxmlformats.org/officeDocument/2006/relationships/image" Target="media/image3588.png"/><Relationship Id="rId3596" Type="http://schemas.openxmlformats.org/officeDocument/2006/relationships/image" Target="media/image3589.png"/><Relationship Id="rId3597" Type="http://schemas.openxmlformats.org/officeDocument/2006/relationships/image" Target="media/image3590.png"/><Relationship Id="rId3598" Type="http://schemas.openxmlformats.org/officeDocument/2006/relationships/image" Target="media/image3591.jpeg"/><Relationship Id="rId3599" Type="http://schemas.openxmlformats.org/officeDocument/2006/relationships/image" Target="media/image3592.png"/><Relationship Id="rId3600" Type="http://schemas.openxmlformats.org/officeDocument/2006/relationships/image" Target="media/image3593.png"/><Relationship Id="rId3601" Type="http://schemas.openxmlformats.org/officeDocument/2006/relationships/image" Target="media/image3594.jpeg"/><Relationship Id="rId3602" Type="http://schemas.openxmlformats.org/officeDocument/2006/relationships/image" Target="media/image3595.png"/><Relationship Id="rId3603" Type="http://schemas.openxmlformats.org/officeDocument/2006/relationships/image" Target="media/image3596.png"/><Relationship Id="rId3604" Type="http://schemas.openxmlformats.org/officeDocument/2006/relationships/image" Target="media/image3597.png"/><Relationship Id="rId3605" Type="http://schemas.openxmlformats.org/officeDocument/2006/relationships/image" Target="media/image3598.png"/><Relationship Id="rId3606" Type="http://schemas.openxmlformats.org/officeDocument/2006/relationships/image" Target="media/image3599.png"/><Relationship Id="rId3607" Type="http://schemas.openxmlformats.org/officeDocument/2006/relationships/image" Target="media/image3600.png"/><Relationship Id="rId3608" Type="http://schemas.openxmlformats.org/officeDocument/2006/relationships/image" Target="media/image3601.png"/><Relationship Id="rId3609" Type="http://schemas.openxmlformats.org/officeDocument/2006/relationships/image" Target="media/image3602.png"/><Relationship Id="rId3610" Type="http://schemas.openxmlformats.org/officeDocument/2006/relationships/image" Target="media/image3603.png"/><Relationship Id="rId3611" Type="http://schemas.openxmlformats.org/officeDocument/2006/relationships/image" Target="media/image3604.png"/><Relationship Id="rId3612" Type="http://schemas.openxmlformats.org/officeDocument/2006/relationships/image" Target="media/image3605.png"/><Relationship Id="rId3613" Type="http://schemas.openxmlformats.org/officeDocument/2006/relationships/image" Target="media/image3606.png"/><Relationship Id="rId3614" Type="http://schemas.openxmlformats.org/officeDocument/2006/relationships/image" Target="media/image3607.png"/><Relationship Id="rId3615" Type="http://schemas.openxmlformats.org/officeDocument/2006/relationships/image" Target="media/image3608.png"/><Relationship Id="rId3616" Type="http://schemas.openxmlformats.org/officeDocument/2006/relationships/image" Target="media/image3609.png"/><Relationship Id="rId3617" Type="http://schemas.openxmlformats.org/officeDocument/2006/relationships/image" Target="media/image3610.jpeg"/><Relationship Id="rId3618" Type="http://schemas.openxmlformats.org/officeDocument/2006/relationships/image" Target="media/image3611.png"/><Relationship Id="rId3619" Type="http://schemas.openxmlformats.org/officeDocument/2006/relationships/image" Target="media/image3612.png"/><Relationship Id="rId3620" Type="http://schemas.openxmlformats.org/officeDocument/2006/relationships/image" Target="media/image3613.jpeg"/><Relationship Id="rId3621" Type="http://schemas.openxmlformats.org/officeDocument/2006/relationships/image" Target="media/image3614.png"/><Relationship Id="rId3622" Type="http://schemas.openxmlformats.org/officeDocument/2006/relationships/image" Target="media/image3615.png"/><Relationship Id="rId3623" Type="http://schemas.openxmlformats.org/officeDocument/2006/relationships/image" Target="media/image3616.png"/><Relationship Id="rId3624" Type="http://schemas.openxmlformats.org/officeDocument/2006/relationships/image" Target="media/image3617.png"/><Relationship Id="rId3625" Type="http://schemas.openxmlformats.org/officeDocument/2006/relationships/image" Target="media/image3618.png"/><Relationship Id="rId3626" Type="http://schemas.openxmlformats.org/officeDocument/2006/relationships/image" Target="media/image3619.png"/><Relationship Id="rId3627" Type="http://schemas.openxmlformats.org/officeDocument/2006/relationships/image" Target="media/image3620.png"/><Relationship Id="rId3628" Type="http://schemas.openxmlformats.org/officeDocument/2006/relationships/image" Target="media/image3621.png"/><Relationship Id="rId3629" Type="http://schemas.openxmlformats.org/officeDocument/2006/relationships/image" Target="media/image3622.png"/><Relationship Id="rId3630" Type="http://schemas.openxmlformats.org/officeDocument/2006/relationships/image" Target="media/image3623.jpeg"/><Relationship Id="rId3631" Type="http://schemas.openxmlformats.org/officeDocument/2006/relationships/image" Target="media/image3624.png"/><Relationship Id="rId3632" Type="http://schemas.openxmlformats.org/officeDocument/2006/relationships/image" Target="media/image3625.png"/><Relationship Id="rId3633" Type="http://schemas.openxmlformats.org/officeDocument/2006/relationships/image" Target="media/image3626.png"/><Relationship Id="rId3634" Type="http://schemas.openxmlformats.org/officeDocument/2006/relationships/image" Target="media/image3627.png"/><Relationship Id="rId3635" Type="http://schemas.openxmlformats.org/officeDocument/2006/relationships/image" Target="media/image3628.png"/><Relationship Id="rId3636" Type="http://schemas.openxmlformats.org/officeDocument/2006/relationships/image" Target="media/image3629.png"/><Relationship Id="rId3637" Type="http://schemas.openxmlformats.org/officeDocument/2006/relationships/image" Target="media/image3630.png"/><Relationship Id="rId3638" Type="http://schemas.openxmlformats.org/officeDocument/2006/relationships/image" Target="media/image3631.png"/><Relationship Id="rId3639" Type="http://schemas.openxmlformats.org/officeDocument/2006/relationships/image" Target="media/image3632.jpeg"/><Relationship Id="rId3640" Type="http://schemas.openxmlformats.org/officeDocument/2006/relationships/image" Target="media/image3633.jpeg"/><Relationship Id="rId3641" Type="http://schemas.openxmlformats.org/officeDocument/2006/relationships/image" Target="media/image3634.png"/><Relationship Id="rId3642" Type="http://schemas.openxmlformats.org/officeDocument/2006/relationships/image" Target="media/image3635.png"/><Relationship Id="rId3643" Type="http://schemas.openxmlformats.org/officeDocument/2006/relationships/image" Target="media/image3636.png"/><Relationship Id="rId3644" Type="http://schemas.openxmlformats.org/officeDocument/2006/relationships/image" Target="media/image3637.png"/><Relationship Id="rId3645" Type="http://schemas.openxmlformats.org/officeDocument/2006/relationships/image" Target="media/image3638.png"/><Relationship Id="rId3646" Type="http://schemas.openxmlformats.org/officeDocument/2006/relationships/image" Target="media/image3639.png"/><Relationship Id="rId3647" Type="http://schemas.openxmlformats.org/officeDocument/2006/relationships/image" Target="media/image3640.png"/><Relationship Id="rId3648" Type="http://schemas.openxmlformats.org/officeDocument/2006/relationships/image" Target="media/image3641.png"/><Relationship Id="rId3649" Type="http://schemas.openxmlformats.org/officeDocument/2006/relationships/image" Target="media/image3642.png"/><Relationship Id="rId3650" Type="http://schemas.openxmlformats.org/officeDocument/2006/relationships/image" Target="media/image3643.png"/><Relationship Id="rId3651" Type="http://schemas.openxmlformats.org/officeDocument/2006/relationships/image" Target="media/image3644.png"/><Relationship Id="rId3652" Type="http://schemas.openxmlformats.org/officeDocument/2006/relationships/image" Target="media/image3645.png"/><Relationship Id="rId3653" Type="http://schemas.openxmlformats.org/officeDocument/2006/relationships/image" Target="media/image3646.png"/><Relationship Id="rId3654" Type="http://schemas.openxmlformats.org/officeDocument/2006/relationships/image" Target="media/image3647.png"/><Relationship Id="rId3655" Type="http://schemas.openxmlformats.org/officeDocument/2006/relationships/image" Target="media/image3648.png"/><Relationship Id="rId3656" Type="http://schemas.openxmlformats.org/officeDocument/2006/relationships/image" Target="media/image3649.png"/><Relationship Id="rId3657" Type="http://schemas.openxmlformats.org/officeDocument/2006/relationships/image" Target="media/image3650.png"/><Relationship Id="rId3658" Type="http://schemas.openxmlformats.org/officeDocument/2006/relationships/image" Target="media/image3651.png"/><Relationship Id="rId3659" Type="http://schemas.openxmlformats.org/officeDocument/2006/relationships/image" Target="media/image3652.png"/><Relationship Id="rId3660" Type="http://schemas.openxmlformats.org/officeDocument/2006/relationships/image" Target="media/image3653.png"/><Relationship Id="rId3661" Type="http://schemas.openxmlformats.org/officeDocument/2006/relationships/image" Target="media/image3654.png"/><Relationship Id="rId3662" Type="http://schemas.openxmlformats.org/officeDocument/2006/relationships/image" Target="media/image3655.png"/><Relationship Id="rId3663" Type="http://schemas.openxmlformats.org/officeDocument/2006/relationships/image" Target="media/image3656.png"/><Relationship Id="rId3664" Type="http://schemas.openxmlformats.org/officeDocument/2006/relationships/image" Target="media/image3657.png"/><Relationship Id="rId3665" Type="http://schemas.openxmlformats.org/officeDocument/2006/relationships/image" Target="media/image3658.png"/><Relationship Id="rId3666" Type="http://schemas.openxmlformats.org/officeDocument/2006/relationships/image" Target="media/image3659.png"/><Relationship Id="rId3667" Type="http://schemas.openxmlformats.org/officeDocument/2006/relationships/image" Target="media/image3660.png"/><Relationship Id="rId3668" Type="http://schemas.openxmlformats.org/officeDocument/2006/relationships/image" Target="media/image3661.png"/><Relationship Id="rId3669" Type="http://schemas.openxmlformats.org/officeDocument/2006/relationships/image" Target="media/image3662.png"/><Relationship Id="rId3670" Type="http://schemas.openxmlformats.org/officeDocument/2006/relationships/image" Target="media/image3663.png"/><Relationship Id="rId3671" Type="http://schemas.openxmlformats.org/officeDocument/2006/relationships/image" Target="media/image3664.png"/><Relationship Id="rId3672" Type="http://schemas.openxmlformats.org/officeDocument/2006/relationships/image" Target="media/image3665.png"/><Relationship Id="rId3673" Type="http://schemas.openxmlformats.org/officeDocument/2006/relationships/image" Target="media/image3666.png"/><Relationship Id="rId3674" Type="http://schemas.openxmlformats.org/officeDocument/2006/relationships/image" Target="media/image3667.png"/><Relationship Id="rId3675" Type="http://schemas.openxmlformats.org/officeDocument/2006/relationships/image" Target="media/image3668.png"/><Relationship Id="rId3676" Type="http://schemas.openxmlformats.org/officeDocument/2006/relationships/image" Target="media/image3669.png"/><Relationship Id="rId3677" Type="http://schemas.openxmlformats.org/officeDocument/2006/relationships/image" Target="media/image3670.png"/><Relationship Id="rId3678" Type="http://schemas.openxmlformats.org/officeDocument/2006/relationships/image" Target="media/image3671.png"/><Relationship Id="rId3679" Type="http://schemas.openxmlformats.org/officeDocument/2006/relationships/image" Target="media/image3672.png"/><Relationship Id="rId3680" Type="http://schemas.openxmlformats.org/officeDocument/2006/relationships/image" Target="media/image3673.png"/><Relationship Id="rId3681" Type="http://schemas.openxmlformats.org/officeDocument/2006/relationships/image" Target="media/image3674.png"/><Relationship Id="rId3682" Type="http://schemas.openxmlformats.org/officeDocument/2006/relationships/image" Target="media/image3675.png"/><Relationship Id="rId3683" Type="http://schemas.openxmlformats.org/officeDocument/2006/relationships/image" Target="media/image3676.png"/><Relationship Id="rId3684" Type="http://schemas.openxmlformats.org/officeDocument/2006/relationships/image" Target="media/image3677.png"/><Relationship Id="rId3685" Type="http://schemas.openxmlformats.org/officeDocument/2006/relationships/image" Target="media/image3678.png"/><Relationship Id="rId3686" Type="http://schemas.openxmlformats.org/officeDocument/2006/relationships/image" Target="media/image3679.png"/><Relationship Id="rId3687" Type="http://schemas.openxmlformats.org/officeDocument/2006/relationships/image" Target="media/image3680.png"/><Relationship Id="rId3688" Type="http://schemas.openxmlformats.org/officeDocument/2006/relationships/image" Target="media/image3681.png"/><Relationship Id="rId3689" Type="http://schemas.openxmlformats.org/officeDocument/2006/relationships/image" Target="media/image3682.png"/><Relationship Id="rId3690" Type="http://schemas.openxmlformats.org/officeDocument/2006/relationships/image" Target="media/image3683.png"/><Relationship Id="rId3691" Type="http://schemas.openxmlformats.org/officeDocument/2006/relationships/image" Target="media/image3684.png"/><Relationship Id="rId3692" Type="http://schemas.openxmlformats.org/officeDocument/2006/relationships/image" Target="media/image3685.png"/><Relationship Id="rId3693" Type="http://schemas.openxmlformats.org/officeDocument/2006/relationships/image" Target="media/image3686.png"/><Relationship Id="rId3694" Type="http://schemas.openxmlformats.org/officeDocument/2006/relationships/image" Target="media/image3687.png"/><Relationship Id="rId3695" Type="http://schemas.openxmlformats.org/officeDocument/2006/relationships/image" Target="media/image3688.png"/><Relationship Id="rId3696" Type="http://schemas.openxmlformats.org/officeDocument/2006/relationships/image" Target="media/image3689.png"/><Relationship Id="rId3697" Type="http://schemas.openxmlformats.org/officeDocument/2006/relationships/image" Target="media/image3690.png"/><Relationship Id="rId3698" Type="http://schemas.openxmlformats.org/officeDocument/2006/relationships/image" Target="media/image3691.png"/><Relationship Id="rId3699" Type="http://schemas.openxmlformats.org/officeDocument/2006/relationships/image" Target="media/image3692.png"/><Relationship Id="rId3700" Type="http://schemas.openxmlformats.org/officeDocument/2006/relationships/image" Target="media/image3693.png"/><Relationship Id="rId3701" Type="http://schemas.openxmlformats.org/officeDocument/2006/relationships/image" Target="media/image3694.png"/><Relationship Id="rId3702" Type="http://schemas.openxmlformats.org/officeDocument/2006/relationships/image" Target="media/image3695.png"/><Relationship Id="rId3703" Type="http://schemas.openxmlformats.org/officeDocument/2006/relationships/image" Target="media/image3696.png"/><Relationship Id="rId3704" Type="http://schemas.openxmlformats.org/officeDocument/2006/relationships/image" Target="media/image3697.png"/><Relationship Id="rId3705" Type="http://schemas.openxmlformats.org/officeDocument/2006/relationships/image" Target="media/image3698.png"/><Relationship Id="rId3706" Type="http://schemas.openxmlformats.org/officeDocument/2006/relationships/image" Target="media/image3699.png"/><Relationship Id="rId3707" Type="http://schemas.openxmlformats.org/officeDocument/2006/relationships/image" Target="media/image3700.png"/><Relationship Id="rId3708" Type="http://schemas.openxmlformats.org/officeDocument/2006/relationships/image" Target="media/image3701.png"/><Relationship Id="rId3709" Type="http://schemas.openxmlformats.org/officeDocument/2006/relationships/image" Target="media/image3702.png"/><Relationship Id="rId3710" Type="http://schemas.openxmlformats.org/officeDocument/2006/relationships/image" Target="media/image3703.jpeg"/><Relationship Id="rId3711" Type="http://schemas.openxmlformats.org/officeDocument/2006/relationships/image" Target="media/image3704.png"/><Relationship Id="rId3712" Type="http://schemas.openxmlformats.org/officeDocument/2006/relationships/image" Target="media/image3705.png"/><Relationship Id="rId3713" Type="http://schemas.openxmlformats.org/officeDocument/2006/relationships/image" Target="media/image3706.png"/><Relationship Id="rId3714" Type="http://schemas.openxmlformats.org/officeDocument/2006/relationships/image" Target="media/image3707.png"/><Relationship Id="rId3715" Type="http://schemas.openxmlformats.org/officeDocument/2006/relationships/image" Target="media/image3708.png"/><Relationship Id="rId3716" Type="http://schemas.openxmlformats.org/officeDocument/2006/relationships/image" Target="media/image3709.png"/><Relationship Id="rId3717" Type="http://schemas.openxmlformats.org/officeDocument/2006/relationships/image" Target="media/image3710.png"/><Relationship Id="rId3718" Type="http://schemas.openxmlformats.org/officeDocument/2006/relationships/image" Target="media/image3711.png"/><Relationship Id="rId3719" Type="http://schemas.openxmlformats.org/officeDocument/2006/relationships/image" Target="media/image3712.png"/><Relationship Id="rId3720" Type="http://schemas.openxmlformats.org/officeDocument/2006/relationships/image" Target="media/image3713.png"/><Relationship Id="rId3721" Type="http://schemas.openxmlformats.org/officeDocument/2006/relationships/image" Target="media/image3714.png"/><Relationship Id="rId3722" Type="http://schemas.openxmlformats.org/officeDocument/2006/relationships/image" Target="media/image3715.png"/><Relationship Id="rId3723" Type="http://schemas.openxmlformats.org/officeDocument/2006/relationships/image" Target="media/image3716.png"/><Relationship Id="rId3724" Type="http://schemas.openxmlformats.org/officeDocument/2006/relationships/image" Target="media/image3717.png"/><Relationship Id="rId3725" Type="http://schemas.openxmlformats.org/officeDocument/2006/relationships/image" Target="media/image3718.png"/><Relationship Id="rId3726" Type="http://schemas.openxmlformats.org/officeDocument/2006/relationships/image" Target="media/image3719.png"/><Relationship Id="rId3727" Type="http://schemas.openxmlformats.org/officeDocument/2006/relationships/image" Target="media/image3720.png"/><Relationship Id="rId3728" Type="http://schemas.openxmlformats.org/officeDocument/2006/relationships/image" Target="media/image3721.png"/><Relationship Id="rId3729" Type="http://schemas.openxmlformats.org/officeDocument/2006/relationships/image" Target="media/image3722.png"/><Relationship Id="rId3730" Type="http://schemas.openxmlformats.org/officeDocument/2006/relationships/image" Target="media/image3723.png"/><Relationship Id="rId3731" Type="http://schemas.openxmlformats.org/officeDocument/2006/relationships/image" Target="media/image3724.png"/><Relationship Id="rId3732" Type="http://schemas.openxmlformats.org/officeDocument/2006/relationships/image" Target="media/image3725.png"/><Relationship Id="rId3733" Type="http://schemas.openxmlformats.org/officeDocument/2006/relationships/image" Target="media/image3726.png"/><Relationship Id="rId3734" Type="http://schemas.openxmlformats.org/officeDocument/2006/relationships/image" Target="media/image3727.png"/><Relationship Id="rId3735" Type="http://schemas.openxmlformats.org/officeDocument/2006/relationships/image" Target="media/image3728.png"/><Relationship Id="rId3736" Type="http://schemas.openxmlformats.org/officeDocument/2006/relationships/image" Target="media/image3729.png"/><Relationship Id="rId3737" Type="http://schemas.openxmlformats.org/officeDocument/2006/relationships/image" Target="media/image3730.png"/><Relationship Id="rId3738" Type="http://schemas.openxmlformats.org/officeDocument/2006/relationships/image" Target="media/image3731.png"/><Relationship Id="rId3739" Type="http://schemas.openxmlformats.org/officeDocument/2006/relationships/image" Target="media/image3732.png"/><Relationship Id="rId3740" Type="http://schemas.openxmlformats.org/officeDocument/2006/relationships/image" Target="media/image3733.png"/><Relationship Id="rId3741" Type="http://schemas.openxmlformats.org/officeDocument/2006/relationships/image" Target="media/image3734.png"/><Relationship Id="rId3742" Type="http://schemas.openxmlformats.org/officeDocument/2006/relationships/image" Target="media/image3735.png"/><Relationship Id="rId3743" Type="http://schemas.openxmlformats.org/officeDocument/2006/relationships/image" Target="media/image3736.png"/><Relationship Id="rId3744" Type="http://schemas.openxmlformats.org/officeDocument/2006/relationships/image" Target="media/image3737.png"/><Relationship Id="rId3745" Type="http://schemas.openxmlformats.org/officeDocument/2006/relationships/image" Target="media/image3738.png"/><Relationship Id="rId3746" Type="http://schemas.openxmlformats.org/officeDocument/2006/relationships/image" Target="media/image3739.png"/><Relationship Id="rId3747" Type="http://schemas.openxmlformats.org/officeDocument/2006/relationships/image" Target="media/image3740.png"/><Relationship Id="rId3748" Type="http://schemas.openxmlformats.org/officeDocument/2006/relationships/image" Target="media/image3741.png"/><Relationship Id="rId3749" Type="http://schemas.openxmlformats.org/officeDocument/2006/relationships/image" Target="media/image3742.png"/><Relationship Id="rId3750" Type="http://schemas.openxmlformats.org/officeDocument/2006/relationships/image" Target="media/image3743.png"/><Relationship Id="rId3751" Type="http://schemas.openxmlformats.org/officeDocument/2006/relationships/image" Target="media/image3744.png"/><Relationship Id="rId3752" Type="http://schemas.openxmlformats.org/officeDocument/2006/relationships/image" Target="media/image3745.png"/><Relationship Id="rId3753" Type="http://schemas.openxmlformats.org/officeDocument/2006/relationships/image" Target="media/image3746.png"/><Relationship Id="rId3754" Type="http://schemas.openxmlformats.org/officeDocument/2006/relationships/image" Target="media/image3747.png"/><Relationship Id="rId3755" Type="http://schemas.openxmlformats.org/officeDocument/2006/relationships/image" Target="media/image3748.png"/><Relationship Id="rId3756" Type="http://schemas.openxmlformats.org/officeDocument/2006/relationships/image" Target="media/image3749.png"/><Relationship Id="rId3757" Type="http://schemas.openxmlformats.org/officeDocument/2006/relationships/image" Target="media/image3750.png"/><Relationship Id="rId3758" Type="http://schemas.openxmlformats.org/officeDocument/2006/relationships/image" Target="media/image3751.png"/><Relationship Id="rId3759" Type="http://schemas.openxmlformats.org/officeDocument/2006/relationships/image" Target="media/image3752.png"/><Relationship Id="rId3760" Type="http://schemas.openxmlformats.org/officeDocument/2006/relationships/image" Target="media/image3753.png"/><Relationship Id="rId3761" Type="http://schemas.openxmlformats.org/officeDocument/2006/relationships/image" Target="media/image3754.png"/><Relationship Id="rId3762" Type="http://schemas.openxmlformats.org/officeDocument/2006/relationships/image" Target="media/image3755.png"/><Relationship Id="rId3763" Type="http://schemas.openxmlformats.org/officeDocument/2006/relationships/image" Target="media/image3756.png"/><Relationship Id="rId3764" Type="http://schemas.openxmlformats.org/officeDocument/2006/relationships/image" Target="media/image3757.png"/><Relationship Id="rId3765" Type="http://schemas.openxmlformats.org/officeDocument/2006/relationships/image" Target="media/image3758.png"/><Relationship Id="rId3766" Type="http://schemas.openxmlformats.org/officeDocument/2006/relationships/image" Target="media/image3759.png"/><Relationship Id="rId3767" Type="http://schemas.openxmlformats.org/officeDocument/2006/relationships/image" Target="media/image3760.png"/><Relationship Id="rId3768" Type="http://schemas.openxmlformats.org/officeDocument/2006/relationships/image" Target="media/image3761.png"/><Relationship Id="rId3769" Type="http://schemas.openxmlformats.org/officeDocument/2006/relationships/image" Target="media/image3762.png"/><Relationship Id="rId3770" Type="http://schemas.openxmlformats.org/officeDocument/2006/relationships/image" Target="media/image3763.png"/><Relationship Id="rId3771" Type="http://schemas.openxmlformats.org/officeDocument/2006/relationships/image" Target="media/image3764.png"/><Relationship Id="rId3772" Type="http://schemas.openxmlformats.org/officeDocument/2006/relationships/image" Target="media/image3765.png"/><Relationship Id="rId3773" Type="http://schemas.openxmlformats.org/officeDocument/2006/relationships/image" Target="media/image3766.png"/><Relationship Id="rId3774" Type="http://schemas.openxmlformats.org/officeDocument/2006/relationships/image" Target="media/image3767.png"/><Relationship Id="rId3775" Type="http://schemas.openxmlformats.org/officeDocument/2006/relationships/image" Target="media/image3768.png"/><Relationship Id="rId3776" Type="http://schemas.openxmlformats.org/officeDocument/2006/relationships/image" Target="media/image3769.png"/><Relationship Id="rId3777" Type="http://schemas.openxmlformats.org/officeDocument/2006/relationships/image" Target="media/image3770.png"/><Relationship Id="rId3778" Type="http://schemas.openxmlformats.org/officeDocument/2006/relationships/image" Target="media/image3771.png"/><Relationship Id="rId3779" Type="http://schemas.openxmlformats.org/officeDocument/2006/relationships/image" Target="media/image3772.jpeg"/><Relationship Id="rId3780" Type="http://schemas.openxmlformats.org/officeDocument/2006/relationships/image" Target="media/image3773.png"/><Relationship Id="rId3781" Type="http://schemas.openxmlformats.org/officeDocument/2006/relationships/image" Target="media/image3774.png"/><Relationship Id="rId3782" Type="http://schemas.openxmlformats.org/officeDocument/2006/relationships/image" Target="media/image3775.jpeg"/><Relationship Id="rId3783" Type="http://schemas.openxmlformats.org/officeDocument/2006/relationships/image" Target="media/image3776.jpeg"/><Relationship Id="rId3784" Type="http://schemas.openxmlformats.org/officeDocument/2006/relationships/image" Target="media/image3777.png"/><Relationship Id="rId3785" Type="http://schemas.openxmlformats.org/officeDocument/2006/relationships/image" Target="media/image3778.png"/><Relationship Id="rId3786" Type="http://schemas.openxmlformats.org/officeDocument/2006/relationships/image" Target="media/image3779.jpeg"/><Relationship Id="rId3787" Type="http://schemas.openxmlformats.org/officeDocument/2006/relationships/image" Target="media/image3780.png"/><Relationship Id="rId3788" Type="http://schemas.openxmlformats.org/officeDocument/2006/relationships/image" Target="media/image3781.png"/><Relationship Id="rId3789" Type="http://schemas.openxmlformats.org/officeDocument/2006/relationships/image" Target="media/image3782.png"/><Relationship Id="rId3790" Type="http://schemas.openxmlformats.org/officeDocument/2006/relationships/image" Target="media/image3783.png"/><Relationship Id="rId3791" Type="http://schemas.openxmlformats.org/officeDocument/2006/relationships/image" Target="media/image3784.png"/><Relationship Id="rId3792" Type="http://schemas.openxmlformats.org/officeDocument/2006/relationships/image" Target="media/image3785.png"/><Relationship Id="rId3793" Type="http://schemas.openxmlformats.org/officeDocument/2006/relationships/image" Target="media/image3786.jpeg"/><Relationship Id="rId3794" Type="http://schemas.openxmlformats.org/officeDocument/2006/relationships/image" Target="media/image3787.jpeg"/><Relationship Id="rId3795" Type="http://schemas.openxmlformats.org/officeDocument/2006/relationships/image" Target="media/image3788.jpeg"/><Relationship Id="rId3796" Type="http://schemas.openxmlformats.org/officeDocument/2006/relationships/image" Target="media/image3789.jpeg"/><Relationship Id="rId3797" Type="http://schemas.openxmlformats.org/officeDocument/2006/relationships/image" Target="media/image3790.jpeg"/><Relationship Id="rId3798" Type="http://schemas.openxmlformats.org/officeDocument/2006/relationships/image" Target="media/image3791.jpeg"/><Relationship Id="rId3799" Type="http://schemas.openxmlformats.org/officeDocument/2006/relationships/image" Target="media/image3792.jpeg"/><Relationship Id="rId3800" Type="http://schemas.openxmlformats.org/officeDocument/2006/relationships/image" Target="media/image3793.png"/><Relationship Id="rId3801" Type="http://schemas.openxmlformats.org/officeDocument/2006/relationships/image" Target="media/image3794.png"/><Relationship Id="rId3802" Type="http://schemas.openxmlformats.org/officeDocument/2006/relationships/image" Target="media/image3795.jpeg"/><Relationship Id="rId3803" Type="http://schemas.openxmlformats.org/officeDocument/2006/relationships/image" Target="media/image3796.jpeg"/><Relationship Id="rId3804" Type="http://schemas.openxmlformats.org/officeDocument/2006/relationships/image" Target="media/image3797.jpeg"/><Relationship Id="rId3805" Type="http://schemas.openxmlformats.org/officeDocument/2006/relationships/image" Target="media/image3798.png"/><Relationship Id="rId3806" Type="http://schemas.openxmlformats.org/officeDocument/2006/relationships/image" Target="media/image3799.png"/><Relationship Id="rId3807" Type="http://schemas.openxmlformats.org/officeDocument/2006/relationships/image" Target="media/image3800.png"/><Relationship Id="rId3808" Type="http://schemas.openxmlformats.org/officeDocument/2006/relationships/image" Target="media/image3801.png"/><Relationship Id="rId3809" Type="http://schemas.openxmlformats.org/officeDocument/2006/relationships/image" Target="media/image3802.png"/><Relationship Id="rId3810" Type="http://schemas.openxmlformats.org/officeDocument/2006/relationships/image" Target="media/image3803.png"/><Relationship Id="rId3811" Type="http://schemas.openxmlformats.org/officeDocument/2006/relationships/image" Target="media/image3804.png"/><Relationship Id="rId3812" Type="http://schemas.openxmlformats.org/officeDocument/2006/relationships/image" Target="media/image3805.png"/><Relationship Id="rId3813" Type="http://schemas.openxmlformats.org/officeDocument/2006/relationships/image" Target="media/image3806.png"/><Relationship Id="rId3814" Type="http://schemas.openxmlformats.org/officeDocument/2006/relationships/image" Target="media/image3807.png"/><Relationship Id="rId3815" Type="http://schemas.openxmlformats.org/officeDocument/2006/relationships/image" Target="media/image3808.png"/><Relationship Id="rId3816" Type="http://schemas.openxmlformats.org/officeDocument/2006/relationships/image" Target="media/image3809.png"/><Relationship Id="rId3817" Type="http://schemas.openxmlformats.org/officeDocument/2006/relationships/image" Target="media/image3810.png"/><Relationship Id="rId3818" Type="http://schemas.openxmlformats.org/officeDocument/2006/relationships/image" Target="media/image3811.png"/><Relationship Id="rId3819" Type="http://schemas.openxmlformats.org/officeDocument/2006/relationships/image" Target="media/image3812.png"/><Relationship Id="rId3820" Type="http://schemas.openxmlformats.org/officeDocument/2006/relationships/image" Target="media/image3813.png"/><Relationship Id="rId3821" Type="http://schemas.openxmlformats.org/officeDocument/2006/relationships/image" Target="media/image3814.jpeg"/><Relationship Id="rId3822" Type="http://schemas.openxmlformats.org/officeDocument/2006/relationships/image" Target="media/image3815.png"/><Relationship Id="rId3823" Type="http://schemas.openxmlformats.org/officeDocument/2006/relationships/image" Target="media/image3816.png"/><Relationship Id="rId3824" Type="http://schemas.openxmlformats.org/officeDocument/2006/relationships/image" Target="media/image3817.png"/><Relationship Id="rId3825" Type="http://schemas.openxmlformats.org/officeDocument/2006/relationships/image" Target="media/image3818.png"/><Relationship Id="rId3826" Type="http://schemas.openxmlformats.org/officeDocument/2006/relationships/image" Target="media/image3819.png"/><Relationship Id="rId3827" Type="http://schemas.openxmlformats.org/officeDocument/2006/relationships/image" Target="media/image3820.png"/><Relationship Id="rId3828" Type="http://schemas.openxmlformats.org/officeDocument/2006/relationships/image" Target="media/image3821.png"/><Relationship Id="rId3829" Type="http://schemas.openxmlformats.org/officeDocument/2006/relationships/image" Target="media/image3822.png"/><Relationship Id="rId3830" Type="http://schemas.openxmlformats.org/officeDocument/2006/relationships/image" Target="media/image3823.jpeg"/><Relationship Id="rId3831" Type="http://schemas.openxmlformats.org/officeDocument/2006/relationships/image" Target="media/image3824.png"/><Relationship Id="rId3832" Type="http://schemas.openxmlformats.org/officeDocument/2006/relationships/image" Target="media/image3825.png"/><Relationship Id="rId3833" Type="http://schemas.openxmlformats.org/officeDocument/2006/relationships/image" Target="media/image3826.png"/><Relationship Id="rId3834" Type="http://schemas.openxmlformats.org/officeDocument/2006/relationships/image" Target="media/image3827.png"/><Relationship Id="rId3835" Type="http://schemas.openxmlformats.org/officeDocument/2006/relationships/image" Target="media/image3828.png"/><Relationship Id="rId3836" Type="http://schemas.openxmlformats.org/officeDocument/2006/relationships/image" Target="media/image3829.png"/><Relationship Id="rId3837" Type="http://schemas.openxmlformats.org/officeDocument/2006/relationships/image" Target="media/image38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2023-02-23T09:37:37Z</dcterms:created>
  <dcterms:modified xsi:type="dcterms:W3CDTF">2023-02-23T09:37:37Z</dcterms:modified>
</cp:coreProperties>
</file>