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0"/>
        <w:spacing w:after="0"/>
        <w:tabs>
          <w:tab w:leader="none" w:pos="4080" w:val="left"/>
        </w:tabs>
        <w:rPr>
          <w:sz w:val="20"/>
          <w:szCs w:val="20"/>
          <w:color w:val="auto"/>
        </w:rPr>
      </w:pPr>
      <w:r>
        <w:rPr>
          <w:rFonts w:ascii="Courier New" w:cs="Courier New" w:eastAsia="Courier New" w:hAnsi="Courier New"/>
          <w:sz w:val="15"/>
          <w:szCs w:val="15"/>
          <w:color w:val="auto"/>
        </w:rPr>
        <w:t>Washington, D.C.</w:t>
        <w:tab/>
        <w:t>20549</w:t>
      </w:r>
    </w:p>
    <w:p>
      <w:pPr>
        <w:spacing w:after="0" w:line="2"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1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19"/>
          </w:cols>
          <w:pgMar w:left="240" w:top="575" w:right="1440" w:bottom="1440" w:gutter="0" w:footer="0" w:header="0"/>
        </w:sectPr>
      </w:pP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March 31,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spacing w:after="0" w:line="2"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1-4601</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380" w:space="720"/>
            <w:col w:w="6119"/>
          </w:cols>
          <w:pgMar w:left="240" w:top="575" w:right="1440" w:bottom="1440" w:gutter="0" w:footer="0" w:header="0"/>
          <w:type w:val="continuous"/>
        </w:sectPr>
      </w:pPr>
    </w:p>
    <w:p>
      <w:pPr>
        <w:spacing w:after="0" w:line="156"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SCHLUMBERGER N.V.</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(SCHLUMBERGER LIMITED)</w:t>
      </w:r>
    </w:p>
    <w:p>
      <w:pPr>
        <w:spacing w:after="0" w:line="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75" w:right="1440" w:bottom="144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NETHERLANDS ANTILLES</w:t>
      </w:r>
    </w:p>
    <w:p>
      <w:pPr>
        <w:spacing w:after="0" w:line="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52-0684746</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9" w:lineRule="exact"/>
        <w:rPr>
          <w:sz w:val="24"/>
          <w:szCs w:val="24"/>
          <w:color w:val="auto"/>
        </w:rPr>
      </w:pPr>
    </w:p>
    <w:p>
      <w:pPr>
        <w:sectPr>
          <w:pgSz w:w="11900" w:h="16838" w:orient="portrait"/>
          <w:cols w:equalWidth="0" w:num="2">
            <w:col w:w="3380" w:space="720"/>
            <w:col w:w="6119"/>
          </w:cols>
          <w:pgMar w:left="240" w:top="575" w:right="1440" w:bottom="1440" w:gutter="0" w:footer="0" w:header="0"/>
          <w:type w:val="continuous"/>
        </w:sectPr>
      </w:pPr>
    </w:p>
    <w:p>
      <w:pPr>
        <w:spacing w:after="0" w:line="14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277 PARK AVENUE</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10172</w:t>
      </w:r>
    </w:p>
    <w:p>
      <w:pPr>
        <w:spacing w:after="0" w:line="185" w:lineRule="exact"/>
        <w:rPr>
          <w:sz w:val="24"/>
          <w:szCs w:val="24"/>
          <w:color w:val="auto"/>
        </w:rPr>
      </w:pPr>
    </w:p>
    <w:p>
      <w:pPr>
        <w:sectPr>
          <w:pgSz w:w="11900" w:h="16838" w:orient="portrait"/>
          <w:cols w:equalWidth="0" w:num="2">
            <w:col w:w="3840" w:space="720"/>
            <w:col w:w="5659"/>
          </w:cols>
          <w:pgMar w:left="240" w:top="57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42 RUE SAINT-DOMINIQUE</w:t>
      </w:r>
    </w:p>
    <w:p>
      <w:pPr>
        <w:spacing w:after="0" w:line="1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83" w:lineRule="exact"/>
        <w:rPr>
          <w:sz w:val="24"/>
          <w:szCs w:val="24"/>
          <w:color w:val="auto"/>
        </w:rPr>
      </w:pPr>
    </w:p>
    <w:p>
      <w:pPr>
        <w:sectPr>
          <w:pgSz w:w="11900" w:h="16838" w:orient="portrait"/>
          <w:cols w:equalWidth="0" w:num="2">
            <w:col w:w="3840" w:space="720"/>
            <w:col w:w="5659"/>
          </w:cols>
          <w:pgMar w:left="240" w:top="57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PARKSTRAAT 83</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THE HAGUE,</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THE NETHERLANDS</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(Addresses of principal executive</w:t>
      </w:r>
    </w:p>
    <w:p>
      <w:pPr>
        <w:spacing w:after="0" w:line="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4859"/>
        <w:spacing w:after="0"/>
        <w:rPr>
          <w:sz w:val="20"/>
          <w:szCs w:val="20"/>
          <w:color w:val="auto"/>
        </w:rPr>
      </w:pPr>
      <w:r>
        <w:rPr>
          <w:rFonts w:ascii="Courier New" w:cs="Courier New" w:eastAsia="Courier New" w:hAnsi="Courier New"/>
          <w:sz w:val="15"/>
          <w:szCs w:val="15"/>
          <w:color w:val="auto"/>
        </w:rPr>
        <w:t>2514 JG</w:t>
      </w:r>
    </w:p>
    <w:p>
      <w:pPr>
        <w:spacing w:after="0" w:line="2" w:lineRule="exact"/>
        <w:rPr>
          <w:sz w:val="24"/>
          <w:szCs w:val="24"/>
          <w:color w:val="auto"/>
        </w:rPr>
      </w:pPr>
    </w:p>
    <w:p>
      <w:pPr>
        <w:jc w:val="center"/>
        <w:ind w:right="4859"/>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jc w:val="center"/>
        <w:ind w:right="4859"/>
        <w:spacing w:after="0"/>
        <w:rPr>
          <w:sz w:val="20"/>
          <w:szCs w:val="20"/>
          <w:color w:val="auto"/>
        </w:rPr>
      </w:pPr>
      <w:r>
        <w:rPr>
          <w:rFonts w:ascii="Courier New" w:cs="Courier New" w:eastAsia="Courier New" w:hAnsi="Courier New"/>
          <w:sz w:val="14"/>
          <w:szCs w:val="14"/>
          <w:color w:val="auto"/>
        </w:rPr>
        <w:t>(Zip Codes)</w:t>
      </w:r>
    </w:p>
    <w:p>
      <w:pPr>
        <w:spacing w:after="0" w:line="381" w:lineRule="exact"/>
        <w:rPr>
          <w:sz w:val="24"/>
          <w:szCs w:val="24"/>
          <w:color w:val="auto"/>
        </w:rPr>
      </w:pPr>
    </w:p>
    <w:p>
      <w:pPr>
        <w:sectPr>
          <w:pgSz w:w="11900" w:h="16838" w:orient="portrait"/>
          <w:cols w:equalWidth="0" w:num="2">
            <w:col w:w="3660" w:space="720"/>
            <w:col w:w="5839"/>
          </w:cols>
          <w:pgMar w:left="240" w:top="575" w:right="1440" w:bottom="1440" w:gutter="0" w:footer="0" w:header="0"/>
          <w:type w:val="continuous"/>
        </w:sectPr>
      </w:pP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200" w:lineRule="exact"/>
        <w:rPr>
          <w:sz w:val="24"/>
          <w:szCs w:val="24"/>
          <w:color w:val="auto"/>
        </w:rPr>
      </w:pPr>
    </w:p>
    <w:p>
      <w:pPr>
        <w:spacing w:after="0" w:line="320" w:lineRule="exact"/>
        <w:rPr>
          <w:sz w:val="24"/>
          <w:szCs w:val="24"/>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575" w:right="1440" w:bottom="1440" w:gutter="0" w:footer="0" w:header="0"/>
          <w:type w:val="continuous"/>
        </w:sectPr>
      </w:pPr>
    </w:p>
    <w:p>
      <w:pPr>
        <w:spacing w:after="0" w:line="175"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1600"/>
        <w:spacing w:after="0"/>
        <w:rPr>
          <w:sz w:val="20"/>
          <w:szCs w:val="20"/>
          <w:color w:val="auto"/>
        </w:rPr>
      </w:pPr>
      <w:r>
        <w:rPr>
          <w:rFonts w:ascii="Courier New" w:cs="Courier New" w:eastAsia="Courier New" w:hAnsi="Courier New"/>
          <w:sz w:val="15"/>
          <w:szCs w:val="15"/>
          <w:color w:val="auto"/>
        </w:rPr>
        <w:t>X</w:t>
      </w:r>
    </w:p>
    <w:p>
      <w:pPr>
        <w:spacing w:after="0" w:line="2" w:lineRule="exact"/>
        <w:rPr>
          <w:sz w:val="24"/>
          <w:szCs w:val="24"/>
          <w:color w:val="auto"/>
        </w:rPr>
      </w:pPr>
    </w:p>
    <w:p>
      <w:pPr>
        <w:jc w:val="center"/>
        <w:ind w:right="1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381" w:lineRule="exact"/>
        <w:rPr>
          <w:sz w:val="24"/>
          <w:szCs w:val="24"/>
          <w:color w:val="auto"/>
        </w:rPr>
      </w:pPr>
    </w:p>
    <w:p>
      <w:pPr>
        <w:sectPr>
          <w:pgSz w:w="11900" w:h="16838" w:orient="portrait"/>
          <w:cols w:equalWidth="0" w:num="3">
            <w:col w:w="1240" w:space="360"/>
            <w:col w:w="1880" w:space="720"/>
            <w:col w:w="6019"/>
          </w:cols>
          <w:pgMar w:left="240" w:top="575" w:right="1440" w:bottom="1440" w:gutter="0" w:footer="0" w:header="0"/>
          <w:type w:val="continuous"/>
        </w:sectPr>
      </w:pPr>
    </w:p>
    <w:p>
      <w:pPr>
        <w:spacing w:after="0" w:line="320" w:lineRule="exact"/>
        <w:rPr>
          <w:sz w:val="24"/>
          <w:szCs w:val="24"/>
          <w:color w:val="auto"/>
        </w:rPr>
      </w:pPr>
    </w:p>
    <w:p>
      <w:pPr>
        <w:ind w:right="3439"/>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75" w:right="1440" w:bottom="1440" w:gutter="0" w:footer="0" w:header="0"/>
          <w:type w:val="continuous"/>
        </w:sectPr>
      </w:pPr>
    </w:p>
    <w:p>
      <w:pPr>
        <w:spacing w:after="0" w:line="174"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Class</w:t>
      </w:r>
    </w:p>
    <w:p>
      <w:pPr>
        <w:spacing w:after="0" w:line="2"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March 31,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sectPr>
          <w:pgSz w:w="11900" w:h="16838" w:orient="portrait"/>
          <w:cols w:equalWidth="0" w:num="2">
            <w:col w:w="3300" w:space="720"/>
            <w:col w:w="6199"/>
          </w:cols>
          <w:pgMar w:left="240" w:top="5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573,246,457</w:t>
      </w:r>
    </w:p>
    <w:p>
      <w:pPr>
        <w:sectPr>
          <w:pgSz w:w="11900" w:h="16838" w:orient="portrait"/>
          <w:cols w:equalWidth="0" w:num="2">
            <w:col w:w="4200" w:space="720"/>
            <w:col w:w="5299"/>
          </w:cols>
          <w:pgMar w:left="240" w:top="575" w:right="1440" w:bottom="1440" w:gutter="0" w:footer="0" w:header="0"/>
          <w:type w:val="continuous"/>
        </w:sectPr>
      </w:pPr>
    </w:p>
    <w:bookmarkStart w:id="1" w:name="page2"/>
    <w:bookmarkEnd w:id="1"/>
    <w:p>
      <w:pPr>
        <w:ind w:left="2228"/>
        <w:spacing w:after="0"/>
        <w:rPr>
          <w:sz w:val="20"/>
          <w:szCs w:val="20"/>
          <w:color w:val="auto"/>
        </w:rPr>
      </w:pPr>
      <w:r>
        <w:rPr>
          <w:rFonts w:ascii="Courier New" w:cs="Courier New" w:eastAsia="Courier New" w:hAnsi="Courier New"/>
          <w:sz w:val="15"/>
          <w:szCs w:val="15"/>
          <w:color w:val="auto"/>
        </w:rPr>
        <w:t>PART I. FINANCIAL INFORMATION</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0" w:lineRule="exact"/>
        <w:rPr>
          <w:sz w:val="20"/>
          <w:szCs w:val="20"/>
          <w:color w:val="auto"/>
        </w:rPr>
      </w:pPr>
    </w:p>
    <w:p>
      <w:pPr>
        <w:ind w:left="4828"/>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12" w:lineRule="exact"/>
        <w:rPr>
          <w:sz w:val="20"/>
          <w:szCs w:val="20"/>
          <w:color w:val="auto"/>
        </w:rPr>
      </w:pPr>
    </w:p>
    <w:p>
      <w:pPr>
        <w:ind w:left="5368"/>
        <w:spacing w:after="0"/>
        <w:rPr>
          <w:sz w:val="20"/>
          <w:szCs w:val="20"/>
          <w:color w:val="auto"/>
        </w:rPr>
      </w:pPr>
      <w:r>
        <w:rPr>
          <w:rFonts w:ascii="Courier New" w:cs="Courier New" w:eastAsia="Courier New" w:hAnsi="Courier New"/>
          <w:sz w:val="15"/>
          <w:szCs w:val="15"/>
          <w:color w:val="auto"/>
        </w:rPr>
        <w:t>Three Months Ended March 31,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4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4"/>
                <w:szCs w:val="24"/>
                <w:color w:val="auto"/>
              </w:rPr>
            </w:pP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$ 2,909,434</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$ 2,137,442</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Interest &amp; other income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90,029</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76,110</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2,999,463</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2,213,552</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&amp; services</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2,194,739</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1,660,018</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Research &amp; engineering</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170,596</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131,042</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Marketing</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87,417</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74,820</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General</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120,595</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103,774</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76,201</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63,096</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2,649,548</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2,032,750</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before taxes and minority interest</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349,915</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180,802</w:t>
            </w:r>
          </w:p>
        </w:tc>
      </w:tr>
      <w:tr>
        <w:trPr>
          <w:trHeight w:val="344"/>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Taxes on income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107,940</w:t>
            </w:r>
          </w:p>
        </w:tc>
        <w:tc>
          <w:tcPr>
            <w:tcW w:w="8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42,390</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before minority interest</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241,975</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138,412</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(6,087)</w:t>
            </w:r>
          </w:p>
        </w:tc>
        <w:tc>
          <w:tcPr>
            <w:tcW w:w="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(2,254)</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$ 235,888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136,158</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$ 0.41</w:t>
            </w:r>
          </w:p>
        </w:tc>
        <w:tc>
          <w:tcPr>
            <w:tcW w:w="8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$ 0.24</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$ 0.41</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$ 0.24</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573,060</w:t>
            </w:r>
          </w:p>
        </w:tc>
        <w:tc>
          <w:tcPr>
            <w:tcW w:w="8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566,886</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581,412</w:t>
            </w:r>
          </w:p>
        </w:tc>
        <w:tc>
          <w:tcPr>
            <w:tcW w:w="8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576,541</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included in expenses (2)</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$ 419,026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312,343</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2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$ 0.1875</w:t>
            </w:r>
          </w:p>
        </w:tc>
        <w:tc>
          <w:tcPr>
            <w:tcW w:w="8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$ 0.1875</w:t>
            </w:r>
          </w:p>
        </w:tc>
      </w:tr>
      <w:tr>
        <w:trPr>
          <w:trHeight w:val="172"/>
        </w:trPr>
        <w:tc>
          <w:tcPr>
            <w:tcW w:w="4380" w:type="dxa"/>
            <w:vAlign w:val="bottom"/>
          </w:tcPr>
          <w:p>
            <w:pPr>
              <w:spacing w:after="0"/>
              <w:rPr>
                <w:sz w:val="14"/>
                <w:szCs w:val="14"/>
                <w:color w:val="auto"/>
              </w:rPr>
            </w:pPr>
          </w:p>
        </w:tc>
        <w:tc>
          <w:tcPr>
            <w:tcW w:w="2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in part, for comparative purposes.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346"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7"/>
          </w:cols>
          <w:pgMar w:left="232" w:top="633"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ind w:left="3040"/>
              <w:spacing w:after="0"/>
              <w:rPr>
                <w:sz w:val="20"/>
                <w:szCs w:val="20"/>
                <w:color w:val="auto"/>
              </w:rPr>
            </w:pPr>
            <w:r>
              <w:rPr>
                <w:rFonts w:ascii="Courier New" w:cs="Courier New" w:eastAsia="Courier New" w:hAnsi="Courier New"/>
                <w:sz w:val="15"/>
                <w:szCs w:val="15"/>
                <w:color w:val="auto"/>
              </w:rPr>
              <w:t>(Unaudited)</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88"/>
        </w:trPr>
        <w:tc>
          <w:tcPr>
            <w:tcW w:w="4780" w:type="dxa"/>
            <w:vAlign w:val="bottom"/>
          </w:tcPr>
          <w:p>
            <w:pPr>
              <w:spacing w:after="0"/>
              <w:rPr>
                <w:sz w:val="24"/>
                <w:szCs w:val="24"/>
                <w:color w:val="auto"/>
              </w:rPr>
            </w:pPr>
          </w:p>
        </w:tc>
        <w:tc>
          <w:tcPr>
            <w:tcW w:w="3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(Dollars in thousands)</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Mar. 31,</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2001</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$ 2,526,782</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$3,040,150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(2001 - $109,289; 2000 - $106,503)</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3,172,804</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2,768,848</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1,316,584</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1,111,585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287,184</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259,184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386,239</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313,444</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7,689,593</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7,493,211</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945,840</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1,547,132</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INVESTMENT IN SEMA PLC</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1,007,997</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698,431</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654,516</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10,984,800</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10,821,509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(6,561,629)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(6,426,995)</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4,423,171</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4,394,514</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Multiclient Seismic Data</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966,074</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975,775</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COMPANIES PURCHASED less amortization</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1,694,315</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1,575,710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273,307</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271,059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524,238</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260,814</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$18,222,966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$ 17,172,731</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$3,196,394</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$2,910,725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Estimated liability for taxes on income</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458,586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379,916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902,235</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556,020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Dividend payable</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108,125</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108,043</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 due within one year</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42,186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36,201</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4,707,526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3,990,905</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3,775,156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3,573,047</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484,092</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476,380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622,411</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605,313</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234,516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231,870</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9,823,701</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8,877,515</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1,969,803</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1,963,905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retained for use in the business</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8,351,903</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8,223,476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(1,743,812)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(1,752,961)</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(178,629)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(139,204)</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8,399,265</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8,295,216</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$18,222,966</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$ 17,172,731</w:t>
            </w:r>
          </w:p>
        </w:tc>
      </w:tr>
      <w:tr>
        <w:trPr>
          <w:trHeight w:val="172"/>
        </w:trPr>
        <w:tc>
          <w:tcPr>
            <w:tcW w:w="4780" w:type="dxa"/>
            <w:vAlign w:val="bottom"/>
          </w:tcPr>
          <w:p>
            <w:pPr>
              <w:spacing w:after="0"/>
              <w:rPr>
                <w:sz w:val="14"/>
                <w:szCs w:val="14"/>
                <w:color w:val="auto"/>
              </w:rPr>
            </w:pP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633" w:right="1440" w:bottom="1440" w:gutter="0" w:footer="0" w:header="0"/>
        </w:sectPr>
      </w:pPr>
    </w:p>
    <w:bookmarkStart w:id="3" w:name="page4"/>
    <w:bookmarkEnd w:id="3"/>
    <w:p>
      <w:pPr>
        <w:jc w:val="center"/>
        <w:ind w:right="314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ind w:left="3040"/>
              <w:spacing w:after="0"/>
              <w:rPr>
                <w:sz w:val="20"/>
                <w:szCs w:val="20"/>
                <w:color w:val="auto"/>
              </w:rPr>
            </w:pPr>
            <w:r>
              <w:rPr>
                <w:rFonts w:ascii="Courier New" w:cs="Courier New" w:eastAsia="Courier New" w:hAnsi="Courier New"/>
                <w:sz w:val="15"/>
                <w:szCs w:val="15"/>
                <w:color w:val="auto"/>
              </w:rPr>
              <w:t>(Unaudited)</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88"/>
        </w:trPr>
        <w:tc>
          <w:tcPr>
            <w:tcW w:w="5940" w:type="dxa"/>
            <w:vAlign w:val="bottom"/>
          </w:tcPr>
          <w:p>
            <w:pPr>
              <w:spacing w:after="0"/>
              <w:rPr>
                <w:sz w:val="24"/>
                <w:szCs w:val="24"/>
                <w:color w:val="auto"/>
              </w:rPr>
            </w:pPr>
          </w:p>
        </w:tc>
        <w:tc>
          <w:tcPr>
            <w:tcW w:w="43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(Dollars in thousands)</w:t>
            </w:r>
          </w:p>
        </w:tc>
      </w:tr>
      <w:tr>
        <w:trPr>
          <w:trHeight w:val="344"/>
        </w:trPr>
        <w:tc>
          <w:tcPr>
            <w:tcW w:w="5940" w:type="dxa"/>
            <w:vAlign w:val="bottom"/>
          </w:tcPr>
          <w:p>
            <w:pPr>
              <w:spacing w:after="0"/>
              <w:rPr>
                <w:sz w:val="24"/>
                <w:szCs w:val="24"/>
                <w:color w:val="auto"/>
              </w:rPr>
            </w:pPr>
          </w:p>
        </w:tc>
        <w:tc>
          <w:tcPr>
            <w:tcW w:w="43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5940" w:type="dxa"/>
            <w:vAlign w:val="bottom"/>
          </w:tcPr>
          <w:p>
            <w:pPr>
              <w:spacing w:after="0"/>
              <w:rPr>
                <w:sz w:val="14"/>
                <w:szCs w:val="14"/>
                <w:color w:val="auto"/>
              </w:rPr>
            </w:pPr>
          </w:p>
        </w:tc>
        <w:tc>
          <w:tcPr>
            <w:tcW w:w="434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 (1)</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Net income from continuing operations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$ 235,888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$ 136,158</w:t>
            </w:r>
          </w:p>
        </w:tc>
      </w:tr>
      <w:tr>
        <w:trPr>
          <w:trHeight w:val="172"/>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cash</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provided by operating activities:</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Depreciation and amortization (2)</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419,026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312,343</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Earnings of companies carried at equity, less</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dividends received (2001 - $-; 2000 - $-)</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(14,208)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(3,601)</w:t>
            </w:r>
          </w:p>
        </w:tc>
      </w:tr>
      <w:tr>
        <w:trPr>
          <w:trHeight w:val="172"/>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6,171</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10,768</w:t>
            </w:r>
          </w:p>
        </w:tc>
      </w:tr>
      <w:tr>
        <w:trPr>
          <w:trHeight w:val="172"/>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in receivables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(365,030)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(145,558)</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in inventories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(205,792)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(39,606)</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in deferred taxes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(22,626)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(25,322)</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in other current assets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(74,157)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(4,259)</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(decrease) in accounts payable and</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980"/>
              <w:spacing w:after="0"/>
              <w:rPr>
                <w:sz w:val="20"/>
                <w:szCs w:val="20"/>
                <w:color w:val="auto"/>
              </w:rPr>
            </w:pPr>
            <w:r>
              <w:rPr>
                <w:rFonts w:ascii="Courier New" w:cs="Courier New" w:eastAsia="Courier New" w:hAnsi="Courier New"/>
                <w:sz w:val="15"/>
                <w:szCs w:val="15"/>
                <w:color w:val="auto"/>
              </w:rPr>
              <w:t>accrued liabilities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183,810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(42,949)</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Increase in estimated liability</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940" w:type="dxa"/>
            <w:vAlign w:val="bottom"/>
          </w:tcPr>
          <w:p>
            <w:pPr>
              <w:ind w:left="880"/>
              <w:spacing w:after="0"/>
              <w:rPr>
                <w:sz w:val="20"/>
                <w:szCs w:val="20"/>
                <w:color w:val="auto"/>
              </w:rPr>
            </w:pPr>
            <w:r>
              <w:rPr>
                <w:rFonts w:ascii="Courier New" w:cs="Courier New" w:eastAsia="Courier New" w:hAnsi="Courier New"/>
                <w:sz w:val="15"/>
                <w:szCs w:val="15"/>
                <w:color w:val="auto"/>
              </w:rPr>
              <w:t>for taxes on income</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80,157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24,584</w:t>
            </w:r>
          </w:p>
        </w:tc>
      </w:tr>
      <w:tr>
        <w:trPr>
          <w:trHeight w:val="172"/>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Other - net</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(29,459)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213,780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222,256</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Purchase of fixed assets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(413,084)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(210,612)</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Multiclient seismic data capitalized</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(114,081)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(68,258)</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Sales/retirements of fixed assets &amp; other</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19,579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28,794</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Decrease in investments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1,059,455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94,393</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Businesses acquired</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(295,862)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(27,728)</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Investment in Sema plc</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(1,010,997)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(Increase) decrease in other assets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(26,269)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(31,414)</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(781,259)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(214,825)</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Dividends paid</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(107,379)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(106,112)</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Proceeds from exercise of stock options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15,047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83,950</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Proceeds from issuance of long-term debt</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260,993</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385,461</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Payments of principal on long-term debt</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(20,726)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(353,374)</w:t>
            </w: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Net increase (decrease) in short-term debt</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365,928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(4,354)</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513,863</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5,571</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w:t>
            </w: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(53,616)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13,002</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160,718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132,589</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$ 107,102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$ 145,591</w:t>
            </w:r>
          </w:p>
        </w:tc>
      </w:tr>
      <w:tr>
        <w:trPr>
          <w:trHeight w:val="172"/>
        </w:trPr>
        <w:tc>
          <w:tcPr>
            <w:tcW w:w="5940" w:type="dxa"/>
            <w:vAlign w:val="bottom"/>
          </w:tcPr>
          <w:p>
            <w:pPr>
              <w:spacing w:after="0"/>
              <w:rPr>
                <w:sz w:val="14"/>
                <w:szCs w:val="14"/>
                <w:color w:val="auto"/>
              </w:rPr>
            </w:pPr>
          </w:p>
        </w:tc>
        <w:tc>
          <w:tcPr>
            <w:tcW w:w="2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Reclassified, in part, for comparative purposes.</w:t>
      </w:r>
    </w:p>
    <w:p>
      <w:pPr>
        <w:spacing w:after="0" w:line="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w:t>
        <w:tab/>
        <w:t>Includes Multiclient seismic data costs.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80"/>
          </w:cols>
          <w:pgMar w:left="240" w:top="633" w:right="1379" w:bottom="1440" w:gutter="0" w:footer="0" w:header="0"/>
        </w:sectPr>
      </w:pPr>
    </w:p>
    <w:bookmarkStart w:id="4" w:name="page5"/>
    <w:bookmarkEnd w:id="4"/>
    <w:p>
      <w:pPr>
        <w:jc w:val="center"/>
        <w:ind w:right="3580"/>
        <w:spacing w:after="0"/>
        <w:rPr>
          <w:sz w:val="20"/>
          <w:szCs w:val="20"/>
          <w:color w:val="auto"/>
        </w:rPr>
      </w:pPr>
      <w:r>
        <w:rPr>
          <w:rFonts w:ascii="Courier New" w:cs="Courier New" w:eastAsia="Courier New" w:hAnsi="Courier New"/>
          <w:sz w:val="14"/>
          <w:szCs w:val="14"/>
          <w:color w:val="auto"/>
        </w:rPr>
        <w:t>SCHLUMBERGER LIMITED (SCHLUMBERGER N.V., INCORPORATED IN THE</w:t>
      </w:r>
    </w:p>
    <w:p>
      <w:pPr>
        <w:spacing w:after="0" w:line="1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STOCKHOLDERS' EQUITY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720"/>
          </w:cols>
          <w:pgMar w:left="240" w:top="635"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Common Stock</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220"/>
        <w:spacing w:after="0"/>
        <w:tabs>
          <w:tab w:leader="none" w:pos="462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p>
    <w:p>
      <w:pPr>
        <w:spacing w:after="0" w:line="2" w:lineRule="exact"/>
        <w:rPr>
          <w:sz w:val="20"/>
          <w:szCs w:val="20"/>
          <w:color w:val="auto"/>
        </w:rPr>
      </w:pPr>
    </w:p>
    <w:p>
      <w:pPr>
        <w:ind w:left="2860"/>
        <w:spacing w:after="0"/>
        <w:tabs>
          <w:tab w:leader="none" w:pos="4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Retained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Accumulated Other</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Comprehensive Income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Mark to</w:t>
      </w:r>
      <w:r>
        <w:rPr>
          <w:sz w:val="20"/>
          <w:szCs w:val="20"/>
          <w:color w:val="auto"/>
        </w:rPr>
        <w:tab/>
      </w:r>
      <w:r>
        <w:rPr>
          <w:rFonts w:ascii="Courier New" w:cs="Courier New" w:eastAsia="Courier New" w:hAnsi="Courier New"/>
          <w:sz w:val="14"/>
          <w:szCs w:val="14"/>
          <w:color w:val="auto"/>
        </w:rPr>
        <w:t>Translation</w:t>
      </w:r>
    </w:p>
    <w:p>
      <w:pPr>
        <w:spacing w:after="0" w:line="2"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Adjustment</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980" w:space="180"/>
            <w:col w:w="1440" w:space="180"/>
            <w:col w:w="2940"/>
          </w:cols>
          <w:pgMar w:left="240" w:top="635" w:right="9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January 1,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$1,963,905</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$(1,752,961)</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$ 8,223,476</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(139,204)</w:t>
      </w:r>
    </w:p>
    <w:p>
      <w:pPr>
        <w:spacing w:after="0" w:line="185" w:lineRule="exact"/>
        <w:rPr>
          <w:sz w:val="20"/>
          <w:szCs w:val="20"/>
          <w:color w:val="auto"/>
        </w:rPr>
      </w:pPr>
    </w:p>
    <w:p>
      <w:pPr>
        <w:sectPr>
          <w:pgSz w:w="11900" w:h="16838" w:orient="portrait"/>
          <w:cols w:equalWidth="0" w:num="6">
            <w:col w:w="2580" w:space="720"/>
            <w:col w:w="900" w:space="720"/>
            <w:col w:w="1060" w:space="540"/>
            <w:col w:w="1700" w:space="720"/>
            <w:col w:w="260" w:space="540"/>
            <w:col w:w="98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235,888</w:t>
      </w:r>
    </w:p>
    <w:p>
      <w:pPr>
        <w:spacing w:after="0" w:line="184" w:lineRule="exact"/>
        <w:rPr>
          <w:sz w:val="20"/>
          <w:szCs w:val="20"/>
          <w:color w:val="auto"/>
        </w:rPr>
      </w:pPr>
    </w:p>
    <w:p>
      <w:pPr>
        <w:sectPr>
          <w:pgSz w:w="11900" w:h="16838" w:orient="portrait"/>
          <w:cols w:equalWidth="0" w:num="2">
            <w:col w:w="6160" w:space="720"/>
            <w:col w:w="3840"/>
          </w:cols>
          <w:pgMar w:left="240" w:top="635" w:right="9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marked to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(37,055)</w:t>
      </w:r>
    </w:p>
    <w:p>
      <w:pPr>
        <w:spacing w:after="0" w:line="176" w:lineRule="exact"/>
        <w:rPr>
          <w:sz w:val="20"/>
          <w:szCs w:val="20"/>
          <w:color w:val="auto"/>
        </w:rPr>
      </w:pPr>
    </w:p>
    <w:p>
      <w:pPr>
        <w:sectPr>
          <w:pgSz w:w="11900" w:h="16838" w:orient="portrait"/>
          <w:cols w:equalWidth="0" w:num="2">
            <w:col w:w="7860" w:space="720"/>
            <w:col w:w="214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Short-term investments marked</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 market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9,123</w:t>
      </w:r>
    </w:p>
    <w:p>
      <w:pPr>
        <w:spacing w:after="0" w:line="183" w:lineRule="exact"/>
        <w:rPr>
          <w:sz w:val="20"/>
          <w:szCs w:val="20"/>
          <w:color w:val="auto"/>
        </w:rPr>
      </w:pPr>
    </w:p>
    <w:p>
      <w:pPr>
        <w:sectPr>
          <w:pgSz w:w="11900" w:h="16838" w:orient="portrait"/>
          <w:cols w:equalWidth="0" w:num="2">
            <w:col w:w="8040" w:space="720"/>
            <w:col w:w="1960"/>
          </w:cols>
          <w:pgMar w:left="240" w:top="635" w:right="9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(11,493)</w:t>
      </w:r>
    </w:p>
    <w:p>
      <w:pPr>
        <w:spacing w:after="0" w:line="174" w:lineRule="exact"/>
        <w:rPr>
          <w:sz w:val="20"/>
          <w:szCs w:val="20"/>
          <w:color w:val="auto"/>
        </w:rPr>
      </w:pPr>
    </w:p>
    <w:p>
      <w:pPr>
        <w:sectPr>
          <w:pgSz w:w="11900" w:h="16838" w:orient="portrait"/>
          <w:cols w:equalWidth="0" w:num="2">
            <w:col w:w="9280" w:space="720"/>
            <w:col w:w="720"/>
          </w:cols>
          <w:pgMar w:left="240" w:top="635" w:right="9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(107,461)</w:t>
      </w:r>
    </w:p>
    <w:p>
      <w:pPr>
        <w:spacing w:after="0" w:line="174" w:lineRule="exact"/>
        <w:rPr>
          <w:sz w:val="20"/>
          <w:szCs w:val="20"/>
          <w:color w:val="auto"/>
        </w:rPr>
      </w:pPr>
    </w:p>
    <w:p>
      <w:pPr>
        <w:sectPr>
          <w:pgSz w:w="11900" w:h="16838" w:orient="portrait"/>
          <w:cols w:equalWidth="0" w:num="2">
            <w:col w:w="6060" w:space="720"/>
            <w:col w:w="3940"/>
          </w:cols>
          <w:pgMar w:left="240" w:top="635" w:right="9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9,149</w:t>
      </w:r>
    </w:p>
    <w:p>
      <w:pPr>
        <w:spacing w:after="0" w:line="176" w:lineRule="exact"/>
        <w:rPr>
          <w:sz w:val="20"/>
          <w:szCs w:val="20"/>
          <w:color w:val="auto"/>
        </w:rPr>
      </w:pPr>
    </w:p>
    <w:p>
      <w:pPr>
        <w:sectPr>
          <w:pgSz w:w="11900" w:h="16838" w:orient="portrait"/>
          <w:cols w:equalWidth="0" w:num="3">
            <w:col w:w="3020" w:space="720"/>
            <w:col w:w="980" w:space="720"/>
            <w:col w:w="528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Employee Stock Purchase Plan</w:t>
      </w:r>
    </w:p>
    <w:p>
      <w:pPr>
        <w:sectPr>
          <w:pgSz w:w="11900" w:h="16838" w:orient="portrait"/>
          <w:cols w:equalWidth="0" w:num="1">
            <w:col w:w="10720"/>
          </w:cols>
          <w:pgMar w:left="240" w:top="635" w:right="9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March 31, 2001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$1,969,803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267" w:lineRule="auto"/>
        <w:rPr>
          <w:sz w:val="20"/>
          <w:szCs w:val="20"/>
          <w:color w:val="auto"/>
        </w:rPr>
      </w:pPr>
      <w:r>
        <w:rPr>
          <w:rFonts w:ascii="Courier New" w:cs="Courier New" w:eastAsia="Courier New" w:hAnsi="Courier New"/>
          <w:sz w:val="14"/>
          <w:szCs w:val="14"/>
          <w:color w:val="auto"/>
        </w:rPr>
        <w:t>----------------- $(1,743,812)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$8,351,903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267" w:lineRule="auto"/>
        <w:rPr>
          <w:sz w:val="20"/>
          <w:szCs w:val="20"/>
          <w:color w:val="auto"/>
        </w:rPr>
      </w:pPr>
      <w:r>
        <w:rPr>
          <w:rFonts w:ascii="Courier New" w:cs="Courier New" w:eastAsia="Courier New" w:hAnsi="Courier New"/>
          <w:sz w:val="14"/>
          <w:szCs w:val="14"/>
          <w:color w:val="auto"/>
        </w:rPr>
        <w:t>----------------- $ (27,932)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267" w:lineRule="auto"/>
        <w:rPr>
          <w:sz w:val="20"/>
          <w:szCs w:val="20"/>
          <w:color w:val="auto"/>
        </w:rPr>
      </w:pPr>
      <w:r>
        <w:rPr>
          <w:rFonts w:ascii="Courier New" w:cs="Courier New" w:eastAsia="Courier New" w:hAnsi="Courier New"/>
          <w:sz w:val="14"/>
          <w:szCs w:val="14"/>
          <w:color w:val="auto"/>
        </w:rPr>
        <w:t>-------------- $ (150,697) ==============</w:t>
      </w:r>
    </w:p>
    <w:p>
      <w:pPr>
        <w:spacing w:after="0" w:line="200" w:lineRule="exact"/>
        <w:rPr>
          <w:sz w:val="20"/>
          <w:szCs w:val="20"/>
          <w:color w:val="auto"/>
        </w:rPr>
      </w:pPr>
    </w:p>
    <w:p>
      <w:pPr>
        <w:sectPr>
          <w:pgSz w:w="11900" w:h="16838" w:orient="portrait"/>
          <w:cols w:equalWidth="0" w:num="6">
            <w:col w:w="2140" w:space="720"/>
            <w:col w:w="1420" w:space="180"/>
            <w:col w:w="1520" w:space="180"/>
            <w:col w:w="1440" w:space="180"/>
            <w:col w:w="1520" w:space="180"/>
            <w:col w:w="1240"/>
          </w:cols>
          <w:pgMar w:left="240" w:top="635" w:right="939" w:bottom="1440" w:gutter="0" w:footer="0" w:header="0"/>
          <w:type w:val="continuous"/>
        </w:sectPr>
      </w:pPr>
    </w:p>
    <w:p>
      <w:pPr>
        <w:spacing w:after="0" w:line="30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(Dollars in thousands)</w:t>
      </w:r>
    </w:p>
    <w:p>
      <w:pPr>
        <w:spacing w:after="0" w:line="1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Comprehensive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Income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720"/>
          </w:cols>
          <w:pgMar w:left="240" w:top="635" w:right="9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January 1, 2001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3">
            <w:col w:w="2320" w:space="720"/>
            <w:col w:w="80" w:space="440"/>
            <w:col w:w="716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235,888</w:t>
      </w:r>
    </w:p>
    <w:p>
      <w:pPr>
        <w:spacing w:after="0" w:line="184" w:lineRule="exact"/>
        <w:rPr>
          <w:sz w:val="20"/>
          <w:szCs w:val="20"/>
          <w:color w:val="auto"/>
        </w:rPr>
      </w:pPr>
    </w:p>
    <w:p>
      <w:pPr>
        <w:sectPr>
          <w:pgSz w:w="11900" w:h="16838" w:orient="portrait"/>
          <w:cols w:equalWidth="0" w:num="2">
            <w:col w:w="2580" w:space="720"/>
            <w:col w:w="7420"/>
          </w:cols>
          <w:pgMar w:left="240" w:top="635" w:right="9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marked to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(37,055)</w:t>
      </w:r>
    </w:p>
    <w:p>
      <w:pPr>
        <w:spacing w:after="0" w:line="176" w:lineRule="exact"/>
        <w:rPr>
          <w:sz w:val="20"/>
          <w:szCs w:val="20"/>
          <w:color w:val="auto"/>
        </w:rPr>
      </w:pPr>
    </w:p>
    <w:p>
      <w:pPr>
        <w:sectPr>
          <w:pgSz w:w="11900" w:h="16838" w:orient="portrait"/>
          <w:cols w:equalWidth="0" w:num="2">
            <w:col w:w="2580" w:space="720"/>
            <w:col w:w="742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Short-term investments marked</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 market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9,123</w:t>
      </w:r>
    </w:p>
    <w:p>
      <w:pPr>
        <w:spacing w:after="0" w:line="183" w:lineRule="exact"/>
        <w:rPr>
          <w:sz w:val="20"/>
          <w:szCs w:val="20"/>
          <w:color w:val="auto"/>
        </w:rPr>
      </w:pPr>
    </w:p>
    <w:p>
      <w:pPr>
        <w:sectPr>
          <w:pgSz w:w="11900" w:h="16838" w:orient="portrait"/>
          <w:cols w:equalWidth="0" w:num="2">
            <w:col w:w="2760" w:space="720"/>
            <w:col w:w="7240"/>
          </w:cols>
          <w:pgMar w:left="240" w:top="635" w:right="9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(11,493)</w:t>
      </w:r>
    </w:p>
    <w:p>
      <w:pPr>
        <w:spacing w:after="0" w:line="174" w:lineRule="exact"/>
        <w:rPr>
          <w:sz w:val="20"/>
          <w:szCs w:val="20"/>
          <w:color w:val="auto"/>
        </w:rPr>
      </w:pPr>
    </w:p>
    <w:p>
      <w:pPr>
        <w:sectPr>
          <w:pgSz w:w="11900" w:h="16838" w:orient="portrait"/>
          <w:cols w:equalWidth="0" w:num="2">
            <w:col w:w="2580" w:space="720"/>
            <w:col w:w="7420"/>
          </w:cols>
          <w:pgMar w:left="240" w:top="635" w:right="9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Dividends declared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sold to optionees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ectPr>
          <w:pgSz w:w="11900" w:h="16838" w:orient="portrait"/>
          <w:cols w:equalWidth="0" w:num="1">
            <w:col w:w="10720"/>
          </w:cols>
          <w:pgMar w:left="240" w:top="635" w:right="9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March 31, 2001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196,463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2220" w:space="720"/>
            <w:col w:w="7780"/>
          </w:cols>
          <w:pgMar w:left="240" w:top="635" w:right="939" w:bottom="1440" w:gutter="0" w:footer="0" w:header="0"/>
          <w:type w:val="continuous"/>
        </w:sectPr>
      </w:pPr>
    </w:p>
    <w:p>
      <w:pPr>
        <w:ind w:left="152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720"/>
          </w:cols>
          <w:pgMar w:left="240" w:top="635" w:right="939" w:bottom="1440" w:gutter="0" w:footer="0" w:header="0"/>
          <w:type w:val="continuous"/>
        </w:sectPr>
      </w:pPr>
    </w:p>
    <w:bookmarkStart w:id="5" w:name="page6"/>
    <w:bookmarkEnd w:id="5"/>
    <w:p>
      <w:pPr>
        <w:jc w:val="center"/>
        <w:ind w:right="307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2000 Annual Report. These policies have been consistently applied during the interim period presented in this report. The results of operations for the three month period ended March 31, 2001 are not necessarily indicative of the results of operations that may be expected for the entire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following is a reconciliation from basic earnings per share to diluted earnings per share for the first quarter of 2001:</w:t>
      </w:r>
    </w:p>
    <w:p>
      <w:pPr>
        <w:spacing w:after="0" w:line="200" w:lineRule="exact"/>
        <w:rPr>
          <w:sz w:val="20"/>
          <w:szCs w:val="20"/>
          <w:color w:val="auto"/>
        </w:rPr>
      </w:pPr>
    </w:p>
    <w:p>
      <w:pPr>
        <w:spacing w:after="0" w:line="31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(Stated in thousands except per share amounts)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4">
            <w:col w:w="2220" w:space="720"/>
            <w:col w:w="900" w:space="720"/>
            <w:col w:w="1160" w:space="360"/>
            <w:col w:w="413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$ 235,888</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573,060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$0.41</w:t>
      </w:r>
    </w:p>
    <w:p>
      <w:pPr>
        <w:spacing w:after="0" w:line="13" w:lineRule="exact"/>
        <w:rPr>
          <w:sz w:val="20"/>
          <w:szCs w:val="20"/>
          <w:color w:val="auto"/>
        </w:rPr>
      </w:pPr>
    </w:p>
    <w:p>
      <w:pPr>
        <w:sectPr>
          <w:pgSz w:w="11900" w:h="16838" w:orient="portrait"/>
          <w:cols w:equalWidth="0" w:num="4">
            <w:col w:w="2320" w:space="720"/>
            <w:col w:w="1060" w:space="720"/>
            <w:col w:w="900" w:space="720"/>
            <w:col w:w="37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$ 235,888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8,352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581,412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4">
            <w:col w:w="1780" w:space="720"/>
            <w:col w:w="1420" w:space="360"/>
            <w:col w:w="1260" w:space="440"/>
            <w:col w:w="4239"/>
          </w:cols>
          <w:pgMar w:left="240" w:top="63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FIRST QUARTER IN-PROCESS RESEARCH &amp; DEVELOPMENT CHARGE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The first quarter 2001 included a $25 million in-process research and development charge related to the acquisition of Bull CP8. This charge is classified in Research &amp; Engineering in the Consolidated Statement of Income.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SEMA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On February 12, 2001, Schlumberger announced that it had reached an agreement with the board of directors of Sema plc on the terms of a recommended offer for the entire issued and to be issued share capital of Sema.</w:t>
      </w:r>
    </w:p>
    <w:p>
      <w:pPr>
        <w:sectPr>
          <w:pgSz w:w="11900" w:h="16838" w:orient="portrait"/>
          <w:cols w:equalWidth="0" w:num="1">
            <w:col w:w="10219"/>
          </w:cols>
          <w:pgMar w:left="240" w:top="633" w:right="1440" w:bottom="1440" w:gutter="0" w:footer="0" w:header="0"/>
          <w:type w:val="continuous"/>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On March 8, 2001, Schlumberger acquired, through market purchases, approximately 20% of the issued share capital of Sema at a cost of $1 billion. At March 31, 2001, this transaction was recorded as Investment in Sema plc on the Consolidated Balance Sheet. The effect of recording this investment under the equity method of accounting was not significant to the consolidated first quarter results.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At that date, valid acceptances representing approximately 65% of the issued share capital of Sema had been received in addition to the open market purchases. As a result of acceptances since April 6, 2001, Schlumberger had acquired more than 90% of the Sema shares. The aggregate consideration for the acquisition of 100% of the issued Sema shares is expected to be approximately $5.2 billion (including expenses of the transaction) which is being financed from existing cash resources and borrowings under a $3 billion credit facility.</w:t>
      </w:r>
    </w:p>
    <w:p>
      <w:pPr>
        <w:spacing w:after="0" w:line="178"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For financial reporting purposes, Schlumberger will include the results of operations of Sema in its consolidated accounts commencing April 1, 2001.</w:t>
      </w:r>
    </w:p>
    <w:p>
      <w:pPr>
        <w:spacing w:after="0" w:line="15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Sema is an IT services company (with approximately 22,000 employees)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Investments in affiliated companies include Schlumberger's 40% investment in the MI Drilling Fluids joint venture (March 31, 2001 - $486 million; December 31, 2000 - $461 million). Equity in income of investments carried under the equity method (2001 - $14 million; 2000 - $4 million) are included in Interest &amp; other income on the Consolidated Statement of Income.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599"/>
        <w:spacing w:after="0" w:line="267" w:lineRule="auto"/>
        <w:rPr>
          <w:sz w:val="20"/>
          <w:szCs w:val="20"/>
          <w:color w:val="auto"/>
        </w:rPr>
      </w:pPr>
      <w:r>
        <w:rPr>
          <w:rFonts w:ascii="Courier New" w:cs="Courier New" w:eastAsia="Courier New" w:hAnsi="Courier New"/>
          <w:sz w:val="14"/>
          <w:szCs w:val="14"/>
          <w:color w:val="auto"/>
        </w:rPr>
        <w:t>Commencing January 1, 2001, Schlumberger adopted SFAS 133, Accounting for Derivative Instruments and Hedging Activities (See Item 2: Management's Discussion and Analysis of Financial Condition and Results of Operations).</w:t>
      </w:r>
    </w:p>
    <w:p>
      <w:pPr>
        <w:sectPr>
          <w:pgSz w:w="11900" w:h="16838" w:orient="portrait"/>
          <w:cols w:equalWidth="0" w:num="1">
            <w:col w:w="10219"/>
          </w:cols>
          <w:pgMar w:left="240" w:top="63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SEGMENT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Elims/</w:t>
            </w:r>
          </w:p>
        </w:tc>
        <w:tc>
          <w:tcPr>
            <w:tcW w:w="11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Three Months 2001</w:t>
            </w: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NAM</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LAM</w:t>
            </w:r>
          </w:p>
        </w:tc>
        <w:tc>
          <w:tcPr>
            <w:tcW w:w="112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ECA</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Eastern</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OFS</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$ 924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$ 365</w:t>
            </w:r>
          </w:p>
        </w:tc>
        <w:tc>
          <w:tcPr>
            <w:tcW w:w="5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$ 464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$ 468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$ 2,279</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$ 138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$ 33</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(24)</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$ 266</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 before tax and MI</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$ 226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$ 43</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$ 402</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3340" w:type="dxa"/>
            <w:vAlign w:val="bottom"/>
          </w:tcPr>
          <w:p>
            <w:pPr>
              <w:spacing w:after="0"/>
              <w:rPr>
                <w:sz w:val="24"/>
                <w:szCs w:val="2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Elims/</w:t>
            </w:r>
          </w:p>
        </w:tc>
        <w:tc>
          <w:tcPr>
            <w:tcW w:w="11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Three Months 2000</w:t>
            </w: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NAM</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LAM</w:t>
            </w:r>
          </w:p>
        </w:tc>
        <w:tc>
          <w:tcPr>
            <w:tcW w:w="112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ECA</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Eastern</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OFS</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$ 511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$ 250</w:t>
            </w:r>
          </w:p>
        </w:tc>
        <w:tc>
          <w:tcPr>
            <w:tcW w:w="5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$ 338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$ 380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$ 49</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$ 1,528</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$ 116</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 before tax and MI</w:t>
            </w:r>
          </w:p>
        </w:tc>
        <w:tc>
          <w:tcPr>
            <w:tcW w:w="1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w:t>
            </w:r>
          </w:p>
        </w:tc>
        <w:tc>
          <w:tcPr>
            <w:tcW w:w="5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$ 172</w:t>
            </w: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6940" w:type="dxa"/>
            <w:vAlign w:val="bottom"/>
            <w:gridSpan w:val="7"/>
          </w:tcPr>
          <w:p>
            <w:pPr>
              <w:ind w:left="500"/>
              <w:spacing w:after="0"/>
              <w:rPr>
                <w:sz w:val="20"/>
                <w:szCs w:val="20"/>
                <w:color w:val="auto"/>
              </w:rPr>
            </w:pPr>
            <w:r>
              <w:rPr>
                <w:rFonts w:ascii="Courier New" w:cs="Courier New" w:eastAsia="Courier New" w:hAnsi="Courier New"/>
                <w:sz w:val="15"/>
                <w:szCs w:val="15"/>
                <w:color w:val="auto"/>
                <w:w w:val="99"/>
              </w:rPr>
              <w:t>------------------------------------------------------------------------</w:t>
            </w:r>
          </w:p>
        </w:tc>
      </w:tr>
      <w:tr>
        <w:trPr>
          <w:trHeight w:val="860"/>
        </w:trPr>
        <w:tc>
          <w:tcPr>
            <w:tcW w:w="3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(Stated in millions)</w:t>
            </w: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4"/>
                <w:szCs w:val="24"/>
                <w:color w:val="auto"/>
              </w:rPr>
            </w:pPr>
          </w:p>
        </w:tc>
        <w:tc>
          <w:tcPr>
            <w:tcW w:w="47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Elims/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Three Months 2001</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RMS</w:t>
            </w: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T&amp;T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7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Consolidated</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47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$ 306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$ 350</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(26)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$ 2,909</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47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$ 252</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5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24"/>
                <w:szCs w:val="24"/>
                <w:color w:val="auto"/>
              </w:rPr>
            </w:pPr>
          </w:p>
        </w:tc>
        <w:tc>
          <w:tcPr>
            <w:tcW w:w="5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47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Segment Income before tax and MI</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(8)</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$ 385</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358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$ 350</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2460" w:type="dxa"/>
            <w:vAlign w:val="bottom"/>
            <w:gridSpan w:val="2"/>
          </w:tcPr>
          <w:p>
            <w:pPr>
              <w:ind w:left="500"/>
              <w:spacing w:after="0"/>
              <w:rPr>
                <w:sz w:val="20"/>
                <w:szCs w:val="20"/>
                <w:color w:val="auto"/>
              </w:rPr>
            </w:pPr>
            <w:r>
              <w:rPr>
                <w:rFonts w:ascii="Courier New" w:cs="Courier New" w:eastAsia="Courier New" w:hAnsi="Courier New"/>
                <w:sz w:val="14"/>
                <w:szCs w:val="14"/>
                <w:color w:val="auto"/>
                <w:w w:val="74"/>
              </w:rPr>
              <w:t>-------------------------------</w:t>
            </w:r>
          </w:p>
        </w:tc>
        <w:tc>
          <w:tcPr>
            <w:tcW w:w="54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0280"/>
          </w:cols>
          <w:pgMar w:left="240" w:top="633" w:right="1379" w:bottom="0" w:gutter="0" w:footer="0" w:header="0"/>
        </w:sectPr>
      </w:pPr>
    </w:p>
    <w:bookmarkStart w:id="8" w:name="page9"/>
    <w:bookmarkEnd w:id="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20" w:type="dxa"/>
            <w:vAlign w:val="bottom"/>
            <w:gridSpan w:val="3"/>
          </w:tcPr>
          <w:p>
            <w:pPr>
              <w:jc w:val="center"/>
              <w:ind w:right="65"/>
              <w:spacing w:after="0"/>
              <w:rPr>
                <w:sz w:val="20"/>
                <w:szCs w:val="20"/>
                <w:color w:val="auto"/>
              </w:rPr>
            </w:pPr>
            <w:r>
              <w:rPr>
                <w:rFonts w:ascii="Courier New" w:cs="Courier New" w:eastAsia="Courier New" w:hAnsi="Courier New"/>
                <w:sz w:val="15"/>
                <w:szCs w:val="15"/>
                <w:color w:val="auto"/>
                <w:w w:val="99"/>
              </w:rPr>
              <w:t>(Stated in millions)</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98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Elims/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Three Months 2000</w:t>
            </w:r>
          </w:p>
        </w:tc>
        <w:tc>
          <w:tcPr>
            <w:tcW w:w="1780" w:type="dxa"/>
            <w:vAlign w:val="bottom"/>
          </w:tcPr>
          <w:p>
            <w:pPr>
              <w:spacing w:after="0"/>
              <w:rPr>
                <w:sz w:val="14"/>
                <w:szCs w:val="14"/>
                <w:color w:val="auto"/>
              </w:rPr>
            </w:pP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RMS</w:t>
            </w:r>
          </w:p>
        </w:tc>
        <w:tc>
          <w:tcPr>
            <w:tcW w:w="9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T&amp;T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Other</w:t>
            </w:r>
          </w:p>
        </w:tc>
        <w:tc>
          <w:tcPr>
            <w:tcW w:w="19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Consolidated</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98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80" w:type="dxa"/>
            <w:vAlign w:val="bottom"/>
          </w:tcPr>
          <w:p>
            <w:pPr>
              <w:spacing w:after="0"/>
              <w:rPr>
                <w:sz w:val="14"/>
                <w:szCs w:val="1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$ 324</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(22)</w:t>
            </w:r>
          </w:p>
        </w:tc>
        <w:tc>
          <w:tcPr>
            <w:tcW w:w="19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$ 2,137</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98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6"/>
        </w:trPr>
        <w:tc>
          <w:tcPr>
            <w:tcW w:w="178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1780" w:type="dxa"/>
            <w:vAlign w:val="bottom"/>
          </w:tcPr>
          <w:p>
            <w:pPr>
              <w:spacing w:after="0"/>
              <w:rPr>
                <w:sz w:val="24"/>
                <w:szCs w:val="2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(13)</w:t>
            </w:r>
          </w:p>
        </w:tc>
        <w:tc>
          <w:tcPr>
            <w:tcW w:w="880" w:type="dxa"/>
            <w:vAlign w:val="bottom"/>
          </w:tcPr>
          <w:p>
            <w:pPr>
              <w:spacing w:after="0"/>
              <w:rPr>
                <w:sz w:val="24"/>
                <w:szCs w:val="2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$ 112</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780" w:type="dxa"/>
            <w:vAlign w:val="bottom"/>
          </w:tcPr>
          <w:p>
            <w:pPr>
              <w:spacing w:after="0"/>
              <w:rPr>
                <w:sz w:val="24"/>
                <w:szCs w:val="2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780" w:type="dxa"/>
            <w:vAlign w:val="bottom"/>
          </w:tcPr>
          <w:p>
            <w:pPr>
              <w:spacing w:after="0"/>
              <w:rPr>
                <w:sz w:val="24"/>
                <w:szCs w:val="2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24"/>
                <w:szCs w:val="2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98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Segment Income before tax and MI</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(14)</w:t>
            </w:r>
          </w:p>
        </w:tc>
        <w:tc>
          <w:tcPr>
            <w:tcW w:w="880" w:type="dxa"/>
            <w:vAlign w:val="bottom"/>
          </w:tcPr>
          <w:p>
            <w:pPr>
              <w:spacing w:after="0"/>
              <w:rPr>
                <w:sz w:val="24"/>
                <w:szCs w:val="2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$ 172</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$ 181</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1"/>
              </w:rPr>
              <w:t>-------------------------------</w:t>
            </w:r>
          </w:p>
        </w:tc>
        <w:tc>
          <w:tcPr>
            <w:tcW w:w="900" w:type="dxa"/>
            <w:vAlign w:val="bottom"/>
          </w:tcPr>
          <w:p>
            <w:pPr>
              <w:spacing w:after="0"/>
              <w:rPr>
                <w:sz w:val="14"/>
                <w:szCs w:val="14"/>
                <w:color w:val="auto"/>
              </w:rPr>
            </w:pPr>
          </w:p>
        </w:tc>
        <w:tc>
          <w:tcPr>
            <w:tcW w:w="19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8"/>
        </w:trPr>
        <w:tc>
          <w:tcPr>
            <w:tcW w:w="1780" w:type="dxa"/>
            <w:vAlign w:val="bottom"/>
          </w:tcPr>
          <w:p>
            <w:pPr>
              <w:spacing w:after="0"/>
              <w:rPr>
                <w:sz w:val="20"/>
                <w:szCs w:val="20"/>
                <w:color w:val="auto"/>
              </w:rPr>
            </w:pPr>
            <w:r>
              <w:rPr>
                <w:rFonts w:ascii="Courier New" w:cs="Courier New" w:eastAsia="Courier New" w:hAnsi="Courier New"/>
                <w:sz w:val="15"/>
                <w:szCs w:val="15"/>
                <w:color w:val="auto"/>
              </w:rPr>
              <w:t>BUSINESS REVIEW</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60"/>
        </w:trPr>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Resource</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Oilfield</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Management</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Test &amp;</w:t>
            </w: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Services</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Services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Transactions</w:t>
            </w: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2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2000   % change</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 change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 change</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$ 2,279</w:t>
            </w: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8"/>
              </w:rPr>
              <w:t>$ 1,528</w:t>
            </w:r>
          </w:p>
        </w:tc>
        <w:tc>
          <w:tcPr>
            <w:tcW w:w="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$ 306</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$ 324</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$ 350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$ 307</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14%</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Pretax Operating</w:t>
            </w: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Income (1)</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$ 402</w:t>
            </w: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$ 172</w:t>
            </w:r>
          </w:p>
        </w:tc>
        <w:tc>
          <w:tcPr>
            <w:tcW w:w="9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134%</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 (10)</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w:t>
            </w: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w w:val="93"/>
              </w:rPr>
              <w:t>(17)%</w:t>
            </w:r>
          </w:p>
        </w:tc>
      </w:tr>
    </w:tbl>
    <w:p>
      <w:pPr>
        <w:spacing w:after="0" w:line="348" w:lineRule="exact"/>
        <w:rPr>
          <w:sz w:val="20"/>
          <w:szCs w:val="20"/>
          <w:color w:val="auto"/>
        </w:rPr>
      </w:pPr>
    </w:p>
    <w:p>
      <w:pPr>
        <w:ind w:left="448" w:right="4380" w:hanging="448"/>
        <w:spacing w:after="0" w:line="242"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and minority interest, excluding interest expense, interest income and the first quarter 2001 in-process R&amp;D charge. Pretax operating income for 2000 has been restated for comparative purposes.</w:t>
      </w:r>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2"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First Quarter 2001 Compared to First Quarter 2000</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4560"/>
        <w:spacing w:after="0" w:line="242" w:lineRule="auto"/>
        <w:rPr>
          <w:sz w:val="20"/>
          <w:szCs w:val="20"/>
          <w:color w:val="auto"/>
        </w:rPr>
      </w:pPr>
      <w:r>
        <w:rPr>
          <w:rFonts w:ascii="Courier New" w:cs="Courier New" w:eastAsia="Courier New" w:hAnsi="Courier New"/>
          <w:sz w:val="15"/>
          <w:szCs w:val="15"/>
          <w:color w:val="auto"/>
        </w:rPr>
        <w:t>Net income for the first quarter was $256 million ($0.41 per share-diluted) after a $25 million ($0.04 per share-diluted) charge for in-process research &amp; development related to the Bull CP8 acquisition, compared with $136 million ($0.24 per share-diluted) last year. The in-process R&amp;D charge relates to ongoing efforts to develop new smart-card technology for which technical feasibility had not been reached at the date of acquisition.</w:t>
      </w:r>
    </w:p>
    <w:p>
      <w:pPr>
        <w:spacing w:after="0" w:line="176" w:lineRule="exact"/>
        <w:rPr>
          <w:sz w:val="20"/>
          <w:szCs w:val="20"/>
          <w:color w:val="auto"/>
        </w:rPr>
      </w:pPr>
    </w:p>
    <w:p>
      <w:pPr>
        <w:ind w:left="8" w:right="4460"/>
        <w:spacing w:after="0"/>
        <w:rPr>
          <w:sz w:val="20"/>
          <w:szCs w:val="20"/>
          <w:color w:val="auto"/>
        </w:rPr>
      </w:pPr>
      <w:r>
        <w:rPr>
          <w:rFonts w:ascii="Courier New" w:cs="Courier New" w:eastAsia="Courier New" w:hAnsi="Courier New"/>
          <w:sz w:val="15"/>
          <w:szCs w:val="15"/>
          <w:color w:val="auto"/>
        </w:rPr>
        <w:t>Oilfield Services revenue increased 49% versus the first quarter of 2000 as the worldwide M-I rig count grew 30%.</w:t>
      </w:r>
    </w:p>
    <w:p>
      <w:pPr>
        <w:sectPr>
          <w:pgSz w:w="11900" w:h="16838" w:orient="portrait"/>
          <w:cols w:equalWidth="0" w:num="1">
            <w:col w:w="11528"/>
          </w:cols>
          <w:pgMar w:left="232" w:top="1000" w:right="139" w:bottom="1440" w:gutter="0" w:footer="0" w:header="0"/>
        </w:sectPr>
      </w:pPr>
    </w:p>
    <w:bookmarkStart w:id="9" w:name="page10"/>
    <w:bookmarkEnd w:id="9"/>
    <w:p>
      <w:pPr>
        <w:ind w:right="3079"/>
        <w:spacing w:after="0" w:line="241" w:lineRule="auto"/>
        <w:rPr>
          <w:sz w:val="20"/>
          <w:szCs w:val="20"/>
          <w:color w:val="auto"/>
        </w:rPr>
      </w:pPr>
      <w:r>
        <w:rPr>
          <w:rFonts w:ascii="Courier New" w:cs="Courier New" w:eastAsia="Courier New" w:hAnsi="Courier New"/>
          <w:sz w:val="15"/>
          <w:szCs w:val="15"/>
          <w:color w:val="auto"/>
        </w:rPr>
        <w:t>Resource Management Services revenue was 5% lower than in the first quarter last year. Test &amp; Transactions revenue increased 14% versus the same period last year.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Oilfield Services operating revenue in the first quarter increased 49% year-over-year, with all four reporting Areas experiencing double-digit growth. This growth was driven by WesternGeco (formed late in the fourth quarter of 2000), increased activity, improved pricing levels, and productivity gains from the use of advanced technologies. The growth was also seen in all product groups. The worldwide M-I rig count increased 30% year-over-year. Pretax operating income in the first quarter grew 134% compared to the same period last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North America, first quarter revenue of $924 million increased 81% compared with the same quarter last year. The M-I rig count of 1,801 increased 37% year-over-year. Pretax operating income of $226 million was 267% higher than the first quarter last year.</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Revenue growth was led by strong double-digit growth in all product groups except Integrated Project Management which remained flat.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Latin America, first quarter revenue of $365 million increased 46%. The M-I rig count at 317 increased 36% year-over-year. Pretax operating income in the first quarter was $43 million, an increase of more than four-fold over last year.</w:t>
      </w:r>
    </w:p>
    <w:p>
      <w:pPr>
        <w:spacing w:after="0" w:line="175"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Year-over-year revenue growth was strong across all product segments. Strong year-over-year revenue and pretax operating income growth was seen in all GeoMarkets.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First quarter revenue of $464 million in the Europe/CIS/West Africa Area increased 37% compared with the same quarter last year. The M-I rig count at 273, excluding the CIS, was up 25% over the same period last year. Pretax operating income of $57 million increased 140%.</w:t>
      </w:r>
    </w:p>
    <w:p>
      <w:pPr>
        <w:spacing w:after="0" w:line="17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Strong year-over-year revenue and pretax operating income growth was recorded in all product groups except Drilling Services, which remained flat.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First quarter revenue of $468 million in the Other Eastern Hemisphere Area increased 23% year-over-year. The M-I rig count at 437 increased 9% year-over-year. Pretax operating income of $92 million increased 43%.</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Compared to the same period last year, revenue and pretax operating income growth was led by Well Completions &amp; Productivity, WesternGeco and Drilling &amp; Measurements.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Resource Management Services (RMS) operating revenue decreased 5% compared with the same quarter last year. The majority of the revenue decline was due to the divestiture of the Gas Service businesses in Europe during 2000. First quarter orders decreased 8% over the same period last year. The pretax operating loss in the first quarter was attributable to the amortization of acquisition related costs.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North America, first quarter revenue increased 57%, driven by increased communication module sales and automated meter reading fees. Higher CENTRON* meter shipments, particularly to the PECO Energy Company automated meter reading project, accounted for an improvement in electricity metering revenue. Orders during the quarter increased 30% over the same period last year due mainly to higher electricity metering and automated meter-reading activities.</w:t>
      </w:r>
    </w:p>
    <w:p>
      <w:pPr>
        <w:sectPr>
          <w:pgSz w:w="11900" w:h="16838" w:orient="portrait"/>
          <w:cols w:equalWidth="0" w:num="1">
            <w:col w:w="10219"/>
          </w:cols>
          <w:pgMar w:left="240" w:top="635" w:right="1440" w:bottom="1440" w:gutter="0" w:footer="0" w:header="0"/>
        </w:sectPr>
      </w:pPr>
    </w:p>
    <w:bookmarkStart w:id="10" w:name="page11"/>
    <w:bookmarkEnd w:id="10"/>
    <w:p>
      <w:pPr>
        <w:ind w:right="3079"/>
        <w:spacing w:after="0"/>
        <w:rPr>
          <w:sz w:val="20"/>
          <w:szCs w:val="20"/>
          <w:color w:val="auto"/>
        </w:rPr>
      </w:pPr>
      <w:r>
        <w:rPr>
          <w:rFonts w:ascii="Courier New" w:cs="Courier New" w:eastAsia="Courier New" w:hAnsi="Courier New"/>
          <w:sz w:val="15"/>
          <w:szCs w:val="15"/>
          <w:color w:val="auto"/>
        </w:rPr>
        <w:t>In Europe, first quarter revenue showed a 28% decrease over last year. Orders in the first quarter decreased 12% compared to the same period last year.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Asia, revenue for the first quarter declined 4% over last year due to lower exports of electromechanical electricity products and lower gas meter deliveries in China. Orders decreased 63% year-over-year due mainly to lower demand for electricity meters in Taiwan, Sri Lanka and Malaysia.</w:t>
      </w:r>
    </w:p>
    <w:p>
      <w:pPr>
        <w:spacing w:after="0" w:line="175"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In South America, first quarter revenue declined 10% due primarily to lower demand for electricity products in Colombia, Uruguay and Peru. Orders in the quarter were down by 36% compared to the same period last year reflecting the lower demand for electricity products and the general slowdown in Brazil.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Test &amp; Transactions operating revenue in the first quarter increased 14% compared with the same quarter last year. Orders were down 10% compared with the same quarter last year.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Cards revenue grew 20% for the quarter compared to the same period last year. The main drivers of year-over-year growth were strong demand and increased volume of high-end JavaTM-based products for mobile communications and banking applications. The anticipated seasonal volume decline in GSM cards was partially offset by strong average sales price improvement due to the favorable mix of high-end and new products. Orders declined 21%, reflecting the current inventory of GSM cards held by mobile telecom operators. In North America, the increasing adoption of the GSM standard, which provides mobile phone users with seamless roaming across GSM networks worldwide, has generated significant opportunities for both product and service applications. Schlumberger signed a memorandum of understanding with AT&amp;T Wireless in March to provide SIM (subscriber identity module) smart cards and related OTA (over-the-air) technology to support AT&amp;T Wireless' new GSM network platform.</w:t>
      </w:r>
    </w:p>
    <w:p>
      <w:pPr>
        <w:spacing w:after="0" w:line="18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Network Solutions revenue grew 43% over the same period last year driven by growth in Network Services and Wireless Applications Services. Orders grew 31% year-over-year on continuing higher activity for both Network Services and the recently acquired Data Marine Services.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eTransactions Solutions revenue grew 47% over last year, driven primarily by increased worldwide deliveries of MagIC* e-payment point of sale terminals. In addition, European customers began accepting previously postponed deliveries of new euro-compatible Pay &amp; Display* on-street parking meters. Orders rose 48% over the first quarter of 2000. The growth came primarily from improved activity in the off-street parking, e-Payment Terminals &amp; Systems, and parking services businesses.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Semiconductor Solutions revenue was down 31% year-over-year as conditions in the semiconductor industry deteriorated. Semiconductor manufacturers have implemented widespread cost control measures and delayed capital spending and deliveries. Orders decreased 41% year-over-year.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and other income increased by $14 million from the same period last as a $6 million decrease in interest income (2001 - $66 million; 2000 - $72 million) was offset by a $9 million gain from the sale of investments related to funding the Sema plc share purchases and a $11 million increase in equity income. Gross margin of 25% increased 3%. Research and engineering, and Marketing expenses increased 30% (11% excluding the $25 million in-process R&amp;D charge) and 17%, respectively over last year. General expense, expressed as a percentage of operating revenue decreased from 4.8% to 4.1%. Interest expense increased $13 million as average borrowing rates increased from 6.5% to 7.2%. The effective tax rate, before the in-process R&amp;D charge, increased from 23.4% to 28.8% due to higher profitability in North America in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35" w:right="1440" w:bottom="1440" w:gutter="0" w:footer="0" w:header="0"/>
        </w:sectPr>
      </w:pPr>
    </w:p>
    <w:bookmarkStart w:id="11" w:name="page12"/>
    <w:bookmarkEnd w:id="11"/>
    <w:p>
      <w:pPr>
        <w:ind w:right="3159"/>
        <w:spacing w:after="0" w:line="242" w:lineRule="auto"/>
        <w:rPr>
          <w:sz w:val="20"/>
          <w:szCs w:val="20"/>
          <w:color w:val="auto"/>
        </w:rPr>
      </w:pPr>
      <w:r>
        <w:rPr>
          <w:rFonts w:ascii="Courier New" w:cs="Courier New" w:eastAsia="Courier New" w:hAnsi="Courier New"/>
          <w:sz w:val="15"/>
          <w:szCs w:val="15"/>
          <w:color w:val="auto"/>
        </w:rPr>
        <w:t>In March, Schlumberger acquired Bull CP8, a market leader in microprocessor-based smart cards and associated systems applications for the banking, mobile communications and network security industries. The acquisition price was $313 million. Assets acquired included identifiable intangibles (primarily patents) of $136 million and goodwill of $140 million. Additionally, in-process R&amp;D aggregated $25 million was charged to expense in the first quarter.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In April 2001, Schlumberger borrowed $3 billion to finance the acquisition of Sema plc (See Notes to the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Occasionally,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 Schlumberger's specific goals are (1) to manage interest rate sensitivity by modifying the repricing or maturity characteristics of certain of its debt and (2) to lower (where possible) the cost of borrowed funds.</w:t>
      </w:r>
    </w:p>
    <w:p>
      <w:pPr>
        <w:spacing w:after="0" w:line="180"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At March 31, 2001, Schlumberger recognized a net $37.1 million charge in Stockholders' Equity relating to SFAS 133. This change was primarily due to the change in the fair market value of Schlumberger's US interest rate swaps as a result of declining interest rates. The effect on Stockholders' Equity at December 31, 2000 was not significant.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10-Q report and elsewhere may constitute forward-looking statements. These include statements as to expectations, beliefs and future financial performance, such as statements regarding business prospects in the key industries in which Schlumberger operates or plans to operate and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 key oilfield projects; changes in E&amp;P spending by major oil companies; the extent and timing of utilities' investment in integrated solutions to utility management; noncancellation of key long-term services and solutions contracts; growth in demand for smart cards in e-commerce and Network and Internet-enabled solutions; economic, competitive and technological factors affecting markets, services, and prices in newly acquired businesses and Schlumberger's ability to integrate these businesses and to realize synergies from these acquisitions; general economic and business</w:t>
      </w:r>
    </w:p>
    <w:p>
      <w:pPr>
        <w:sectPr>
          <w:pgSz w:w="11900" w:h="16838" w:orient="portrait"/>
          <w:cols w:equalWidth="0" w:num="1">
            <w:col w:w="10219"/>
          </w:cols>
          <w:pgMar w:left="240" w:top="635" w:right="1440" w:bottom="1440" w:gutter="0" w:footer="0" w:header="0"/>
        </w:sectPr>
      </w:pPr>
    </w:p>
    <w:bookmarkStart w:id="12" w:name="page13"/>
    <w:bookmarkEnd w:id="12"/>
    <w:p>
      <w:pPr>
        <w:ind w:right="3519"/>
        <w:spacing w:after="0" w:line="274" w:lineRule="auto"/>
        <w:rPr>
          <w:sz w:val="20"/>
          <w:szCs w:val="20"/>
          <w:color w:val="auto"/>
        </w:rPr>
      </w:pPr>
      <w:r>
        <w:rPr>
          <w:rFonts w:ascii="Courier New" w:cs="Courier New" w:eastAsia="Courier New" w:hAnsi="Courier New"/>
          <w:sz w:val="14"/>
          <w:szCs w:val="14"/>
          <w:color w:val="auto"/>
        </w:rPr>
        <w:t>conditions in key regions of the world; and changes in business strategy or development plans relating to targeted Schlumberger growth opportunities.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of Schlumberger</w:t>
      </w:r>
    </w:p>
    <w:p>
      <w:pPr>
        <w:sectPr>
          <w:pgSz w:w="11900" w:h="16838" w:orient="portrait"/>
          <w:cols w:equalWidth="0" w:num="1">
            <w:col w:w="10219"/>
          </w:cols>
          <w:pgMar w:left="240" w:top="635" w:right="1440" w:bottom="1440" w:gutter="0" w:footer="0" w:header="0"/>
        </w:sectPr>
      </w:pPr>
    </w:p>
    <w:bookmarkStart w:id="13" w:name="page14"/>
    <w:bookmarkEnd w:id="13"/>
    <w:p>
      <w:pPr>
        <w:ind w:left="2328"/>
        <w:spacing w:after="0"/>
        <w:tabs>
          <w:tab w:leader="none" w:pos="3208"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2" w:lineRule="exact"/>
        <w:rPr>
          <w:sz w:val="20"/>
          <w:szCs w:val="20"/>
          <w:color w:val="auto"/>
        </w:rPr>
      </w:pPr>
    </w:p>
    <w:p>
      <w:pPr>
        <w:ind w:left="2328"/>
        <w:spacing w:after="0"/>
        <w:tabs>
          <w:tab w:leader="none" w:pos="32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079"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General Meeting of Stockholders of the Registrant ("the Meeting") was held on April 11, 2001.</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Meeting, the number of Directors was fixed at 12 and the following-named 12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John C. Mayo, were directors who were previously elected by the stockholders.</w:t>
      </w:r>
    </w:p>
    <w:p>
      <w:pPr>
        <w:spacing w:after="0" w:line="175"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Don E. Ackerman</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D. Euan Baird</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John Deutch</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Victor E. Grijalva</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Andre Levy-Lang</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John C. Mayo</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William T. McCormick, Jr.</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Didier Primat</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Nicolas Seydoux</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Linda Gillespie Stuntz</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Sven Ullring</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Yoshihiko Wakumoto</w:t>
      </w:r>
    </w:p>
    <w:p>
      <w:pPr>
        <w:spacing w:after="0" w:line="176" w:lineRule="exact"/>
        <w:rPr>
          <w:sz w:val="20"/>
          <w:szCs w:val="20"/>
          <w:color w:val="auto"/>
        </w:rPr>
      </w:pPr>
    </w:p>
    <w:p>
      <w:pPr>
        <w:ind w:left="348" w:right="3079"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Meeting also voted (i) to adopt and approve the Company's Consolidated Balance Sheet as at December 31, 2000, its Consolidated Statement of Income for the year ended December 31, 2000, and the declaration of dividends reflected in the Company's 2000 Annual Report to Stockholders; (ii) to adopt amendments to the Deed of Incorporation of the Company (a) to increase the authorized common stock from 1,000,000,000 to 1,500,000,000 shares and (b) to make other changes; (iii) to approve adoption of the Schlumberger 2001 Stock Option Plan; and (iv) to approve the appointment of PricewaterhouseCoopers LLP as independent public accountants to audit the accounts of the Company for the year 2001.</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The votes cast were as follows: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Directors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Withheld</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452,299,962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3,414,535</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440,839,640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14,874,857</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John Deutch</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440,712,342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15,002,155</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452,394,637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3,319,860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452,350,074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3,364,423</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John C. Mayo</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451,574,663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4,139,834</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William T. McCormick, Jr.</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452,411,970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3,302,527</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Didier Primat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448,319,871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7,394,626</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Nicolas Seydoux</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452,380,759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3,333,738</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Linda Gillespie Stuntz</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452,410,871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3,303,626</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Sven Ullring</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452,384,098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3,330,399</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Yoshihiko Wakumoto</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452,324,715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3,389,782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Financials:</w:t>
      </w:r>
    </w:p>
    <w:p>
      <w:pPr>
        <w:sectPr>
          <w:pgSz w:w="11900" w:h="16838" w:orient="portrait"/>
          <w:cols w:equalWidth="0" w:num="1">
            <w:col w:w="10227"/>
          </w:cols>
          <w:pgMar w:left="232" w:top="633" w:right="1440" w:bottom="1440" w:gutter="0" w:footer="0" w:header="0"/>
        </w:sectPr>
      </w:pPr>
    </w:p>
    <w:p>
      <w:pPr>
        <w:spacing w:after="0" w:line="4" w:lineRule="exact"/>
        <w:rPr>
          <w:sz w:val="20"/>
          <w:szCs w:val="20"/>
          <w:color w:val="auto"/>
        </w:rPr>
      </w:pPr>
    </w:p>
    <w:p>
      <w:pPr>
        <w:ind w:left="402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Abstain</w:t>
      </w:r>
    </w:p>
    <w:p>
      <w:pPr>
        <w:spacing w:after="0" w:line="174" w:lineRule="exact"/>
        <w:rPr>
          <w:sz w:val="20"/>
          <w:szCs w:val="20"/>
          <w:color w:val="auto"/>
        </w:rPr>
      </w:pPr>
    </w:p>
    <w:p>
      <w:pPr>
        <w:sectPr>
          <w:pgSz w:w="11900" w:h="16838" w:orient="portrait"/>
          <w:cols w:equalWidth="0" w:num="3">
            <w:col w:w="4728" w:space="720"/>
            <w:col w:w="980" w:space="720"/>
            <w:col w:w="3079"/>
          </w:cols>
          <w:pgMar w:left="232" w:top="633" w:right="1440" w:bottom="1440" w:gutter="0" w:footer="0" w:header="0"/>
          <w:type w:val="continuous"/>
        </w:sectPr>
      </w:pPr>
    </w:p>
    <w:p>
      <w:pPr>
        <w:ind w:left="3928"/>
        <w:spacing w:after="0"/>
        <w:rPr>
          <w:sz w:val="20"/>
          <w:szCs w:val="20"/>
          <w:color w:val="auto"/>
        </w:rPr>
      </w:pPr>
      <w:r>
        <w:rPr>
          <w:rFonts w:ascii="Courier New" w:cs="Courier New" w:eastAsia="Courier New" w:hAnsi="Courier New"/>
          <w:sz w:val="15"/>
          <w:szCs w:val="15"/>
          <w:color w:val="auto"/>
        </w:rPr>
        <w:t>434,264,543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862,375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20,587,579</w:t>
      </w:r>
    </w:p>
    <w:p>
      <w:pPr>
        <w:sectPr>
          <w:pgSz w:w="11900" w:h="16838" w:orient="portrait"/>
          <w:cols w:equalWidth="0" w:num="3">
            <w:col w:w="5188" w:space="720"/>
            <w:col w:w="700" w:space="720"/>
            <w:col w:w="2899"/>
          </w:cols>
          <w:pgMar w:left="232" w:top="633" w:right="1440" w:bottom="1440" w:gutter="0" w:footer="0" w:header="0"/>
          <w:type w:val="continuous"/>
        </w:sectPr>
      </w:pPr>
    </w:p>
    <w:bookmarkStart w:id="14" w:name="page15"/>
    <w:bookmarkEnd w:id="14"/>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Amendment to Deed:</w:t>
            </w:r>
          </w:p>
        </w:tc>
        <w:tc>
          <w:tcPr>
            <w:tcW w:w="1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640" w:type="dxa"/>
            <w:vAlign w:val="bottom"/>
          </w:tcPr>
          <w:p>
            <w:pPr>
              <w:spacing w:after="0"/>
              <w:rPr>
                <w:sz w:val="14"/>
                <w:szCs w:val="14"/>
                <w:color w:val="auto"/>
              </w:rPr>
            </w:pPr>
          </w:p>
        </w:tc>
        <w:tc>
          <w:tcPr>
            <w:tcW w:w="18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Against</w:t>
            </w:r>
          </w:p>
        </w:tc>
        <w:tc>
          <w:tcPr>
            <w:tcW w:w="10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Abstain</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Increase in Authorized:</w:t>
            </w:r>
          </w:p>
        </w:tc>
        <w:tc>
          <w:tcPr>
            <w:tcW w:w="1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446,758,586</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6,073,522</w:t>
            </w:r>
          </w:p>
        </w:tc>
        <w:tc>
          <w:tcPr>
            <w:tcW w:w="10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2,882,389</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Changes:</w:t>
            </w:r>
          </w:p>
        </w:tc>
        <w:tc>
          <w:tcPr>
            <w:tcW w:w="1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450,027,079</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2,005,548</w:t>
            </w:r>
          </w:p>
        </w:tc>
        <w:tc>
          <w:tcPr>
            <w:tcW w:w="10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3,681,870</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2001 Stock Option Plan:</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640" w:type="dxa"/>
            <w:vAlign w:val="bottom"/>
          </w:tcPr>
          <w:p>
            <w:pPr>
              <w:spacing w:after="0"/>
              <w:rPr>
                <w:sz w:val="14"/>
                <w:szCs w:val="14"/>
                <w:color w:val="auto"/>
              </w:rPr>
            </w:pPr>
          </w:p>
        </w:tc>
        <w:tc>
          <w:tcPr>
            <w:tcW w:w="18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Against</w:t>
            </w:r>
          </w:p>
        </w:tc>
        <w:tc>
          <w:tcPr>
            <w:tcW w:w="10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Abstain</w:t>
            </w:r>
          </w:p>
        </w:tc>
      </w:tr>
      <w:tr>
        <w:trPr>
          <w:trHeight w:val="344"/>
        </w:trPr>
        <w:tc>
          <w:tcPr>
            <w:tcW w:w="2640" w:type="dxa"/>
            <w:vAlign w:val="bottom"/>
          </w:tcPr>
          <w:p>
            <w:pPr>
              <w:spacing w:after="0"/>
              <w:rPr>
                <w:sz w:val="24"/>
                <w:szCs w:val="24"/>
                <w:color w:val="auto"/>
              </w:rPr>
            </w:pPr>
          </w:p>
        </w:tc>
        <w:tc>
          <w:tcPr>
            <w:tcW w:w="1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443,255,767</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8,848,821</w:t>
            </w:r>
          </w:p>
        </w:tc>
        <w:tc>
          <w:tcPr>
            <w:tcW w:w="10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3,609,909</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PricewaterhouseCoopers:</w:t>
            </w:r>
          </w:p>
        </w:tc>
        <w:tc>
          <w:tcPr>
            <w:tcW w:w="1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640" w:type="dxa"/>
            <w:vAlign w:val="bottom"/>
          </w:tcPr>
          <w:p>
            <w:pPr>
              <w:spacing w:after="0"/>
              <w:rPr>
                <w:sz w:val="14"/>
                <w:szCs w:val="14"/>
                <w:color w:val="auto"/>
              </w:rPr>
            </w:pPr>
          </w:p>
        </w:tc>
        <w:tc>
          <w:tcPr>
            <w:tcW w:w="18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Against</w:t>
            </w:r>
          </w:p>
        </w:tc>
        <w:tc>
          <w:tcPr>
            <w:tcW w:w="106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Abstain</w:t>
            </w:r>
          </w:p>
        </w:tc>
      </w:tr>
      <w:tr>
        <w:trPr>
          <w:trHeight w:val="344"/>
        </w:trPr>
        <w:tc>
          <w:tcPr>
            <w:tcW w:w="2640" w:type="dxa"/>
            <w:vAlign w:val="bottom"/>
          </w:tcPr>
          <w:p>
            <w:pPr>
              <w:spacing w:after="0"/>
              <w:rPr>
                <w:sz w:val="24"/>
                <w:szCs w:val="24"/>
                <w:color w:val="auto"/>
              </w:rPr>
            </w:pPr>
          </w:p>
        </w:tc>
        <w:tc>
          <w:tcPr>
            <w:tcW w:w="1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440,507,957</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12,590,942</w:t>
            </w:r>
          </w:p>
        </w:tc>
        <w:tc>
          <w:tcPr>
            <w:tcW w:w="10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2,615,598</w:t>
            </w:r>
          </w:p>
        </w:tc>
      </w:tr>
    </w:tbl>
    <w:p>
      <w:pPr>
        <w:spacing w:after="0" w:line="200" w:lineRule="exact"/>
        <w:rPr>
          <w:sz w:val="20"/>
          <w:szCs w:val="20"/>
          <w:color w:val="auto"/>
        </w:rPr>
      </w:pPr>
    </w:p>
    <w:p>
      <w:pPr>
        <w:spacing w:after="0" w:line="31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 w:lineRule="exact"/>
        <w:rPr>
          <w:rFonts w:ascii="Courier New" w:cs="Courier New" w:eastAsia="Courier New" w:hAnsi="Courier New"/>
          <w:sz w:val="15"/>
          <w:szCs w:val="15"/>
          <w:color w:val="auto"/>
        </w:rPr>
      </w:pPr>
    </w:p>
    <w:p>
      <w:pPr>
        <w:ind w:left="448"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 is incorporated by reference as indicated in the Index of Exhibits:</w:t>
      </w:r>
    </w:p>
    <w:p>
      <w:pPr>
        <w:spacing w:after="0" w:line="17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Schlumberger 2001 Stock Option Plan</w:t>
            </w: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w w:val="97"/>
              </w:rPr>
              <w:t>10(k)</w:t>
            </w:r>
          </w:p>
        </w:tc>
      </w:tr>
    </w:tbl>
    <w:p>
      <w:pPr>
        <w:spacing w:after="0" w:line="174" w:lineRule="exact"/>
        <w:rPr>
          <w:sz w:val="20"/>
          <w:szCs w:val="20"/>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sz w:val="20"/>
          <w:szCs w:val="20"/>
          <w:color w:val="auto"/>
        </w:rPr>
      </w:pPr>
    </w:p>
    <w:p>
      <w:pPr>
        <w:ind w:left="448" w:right="3079" w:hanging="448"/>
        <w:spacing w:after="0" w:line="242"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8-K dated February 12, 2001, filed as of February 16, 2001 to report a cash offer to be made by Lehman Brothers on behalf of Schlumberger Investments, a wholly owned subsidiary of Schlumberger, for the entire issued and to be issued share capital of Sema plc.</w:t>
      </w:r>
    </w:p>
    <w:p>
      <w:pPr>
        <w:spacing w:after="0" w:line="174"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8-K dated April 6, 2001 filed as of April 20, 2001 to report that its offer for the ordinary share capital of Sema plc had been declared unconditional in all respects.</w:t>
      </w:r>
    </w:p>
    <w:p>
      <w:pPr>
        <w:sectPr>
          <w:pgSz w:w="11900" w:h="16838" w:orient="portrait"/>
          <w:cols w:equalWidth="0" w:num="1">
            <w:col w:w="10227"/>
          </w:cols>
          <w:pgMar w:left="232" w:top="977" w:right="1440" w:bottom="1440" w:gutter="0" w:footer="0" w:header="0"/>
        </w:sectPr>
      </w:pPr>
    </w:p>
    <w:bookmarkStart w:id="15" w:name="page16"/>
    <w:bookmarkEnd w:id="15"/>
    <w:p>
      <w:pPr>
        <w:ind w:left="3120"/>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60" w:right="3159" w:firstLine="537"/>
        <w:spacing w:after="0" w:line="24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17"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Schlumberger Limited</w:t>
      </w:r>
    </w:p>
    <w:p>
      <w:pPr>
        <w:spacing w:after="0" w:line="2"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right"/>
        <w:ind w:right="1240"/>
        <w:spacing w:after="0"/>
        <w:rPr>
          <w:sz w:val="20"/>
          <w:szCs w:val="20"/>
          <w:color w:val="auto"/>
        </w:rPr>
      </w:pPr>
      <w:r>
        <w:rPr>
          <w:rFonts w:ascii="Courier New" w:cs="Courier New" w:eastAsia="Courier New" w:hAnsi="Courier New"/>
          <w:sz w:val="14"/>
          <w:szCs w:val="14"/>
          <w:color w:val="auto"/>
        </w:rPr>
        <w:t>Date: April 25, 2001</w:t>
      </w:r>
    </w:p>
    <w:p>
      <w:pPr>
        <w:spacing w:after="0" w:line="12" w:lineRule="exact"/>
        <w:rPr>
          <w:sz w:val="20"/>
          <w:szCs w:val="20"/>
          <w:color w:val="auto"/>
        </w:rPr>
      </w:pPr>
    </w:p>
    <w:p>
      <w:pPr>
        <w:jc w:val="right"/>
        <w:ind w:right="1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Jean-Marc Perraud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Jean-Marc Perraud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Chief Accounting Officer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Treasurer</w:t>
      </w:r>
    </w:p>
    <w:p>
      <w:pPr>
        <w:sectPr>
          <w:pgSz w:w="11900" w:h="16838" w:orient="portrait"/>
          <w:cols w:equalWidth="0" w:num="2">
            <w:col w:w="3020" w:space="720"/>
            <w:col w:w="6479"/>
          </w:cols>
          <w:pgMar w:left="240" w:top="633" w:right="1440" w:bottom="1440" w:gutter="0" w:footer="0" w:header="0"/>
          <w:type w:val="continuous"/>
        </w:sectPr>
      </w:pPr>
    </w:p>
    <w:bookmarkStart w:id="16" w:name="page17"/>
    <w:bookmarkEnd w:id="16"/>
    <w:p>
      <w:pPr>
        <w:ind w:left="25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039"/>
          </w:cols>
          <w:pgMar w:left="420" w:top="635" w:right="1440" w:bottom="1440" w:gutter="0" w:footer="0" w:header="0"/>
        </w:sectPr>
      </w:pPr>
    </w:p>
    <w:p>
      <w:pPr>
        <w:spacing w:after="0" w:line="18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740" w:space="700"/>
            <w:col w:w="4599"/>
          </w:cols>
          <w:pgMar w:left="420" w:top="63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2001 Stock Option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3">
            <w:col w:w="3560" w:space="720"/>
            <w:col w:w="540" w:space="720"/>
            <w:col w:w="4499"/>
          </w:cols>
          <w:pgMar w:left="42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incorporated by reference to Exhibit C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Proxy Statement of March 7, 2001.</w:t>
      </w:r>
    </w:p>
    <w:sectPr>
      <w:pgSz w:w="11900" w:h="16838" w:orient="portrait"/>
      <w:cols w:equalWidth="0" w:num="1">
        <w:col w:w="10039"/>
      </w:cols>
      <w:pgMar w:left="420" w:top="6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2019-12-13T06:30:54Z</dcterms:created>
  <dcterms:modified xsi:type="dcterms:W3CDTF">2019-12-13T06:30:54Z</dcterms:modified>
</cp:coreProperties>
</file>