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Date of Report (Date of earliest event reported): December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39"/>
        <w:spacing w:after="0"/>
        <w:rPr>
          <w:sz w:val="20"/>
          <w:szCs w:val="20"/>
          <w:color w:val="auto"/>
        </w:rPr>
      </w:pPr>
      <w:r>
        <w:rPr>
          <w:rFonts w:ascii="Arial" w:cs="Arial" w:eastAsia="Arial" w:hAnsi="Arial"/>
          <w:sz w:val="40"/>
          <w:szCs w:val="40"/>
          <w:b w:val="1"/>
          <w:bCs w:val="1"/>
          <w:color w:val="auto"/>
        </w:rPr>
        <w:t>SCHLUMBERGER N.V. (SCHLUMBERGER LIMITED)</w:t>
      </w:r>
    </w:p>
    <w:p>
      <w:pPr>
        <w:spacing w:after="0" w:line="3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0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Schlumberger Limited (“Schlumberger or the “Company”) currently reports its results on the basis of two business segments, Oilfield Services and WesternGeco, and by geographical areas within Oilfield Services. As a result of the recent acquisitions of Smith International, Inc. (“Smith”) and Geoservices, Schlumberger previously announced that Schlumberger will change its primary reporting to product group segments (the “Groups”), effective with the first quarter of 2011. The Company will also continue to report its results on a geographical basis.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Groups are as follows:</w:t>
      </w:r>
    </w:p>
    <w:p>
      <w:pPr>
        <w:spacing w:after="0" w:line="117" w:lineRule="exact"/>
        <w:rPr>
          <w:sz w:val="20"/>
          <w:szCs w:val="20"/>
          <w:color w:val="auto"/>
        </w:rPr>
      </w:pPr>
    </w:p>
    <w:p>
      <w:pPr>
        <w:ind w:left="900" w:right="260" w:hanging="446"/>
        <w:spacing w:after="0" w:line="342"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Reservoir Characterization Group</w:t>
      </w:r>
      <w:r>
        <w:rPr>
          <w:rFonts w:ascii="Arial" w:cs="Arial" w:eastAsia="Arial" w:hAnsi="Arial"/>
          <w:sz w:val="16"/>
          <w:szCs w:val="16"/>
          <w:color w:val="auto"/>
        </w:rPr>
        <w:t>: This group will consist of the principal Technologies involved in the finding and defining of hydrocarbon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deposits. These include WesternGeco, Wireline, Well Testing, Schlumberger Information Services, and Data &amp; Consulting Services.</w:t>
      </w:r>
    </w:p>
    <w:p>
      <w:pPr>
        <w:spacing w:after="0" w:line="29" w:lineRule="exact"/>
        <w:rPr>
          <w:rFonts w:ascii="Arial" w:cs="Arial" w:eastAsia="Arial" w:hAnsi="Arial"/>
          <w:sz w:val="16"/>
          <w:szCs w:val="16"/>
          <w:b w:val="1"/>
          <w:bCs w:val="1"/>
          <w:color w:val="auto"/>
        </w:rPr>
      </w:pPr>
    </w:p>
    <w:p>
      <w:pPr>
        <w:ind w:left="900" w:right="660" w:hanging="446"/>
        <w:spacing w:after="0" w:line="342"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Drilling Group</w:t>
      </w:r>
      <w:r>
        <w:rPr>
          <w:rFonts w:ascii="Arial" w:cs="Arial" w:eastAsia="Arial" w:hAnsi="Arial"/>
          <w:sz w:val="16"/>
          <w:szCs w:val="16"/>
          <w:color w:val="auto"/>
        </w:rPr>
        <w:t>: This group will be comprised of Bits &amp; Advanced Technologies, M-I SWACO, Geoservices, Drilling &amp; Measurements,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PathFinder, Drilling Tools &amp; Remedial Services, Dynamic Pressure Management and IPM well construction projects.</w:t>
      </w:r>
    </w:p>
    <w:p>
      <w:pPr>
        <w:spacing w:after="0" w:line="29" w:lineRule="exact"/>
        <w:rPr>
          <w:rFonts w:ascii="Arial" w:cs="Arial" w:eastAsia="Arial" w:hAnsi="Arial"/>
          <w:sz w:val="16"/>
          <w:szCs w:val="16"/>
          <w:b w:val="1"/>
          <w:bCs w:val="1"/>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Reservoir Production Group</w:t>
      </w:r>
      <w:r>
        <w:rPr>
          <w:rFonts w:ascii="Arial" w:cs="Arial" w:eastAsia="Arial" w:hAnsi="Arial"/>
          <w:sz w:val="18"/>
          <w:szCs w:val="18"/>
          <w:color w:val="auto"/>
        </w:rPr>
        <w:t>: Includes Well Services, Completions and Artificial Lift Technologies together with Subsea and Water and Carbon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activities, and the production activities of IPM.</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Groups will collectively be referred to as “Oilfield Services.” Additionally, Schlumberger will also report the distribution business acquired in the Smith transaction as a separate segment.</w:t>
      </w:r>
    </w:p>
    <w:p>
      <w:pPr>
        <w:spacing w:after="0" w:line="62"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above changes will be reflected in the consolidated financial statements and segment reporting beginning in fiscal year 2011, starting with the Form 10-Q for the three months ended March 31, 2011. To provide an additional perspective on these changes, Schlumberger has prepared and furnishes as Exhibit 99.1 to this Form 8-K unaudited pro forma historical consolidated financial information (“Pro Forma Information”) on the basis of the new reporting structure, giving effect to the acquisitions of Smith and Geoservices as if they had occurred on January 1, 2008.</w:t>
      </w:r>
    </w:p>
    <w:p>
      <w:pPr>
        <w:spacing w:after="0" w:line="63"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Pro Forma Information is based on the historical consolidated statements of income of Schlumberger, Smith and Geoservices. The Pro Forma Information has been adjusted to reflect pro forma events that are directly attributable to the transactions and factually supportable. As such, the Pro Forma Information does not reflect any cost savings, operating synergies or revenue enhancements that the combined companies may achieve as a result of the transactions, the costs to integrate the operations of Schlumberger, Smith and Geoservices, or the costs necessary to achieve these cost savings, operating synergies and revenue enhancements.</w:t>
      </w:r>
    </w:p>
    <w:p>
      <w:pPr>
        <w:spacing w:after="0" w:line="8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Pro Forma Information has been presented for informational purposes only and is not necessarily indicative of what the combined companies’ results of operations would have been had the transactions actually been completed as of January 1, 2008. In addition, the Pro Forma Information does not purport to project the future operating results of the combined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Unaudited Pro Forma Historical Consolidated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Howard Guild</w:t>
      </w:r>
    </w:p>
    <w:p>
      <w:pPr>
        <w:spacing w:after="0" w:line="23"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2010</w:t>
      </w:r>
    </w:p>
    <w:p>
      <w:pPr>
        <w:sectPr>
          <w:pgSz w:w="11900" w:h="16838" w:orient="portrait"/>
          <w:cols w:equalWidth="0" w:num="1">
            <w:col w:w="10580"/>
          </w:cols>
          <w:pgMar w:left="240" w:top="1256"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1137920</wp:posOffset>
            </wp:positionV>
            <wp:extent cx="168973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973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900"/>
        <w:spacing w:after="0"/>
        <w:rPr>
          <w:sz w:val="20"/>
          <w:szCs w:val="20"/>
          <w:color w:val="auto"/>
        </w:rPr>
      </w:pPr>
      <w:r>
        <w:rPr>
          <w:rFonts w:ascii="Arial" w:cs="Arial" w:eastAsia="Arial" w:hAnsi="Arial"/>
          <w:sz w:val="54"/>
          <w:szCs w:val="54"/>
          <w:b w:val="1"/>
          <w:bCs w:val="1"/>
          <w:color w:val="17365D"/>
        </w:rPr>
        <w:t>Schlumberger Limited</w:t>
      </w: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Arial" w:cs="Arial" w:eastAsia="Arial" w:hAnsi="Arial"/>
          <w:sz w:val="54"/>
          <w:szCs w:val="54"/>
          <w:b w:val="1"/>
          <w:bCs w:val="1"/>
          <w:color w:val="17365D"/>
        </w:rPr>
        <w:t>Unaudited Pro Forma Historical</w:t>
      </w: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Arial" w:cs="Arial" w:eastAsia="Arial" w:hAnsi="Arial"/>
          <w:sz w:val="54"/>
          <w:szCs w:val="54"/>
          <w:b w:val="1"/>
          <w:bCs w:val="1"/>
          <w:color w:val="17365D"/>
        </w:rPr>
        <w:t>Consolidated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0" w:right="239" w:bottom="1440" w:gutter="0" w:footer="0" w:header="0"/>
        </w:sectPr>
      </w:pPr>
    </w:p>
    <w:bookmarkStart w:id="4" w:name="page5"/>
    <w:bookmarkEnd w:id="4"/>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603250</wp:posOffset>
            </wp:positionV>
            <wp:extent cx="1689735"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973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17365D"/>
        </w:rPr>
        <w:t>Unaudited Pro Forma Historical Consolidated Financial Information</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Schlumberger Limited (“Schlumberger” or the “Company”) currently reports its results on the basis of two business segments, Oilfield Services and WesternGeco, and by geographical areas within Oilfield Services. As a result of the recent acquisitions of Smith International, Inc. (“Smith”) and Geoservices, Schlumberger has reached a point where its coverage of the various activities comprising exploration and production services is so broad that the Company will be changing the primary way in which it allocates resources and assesses performance. Consequently, as previously announced and effective with the first quarter of 2011, Schlumberger will change its primary reporting to product group segments (the “Groups”). Schlumberger believes that this change will give investors a better perspective on the different parts of its business. The Company will also continue to report its results on a geographical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149" w:lineRule="exact"/>
        <w:rPr>
          <w:sz w:val="20"/>
          <w:szCs w:val="20"/>
          <w:color w:val="auto"/>
        </w:rPr>
      </w:pPr>
    </w:p>
    <w:p>
      <w:pPr>
        <w:jc w:val="both"/>
        <w:ind w:left="660" w:hanging="314"/>
        <w:spacing w:after="0" w:line="25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Reservoir Characterization Group: </w:t>
      </w:r>
      <w:r>
        <w:rPr>
          <w:rFonts w:ascii="Arial" w:cs="Arial" w:eastAsia="Arial" w:hAnsi="Arial"/>
          <w:sz w:val="18"/>
          <w:szCs w:val="18"/>
          <w:color w:val="auto"/>
        </w:rPr>
        <w:t>This group will consist of the principal Technologies involved in the finding and defining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hydrocarbon deposits. These include WesternGeco, Wireline, Well Testing, Schlumberger Information Services, and Data &amp; Consulting Services.</w:t>
      </w:r>
    </w:p>
    <w:p>
      <w:pPr>
        <w:spacing w:after="0" w:line="74" w:lineRule="exact"/>
        <w:rPr>
          <w:rFonts w:ascii="Arial" w:cs="Arial" w:eastAsia="Arial" w:hAnsi="Arial"/>
          <w:sz w:val="18"/>
          <w:szCs w:val="18"/>
          <w:b w:val="1"/>
          <w:bCs w:val="1"/>
          <w:color w:val="auto"/>
        </w:rPr>
      </w:pPr>
    </w:p>
    <w:p>
      <w:pPr>
        <w:ind w:left="660" w:hanging="314"/>
        <w:spacing w:after="0" w:line="27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This group will be comprised of Bits &amp; Advanced Technologies, M-I SWACO, Geoservices, Drilling &amp; Measurements,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PathFinder, Drilling Tools &amp; Remedial Services, Dynamic Pressure Management and IPM well construction projects.</w:t>
      </w:r>
    </w:p>
    <w:p>
      <w:pPr>
        <w:spacing w:after="0" w:line="59" w:lineRule="exact"/>
        <w:rPr>
          <w:rFonts w:ascii="Arial" w:cs="Arial" w:eastAsia="Arial" w:hAnsi="Arial"/>
          <w:sz w:val="18"/>
          <w:szCs w:val="18"/>
          <w:b w:val="1"/>
          <w:bCs w:val="1"/>
          <w:color w:val="auto"/>
        </w:rPr>
      </w:pPr>
    </w:p>
    <w:p>
      <w:pPr>
        <w:ind w:left="660" w:hanging="314"/>
        <w:spacing w:after="0" w:line="27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Reservoir Production Group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Well Services, Completions and Artificial Lift Technologies together with Subsea and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Carbon Services activities, and the production activities of IPM.</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Groups will collectively be referred to as “Oilfield Services.” Additionally, Schlumberger will also report the distribution business acquired in the Smith transaction, as a separate segment.</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above changes will be reflected in the consolidated financial statements and segment reporting beginning in fiscal year 2011, starting with the Form 10-Q for the three months ended March 31, 2011. To provide additional perspective on these changes, Schlumberger has prepared the accompanying unaudited pro forma historical consolidated financial information (“Pro Forma Information”) on the basis of the new reporting structure, giving effect to the acquisitions of Smith and Geoservices as if they had occurred on January 1, 2008.</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 Forma Information is based on the historical consolidated statements of income of Schlumberger, Smith and Geoservices. The Pro Forma Information has been adjusted to reflect pro forma events that are directly attributable to the transactions and factually supportable. As such, the Pro Forma Information does not reflect any cost savings, operating synergies or revenue enhancements that the combined companies may achieve as a result of the transactions, the costs to integrate the operations of Schlumberger, Smith and Geoservices, or the costs necessary to achieve these cost savings, operating synergies and revenue enhancements.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 Forma Information has been presented for informational purposes only and is not necessarily indicative of what the combined company’s results of operations would have been had the transactions actually been completed as of January 1, 2008. In addition, the Pro Forma Information does not purport to project the future operating results of the combined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3416300</wp:posOffset>
            </wp:positionH>
            <wp:positionV relativeFrom="page">
              <wp:posOffset>603250</wp:posOffset>
            </wp:positionV>
            <wp:extent cx="72898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8980" cy="205740"/>
                    </a:xfrm>
                    <a:prstGeom prst="rect">
                      <a:avLst/>
                    </a:prstGeom>
                    <a:noFill/>
                  </pic:spPr>
                </pic:pic>
              </a:graphicData>
            </a:graphic>
          </wp:anchor>
        </w:drawing>
        <w:t>2008 UNAUDITED PRO FORMA HISTORICAL CONSOLIDATED FINANCIAL INFORMATION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(Stated in millions, except per share amounts)</w:t>
      </w:r>
    </w:p>
    <w:p>
      <w:pPr>
        <w:spacing w:after="0" w:line="145" w:lineRule="exact"/>
        <w:rPr>
          <w:sz w:val="20"/>
          <w:szCs w:val="20"/>
          <w:color w:val="auto"/>
        </w:rPr>
      </w:pPr>
    </w:p>
    <w:p>
      <w:pPr>
        <w:jc w:val="center"/>
        <w:ind w:right="60"/>
        <w:spacing w:after="0"/>
        <w:tabs>
          <w:tab w:leader="none" w:pos="140" w:val="left"/>
          <w:tab w:leader="none" w:pos="120" w:val="left"/>
          <w:tab w:leader="none" w:pos="120" w:val="left"/>
        </w:tabs>
        <w:rPr>
          <w:sz w:val="20"/>
          <w:szCs w:val="20"/>
          <w:color w:val="auto"/>
        </w:rPr>
      </w:pPr>
      <w:r>
        <w:rPr>
          <w:rFonts w:ascii="Arial" w:cs="Arial" w:eastAsia="Arial" w:hAnsi="Arial"/>
          <w:sz w:val="13"/>
          <w:szCs w:val="13"/>
          <w:b w:val="1"/>
          <w:bCs w:val="1"/>
          <w:color w:val="FFFFFF"/>
        </w:rPr>
        <w:t>2 0 0 8</w:t>
        <w:tab/>
        <w:t>B Y</w:t>
        <w:tab/>
        <w:t>B U S I N E S S</w:t>
        <w:tab/>
        <w:t>G R O U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04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497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9"/>
        </w:trPr>
        <w:tc>
          <w:tcPr>
            <w:tcW w:w="3320" w:type="dxa"/>
            <w:vAlign w:val="bottom"/>
            <w:tcBorders>
              <w:top w:val="single" w:sz="8" w:color="auto"/>
            </w:tcBorders>
          </w:tcPr>
          <w:p>
            <w:pPr>
              <w:spacing w:after="0"/>
              <w:rPr>
                <w:sz w:val="11"/>
                <w:szCs w:val="11"/>
                <w:color w:val="auto"/>
              </w:rPr>
            </w:pPr>
          </w:p>
        </w:tc>
        <w:tc>
          <w:tcPr>
            <w:tcW w:w="140" w:type="dxa"/>
            <w:vAlign w:val="bottom"/>
            <w:tcBorders>
              <w:top w:val="single" w:sz="8" w:color="auto"/>
              <w:right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ind w:left="420"/>
              <w:spacing w:after="0" w:line="129" w:lineRule="exact"/>
              <w:rPr>
                <w:sz w:val="20"/>
                <w:szCs w:val="20"/>
                <w:color w:val="auto"/>
              </w:rPr>
            </w:pPr>
            <w:r>
              <w:rPr>
                <w:rFonts w:ascii="Arial" w:cs="Arial" w:eastAsia="Arial" w:hAnsi="Arial"/>
                <w:sz w:val="13"/>
                <w:szCs w:val="13"/>
                <w:b w:val="1"/>
                <w:bCs w:val="1"/>
                <w:color w:val="auto"/>
              </w:rPr>
              <w:t>Q1</w:t>
            </w: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right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400"/>
              <w:spacing w:after="0" w:line="129" w:lineRule="exact"/>
              <w:rPr>
                <w:sz w:val="20"/>
                <w:szCs w:val="20"/>
                <w:color w:val="auto"/>
              </w:rPr>
            </w:pPr>
            <w:r>
              <w:rPr>
                <w:rFonts w:ascii="Arial" w:cs="Arial" w:eastAsia="Arial" w:hAnsi="Arial"/>
                <w:sz w:val="13"/>
                <w:szCs w:val="13"/>
                <w:b w:val="1"/>
                <w:bCs w:val="1"/>
                <w:color w:val="auto"/>
                <w:w w:val="91"/>
              </w:rPr>
              <w:t>Q2</w:t>
            </w: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right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Q3</w:t>
            </w: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right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Q4</w:t>
            </w: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right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ind w:left="360"/>
              <w:spacing w:after="0" w:line="129" w:lineRule="exact"/>
              <w:rPr>
                <w:sz w:val="20"/>
                <w:szCs w:val="20"/>
                <w:color w:val="auto"/>
              </w:rPr>
            </w:pPr>
            <w:r>
              <w:rPr>
                <w:rFonts w:ascii="Arial" w:cs="Arial" w:eastAsia="Arial" w:hAnsi="Arial"/>
                <w:sz w:val="13"/>
                <w:szCs w:val="13"/>
                <w:b w:val="1"/>
                <w:bCs w:val="1"/>
                <w:color w:val="auto"/>
                <w:w w:val="92"/>
              </w:rPr>
              <w:t>Year</w:t>
            </w: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Revenue</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w w:val="97"/>
              </w:rPr>
              <w:t>Pretax</w:t>
            </w:r>
          </w:p>
        </w:tc>
        <w:tc>
          <w:tcPr>
            <w:tcW w:w="7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9"/>
                <w:szCs w:val="9"/>
                <w:color w:val="auto"/>
              </w:rPr>
            </w:pPr>
          </w:p>
        </w:tc>
        <w:tc>
          <w:tcPr>
            <w:tcW w:w="720" w:type="dxa"/>
            <w:vAlign w:val="bottom"/>
            <w:tcBorders>
              <w:right w:val="single" w:sz="8" w:color="auto"/>
            </w:tcBorders>
            <w:gridSpan w:val="2"/>
          </w:tcPr>
          <w:p>
            <w:pPr>
              <w:jc w:val="right"/>
              <w:ind w:right="17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9"/>
                <w:szCs w:val="9"/>
                <w:color w:val="auto"/>
              </w:rPr>
            </w:pPr>
          </w:p>
        </w:tc>
        <w:tc>
          <w:tcPr>
            <w:tcW w:w="72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Pretax</w:t>
            </w:r>
          </w:p>
        </w:tc>
        <w:tc>
          <w:tcPr>
            <w:tcW w:w="0" w:type="dxa"/>
            <w:vAlign w:val="bottom"/>
          </w:tcPr>
          <w:p>
            <w:pPr>
              <w:spacing w:after="0"/>
              <w:rPr>
                <w:sz w:val="1"/>
                <w:szCs w:val="1"/>
                <w:color w:val="auto"/>
              </w:rPr>
            </w:pPr>
          </w:p>
        </w:tc>
      </w:tr>
      <w:tr>
        <w:trPr>
          <w:trHeight w:val="101"/>
        </w:trPr>
        <w:tc>
          <w:tcPr>
            <w:tcW w:w="33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gridSpan w:val="3"/>
            <w:vMerge w:val="restart"/>
          </w:tcPr>
          <w:p>
            <w:pPr>
              <w:jc w:val="right"/>
              <w:ind w:right="160"/>
              <w:spacing w:after="0"/>
              <w:rPr>
                <w:sz w:val="20"/>
                <w:szCs w:val="20"/>
                <w:color w:val="auto"/>
              </w:rPr>
            </w:pPr>
            <w:r>
              <w:rPr>
                <w:rFonts w:ascii="Arial" w:cs="Arial" w:eastAsia="Arial" w:hAnsi="Arial"/>
                <w:sz w:val="13"/>
                <w:szCs w:val="13"/>
                <w:b w:val="1"/>
                <w:bCs w:val="1"/>
                <w:color w:val="auto"/>
              </w:rPr>
              <w:t>Income</w:t>
            </w:r>
          </w:p>
        </w:tc>
        <w:tc>
          <w:tcPr>
            <w:tcW w:w="78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Income</w:t>
            </w:r>
          </w:p>
        </w:tc>
        <w:tc>
          <w:tcPr>
            <w:tcW w:w="8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64"/>
        </w:trPr>
        <w:tc>
          <w:tcPr>
            <w:tcW w:w="33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3"/>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Resevoir Characterization</w:t>
            </w:r>
          </w:p>
        </w:tc>
        <w:tc>
          <w:tcPr>
            <w:tcW w:w="140" w:type="dxa"/>
            <w:vAlign w:val="bottom"/>
            <w:tcBorders>
              <w:right w:val="single" w:sz="8" w:color="auto"/>
            </w:tcBorders>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2,684</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right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866</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2,823</w:t>
            </w:r>
          </w:p>
        </w:tc>
        <w:tc>
          <w:tcPr>
            <w:tcW w:w="40" w:type="dxa"/>
            <w:vAlign w:val="bottom"/>
          </w:tcPr>
          <w:p>
            <w:pPr>
              <w:spacing w:after="0"/>
              <w:rPr>
                <w:sz w:val="11"/>
                <w:szCs w:val="11"/>
                <w:color w:val="auto"/>
              </w:rPr>
            </w:pPr>
          </w:p>
        </w:tc>
        <w:tc>
          <w:tcPr>
            <w:tcW w:w="1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926</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3,106</w:t>
            </w:r>
          </w:p>
        </w:tc>
        <w:tc>
          <w:tcPr>
            <w:tcW w:w="2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1,086</w:t>
            </w:r>
          </w:p>
        </w:tc>
        <w:tc>
          <w:tcPr>
            <w:tcW w:w="1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2,832</w:t>
            </w:r>
          </w:p>
        </w:tc>
        <w:tc>
          <w:tcPr>
            <w:tcW w:w="22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819</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11,445</w:t>
            </w:r>
          </w:p>
        </w:tc>
        <w:tc>
          <w:tcPr>
            <w:tcW w:w="40" w:type="dxa"/>
            <w:vAlign w:val="bottom"/>
          </w:tcPr>
          <w:p>
            <w:pPr>
              <w:spacing w:after="0"/>
              <w:rPr>
                <w:sz w:val="11"/>
                <w:szCs w:val="11"/>
                <w:color w:val="auto"/>
              </w:rPr>
            </w:pPr>
          </w:p>
        </w:tc>
        <w:tc>
          <w:tcPr>
            <w:tcW w:w="1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340"/>
              <w:spacing w:after="0" w:line="135" w:lineRule="exact"/>
              <w:rPr>
                <w:sz w:val="20"/>
                <w:szCs w:val="20"/>
                <w:color w:val="auto"/>
              </w:rPr>
            </w:pPr>
            <w:r>
              <w:rPr>
                <w:rFonts w:ascii="Arial" w:cs="Arial" w:eastAsia="Arial" w:hAnsi="Arial"/>
                <w:sz w:val="13"/>
                <w:szCs w:val="13"/>
                <w:b w:val="1"/>
                <w:bCs w:val="1"/>
                <w:color w:val="auto"/>
              </w:rPr>
              <w:t>Resevoir Production</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2,136</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412</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2,299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454</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2,506</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491</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2,571</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468</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9,512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Drilling</w:t>
            </w: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3,314</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764</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3,552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889</w:t>
            </w:r>
          </w:p>
        </w:tc>
        <w:tc>
          <w:tcPr>
            <w:tcW w:w="24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3,797</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872</w:t>
            </w:r>
          </w:p>
        </w:tc>
        <w:tc>
          <w:tcPr>
            <w:tcW w:w="180" w:type="dxa"/>
            <w:vAlign w:val="bottom"/>
          </w:tcPr>
          <w:p>
            <w:pPr>
              <w:spacing w:after="0"/>
              <w:rPr>
                <w:sz w:val="11"/>
                <w:szCs w:val="11"/>
                <w:color w:val="auto"/>
              </w:rPr>
            </w:pPr>
          </w:p>
        </w:tc>
        <w:tc>
          <w:tcPr>
            <w:tcW w:w="6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3,788</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768</w:t>
            </w:r>
          </w:p>
        </w:tc>
        <w:tc>
          <w:tcPr>
            <w:tcW w:w="24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14,451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3,293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bottom w:val="single" w:sz="8" w:color="CCEEFF"/>
              <w:right w:val="single" w:sz="8" w:color="CCEEFF"/>
            </w:tcBorders>
            <w:shd w:val="clear" w:color="auto" w:fill="CCEEFF"/>
          </w:tcPr>
          <w:p>
            <w:pPr>
              <w:ind w:left="34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140" w:type="dxa"/>
            <w:vAlign w:val="bottom"/>
            <w:tcBorders>
              <w:bottom w:val="single" w:sz="8" w:color="CCEEFF"/>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w:t>
            </w:r>
          </w:p>
        </w:tc>
        <w:tc>
          <w:tcPr>
            <w:tcW w:w="120" w:type="dxa"/>
            <w:vAlign w:val="bottom"/>
            <w:tcBorders>
              <w:bottom w:val="single" w:sz="8" w:color="auto"/>
              <w:right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(23)</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w:t>
            </w:r>
          </w:p>
        </w:tc>
        <w:tc>
          <w:tcPr>
            <w:tcW w:w="2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w:t>
            </w: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(29)</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right w:val="single" w:sz="8" w:color="auto"/>
            </w:tcBorders>
            <w:shd w:val="clear" w:color="auto" w:fill="CCEEFF"/>
          </w:tcPr>
          <w:p>
            <w:pPr>
              <w:jc w:val="right"/>
              <w:ind w:right="397"/>
              <w:spacing w:after="0" w:line="135" w:lineRule="exact"/>
              <w:rPr>
                <w:sz w:val="20"/>
                <w:szCs w:val="20"/>
                <w:color w:val="auto"/>
              </w:rPr>
            </w:pPr>
            <w:r>
              <w:rPr>
                <w:rFonts w:ascii="Arial" w:cs="Arial" w:eastAsia="Arial" w:hAnsi="Arial"/>
                <w:sz w:val="13"/>
                <w:szCs w:val="13"/>
                <w:b w:val="1"/>
                <w:bCs w:val="1"/>
                <w:color w:val="auto"/>
              </w:rPr>
              <w:t>23</w:t>
            </w: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48</w:t>
            </w: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(70)</w:t>
            </w:r>
          </w:p>
        </w:tc>
        <w:tc>
          <w:tcPr>
            <w:tcW w:w="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8,147</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8,680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2,251</w:t>
            </w:r>
          </w:p>
        </w:tc>
        <w:tc>
          <w:tcPr>
            <w:tcW w:w="24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9,415</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2,420</w:t>
            </w:r>
          </w:p>
        </w:tc>
        <w:tc>
          <w:tcPr>
            <w:tcW w:w="180" w:type="dxa"/>
            <w:vAlign w:val="bottom"/>
          </w:tcPr>
          <w:p>
            <w:pPr>
              <w:spacing w:after="0"/>
              <w:rPr>
                <w:sz w:val="11"/>
                <w:szCs w:val="11"/>
                <w:color w:val="auto"/>
              </w:rPr>
            </w:pPr>
          </w:p>
        </w:tc>
        <w:tc>
          <w:tcPr>
            <w:tcW w:w="640" w:type="dxa"/>
            <w:vAlign w:val="bottom"/>
            <w:tcBorders>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9,214</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2,055</w:t>
            </w:r>
          </w:p>
        </w:tc>
        <w:tc>
          <w:tcPr>
            <w:tcW w:w="24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35,456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8,745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bottom w:val="single" w:sz="8" w:color="CCEEFF"/>
              <w:right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140" w:type="dxa"/>
            <w:vAlign w:val="bottom"/>
            <w:tcBorders>
              <w:bottom w:val="single" w:sz="8" w:color="CCEEFF"/>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568</w:t>
            </w:r>
          </w:p>
        </w:tc>
        <w:tc>
          <w:tcPr>
            <w:tcW w:w="120" w:type="dxa"/>
            <w:vAlign w:val="bottom"/>
            <w:tcBorders>
              <w:bottom w:val="single" w:sz="8" w:color="auto"/>
              <w:right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30</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616</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37</w:t>
            </w:r>
          </w:p>
        </w:tc>
        <w:tc>
          <w:tcPr>
            <w:tcW w:w="2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761</w:t>
            </w: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62</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794</w:t>
            </w: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52</w:t>
            </w:r>
          </w:p>
        </w:tc>
        <w:tc>
          <w:tcPr>
            <w:tcW w:w="2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2,739</w:t>
            </w: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181</w:t>
            </w:r>
          </w:p>
        </w:tc>
        <w:tc>
          <w:tcPr>
            <w:tcW w:w="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8,715</w:t>
            </w:r>
          </w:p>
        </w:tc>
        <w:tc>
          <w:tcPr>
            <w:tcW w:w="120" w:type="dxa"/>
            <w:vAlign w:val="bottom"/>
            <w:tcBorders>
              <w:bottom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2,049</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9,296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2,288</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10,176</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2,482</w:t>
            </w:r>
          </w:p>
        </w:tc>
        <w:tc>
          <w:tcPr>
            <w:tcW w:w="18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10,008</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2,107</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38,195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8,926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340"/>
              <w:spacing w:after="0" w:line="135" w:lineRule="exact"/>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(131)</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(119)</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(133)</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(120)</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Interest Income</w:t>
            </w: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37</w:t>
            </w:r>
          </w:p>
        </w:tc>
        <w:tc>
          <w:tcPr>
            <w:tcW w:w="2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22</w:t>
            </w:r>
          </w:p>
        </w:tc>
        <w:tc>
          <w:tcPr>
            <w:tcW w:w="2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28</w:t>
            </w:r>
          </w:p>
        </w:tc>
        <w:tc>
          <w:tcPr>
            <w:tcW w:w="1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w:t>
            </w:r>
          </w:p>
        </w:tc>
        <w:tc>
          <w:tcPr>
            <w:tcW w:w="2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34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(67)</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(70)</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(77)</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(278)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(145)</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(145)</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Income before Tax and Noncontrolling Interests</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1,888</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2,127</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2,307</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1,790</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8,112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Tax Expense</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(429)</w:t>
            </w:r>
          </w:p>
        </w:tc>
        <w:tc>
          <w:tcPr>
            <w:tcW w:w="2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(508)</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(561)</w:t>
            </w:r>
          </w:p>
        </w:tc>
        <w:tc>
          <w:tcPr>
            <w:tcW w:w="1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(457)</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(1,955)</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1,459</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1,619</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1,746</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1,333</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6,157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1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(51)</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CCEEFF"/>
              <w:right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Schlumberger Income from Continuing Operations</w:t>
            </w:r>
          </w:p>
        </w:tc>
        <w:tc>
          <w:tcPr>
            <w:tcW w:w="14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1,445</w:t>
            </w:r>
          </w:p>
        </w:tc>
        <w:tc>
          <w:tcPr>
            <w:tcW w:w="24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1,609</w:t>
            </w:r>
          </w:p>
        </w:tc>
        <w:tc>
          <w:tcPr>
            <w:tcW w:w="24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1,726</w:t>
            </w:r>
          </w:p>
        </w:tc>
        <w:tc>
          <w:tcPr>
            <w:tcW w:w="1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1,326</w:t>
            </w:r>
          </w:p>
        </w:tc>
        <w:tc>
          <w:tcPr>
            <w:tcW w:w="24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6,106</w:t>
            </w:r>
          </w:p>
        </w:tc>
        <w:tc>
          <w:tcPr>
            <w:tcW w:w="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gridSpan w:val="3"/>
          </w:tcPr>
          <w:p>
            <w:pPr>
              <w:spacing w:after="0"/>
              <w:rPr>
                <w:sz w:val="2"/>
                <w:szCs w:val="2"/>
                <w:color w:val="auto"/>
              </w:rPr>
            </w:pPr>
          </w:p>
        </w:tc>
        <w:tc>
          <w:tcPr>
            <w:tcW w:w="84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spacing w:after="0"/>
              <w:rPr>
                <w:sz w:val="24"/>
                <w:szCs w:val="24"/>
                <w:color w:val="auto"/>
              </w:rPr>
            </w:pPr>
          </w:p>
        </w:tc>
        <w:tc>
          <w:tcPr>
            <w:tcW w:w="880" w:type="dxa"/>
            <w:vAlign w:val="bottom"/>
            <w:tcBorders>
              <w:bottom w:val="single" w:sz="8" w:color="auto"/>
            </w:tcBorders>
            <w:gridSpan w:val="3"/>
          </w:tcPr>
          <w:p>
            <w:pPr>
              <w:spacing w:after="0"/>
              <w:rPr>
                <w:sz w:val="24"/>
                <w:szCs w:val="24"/>
                <w:color w:val="auto"/>
              </w:rPr>
            </w:pPr>
          </w:p>
        </w:tc>
        <w:tc>
          <w:tcPr>
            <w:tcW w:w="76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000080"/>
            </w:tcBorders>
            <w:shd w:val="clear" w:color="auto" w:fill="000080"/>
          </w:tcPr>
          <w:p>
            <w:pPr>
              <w:spacing w:after="0"/>
              <w:rPr>
                <w:sz w:val="11"/>
                <w:szCs w:val="11"/>
                <w:color w:val="auto"/>
              </w:rPr>
            </w:pPr>
          </w:p>
        </w:tc>
        <w:tc>
          <w:tcPr>
            <w:tcW w:w="140" w:type="dxa"/>
            <w:vAlign w:val="bottom"/>
            <w:tcBorders>
              <w:bottom w:val="single" w:sz="8" w:color="auto"/>
              <w:right w:val="single" w:sz="8" w:color="000080"/>
            </w:tcBorders>
            <w:shd w:val="clear" w:color="auto" w:fill="000080"/>
          </w:tcPr>
          <w:p>
            <w:pPr>
              <w:spacing w:after="0"/>
              <w:rPr>
                <w:sz w:val="11"/>
                <w:szCs w:val="11"/>
                <w:color w:val="auto"/>
              </w:rPr>
            </w:pPr>
          </w:p>
        </w:tc>
        <w:tc>
          <w:tcPr>
            <w:tcW w:w="240" w:type="dxa"/>
            <w:vAlign w:val="bottom"/>
            <w:tcBorders>
              <w:bottom w:val="single" w:sz="8" w:color="auto"/>
            </w:tcBorders>
            <w:shd w:val="clear" w:color="auto" w:fill="000080"/>
          </w:tcPr>
          <w:p>
            <w:pPr>
              <w:spacing w:after="0"/>
              <w:rPr>
                <w:sz w:val="11"/>
                <w:szCs w:val="11"/>
                <w:color w:val="auto"/>
              </w:rPr>
            </w:pPr>
          </w:p>
        </w:tc>
        <w:tc>
          <w:tcPr>
            <w:tcW w:w="480" w:type="dxa"/>
            <w:vAlign w:val="bottom"/>
            <w:tcBorders>
              <w:bottom w:val="single" w:sz="8" w:color="auto"/>
              <w:right w:val="single" w:sz="8" w:color="000080"/>
            </w:tcBorders>
            <w:shd w:val="clear" w:color="auto" w:fill="000080"/>
          </w:tcPr>
          <w:p>
            <w:pPr>
              <w:spacing w:after="0"/>
              <w:rPr>
                <w:sz w:val="11"/>
                <w:szCs w:val="11"/>
                <w:color w:val="auto"/>
              </w:rPr>
            </w:pPr>
          </w:p>
        </w:tc>
        <w:tc>
          <w:tcPr>
            <w:tcW w:w="3260" w:type="dxa"/>
            <w:vAlign w:val="bottom"/>
            <w:tcBorders>
              <w:bottom w:val="single" w:sz="8" w:color="auto"/>
              <w:right w:val="single" w:sz="8" w:color="000080"/>
            </w:tcBorders>
            <w:gridSpan w:val="12"/>
            <w:shd w:val="clear" w:color="auto" w:fill="000080"/>
          </w:tcPr>
          <w:p>
            <w:pPr>
              <w:jc w:val="right"/>
              <w:ind w:right="217"/>
              <w:spacing w:after="0" w:line="129" w:lineRule="exact"/>
              <w:rPr>
                <w:sz w:val="20"/>
                <w:szCs w:val="20"/>
                <w:color w:val="auto"/>
              </w:rPr>
            </w:pPr>
            <w:r>
              <w:rPr>
                <w:rFonts w:ascii="Arial" w:cs="Arial" w:eastAsia="Arial" w:hAnsi="Arial"/>
                <w:sz w:val="13"/>
                <w:szCs w:val="13"/>
                <w:b w:val="1"/>
                <w:bCs w:val="1"/>
                <w:color w:val="FFFFFF"/>
              </w:rPr>
              <w:t>2 0 0 8  B Y  G E O G R A P H I C  A R E A</w:t>
            </w:r>
          </w:p>
        </w:tc>
        <w:tc>
          <w:tcPr>
            <w:tcW w:w="220" w:type="dxa"/>
            <w:vAlign w:val="bottom"/>
            <w:tcBorders>
              <w:bottom w:val="single" w:sz="8" w:color="auto"/>
            </w:tcBorders>
            <w:shd w:val="clear" w:color="auto" w:fill="000080"/>
          </w:tcPr>
          <w:p>
            <w:pPr>
              <w:spacing w:after="0"/>
              <w:rPr>
                <w:sz w:val="11"/>
                <w:szCs w:val="11"/>
                <w:color w:val="auto"/>
              </w:rPr>
            </w:pPr>
          </w:p>
        </w:tc>
        <w:tc>
          <w:tcPr>
            <w:tcW w:w="560" w:type="dxa"/>
            <w:vAlign w:val="bottom"/>
            <w:tcBorders>
              <w:bottom w:val="single" w:sz="8" w:color="auto"/>
              <w:right w:val="single" w:sz="8" w:color="000080"/>
            </w:tcBorders>
            <w:shd w:val="clear" w:color="auto" w:fill="000080"/>
          </w:tcPr>
          <w:p>
            <w:pPr>
              <w:spacing w:after="0"/>
              <w:rPr>
                <w:sz w:val="11"/>
                <w:szCs w:val="11"/>
                <w:color w:val="auto"/>
              </w:rPr>
            </w:pPr>
          </w:p>
        </w:tc>
        <w:tc>
          <w:tcPr>
            <w:tcW w:w="180" w:type="dxa"/>
            <w:vAlign w:val="bottom"/>
            <w:tcBorders>
              <w:bottom w:val="single" w:sz="8" w:color="auto"/>
            </w:tcBorders>
            <w:shd w:val="clear" w:color="auto" w:fill="000080"/>
          </w:tcPr>
          <w:p>
            <w:pPr>
              <w:spacing w:after="0"/>
              <w:rPr>
                <w:sz w:val="11"/>
                <w:szCs w:val="11"/>
                <w:color w:val="auto"/>
              </w:rPr>
            </w:pPr>
          </w:p>
        </w:tc>
        <w:tc>
          <w:tcPr>
            <w:tcW w:w="640" w:type="dxa"/>
            <w:vAlign w:val="bottom"/>
            <w:tcBorders>
              <w:bottom w:val="single" w:sz="8" w:color="auto"/>
              <w:right w:val="single" w:sz="8" w:color="000080"/>
            </w:tcBorders>
            <w:shd w:val="clear" w:color="auto" w:fill="000080"/>
          </w:tcPr>
          <w:p>
            <w:pPr>
              <w:spacing w:after="0"/>
              <w:rPr>
                <w:sz w:val="11"/>
                <w:szCs w:val="11"/>
                <w:color w:val="auto"/>
              </w:rPr>
            </w:pPr>
          </w:p>
        </w:tc>
        <w:tc>
          <w:tcPr>
            <w:tcW w:w="220" w:type="dxa"/>
            <w:vAlign w:val="bottom"/>
            <w:tcBorders>
              <w:bottom w:val="single" w:sz="8" w:color="auto"/>
            </w:tcBorders>
            <w:shd w:val="clear" w:color="auto" w:fill="000080"/>
          </w:tcPr>
          <w:p>
            <w:pPr>
              <w:spacing w:after="0"/>
              <w:rPr>
                <w:sz w:val="11"/>
                <w:szCs w:val="11"/>
                <w:color w:val="auto"/>
              </w:rPr>
            </w:pPr>
          </w:p>
        </w:tc>
        <w:tc>
          <w:tcPr>
            <w:tcW w:w="560" w:type="dxa"/>
            <w:vAlign w:val="bottom"/>
            <w:tcBorders>
              <w:bottom w:val="single" w:sz="8" w:color="auto"/>
              <w:right w:val="single" w:sz="8" w:color="000080"/>
            </w:tcBorders>
            <w:shd w:val="clear" w:color="auto" w:fill="000080"/>
          </w:tcPr>
          <w:p>
            <w:pPr>
              <w:spacing w:after="0"/>
              <w:rPr>
                <w:sz w:val="11"/>
                <w:szCs w:val="11"/>
                <w:color w:val="auto"/>
              </w:rPr>
            </w:pPr>
          </w:p>
        </w:tc>
        <w:tc>
          <w:tcPr>
            <w:tcW w:w="240" w:type="dxa"/>
            <w:vAlign w:val="bottom"/>
            <w:tcBorders>
              <w:bottom w:val="single" w:sz="8" w:color="auto"/>
            </w:tcBorders>
            <w:shd w:val="clear" w:color="auto" w:fill="000080"/>
          </w:tcPr>
          <w:p>
            <w:pPr>
              <w:spacing w:after="0"/>
              <w:rPr>
                <w:sz w:val="11"/>
                <w:szCs w:val="11"/>
                <w:color w:val="auto"/>
              </w:rPr>
            </w:pPr>
          </w:p>
        </w:tc>
        <w:tc>
          <w:tcPr>
            <w:tcW w:w="600" w:type="dxa"/>
            <w:vAlign w:val="bottom"/>
            <w:tcBorders>
              <w:bottom w:val="single" w:sz="8" w:color="auto"/>
              <w:right w:val="single" w:sz="8" w:color="000080"/>
            </w:tcBorders>
            <w:shd w:val="clear" w:color="auto" w:fill="000080"/>
          </w:tcPr>
          <w:p>
            <w:pPr>
              <w:spacing w:after="0"/>
              <w:rPr>
                <w:sz w:val="11"/>
                <w:szCs w:val="11"/>
                <w:color w:val="auto"/>
              </w:rPr>
            </w:pPr>
          </w:p>
        </w:tc>
        <w:tc>
          <w:tcPr>
            <w:tcW w:w="40" w:type="dxa"/>
            <w:vAlign w:val="bottom"/>
            <w:tcBorders>
              <w:bottom w:val="single" w:sz="8" w:color="auto"/>
            </w:tcBorders>
            <w:shd w:val="clear" w:color="auto" w:fill="000080"/>
          </w:tcPr>
          <w:p>
            <w:pPr>
              <w:spacing w:after="0"/>
              <w:rPr>
                <w:sz w:val="11"/>
                <w:szCs w:val="11"/>
                <w:color w:val="auto"/>
              </w:rPr>
            </w:pPr>
          </w:p>
        </w:tc>
        <w:tc>
          <w:tcPr>
            <w:tcW w:w="180" w:type="dxa"/>
            <w:vAlign w:val="bottom"/>
            <w:tcBorders>
              <w:bottom w:val="single" w:sz="8" w:color="auto"/>
            </w:tcBorders>
            <w:shd w:val="clear" w:color="auto" w:fill="000080"/>
          </w:tcPr>
          <w:p>
            <w:pPr>
              <w:spacing w:after="0"/>
              <w:rPr>
                <w:sz w:val="11"/>
                <w:szCs w:val="11"/>
                <w:color w:val="auto"/>
              </w:rPr>
            </w:pPr>
          </w:p>
        </w:tc>
        <w:tc>
          <w:tcPr>
            <w:tcW w:w="500" w:type="dxa"/>
            <w:vAlign w:val="bottom"/>
            <w:tcBorders>
              <w:bottom w:val="single" w:sz="8" w:color="auto"/>
              <w:right w:val="single" w:sz="8" w:color="auto"/>
            </w:tcBorders>
            <w:shd w:val="clear" w:color="auto" w:fill="000080"/>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Q1</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ind w:left="320"/>
              <w:spacing w:after="0" w:line="129" w:lineRule="exact"/>
              <w:rPr>
                <w:sz w:val="20"/>
                <w:szCs w:val="20"/>
                <w:color w:val="auto"/>
              </w:rPr>
            </w:pPr>
            <w:r>
              <w:rPr>
                <w:rFonts w:ascii="Arial" w:cs="Arial" w:eastAsia="Arial" w:hAnsi="Arial"/>
                <w:sz w:val="13"/>
                <w:szCs w:val="13"/>
                <w:b w:val="1"/>
                <w:bCs w:val="1"/>
                <w:color w:val="auto"/>
              </w:rPr>
              <w:t>Q2</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Q3</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Q4</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ind w:left="320"/>
              <w:spacing w:after="0" w:line="129" w:lineRule="exact"/>
              <w:rPr>
                <w:sz w:val="20"/>
                <w:szCs w:val="20"/>
                <w:color w:val="auto"/>
              </w:rPr>
            </w:pPr>
            <w:r>
              <w:rPr>
                <w:rFonts w:ascii="Arial" w:cs="Arial" w:eastAsia="Arial" w:hAnsi="Arial"/>
                <w:sz w:val="13"/>
                <w:szCs w:val="13"/>
                <w:b w:val="1"/>
                <w:bCs w:val="1"/>
                <w:color w:val="auto"/>
              </w:rPr>
              <w:t>Year</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2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9"/>
                <w:szCs w:val="9"/>
                <w:color w:val="auto"/>
              </w:rPr>
            </w:pPr>
          </w:p>
        </w:tc>
        <w:tc>
          <w:tcPr>
            <w:tcW w:w="660" w:type="dxa"/>
            <w:vAlign w:val="bottom"/>
            <w:tcBorders>
              <w:right w:val="single" w:sz="8" w:color="auto"/>
            </w:tcBorders>
            <w:gridSpan w:val="3"/>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100" w:type="dxa"/>
            <w:vAlign w:val="bottom"/>
          </w:tcPr>
          <w:p>
            <w:pPr>
              <w:spacing w:after="0"/>
              <w:rPr>
                <w:sz w:val="9"/>
                <w:szCs w:val="9"/>
                <w:color w:val="auto"/>
              </w:rPr>
            </w:pP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9"/>
                <w:szCs w:val="9"/>
                <w:color w:val="auto"/>
              </w:rPr>
            </w:pPr>
          </w:p>
        </w:tc>
        <w:tc>
          <w:tcPr>
            <w:tcW w:w="720" w:type="dxa"/>
            <w:vAlign w:val="bottom"/>
            <w:tcBorders>
              <w:right w:val="single" w:sz="8" w:color="auto"/>
            </w:tcBorders>
            <w:gridSpan w:val="2"/>
          </w:tcPr>
          <w:p>
            <w:pPr>
              <w:ind w:left="40"/>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ind w:left="100"/>
              <w:spacing w:after="0" w:line="107" w:lineRule="exact"/>
              <w:rPr>
                <w:sz w:val="20"/>
                <w:szCs w:val="20"/>
                <w:color w:val="auto"/>
              </w:rPr>
            </w:pPr>
            <w:r>
              <w:rPr>
                <w:rFonts w:ascii="Arial" w:cs="Arial" w:eastAsia="Arial" w:hAnsi="Arial"/>
                <w:sz w:val="12"/>
                <w:szCs w:val="12"/>
                <w:b w:val="1"/>
                <w:bCs w:val="1"/>
                <w:color w:val="auto"/>
              </w:rPr>
              <w:t>Pretax</w:t>
            </w:r>
          </w:p>
        </w:tc>
        <w:tc>
          <w:tcPr>
            <w:tcW w:w="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ind w:left="100"/>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9"/>
                <w:szCs w:val="9"/>
                <w:color w:val="auto"/>
              </w:rPr>
            </w:pPr>
          </w:p>
        </w:tc>
        <w:tc>
          <w:tcPr>
            <w:tcW w:w="680" w:type="dxa"/>
            <w:vAlign w:val="bottom"/>
            <w:tcBorders>
              <w:right w:val="single" w:sz="8" w:color="auto"/>
            </w:tcBorders>
            <w:gridSpan w:val="2"/>
          </w:tcPr>
          <w:p>
            <w:pPr>
              <w:ind w:left="40"/>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2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8"/>
                <w:szCs w:val="8"/>
                <w:color w:val="auto"/>
              </w:rPr>
            </w:pPr>
          </w:p>
        </w:tc>
        <w:tc>
          <w:tcPr>
            <w:tcW w:w="78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Income</w:t>
            </w:r>
          </w:p>
        </w:tc>
        <w:tc>
          <w:tcPr>
            <w:tcW w:w="8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320" w:type="dxa"/>
            <w:vAlign w:val="bottom"/>
            <w:tcBorders>
              <w:left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gridSpan w:val="3"/>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North America</w:t>
            </w:r>
          </w:p>
        </w:tc>
        <w:tc>
          <w:tcPr>
            <w:tcW w:w="3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2,306</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4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593</w:t>
            </w:r>
          </w:p>
        </w:tc>
        <w:tc>
          <w:tcPr>
            <w:tcW w:w="10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2,294</w:t>
            </w:r>
          </w:p>
        </w:tc>
        <w:tc>
          <w:tcPr>
            <w:tcW w:w="4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553</w:t>
            </w:r>
          </w:p>
        </w:tc>
        <w:tc>
          <w:tcPr>
            <w:tcW w:w="2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2,665</w:t>
            </w:r>
          </w:p>
        </w:tc>
        <w:tc>
          <w:tcPr>
            <w:tcW w:w="2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634</w:t>
            </w:r>
          </w:p>
        </w:tc>
        <w:tc>
          <w:tcPr>
            <w:tcW w:w="1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2,818</w:t>
            </w:r>
          </w:p>
        </w:tc>
        <w:tc>
          <w:tcPr>
            <w:tcW w:w="2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636</w:t>
            </w:r>
          </w:p>
        </w:tc>
        <w:tc>
          <w:tcPr>
            <w:tcW w:w="2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10,083</w:t>
            </w:r>
          </w:p>
        </w:tc>
        <w:tc>
          <w:tcPr>
            <w:tcW w:w="40" w:type="dxa"/>
            <w:vAlign w:val="bottom"/>
          </w:tcPr>
          <w:p>
            <w:pPr>
              <w:spacing w:after="0"/>
              <w:rPr>
                <w:sz w:val="11"/>
                <w:szCs w:val="11"/>
                <w:color w:val="auto"/>
              </w:rPr>
            </w:pPr>
          </w:p>
        </w:tc>
        <w:tc>
          <w:tcPr>
            <w:tcW w:w="1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Latin America</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1,197</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222</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1,349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271</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1,446</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267</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1,449</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239</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5,441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Europe/CIS/W.Africa</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2,709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679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2,998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808</w:t>
            </w:r>
          </w:p>
        </w:tc>
        <w:tc>
          <w:tcPr>
            <w:tcW w:w="240" w:type="dxa"/>
            <w:vAlign w:val="bottom"/>
          </w:tcPr>
          <w:p>
            <w:pPr>
              <w:spacing w:after="0"/>
              <w:rPr>
                <w:sz w:val="11"/>
                <w:szCs w:val="11"/>
                <w:color w:val="auto"/>
              </w:rPr>
            </w:pPr>
          </w:p>
        </w:tc>
        <w:tc>
          <w:tcPr>
            <w:tcW w:w="6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3,271</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955</w:t>
            </w:r>
          </w:p>
        </w:tc>
        <w:tc>
          <w:tcPr>
            <w:tcW w:w="180" w:type="dxa"/>
            <w:vAlign w:val="bottom"/>
          </w:tcPr>
          <w:p>
            <w:pPr>
              <w:spacing w:after="0"/>
              <w:rPr>
                <w:sz w:val="11"/>
                <w:szCs w:val="11"/>
                <w:color w:val="auto"/>
              </w:rPr>
            </w:pPr>
          </w:p>
        </w:tc>
        <w:tc>
          <w:tcPr>
            <w:tcW w:w="6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2,877</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629</w:t>
            </w:r>
          </w:p>
        </w:tc>
        <w:tc>
          <w:tcPr>
            <w:tcW w:w="240" w:type="dxa"/>
            <w:vAlign w:val="bottom"/>
          </w:tcPr>
          <w:p>
            <w:pPr>
              <w:spacing w:after="0"/>
              <w:rPr>
                <w:sz w:val="11"/>
                <w:szCs w:val="11"/>
                <w:color w:val="auto"/>
              </w:rPr>
            </w:pPr>
          </w:p>
        </w:tc>
        <w:tc>
          <w:tcPr>
            <w:tcW w:w="6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11,855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3,071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Middle East &amp; Asia</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1,924</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562</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2,032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638</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2,013</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603</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2,045</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558</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8,014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(37)</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7</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(19)</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20</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(39)</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25</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63</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8,147</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8,680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2,251</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9,415</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2,420</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9,214</w:t>
            </w: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2,055</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35,456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10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568</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30</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616</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37</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761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62</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794</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52</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2,739</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shd w:val="clear" w:color="auto" w:fill="CCEEFF"/>
          </w:tcPr>
          <w:p>
            <w:pPr>
              <w:spacing w:after="0"/>
              <w:rPr>
                <w:sz w:val="12"/>
                <w:szCs w:val="12"/>
                <w:color w:val="auto"/>
              </w:rPr>
            </w:pPr>
          </w:p>
        </w:tc>
        <w:tc>
          <w:tcPr>
            <w:tcW w:w="380" w:type="dxa"/>
            <w:vAlign w:val="bottom"/>
            <w:tcBorders>
              <w:bottom w:val="single" w:sz="8" w:color="auto"/>
            </w:tcBorders>
            <w:gridSpan w:val="2"/>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8,715</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2,049</w:t>
            </w:r>
          </w:p>
        </w:tc>
        <w:tc>
          <w:tcPr>
            <w:tcW w:w="100" w:type="dxa"/>
            <w:vAlign w:val="bottom"/>
            <w:tcBorders>
              <w:bottom w:val="single" w:sz="8" w:color="auto"/>
              <w:right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9,296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2,288</w:t>
            </w:r>
          </w:p>
        </w:tc>
        <w:tc>
          <w:tcPr>
            <w:tcW w:w="24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10,176</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2,482</w:t>
            </w:r>
          </w:p>
        </w:tc>
        <w:tc>
          <w:tcPr>
            <w:tcW w:w="18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10,008</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2,107</w:t>
            </w:r>
          </w:p>
        </w:tc>
        <w:tc>
          <w:tcPr>
            <w:tcW w:w="24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38,195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8,926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3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(119)</w:t>
            </w:r>
          </w:p>
        </w:tc>
        <w:tc>
          <w:tcPr>
            <w:tcW w:w="2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(133)</w:t>
            </w:r>
          </w:p>
        </w:tc>
        <w:tc>
          <w:tcPr>
            <w:tcW w:w="1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(120)</w:t>
            </w:r>
          </w:p>
        </w:tc>
        <w:tc>
          <w:tcPr>
            <w:tcW w:w="2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37</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22</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28</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25</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(64)</w:t>
            </w:r>
          </w:p>
        </w:tc>
        <w:tc>
          <w:tcPr>
            <w:tcW w:w="2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(70)</w:t>
            </w:r>
          </w:p>
        </w:tc>
        <w:tc>
          <w:tcPr>
            <w:tcW w:w="1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(77)</w:t>
            </w:r>
          </w:p>
        </w:tc>
        <w:tc>
          <w:tcPr>
            <w:tcW w:w="2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20" w:type="dxa"/>
            <w:vAlign w:val="bottom"/>
            <w:tcBorders>
              <w:bottom w:val="single" w:sz="8" w:color="auto"/>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(145)</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Income before Tax and Noncontrolling Interests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1,888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2,127</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2,307</w:t>
            </w:r>
          </w:p>
        </w:tc>
        <w:tc>
          <w:tcPr>
            <w:tcW w:w="1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1,790</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8,112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20" w:type="dxa"/>
            <w:vAlign w:val="bottom"/>
            <w:tcBorders>
              <w:bottom w:val="single" w:sz="8" w:color="auto"/>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(429)</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(508)</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(561)</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(457)</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Income from Continuing Operations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1,459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1,619</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1,746</w:t>
            </w:r>
          </w:p>
        </w:tc>
        <w:tc>
          <w:tcPr>
            <w:tcW w:w="1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1,333</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20" w:type="dxa"/>
            <w:vAlign w:val="bottom"/>
            <w:tcBorders>
              <w:bottom w:val="single" w:sz="8" w:color="auto"/>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(14)</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(10)</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Schlumberger Income from Continuing Operations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gridSpan w:val="2"/>
          </w:tcPr>
          <w:p>
            <w:pPr>
              <w:ind w:left="100"/>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1,445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1,609</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1,726</w:t>
            </w:r>
          </w:p>
        </w:tc>
        <w:tc>
          <w:tcPr>
            <w:tcW w:w="1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1,326</w:t>
            </w:r>
          </w:p>
        </w:tc>
        <w:tc>
          <w:tcPr>
            <w:tcW w:w="2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6,106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 xml:space="preserve">Average Diluted Shares Outstanding </w:t>
            </w:r>
            <w:r>
              <w:rPr>
                <w:rFonts w:ascii="Arial" w:cs="Arial" w:eastAsia="Arial" w:hAnsi="Arial"/>
                <w:sz w:val="10"/>
                <w:szCs w:val="10"/>
                <w:b w:val="1"/>
                <w:bCs w:val="1"/>
                <w:color w:val="auto"/>
              </w:rPr>
              <w:t>(3)</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1,408</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1,405</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1,400</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1,385</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Diluted Earnings per Share - excluding Charges &amp;</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20" w:type="dxa"/>
            <w:vAlign w:val="bottom"/>
          </w:tcPr>
          <w:p>
            <w:pPr>
              <w:ind w:left="300"/>
              <w:spacing w:after="0"/>
              <w:rPr>
                <w:sz w:val="20"/>
                <w:szCs w:val="20"/>
                <w:color w:val="auto"/>
              </w:rPr>
            </w:pPr>
            <w:r>
              <w:rPr>
                <w:rFonts w:ascii="Arial" w:cs="Arial" w:eastAsia="Arial" w:hAnsi="Arial"/>
                <w:sz w:val="13"/>
                <w:szCs w:val="13"/>
                <w:b w:val="1"/>
                <w:bCs w:val="1"/>
                <w:color w:val="auto"/>
              </w:rPr>
              <w:t xml:space="preserve">Credits </w:t>
            </w:r>
            <w:r>
              <w:rPr>
                <w:rFonts w:ascii="Arial" w:cs="Arial" w:eastAsia="Arial" w:hAnsi="Arial"/>
                <w:sz w:val="10"/>
                <w:szCs w:val="10"/>
                <w:b w:val="1"/>
                <w:bCs w:val="1"/>
                <w:color w:val="auto"/>
              </w:rPr>
              <w:t>(4)</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1.03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1.15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1.23</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1.04</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rPr>
              <w:t>4.46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320" w:type="dxa"/>
            <w:vAlign w:val="bottom"/>
            <w:tcBorders>
              <w:left w:val="single" w:sz="8" w:color="CCEEFF"/>
              <w:right w:val="single" w:sz="8" w:color="CCEEFF"/>
            </w:tcBorders>
            <w:shd w:val="clear" w:color="auto" w:fill="CCEEFF"/>
          </w:tcPr>
          <w:p>
            <w:pPr>
              <w:ind w:left="100"/>
              <w:spacing w:after="0" w:line="113" w:lineRule="exact"/>
              <w:rPr>
                <w:sz w:val="20"/>
                <w:szCs w:val="20"/>
                <w:color w:val="auto"/>
              </w:rPr>
            </w:pPr>
            <w:r>
              <w:rPr>
                <w:rFonts w:ascii="Arial" w:cs="Arial" w:eastAsia="Arial" w:hAnsi="Arial"/>
                <w:sz w:val="13"/>
                <w:szCs w:val="13"/>
                <w:b w:val="1"/>
                <w:bCs w:val="1"/>
                <w:color w:val="auto"/>
              </w:rPr>
              <w:t>Diluted Earnings per Share - including Charges &amp;</w:t>
            </w:r>
          </w:p>
        </w:tc>
        <w:tc>
          <w:tcPr>
            <w:tcW w:w="14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32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 xml:space="preserve">Credits </w:t>
            </w:r>
            <w:r>
              <w:rPr>
                <w:rFonts w:ascii="Arial" w:cs="Arial" w:eastAsia="Arial" w:hAnsi="Arial"/>
                <w:sz w:val="10"/>
                <w:szCs w:val="10"/>
                <w:b w:val="1"/>
                <w:bCs w:val="1"/>
                <w:color w:val="auto"/>
              </w:rPr>
              <w:t>(4)</w:t>
            </w:r>
          </w:p>
        </w:tc>
        <w:tc>
          <w:tcPr>
            <w:tcW w:w="1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1.03</w:t>
            </w:r>
          </w:p>
        </w:tc>
        <w:tc>
          <w:tcPr>
            <w:tcW w:w="10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1.15</w:t>
            </w:r>
          </w:p>
        </w:tc>
        <w:tc>
          <w:tcPr>
            <w:tcW w:w="24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1.23</w:t>
            </w:r>
          </w:p>
        </w:tc>
        <w:tc>
          <w:tcPr>
            <w:tcW w:w="1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0.96</w:t>
            </w:r>
          </w:p>
        </w:tc>
        <w:tc>
          <w:tcPr>
            <w:tcW w:w="24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50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Effective Tax Rate - excluding Charges &amp; Credits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23.9%</w:t>
            </w: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24.3%</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25.0%</w:t>
            </w: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rPr>
              <w:t>24.0%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Effective Tax Rate - including Charges &amp; Credits</w:t>
            </w:r>
          </w:p>
        </w:tc>
        <w:tc>
          <w:tcPr>
            <w:tcW w:w="1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w w:val="92"/>
              </w:rPr>
              <w:t>22.7%</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23.9%</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24.3%</w:t>
            </w:r>
          </w:p>
        </w:tc>
        <w:tc>
          <w:tcPr>
            <w:tcW w:w="1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25.5%</w:t>
            </w:r>
          </w:p>
        </w:tc>
        <w:tc>
          <w:tcPr>
            <w:tcW w:w="24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24.1%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33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3416300</wp:posOffset>
            </wp:positionH>
            <wp:positionV relativeFrom="page">
              <wp:posOffset>620395</wp:posOffset>
            </wp:positionV>
            <wp:extent cx="72898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8980" cy="205740"/>
                    </a:xfrm>
                    <a:prstGeom prst="rect">
                      <a:avLst/>
                    </a:prstGeom>
                    <a:noFill/>
                  </pic:spPr>
                </pic:pic>
              </a:graphicData>
            </a:graphic>
          </wp:anchor>
        </w:drawing>
        <w:t>2009 UNAUDITED PRO FORMA HISTORICAL CONSOLIDATED FINANCIAL INFORMATION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(Stated in millions, except per share amounts)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940" w:type="dxa"/>
            <w:vAlign w:val="bottom"/>
            <w:tcBorders>
              <w:top w:val="single" w:sz="8" w:color="auto"/>
              <w:left w:val="single" w:sz="8" w:color="auto"/>
              <w:right w:val="single" w:sz="8" w:color="000080"/>
            </w:tcBorders>
            <w:shd w:val="clear" w:color="auto" w:fill="000080"/>
          </w:tcPr>
          <w:p>
            <w:pPr>
              <w:spacing w:after="0"/>
              <w:rPr>
                <w:sz w:val="12"/>
                <w:szCs w:val="12"/>
                <w:color w:val="auto"/>
              </w:rPr>
            </w:pPr>
          </w:p>
        </w:tc>
        <w:tc>
          <w:tcPr>
            <w:tcW w:w="30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240" w:type="dxa"/>
            <w:vAlign w:val="bottom"/>
            <w:tcBorders>
              <w:top w:val="single" w:sz="8" w:color="auto"/>
            </w:tcBorders>
            <w:shd w:val="clear" w:color="auto" w:fill="000080"/>
          </w:tcPr>
          <w:p>
            <w:pPr>
              <w:spacing w:after="0"/>
              <w:rPr>
                <w:sz w:val="12"/>
                <w:szCs w:val="12"/>
                <w:color w:val="auto"/>
              </w:rPr>
            </w:pPr>
          </w:p>
        </w:tc>
        <w:tc>
          <w:tcPr>
            <w:tcW w:w="3140" w:type="dxa"/>
            <w:vAlign w:val="bottom"/>
            <w:tcBorders>
              <w:top w:val="single" w:sz="8" w:color="auto"/>
              <w:right w:val="single" w:sz="8" w:color="000080"/>
            </w:tcBorders>
            <w:gridSpan w:val="7"/>
            <w:shd w:val="clear" w:color="auto" w:fill="000080"/>
          </w:tcPr>
          <w:p>
            <w:pPr>
              <w:jc w:val="right"/>
              <w:ind w:right="117"/>
              <w:spacing w:after="0"/>
              <w:rPr>
                <w:sz w:val="20"/>
                <w:szCs w:val="20"/>
                <w:color w:val="auto"/>
              </w:rPr>
            </w:pPr>
            <w:r>
              <w:rPr>
                <w:rFonts w:ascii="Arial" w:cs="Arial" w:eastAsia="Arial" w:hAnsi="Arial"/>
                <w:sz w:val="13"/>
                <w:szCs w:val="13"/>
                <w:b w:val="1"/>
                <w:bCs w:val="1"/>
                <w:color w:val="FFFFFF"/>
              </w:rPr>
              <w:t>2 0 0 9  B Y  B U S I N E S S  G R O U P</w:t>
            </w:r>
          </w:p>
        </w:tc>
        <w:tc>
          <w:tcPr>
            <w:tcW w:w="26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300" w:type="dxa"/>
            <w:vAlign w:val="bottom"/>
            <w:tcBorders>
              <w:top w:val="single" w:sz="8" w:color="auto"/>
            </w:tcBorders>
            <w:shd w:val="clear" w:color="auto" w:fill="000080"/>
          </w:tcPr>
          <w:p>
            <w:pPr>
              <w:spacing w:after="0"/>
              <w:rPr>
                <w:sz w:val="12"/>
                <w:szCs w:val="12"/>
                <w:color w:val="auto"/>
              </w:rPr>
            </w:pPr>
          </w:p>
        </w:tc>
        <w:tc>
          <w:tcPr>
            <w:tcW w:w="580" w:type="dxa"/>
            <w:vAlign w:val="bottom"/>
            <w:tcBorders>
              <w:top w:val="single" w:sz="8" w:color="auto"/>
              <w:right w:val="single" w:sz="8" w:color="000080"/>
            </w:tcBorders>
            <w:shd w:val="clear" w:color="auto" w:fill="000080"/>
          </w:tcPr>
          <w:p>
            <w:pPr>
              <w:spacing w:after="0"/>
              <w:rPr>
                <w:sz w:val="12"/>
                <w:szCs w:val="12"/>
                <w:color w:val="auto"/>
              </w:rPr>
            </w:pPr>
          </w:p>
        </w:tc>
        <w:tc>
          <w:tcPr>
            <w:tcW w:w="24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280" w:type="dxa"/>
            <w:vAlign w:val="bottom"/>
            <w:tcBorders>
              <w:top w:val="single" w:sz="8" w:color="auto"/>
            </w:tcBorders>
            <w:shd w:val="clear" w:color="auto" w:fill="000080"/>
          </w:tcPr>
          <w:p>
            <w:pPr>
              <w:spacing w:after="0"/>
              <w:rPr>
                <w:sz w:val="12"/>
                <w:szCs w:val="12"/>
                <w:color w:val="auto"/>
              </w:rPr>
            </w:pPr>
          </w:p>
        </w:tc>
        <w:tc>
          <w:tcPr>
            <w:tcW w:w="600" w:type="dxa"/>
            <w:vAlign w:val="bottom"/>
            <w:tcBorders>
              <w:top w:val="single" w:sz="8" w:color="auto"/>
              <w:right w:val="single" w:sz="8" w:color="000080"/>
            </w:tcBorders>
            <w:shd w:val="clear" w:color="auto" w:fill="000080"/>
          </w:tcPr>
          <w:p>
            <w:pPr>
              <w:spacing w:after="0"/>
              <w:rPr>
                <w:sz w:val="12"/>
                <w:szCs w:val="12"/>
                <w:color w:val="auto"/>
              </w:rPr>
            </w:pPr>
          </w:p>
        </w:tc>
        <w:tc>
          <w:tcPr>
            <w:tcW w:w="60" w:type="dxa"/>
            <w:vAlign w:val="bottom"/>
            <w:tcBorders>
              <w:top w:val="single" w:sz="8" w:color="auto"/>
            </w:tcBorders>
            <w:shd w:val="clear" w:color="auto" w:fill="000080"/>
          </w:tcPr>
          <w:p>
            <w:pPr>
              <w:spacing w:after="0"/>
              <w:rPr>
                <w:sz w:val="12"/>
                <w:szCs w:val="12"/>
                <w:color w:val="auto"/>
              </w:rPr>
            </w:pPr>
          </w:p>
        </w:tc>
        <w:tc>
          <w:tcPr>
            <w:tcW w:w="20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auto"/>
            </w:tcBorders>
            <w:shd w:val="clear" w:color="auto" w:fill="000080"/>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Q1</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Q2</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38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4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11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9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Resevoir Characterization</w:t>
            </w:r>
          </w:p>
        </w:tc>
        <w:tc>
          <w:tcPr>
            <w:tcW w:w="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2,487</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644</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2,396</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633</w:t>
            </w:r>
          </w:p>
        </w:tc>
        <w:tc>
          <w:tcPr>
            <w:tcW w:w="3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2,294</w:t>
            </w:r>
          </w:p>
        </w:tc>
        <w:tc>
          <w:tcPr>
            <w:tcW w:w="2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565</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2,521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701</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9,698</w:t>
            </w:r>
          </w:p>
        </w:tc>
        <w:tc>
          <w:tcPr>
            <w:tcW w:w="60" w:type="dxa"/>
            <w:vAlign w:val="bottom"/>
          </w:tcPr>
          <w:p>
            <w:pPr>
              <w:spacing w:after="0"/>
              <w:rPr>
                <w:sz w:val="11"/>
                <w:szCs w:val="11"/>
                <w:color w:val="auto"/>
              </w:rPr>
            </w:pPr>
          </w:p>
        </w:tc>
        <w:tc>
          <w:tcPr>
            <w:tcW w:w="2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2,543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Resevoir Production</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2,040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262</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1,775</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1,762</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1,852</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151</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7,429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Drilling</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3,368</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667</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2,951</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488</w:t>
            </w:r>
          </w:p>
        </w:tc>
        <w:tc>
          <w:tcPr>
            <w:tcW w:w="32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2,921</w:t>
            </w: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481</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2,999</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450</w:t>
            </w:r>
          </w:p>
        </w:tc>
        <w:tc>
          <w:tcPr>
            <w:tcW w:w="2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12,239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2,086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(9)</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w:t>
            </w:r>
          </w:p>
        </w:tc>
        <w:tc>
          <w:tcPr>
            <w:tcW w:w="3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w:t>
            </w: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w:t>
            </w: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w:t>
            </w: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7,904</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1,564</w:t>
            </w:r>
          </w:p>
        </w:tc>
        <w:tc>
          <w:tcPr>
            <w:tcW w:w="30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7,128</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1,288</w:t>
            </w:r>
          </w:p>
        </w:tc>
        <w:tc>
          <w:tcPr>
            <w:tcW w:w="32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6,993</w:t>
            </w: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1,241</w:t>
            </w:r>
          </w:p>
        </w:tc>
        <w:tc>
          <w:tcPr>
            <w:tcW w:w="30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7,387</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1,279</w:t>
            </w:r>
          </w:p>
        </w:tc>
        <w:tc>
          <w:tcPr>
            <w:tcW w:w="280" w:type="dxa"/>
            <w:vAlign w:val="bottom"/>
          </w:tcPr>
          <w:p>
            <w:pPr>
              <w:spacing w:after="0"/>
              <w:rPr>
                <w:sz w:val="12"/>
                <w:szCs w:val="12"/>
                <w:color w:val="auto"/>
              </w:rPr>
            </w:pPr>
          </w:p>
        </w:tc>
        <w:tc>
          <w:tcPr>
            <w:tcW w:w="60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29,412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5,372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570</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16</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411</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3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379</w:t>
            </w: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410</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1,770</w:t>
            </w: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8,474</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1,580</w:t>
            </w:r>
          </w:p>
        </w:tc>
        <w:tc>
          <w:tcPr>
            <w:tcW w:w="3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7,539</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1,279</w:t>
            </w:r>
          </w:p>
        </w:tc>
        <w:tc>
          <w:tcPr>
            <w:tcW w:w="3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7,372</w:t>
            </w: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1,221</w:t>
            </w:r>
          </w:p>
        </w:tc>
        <w:tc>
          <w:tcPr>
            <w:tcW w:w="3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7,797</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1,260</w:t>
            </w:r>
          </w:p>
        </w:tc>
        <w:tc>
          <w:tcPr>
            <w:tcW w:w="2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31,182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5,340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(156)</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(161)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(161)</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13</w:t>
            </w: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12</w:t>
            </w:r>
          </w:p>
        </w:tc>
        <w:tc>
          <w:tcPr>
            <w:tcW w:w="2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(62)</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(77)</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(72)</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(251)</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auto"/>
              <w:right w:val="single" w:sz="8" w:color="auto"/>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Income before Tax and Noncontrolling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Interests</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1,343</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815</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986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1,039</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4,183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(330)</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(174)</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(209)</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(199)</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(912)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1,013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641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777</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840</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3,271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(9)</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(8)</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(5)</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auto"/>
              <w:right w:val="single" w:sz="8" w:color="auto"/>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Schlumberger Income from Continuing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9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Operations</w:t>
            </w:r>
          </w:p>
        </w:tc>
        <w:tc>
          <w:tcPr>
            <w:tcW w:w="30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1,004</w:t>
            </w:r>
          </w:p>
        </w:tc>
        <w:tc>
          <w:tcPr>
            <w:tcW w:w="3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633</w:t>
            </w:r>
          </w:p>
        </w:tc>
        <w:tc>
          <w:tcPr>
            <w:tcW w:w="3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772</w:t>
            </w:r>
          </w:p>
        </w:tc>
        <w:tc>
          <w:tcPr>
            <w:tcW w:w="3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835</w:t>
            </w:r>
          </w:p>
        </w:tc>
        <w:tc>
          <w:tcPr>
            <w:tcW w:w="2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3,244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000080"/>
            </w:tcBorders>
            <w:shd w:val="clear" w:color="auto" w:fill="000080"/>
          </w:tcPr>
          <w:p>
            <w:pPr>
              <w:spacing w:after="0"/>
              <w:rPr>
                <w:sz w:val="11"/>
                <w:szCs w:val="11"/>
                <w:color w:val="auto"/>
              </w:rPr>
            </w:pPr>
          </w:p>
        </w:tc>
        <w:tc>
          <w:tcPr>
            <w:tcW w:w="30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240" w:type="dxa"/>
            <w:vAlign w:val="bottom"/>
            <w:shd w:val="clear" w:color="auto" w:fill="000080"/>
          </w:tcPr>
          <w:p>
            <w:pPr>
              <w:spacing w:after="0"/>
              <w:rPr>
                <w:sz w:val="11"/>
                <w:szCs w:val="11"/>
                <w:color w:val="auto"/>
              </w:rPr>
            </w:pPr>
          </w:p>
        </w:tc>
        <w:tc>
          <w:tcPr>
            <w:tcW w:w="3140" w:type="dxa"/>
            <w:vAlign w:val="bottom"/>
            <w:tcBorders>
              <w:right w:val="single" w:sz="8" w:color="000080"/>
            </w:tcBorders>
            <w:gridSpan w:val="7"/>
            <w:shd w:val="clear" w:color="auto" w:fill="000080"/>
          </w:tcPr>
          <w:p>
            <w:pPr>
              <w:jc w:val="right"/>
              <w:ind w:right="37"/>
              <w:spacing w:after="0" w:line="129" w:lineRule="exact"/>
              <w:rPr>
                <w:sz w:val="20"/>
                <w:szCs w:val="20"/>
                <w:color w:val="auto"/>
              </w:rPr>
            </w:pPr>
            <w:r>
              <w:rPr>
                <w:rFonts w:ascii="Arial" w:cs="Arial" w:eastAsia="Arial" w:hAnsi="Arial"/>
                <w:sz w:val="13"/>
                <w:szCs w:val="13"/>
                <w:b w:val="1"/>
                <w:bCs w:val="1"/>
                <w:color w:val="FFFFFF"/>
              </w:rPr>
              <w:t>2 0 0 9  B Y  G E O G R A P H I C  A R E A</w:t>
            </w:r>
          </w:p>
        </w:tc>
        <w:tc>
          <w:tcPr>
            <w:tcW w:w="26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300" w:type="dxa"/>
            <w:vAlign w:val="bottom"/>
            <w:shd w:val="clear" w:color="auto" w:fill="000080"/>
          </w:tcPr>
          <w:p>
            <w:pPr>
              <w:spacing w:after="0"/>
              <w:rPr>
                <w:sz w:val="11"/>
                <w:szCs w:val="11"/>
                <w:color w:val="auto"/>
              </w:rPr>
            </w:pPr>
          </w:p>
        </w:tc>
        <w:tc>
          <w:tcPr>
            <w:tcW w:w="580" w:type="dxa"/>
            <w:vAlign w:val="bottom"/>
            <w:tcBorders>
              <w:right w:val="single" w:sz="8" w:color="000080"/>
            </w:tcBorders>
            <w:shd w:val="clear" w:color="auto" w:fill="000080"/>
          </w:tcPr>
          <w:p>
            <w:pPr>
              <w:spacing w:after="0"/>
              <w:rPr>
                <w:sz w:val="11"/>
                <w:szCs w:val="11"/>
                <w:color w:val="auto"/>
              </w:rPr>
            </w:pPr>
          </w:p>
        </w:tc>
        <w:tc>
          <w:tcPr>
            <w:tcW w:w="24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280" w:type="dxa"/>
            <w:vAlign w:val="bottom"/>
            <w:shd w:val="clear" w:color="auto" w:fill="000080"/>
          </w:tcPr>
          <w:p>
            <w:pPr>
              <w:spacing w:after="0"/>
              <w:rPr>
                <w:sz w:val="11"/>
                <w:szCs w:val="11"/>
                <w:color w:val="auto"/>
              </w:rPr>
            </w:pPr>
          </w:p>
        </w:tc>
        <w:tc>
          <w:tcPr>
            <w:tcW w:w="600" w:type="dxa"/>
            <w:vAlign w:val="bottom"/>
            <w:tcBorders>
              <w:right w:val="single" w:sz="8" w:color="000080"/>
            </w:tcBorders>
            <w:shd w:val="clear" w:color="auto" w:fill="000080"/>
          </w:tcPr>
          <w:p>
            <w:pPr>
              <w:spacing w:after="0"/>
              <w:rPr>
                <w:sz w:val="11"/>
                <w:szCs w:val="11"/>
                <w:color w:val="auto"/>
              </w:rPr>
            </w:pPr>
          </w:p>
        </w:tc>
        <w:tc>
          <w:tcPr>
            <w:tcW w:w="60" w:type="dxa"/>
            <w:vAlign w:val="bottom"/>
            <w:shd w:val="clear" w:color="auto" w:fill="000080"/>
          </w:tcPr>
          <w:p>
            <w:pPr>
              <w:spacing w:after="0"/>
              <w:rPr>
                <w:sz w:val="11"/>
                <w:szCs w:val="11"/>
                <w:color w:val="auto"/>
              </w:rPr>
            </w:pPr>
          </w:p>
        </w:tc>
        <w:tc>
          <w:tcPr>
            <w:tcW w:w="200" w:type="dxa"/>
            <w:vAlign w:val="bottom"/>
            <w:shd w:val="clear" w:color="auto" w:fill="000080"/>
          </w:tcPr>
          <w:p>
            <w:pPr>
              <w:spacing w:after="0"/>
              <w:rPr>
                <w:sz w:val="11"/>
                <w:szCs w:val="11"/>
                <w:color w:val="auto"/>
              </w:rPr>
            </w:pPr>
          </w:p>
        </w:tc>
        <w:tc>
          <w:tcPr>
            <w:tcW w:w="560" w:type="dxa"/>
            <w:vAlign w:val="bottom"/>
            <w:tcBorders>
              <w:right w:val="single" w:sz="8" w:color="auto"/>
            </w:tcBorders>
            <w:shd w:val="clear" w:color="auto" w:fill="000080"/>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Q1</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Q2</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38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4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11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9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North America</w:t>
            </w:r>
          </w:p>
        </w:tc>
        <w:tc>
          <w:tcPr>
            <w:tcW w:w="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2,023</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261</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1,461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72</w:t>
            </w:r>
          </w:p>
        </w:tc>
        <w:tc>
          <w:tcPr>
            <w:tcW w:w="3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1,412</w:t>
            </w:r>
          </w:p>
        </w:tc>
        <w:tc>
          <w:tcPr>
            <w:tcW w:w="2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72</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1,603</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141</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6,499</w:t>
            </w:r>
          </w:p>
        </w:tc>
        <w:tc>
          <w:tcPr>
            <w:tcW w:w="60" w:type="dxa"/>
            <w:vAlign w:val="bottom"/>
          </w:tcPr>
          <w:p>
            <w:pPr>
              <w:spacing w:after="0"/>
              <w:rPr>
                <w:sz w:val="11"/>
                <w:szCs w:val="11"/>
                <w:color w:val="auto"/>
              </w:rPr>
            </w:pPr>
          </w:p>
        </w:tc>
        <w:tc>
          <w:tcPr>
            <w:tcW w:w="2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Latin America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1,403</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283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1,323</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232</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1,400</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245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1,479</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198</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5,605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Europe/CIS/W.Africa</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2,528</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543</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2,500</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530</w:t>
            </w:r>
          </w:p>
        </w:tc>
        <w:tc>
          <w:tcPr>
            <w:tcW w:w="32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2,480</w:t>
            </w: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525</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2,482</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502</w:t>
            </w:r>
          </w:p>
        </w:tc>
        <w:tc>
          <w:tcPr>
            <w:tcW w:w="2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9,990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Middle East &amp; Asia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1,944</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538</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1,834</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506</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1,686</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427</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1,788</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7,252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(61)</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(52)</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15</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(28)</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35</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(31)</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66</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7,904</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1,564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7,128</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1,288</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6,993</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1,241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7,387</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1,279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29,412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5,372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570</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16</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411</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379</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1,770</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8,474</w:t>
            </w:r>
          </w:p>
        </w:tc>
        <w:tc>
          <w:tcPr>
            <w:tcW w:w="24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1,580</w:t>
            </w:r>
          </w:p>
        </w:tc>
        <w:tc>
          <w:tcPr>
            <w:tcW w:w="3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7,539</w:t>
            </w:r>
          </w:p>
        </w:tc>
        <w:tc>
          <w:tcPr>
            <w:tcW w:w="24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1,279</w:t>
            </w:r>
          </w:p>
        </w:tc>
        <w:tc>
          <w:tcPr>
            <w:tcW w:w="3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7,372</w:t>
            </w:r>
          </w:p>
        </w:tc>
        <w:tc>
          <w:tcPr>
            <w:tcW w:w="26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1,221</w:t>
            </w:r>
          </w:p>
        </w:tc>
        <w:tc>
          <w:tcPr>
            <w:tcW w:w="3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7,797</w:t>
            </w:r>
          </w:p>
        </w:tc>
        <w:tc>
          <w:tcPr>
            <w:tcW w:w="24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1,260</w:t>
            </w:r>
          </w:p>
        </w:tc>
        <w:tc>
          <w:tcPr>
            <w:tcW w:w="2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31,182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(156)</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(149)</w:t>
            </w:r>
          </w:p>
        </w:tc>
        <w:tc>
          <w:tcPr>
            <w:tcW w:w="3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(161)</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(161)</w:t>
            </w:r>
          </w:p>
        </w:tc>
        <w:tc>
          <w:tcPr>
            <w:tcW w:w="2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(62)</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(77)</w:t>
            </w: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(74)</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(72)</w:t>
            </w:r>
          </w:p>
        </w:tc>
        <w:tc>
          <w:tcPr>
            <w:tcW w:w="2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(33)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Borders>
              <w:left w:val="single" w:sz="8" w:color="auto"/>
              <w:right w:val="single" w:sz="8" w:color="auto"/>
            </w:tcBorders>
          </w:tcPr>
          <w:p>
            <w:pPr>
              <w:ind w:left="80"/>
              <w:spacing w:after="0" w:line="120" w:lineRule="exact"/>
              <w:rPr>
                <w:sz w:val="20"/>
                <w:szCs w:val="20"/>
                <w:color w:val="auto"/>
              </w:rPr>
            </w:pPr>
            <w:r>
              <w:rPr>
                <w:rFonts w:ascii="Arial" w:cs="Arial" w:eastAsia="Arial" w:hAnsi="Arial"/>
                <w:sz w:val="13"/>
                <w:szCs w:val="13"/>
                <w:b w:val="1"/>
                <w:bCs w:val="1"/>
                <w:color w:val="auto"/>
              </w:rPr>
              <w:t>Income before Tax and Noncontrolling</w:t>
            </w: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Interests</w:t>
            </w:r>
          </w:p>
        </w:tc>
        <w:tc>
          <w:tcPr>
            <w:tcW w:w="3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1,343</w:t>
            </w: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815</w:t>
            </w:r>
          </w:p>
        </w:tc>
        <w:tc>
          <w:tcPr>
            <w:tcW w:w="3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986</w:t>
            </w: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1,039</w:t>
            </w:r>
          </w:p>
        </w:tc>
        <w:tc>
          <w:tcPr>
            <w:tcW w:w="2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4,183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(330)</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(174)</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(209)</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1,013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641</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777</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840</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3,271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(9)</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Borders>
              <w:left w:val="single" w:sz="8" w:color="auto"/>
              <w:right w:val="single" w:sz="8" w:color="auto"/>
            </w:tcBorders>
          </w:tcPr>
          <w:p>
            <w:pPr>
              <w:ind w:left="80"/>
              <w:spacing w:after="0" w:line="120" w:lineRule="exact"/>
              <w:rPr>
                <w:sz w:val="20"/>
                <w:szCs w:val="20"/>
                <w:color w:val="auto"/>
              </w:rPr>
            </w:pPr>
            <w:r>
              <w:rPr>
                <w:rFonts w:ascii="Arial" w:cs="Arial" w:eastAsia="Arial" w:hAnsi="Arial"/>
                <w:sz w:val="13"/>
                <w:szCs w:val="13"/>
                <w:b w:val="1"/>
                <w:bCs w:val="1"/>
                <w:color w:val="auto"/>
              </w:rPr>
              <w:t>Schlumberger Income from Continuing</w:t>
            </w: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Operations</w:t>
            </w:r>
          </w:p>
        </w:tc>
        <w:tc>
          <w:tcPr>
            <w:tcW w:w="3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1,004</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633</w:t>
            </w:r>
          </w:p>
        </w:tc>
        <w:tc>
          <w:tcPr>
            <w:tcW w:w="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772</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835</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CCEEFF"/>
              <w:right w:val="single" w:sz="8" w:color="CCEEFF"/>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 xml:space="preserve">Average Diluted Shares Outstanding </w:t>
            </w:r>
            <w:r>
              <w:rPr>
                <w:rFonts w:ascii="Arial" w:cs="Arial" w:eastAsia="Arial" w:hAnsi="Arial"/>
                <w:sz w:val="10"/>
                <w:szCs w:val="10"/>
                <w:b w:val="1"/>
                <w:bCs w:val="1"/>
                <w:color w:val="auto"/>
              </w:rPr>
              <w:t>(3)</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1,385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1,393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1,393</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80"/>
              <w:spacing w:after="0"/>
              <w:rPr>
                <w:sz w:val="20"/>
                <w:szCs w:val="20"/>
                <w:color w:val="auto"/>
              </w:rPr>
            </w:pPr>
            <w:r>
              <w:rPr>
                <w:rFonts w:ascii="Arial" w:cs="Arial" w:eastAsia="Arial" w:hAnsi="Arial"/>
                <w:sz w:val="13"/>
                <w:szCs w:val="13"/>
                <w:b w:val="1"/>
                <w:bCs w:val="1"/>
                <w:color w:val="auto"/>
              </w:rPr>
              <w:t>Diluted Earnings per Share - excluding</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(4)</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0.74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0.61</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0.56</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0.60</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Diluted Earnings per Share - including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(4)</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0.73</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0.46</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0.56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0.60</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80"/>
              <w:spacing w:after="0"/>
              <w:rPr>
                <w:sz w:val="20"/>
                <w:szCs w:val="20"/>
                <w:color w:val="auto"/>
              </w:rPr>
            </w:pPr>
            <w:r>
              <w:rPr>
                <w:rFonts w:ascii="Arial" w:cs="Arial" w:eastAsia="Arial" w:hAnsi="Arial"/>
                <w:sz w:val="13"/>
                <w:szCs w:val="13"/>
                <w:b w:val="1"/>
                <w:bCs w:val="1"/>
                <w:color w:val="auto"/>
              </w:rPr>
              <w:t>Effective Tax Rate - excluding Charges &amp;</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Credits</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24.6%</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19.6%</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21.3%</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19.2%</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Effective Tax Rate - including Charges &amp;</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Credits</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21.3%</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21.2%</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19.2%</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9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3416300</wp:posOffset>
            </wp:positionH>
            <wp:positionV relativeFrom="page">
              <wp:posOffset>620395</wp:posOffset>
            </wp:positionV>
            <wp:extent cx="72898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8980" cy="205740"/>
                    </a:xfrm>
                    <a:prstGeom prst="rect">
                      <a:avLst/>
                    </a:prstGeom>
                    <a:noFill/>
                  </pic:spPr>
                </pic:pic>
              </a:graphicData>
            </a:graphic>
          </wp:anchor>
        </w:drawing>
        <w:t>2010 UNAUDITED PRO FORMA HISTORICAL CONSOLIDATED FINANCIAL INFORMATION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2 0 1 0  B Y  B U S I N E S S  G R O U P</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32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b w:val="1"/>
                <w:bCs w:val="1"/>
                <w:color w:val="auto"/>
              </w:rPr>
              <w:t>Q1</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720"/>
              <w:spacing w:after="0"/>
              <w:rPr>
                <w:sz w:val="20"/>
                <w:szCs w:val="20"/>
                <w:color w:val="auto"/>
              </w:rPr>
            </w:pPr>
            <w:r>
              <w:rPr>
                <w:rFonts w:ascii="Arial" w:cs="Arial" w:eastAsia="Arial" w:hAnsi="Arial"/>
                <w:sz w:val="13"/>
                <w:szCs w:val="13"/>
                <w:b w:val="1"/>
                <w:bCs w:val="1"/>
                <w:color w:val="auto"/>
                <w:w w:val="91"/>
              </w:rPr>
              <w:t>Q2</w:t>
            </w: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700"/>
              <w:spacing w:after="0"/>
              <w:rPr>
                <w:sz w:val="20"/>
                <w:szCs w:val="20"/>
                <w:color w:val="auto"/>
              </w:rPr>
            </w:pPr>
            <w:r>
              <w:rPr>
                <w:rFonts w:ascii="Arial" w:cs="Arial" w:eastAsia="Arial" w:hAnsi="Arial"/>
                <w:sz w:val="13"/>
                <w:szCs w:val="13"/>
                <w:b w:val="1"/>
                <w:bCs w:val="1"/>
                <w:color w:val="auto"/>
              </w:rPr>
              <w:t>Q3</w:t>
            </w:r>
          </w:p>
        </w:tc>
        <w:tc>
          <w:tcPr>
            <w:tcW w:w="1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right w:val="single" w:sz="8" w:color="auto"/>
            </w:tcBorders>
            <w:gridSpan w:val="3"/>
          </w:tcPr>
          <w:p>
            <w:pPr>
              <w:jc w:val="right"/>
              <w:ind w:right="597"/>
              <w:spacing w:after="0"/>
              <w:rPr>
                <w:sz w:val="20"/>
                <w:szCs w:val="20"/>
                <w:color w:val="auto"/>
              </w:rPr>
            </w:pPr>
            <w:r>
              <w:rPr>
                <w:rFonts w:ascii="Arial" w:cs="Arial" w:eastAsia="Arial" w:hAnsi="Arial"/>
                <w:sz w:val="13"/>
                <w:szCs w:val="13"/>
                <w:b w:val="1"/>
                <w:bCs w:val="1"/>
                <w:color w:val="auto"/>
              </w:rPr>
              <w:t>Nine Months</w:t>
            </w:r>
          </w:p>
        </w:tc>
        <w:tc>
          <w:tcPr>
            <w:tcW w:w="0" w:type="dxa"/>
            <w:vAlign w:val="bottom"/>
          </w:tcPr>
          <w:p>
            <w:pPr>
              <w:spacing w:after="0"/>
              <w:rPr>
                <w:sz w:val="1"/>
                <w:szCs w:val="1"/>
                <w:color w:val="auto"/>
              </w:rPr>
            </w:pPr>
          </w:p>
        </w:tc>
      </w:tr>
      <w:tr>
        <w:trPr>
          <w:trHeight w:val="57"/>
        </w:trPr>
        <w:tc>
          <w:tcPr>
            <w:tcW w:w="3260" w:type="dxa"/>
            <w:vAlign w:val="bottom"/>
            <w:tcBorders>
              <w:left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260" w:type="dxa"/>
            <w:vAlign w:val="bottom"/>
            <w:tcBorders>
              <w:left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right w:val="single" w:sz="8" w:color="auto"/>
            </w:tcBorders>
          </w:tcPr>
          <w:p>
            <w:pPr>
              <w:jc w:val="center"/>
              <w:ind w:right="177"/>
              <w:spacing w:after="0" w:line="107" w:lineRule="exact"/>
              <w:rPr>
                <w:sz w:val="20"/>
                <w:szCs w:val="20"/>
                <w:color w:val="auto"/>
              </w:rPr>
            </w:pPr>
            <w:r>
              <w:rPr>
                <w:rFonts w:ascii="Arial" w:cs="Arial" w:eastAsia="Arial" w:hAnsi="Arial"/>
                <w:sz w:val="12"/>
                <w:szCs w:val="12"/>
                <w:b w:val="1"/>
                <w:bCs w:val="1"/>
                <w:color w:val="auto"/>
              </w:rPr>
              <w:t>Pretax</w:t>
            </w:r>
          </w:p>
        </w:tc>
        <w:tc>
          <w:tcPr>
            <w:tcW w:w="200" w:type="dxa"/>
            <w:vAlign w:val="bottom"/>
          </w:tcPr>
          <w:p>
            <w:pPr>
              <w:spacing w:after="0"/>
              <w:rPr>
                <w:sz w:val="9"/>
                <w:szCs w:val="9"/>
                <w:color w:val="auto"/>
              </w:rPr>
            </w:pPr>
          </w:p>
        </w:tc>
        <w:tc>
          <w:tcPr>
            <w:tcW w:w="84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right w:val="single" w:sz="8" w:color="auto"/>
            </w:tcBorders>
          </w:tcPr>
          <w:p>
            <w:pPr>
              <w:jc w:val="center"/>
              <w:ind w:right="177"/>
              <w:spacing w:after="0" w:line="107" w:lineRule="exact"/>
              <w:rPr>
                <w:sz w:val="20"/>
                <w:szCs w:val="20"/>
                <w:color w:val="auto"/>
              </w:rPr>
            </w:pPr>
            <w:r>
              <w:rPr>
                <w:rFonts w:ascii="Arial" w:cs="Arial" w:eastAsia="Arial" w:hAnsi="Arial"/>
                <w:sz w:val="12"/>
                <w:szCs w:val="12"/>
                <w:b w:val="1"/>
                <w:bCs w:val="1"/>
                <w:color w:val="auto"/>
              </w:rPr>
              <w:t>Pretax</w:t>
            </w:r>
          </w:p>
        </w:tc>
        <w:tc>
          <w:tcPr>
            <w:tcW w:w="220" w:type="dxa"/>
            <w:vAlign w:val="bottom"/>
          </w:tcPr>
          <w:p>
            <w:pPr>
              <w:spacing w:after="0"/>
              <w:rPr>
                <w:sz w:val="9"/>
                <w:szCs w:val="9"/>
                <w:color w:val="auto"/>
              </w:rPr>
            </w:pPr>
          </w:p>
        </w:tc>
        <w:tc>
          <w:tcPr>
            <w:tcW w:w="82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w w:val="99"/>
              </w:rPr>
              <w:t>Revenue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right w:val="single" w:sz="8" w:color="auto"/>
            </w:tcBorders>
          </w:tcPr>
          <w:p>
            <w:pPr>
              <w:jc w:val="center"/>
              <w:ind w:right="177"/>
              <w:spacing w:after="0" w:line="107" w:lineRule="exact"/>
              <w:rPr>
                <w:sz w:val="20"/>
                <w:szCs w:val="20"/>
                <w:color w:val="auto"/>
              </w:rPr>
            </w:pPr>
            <w:r>
              <w:rPr>
                <w:rFonts w:ascii="Arial" w:cs="Arial" w:eastAsia="Arial" w:hAnsi="Arial"/>
                <w:sz w:val="12"/>
                <w:szCs w:val="12"/>
                <w:b w:val="1"/>
                <w:bCs w:val="1"/>
                <w:color w:val="auto"/>
              </w:rPr>
              <w:t>Pretax</w:t>
            </w:r>
          </w:p>
        </w:tc>
        <w:tc>
          <w:tcPr>
            <w:tcW w:w="220" w:type="dxa"/>
            <w:vAlign w:val="bottom"/>
          </w:tcPr>
          <w:p>
            <w:pPr>
              <w:spacing w:after="0"/>
              <w:rPr>
                <w:sz w:val="9"/>
                <w:szCs w:val="9"/>
                <w:color w:val="auto"/>
              </w:rPr>
            </w:pPr>
          </w:p>
        </w:tc>
        <w:tc>
          <w:tcPr>
            <w:tcW w:w="88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3"/>
                <w:szCs w:val="13"/>
                <w:b w:val="1"/>
                <w:bCs w:val="1"/>
                <w:color w:val="auto"/>
              </w:rPr>
              <w:t>Revenue</w:t>
            </w:r>
          </w:p>
        </w:tc>
        <w:tc>
          <w:tcPr>
            <w:tcW w:w="220" w:type="dxa"/>
            <w:vAlign w:val="bottom"/>
          </w:tcPr>
          <w:p>
            <w:pPr>
              <w:spacing w:after="0"/>
              <w:rPr>
                <w:sz w:val="9"/>
                <w:szCs w:val="9"/>
                <w:color w:val="auto"/>
              </w:rPr>
            </w:pPr>
          </w:p>
        </w:tc>
        <w:tc>
          <w:tcPr>
            <w:tcW w:w="760" w:type="dxa"/>
            <w:vAlign w:val="bottom"/>
            <w:tcBorders>
              <w:right w:val="single" w:sz="8" w:color="auto"/>
            </w:tcBorders>
          </w:tcPr>
          <w:p>
            <w:pPr>
              <w:jc w:val="center"/>
              <w:ind w:right="157"/>
              <w:spacing w:after="0" w:line="107" w:lineRule="exact"/>
              <w:rPr>
                <w:sz w:val="20"/>
                <w:szCs w:val="20"/>
                <w:color w:val="auto"/>
              </w:rPr>
            </w:pPr>
            <w:r>
              <w:rPr>
                <w:rFonts w:ascii="Arial" w:cs="Arial" w:eastAsia="Arial" w:hAnsi="Arial"/>
                <w:sz w:val="12"/>
                <w:szCs w:val="12"/>
                <w:b w:val="1"/>
                <w:bCs w:val="1"/>
                <w:color w:val="auto"/>
              </w:rPr>
              <w:t>Pretax</w:t>
            </w:r>
          </w:p>
        </w:tc>
        <w:tc>
          <w:tcPr>
            <w:tcW w:w="0" w:type="dxa"/>
            <w:vAlign w:val="bottom"/>
          </w:tcPr>
          <w:p>
            <w:pPr>
              <w:spacing w:after="0"/>
              <w:rPr>
                <w:sz w:val="1"/>
                <w:szCs w:val="1"/>
                <w:color w:val="auto"/>
              </w:rPr>
            </w:pPr>
          </w:p>
        </w:tc>
      </w:tr>
      <w:tr>
        <w:trPr>
          <w:trHeight w:val="101"/>
        </w:trPr>
        <w:tc>
          <w:tcPr>
            <w:tcW w:w="326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right w:val="single" w:sz="8" w:color="auto"/>
            </w:tcBorders>
            <w:vMerge w:val="restart"/>
          </w:tcPr>
          <w:p>
            <w:pPr>
              <w:jc w:val="center"/>
              <w:ind w:right="157"/>
              <w:spacing w:after="0"/>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177"/>
              <w:spacing w:after="0"/>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177"/>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64"/>
        </w:trPr>
        <w:tc>
          <w:tcPr>
            <w:tcW w:w="3260" w:type="dxa"/>
            <w:vAlign w:val="bottom"/>
            <w:tcBorders>
              <w:left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Resevoir Characterization</w:t>
            </w:r>
          </w:p>
        </w:tc>
        <w:tc>
          <w:tcPr>
            <w:tcW w:w="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2,301</w:t>
            </w:r>
          </w:p>
        </w:tc>
        <w:tc>
          <w:tcPr>
            <w:tcW w:w="4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561</w:t>
            </w:r>
          </w:p>
        </w:tc>
        <w:tc>
          <w:tcPr>
            <w:tcW w:w="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2,358</w:t>
            </w:r>
          </w:p>
        </w:tc>
        <w:tc>
          <w:tcPr>
            <w:tcW w:w="6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553</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2,338</w:t>
            </w:r>
          </w:p>
        </w:tc>
        <w:tc>
          <w:tcPr>
            <w:tcW w:w="8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525</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6,997</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1,639</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Resevoir Production</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1,920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164</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2,136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260</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384</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6,368</w:t>
            </w: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808</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Drilling</w:t>
            </w:r>
          </w:p>
        </w:tc>
        <w:tc>
          <w:tcPr>
            <w:tcW w:w="200" w:type="dxa"/>
            <w:vAlign w:val="bottom"/>
          </w:tcPr>
          <w:p>
            <w:pPr>
              <w:spacing w:after="0"/>
              <w:rPr>
                <w:sz w:val="11"/>
                <w:szCs w:val="11"/>
                <w:color w:val="auto"/>
              </w:rPr>
            </w:pP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3,114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466</w:t>
            </w:r>
          </w:p>
        </w:tc>
        <w:tc>
          <w:tcPr>
            <w:tcW w:w="200" w:type="dxa"/>
            <w:vAlign w:val="bottom"/>
          </w:tcPr>
          <w:p>
            <w:pPr>
              <w:spacing w:after="0"/>
              <w:rPr>
                <w:sz w:val="11"/>
                <w:szCs w:val="11"/>
                <w:color w:val="auto"/>
              </w:rPr>
            </w:pP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3,260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510</w:t>
            </w:r>
          </w:p>
        </w:tc>
        <w:tc>
          <w:tcPr>
            <w:tcW w:w="220" w:type="dxa"/>
            <w:vAlign w:val="bottom"/>
          </w:tcPr>
          <w:p>
            <w:pPr>
              <w:spacing w:after="0"/>
              <w:rPr>
                <w:sz w:val="11"/>
                <w:szCs w:val="11"/>
                <w:color w:val="auto"/>
              </w:rPr>
            </w:pPr>
          </w:p>
        </w:tc>
        <w:tc>
          <w:tcPr>
            <w:tcW w:w="82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3,131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432</w:t>
            </w:r>
          </w:p>
        </w:tc>
        <w:tc>
          <w:tcPr>
            <w:tcW w:w="220" w:type="dxa"/>
            <w:vAlign w:val="bottom"/>
          </w:tcPr>
          <w:p>
            <w:pPr>
              <w:spacing w:after="0"/>
              <w:rPr>
                <w:sz w:val="11"/>
                <w:szCs w:val="11"/>
                <w:color w:val="auto"/>
              </w:rPr>
            </w:pPr>
          </w:p>
        </w:tc>
        <w:tc>
          <w:tcPr>
            <w:tcW w:w="8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9,505</w:t>
            </w:r>
          </w:p>
        </w:tc>
        <w:tc>
          <w:tcPr>
            <w:tcW w:w="220" w:type="dxa"/>
            <w:vAlign w:val="bottom"/>
          </w:tcPr>
          <w:p>
            <w:pPr>
              <w:spacing w:after="0"/>
              <w:rPr>
                <w:sz w:val="11"/>
                <w:szCs w:val="11"/>
                <w:color w:val="auto"/>
              </w:rPr>
            </w:pP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1,408</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w:t>
            </w: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w:t>
            </w: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w:t>
            </w: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(12)</w:t>
            </w:r>
          </w:p>
        </w:tc>
        <w:tc>
          <w:tcPr>
            <w:tcW w:w="2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41</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7,346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1,206</w:t>
            </w:r>
          </w:p>
        </w:tc>
        <w:tc>
          <w:tcPr>
            <w:tcW w:w="200" w:type="dxa"/>
            <w:vAlign w:val="bottom"/>
          </w:tcPr>
          <w:p>
            <w:pPr>
              <w:spacing w:after="0"/>
              <w:rPr>
                <w:sz w:val="12"/>
                <w:szCs w:val="12"/>
                <w:color w:val="auto"/>
              </w:rPr>
            </w:pPr>
          </w:p>
        </w:tc>
        <w:tc>
          <w:tcPr>
            <w:tcW w:w="84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7,770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1,328</w:t>
            </w:r>
          </w:p>
        </w:tc>
        <w:tc>
          <w:tcPr>
            <w:tcW w:w="220" w:type="dxa"/>
            <w:vAlign w:val="bottom"/>
          </w:tcPr>
          <w:p>
            <w:pPr>
              <w:spacing w:after="0"/>
              <w:rPr>
                <w:sz w:val="12"/>
                <w:szCs w:val="12"/>
                <w:color w:val="auto"/>
              </w:rPr>
            </w:pPr>
          </w:p>
        </w:tc>
        <w:tc>
          <w:tcPr>
            <w:tcW w:w="82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7,795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1,329</w:t>
            </w:r>
          </w:p>
        </w:tc>
        <w:tc>
          <w:tcPr>
            <w:tcW w:w="220" w:type="dxa"/>
            <w:vAlign w:val="bottom"/>
          </w:tcPr>
          <w:p>
            <w:pPr>
              <w:spacing w:after="0"/>
              <w:rPr>
                <w:sz w:val="12"/>
                <w:szCs w:val="12"/>
                <w:color w:val="auto"/>
              </w:rPr>
            </w:pPr>
          </w:p>
        </w:tc>
        <w:tc>
          <w:tcPr>
            <w:tcW w:w="88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22,911</w:t>
            </w: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3,863</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452</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490</w:t>
            </w: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w:t>
            </w: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548</w:t>
            </w: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2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1,490</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39</w:t>
            </w:r>
          </w:p>
        </w:tc>
        <w:tc>
          <w:tcPr>
            <w:tcW w:w="0" w:type="dxa"/>
            <w:vAlign w:val="bottom"/>
          </w:tcPr>
          <w:p>
            <w:pPr>
              <w:spacing w:after="0"/>
              <w:rPr>
                <w:sz w:val="1"/>
                <w:szCs w:val="1"/>
                <w:color w:val="auto"/>
              </w:rPr>
            </w:pPr>
          </w:p>
        </w:tc>
      </w:tr>
      <w:tr>
        <w:trPr>
          <w:trHeight w:val="156"/>
        </w:trPr>
        <w:tc>
          <w:tcPr>
            <w:tcW w:w="3260" w:type="dxa"/>
            <w:vAlign w:val="bottom"/>
            <w:tcBorders>
              <w:left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7,798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1,211</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8,260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1,342</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8,343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1,349</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24,401</w:t>
            </w:r>
          </w:p>
        </w:tc>
        <w:tc>
          <w:tcPr>
            <w:tcW w:w="220" w:type="dxa"/>
            <w:vAlign w:val="bottom"/>
          </w:tcPr>
          <w:p>
            <w:pPr>
              <w:spacing w:after="0"/>
              <w:rPr>
                <w:sz w:val="13"/>
                <w:szCs w:val="13"/>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3,902</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shd w:val="clear" w:color="auto" w:fill="CCEEFF"/>
          </w:tcPr>
          <w:p>
            <w:pPr>
              <w:ind w:left="300"/>
              <w:spacing w:after="0" w:line="142" w:lineRule="exact"/>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jc w:val="right"/>
              <w:ind w:right="17"/>
              <w:spacing w:after="0" w:line="142" w:lineRule="exact"/>
              <w:rPr>
                <w:sz w:val="20"/>
                <w:szCs w:val="20"/>
                <w:color w:val="auto"/>
              </w:rPr>
            </w:pPr>
            <w:r>
              <w:rPr>
                <w:rFonts w:ascii="Arial" w:cs="Arial" w:eastAsia="Arial" w:hAnsi="Arial"/>
                <w:sz w:val="13"/>
                <w:szCs w:val="13"/>
                <w:b w:val="1"/>
                <w:bCs w:val="1"/>
                <w:color w:val="auto"/>
              </w:rPr>
              <w:t>(161)</w:t>
            </w: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(168)</w:t>
            </w:r>
          </w:p>
        </w:tc>
        <w:tc>
          <w:tcPr>
            <w:tcW w:w="2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jc w:val="right"/>
              <w:ind w:right="17"/>
              <w:spacing w:after="0" w:line="142" w:lineRule="exact"/>
              <w:rPr>
                <w:sz w:val="20"/>
                <w:szCs w:val="20"/>
                <w:color w:val="auto"/>
              </w:rPr>
            </w:pPr>
            <w:r>
              <w:rPr>
                <w:rFonts w:ascii="Arial" w:cs="Arial" w:eastAsia="Arial" w:hAnsi="Arial"/>
                <w:sz w:val="13"/>
                <w:szCs w:val="13"/>
                <w:b w:val="1"/>
                <w:bCs w:val="1"/>
                <w:color w:val="auto"/>
              </w:rPr>
              <w:t>(140)</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(469)</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22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w:t>
            </w:r>
          </w:p>
        </w:tc>
        <w:tc>
          <w:tcPr>
            <w:tcW w:w="2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(66)</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(69)</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(68)</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(203)</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(75)</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(15)</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823</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733</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Income before Tax and Noncontrolling Interests</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922</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1,101</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1,974</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3,997</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(261)</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(229)</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(236)</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(726)</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661</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872</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1,738</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3,271</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(4)</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Schlumberger Income from Continuing Operations</w:t>
            </w: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657</w:t>
            </w: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872</w:t>
            </w:r>
          </w:p>
        </w:tc>
        <w:tc>
          <w:tcPr>
            <w:tcW w:w="2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1,738</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3,267</w:t>
            </w:r>
          </w:p>
        </w:tc>
        <w:tc>
          <w:tcPr>
            <w:tcW w:w="0" w:type="dxa"/>
            <w:vAlign w:val="bottom"/>
          </w:tcPr>
          <w:p>
            <w:pPr>
              <w:spacing w:after="0"/>
              <w:rPr>
                <w:sz w:val="1"/>
                <w:szCs w:val="1"/>
                <w:color w:val="auto"/>
              </w:rPr>
            </w:pPr>
          </w:p>
        </w:tc>
      </w:tr>
      <w:tr>
        <w:trPr>
          <w:trHeight w:val="81"/>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gridSpan w:val="2"/>
          </w:tcPr>
          <w:p>
            <w:pPr>
              <w:spacing w:after="0"/>
              <w:rPr>
                <w:sz w:val="7"/>
                <w:szCs w:val="7"/>
                <w:color w:val="auto"/>
              </w:rPr>
            </w:pPr>
          </w:p>
        </w:tc>
        <w:tc>
          <w:tcPr>
            <w:tcW w:w="1040" w:type="dxa"/>
            <w:vAlign w:val="bottom"/>
            <w:tcBorders>
              <w:bottom w:val="single" w:sz="8" w:color="auto"/>
              <w:right w:val="single" w:sz="8" w:color="auto"/>
            </w:tcBorders>
            <w:gridSpan w:val="2"/>
          </w:tcPr>
          <w:p>
            <w:pPr>
              <w:spacing w:after="0"/>
              <w:rPr>
                <w:sz w:val="7"/>
                <w:szCs w:val="7"/>
                <w:color w:val="auto"/>
              </w:rPr>
            </w:pPr>
          </w:p>
        </w:tc>
        <w:tc>
          <w:tcPr>
            <w:tcW w:w="980" w:type="dxa"/>
            <w:vAlign w:val="bottom"/>
            <w:tcBorders>
              <w:bottom w:val="single" w:sz="8" w:color="auto"/>
              <w:right w:val="single" w:sz="8" w:color="auto"/>
            </w:tcBorders>
            <w:gridSpan w:val="3"/>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60" w:type="dxa"/>
            <w:vAlign w:val="bottom"/>
            <w:tcBorders>
              <w:left w:val="single" w:sz="8" w:color="000080"/>
              <w:bottom w:val="single" w:sz="8" w:color="000080"/>
              <w:right w:val="single" w:sz="8" w:color="000080"/>
            </w:tcBorders>
            <w:shd w:val="clear" w:color="auto" w:fill="000080"/>
          </w:tcPr>
          <w:p>
            <w:pPr>
              <w:spacing w:after="0"/>
              <w:rPr>
                <w:sz w:val="21"/>
                <w:szCs w:val="21"/>
                <w:color w:val="auto"/>
              </w:rPr>
            </w:pPr>
          </w:p>
        </w:tc>
        <w:tc>
          <w:tcPr>
            <w:tcW w:w="200" w:type="dxa"/>
            <w:vAlign w:val="bottom"/>
            <w:tcBorders>
              <w:bottom w:val="single" w:sz="8" w:color="000080"/>
            </w:tcBorders>
            <w:shd w:val="clear" w:color="auto" w:fill="000080"/>
          </w:tcPr>
          <w:p>
            <w:pPr>
              <w:spacing w:after="0"/>
              <w:rPr>
                <w:sz w:val="21"/>
                <w:szCs w:val="21"/>
                <w:color w:val="auto"/>
              </w:rPr>
            </w:pPr>
          </w:p>
        </w:tc>
        <w:tc>
          <w:tcPr>
            <w:tcW w:w="840" w:type="dxa"/>
            <w:vAlign w:val="bottom"/>
            <w:tcBorders>
              <w:bottom w:val="single" w:sz="8" w:color="000080"/>
              <w:right w:val="single" w:sz="8" w:color="000080"/>
            </w:tcBorders>
            <w:shd w:val="clear" w:color="auto" w:fill="000080"/>
          </w:tcPr>
          <w:p>
            <w:pPr>
              <w:spacing w:after="0"/>
              <w:rPr>
                <w:sz w:val="21"/>
                <w:szCs w:val="21"/>
                <w:color w:val="auto"/>
              </w:rPr>
            </w:pPr>
          </w:p>
        </w:tc>
        <w:tc>
          <w:tcPr>
            <w:tcW w:w="40" w:type="dxa"/>
            <w:vAlign w:val="bottom"/>
            <w:tcBorders>
              <w:bottom w:val="single" w:sz="8" w:color="000080"/>
            </w:tcBorders>
            <w:shd w:val="clear" w:color="auto" w:fill="000080"/>
          </w:tcPr>
          <w:p>
            <w:pPr>
              <w:spacing w:after="0"/>
              <w:rPr>
                <w:sz w:val="21"/>
                <w:szCs w:val="21"/>
                <w:color w:val="auto"/>
              </w:rPr>
            </w:pPr>
          </w:p>
        </w:tc>
        <w:tc>
          <w:tcPr>
            <w:tcW w:w="2960" w:type="dxa"/>
            <w:vAlign w:val="bottom"/>
            <w:tcBorders>
              <w:bottom w:val="single" w:sz="8" w:color="000080"/>
              <w:right w:val="single" w:sz="8" w:color="000080"/>
            </w:tcBorders>
            <w:gridSpan w:val="7"/>
            <w:shd w:val="clear" w:color="auto" w:fill="000080"/>
          </w:tcPr>
          <w:p>
            <w:pPr>
              <w:jc w:val="right"/>
              <w:ind w:right="257"/>
              <w:spacing w:after="0"/>
              <w:rPr>
                <w:sz w:val="20"/>
                <w:szCs w:val="20"/>
                <w:color w:val="auto"/>
              </w:rPr>
            </w:pPr>
            <w:r>
              <w:rPr>
                <w:rFonts w:ascii="Arial" w:cs="Arial" w:eastAsia="Arial" w:hAnsi="Arial"/>
                <w:sz w:val="13"/>
                <w:szCs w:val="13"/>
                <w:b w:val="1"/>
                <w:bCs w:val="1"/>
                <w:color w:val="FFFFFF"/>
              </w:rPr>
              <w:t>2 0 1 0  B Y  G E O G R A P H I C  A R E A</w:t>
            </w:r>
          </w:p>
        </w:tc>
        <w:tc>
          <w:tcPr>
            <w:tcW w:w="220" w:type="dxa"/>
            <w:vAlign w:val="bottom"/>
            <w:tcBorders>
              <w:bottom w:val="single" w:sz="8" w:color="000080"/>
            </w:tcBorders>
            <w:shd w:val="clear" w:color="auto" w:fill="000080"/>
          </w:tcPr>
          <w:p>
            <w:pPr>
              <w:spacing w:after="0"/>
              <w:rPr>
                <w:sz w:val="21"/>
                <w:szCs w:val="21"/>
                <w:color w:val="auto"/>
              </w:rPr>
            </w:pPr>
          </w:p>
        </w:tc>
        <w:tc>
          <w:tcPr>
            <w:tcW w:w="820" w:type="dxa"/>
            <w:vAlign w:val="bottom"/>
            <w:tcBorders>
              <w:bottom w:val="single" w:sz="8" w:color="000080"/>
              <w:right w:val="single" w:sz="8" w:color="000080"/>
            </w:tcBorders>
            <w:shd w:val="clear" w:color="auto" w:fill="000080"/>
          </w:tcPr>
          <w:p>
            <w:pPr>
              <w:spacing w:after="0"/>
              <w:rPr>
                <w:sz w:val="21"/>
                <w:szCs w:val="21"/>
                <w:color w:val="auto"/>
              </w:rPr>
            </w:pPr>
          </w:p>
        </w:tc>
        <w:tc>
          <w:tcPr>
            <w:tcW w:w="80" w:type="dxa"/>
            <w:vAlign w:val="bottom"/>
            <w:tcBorders>
              <w:bottom w:val="single" w:sz="8" w:color="000080"/>
            </w:tcBorders>
            <w:shd w:val="clear" w:color="auto" w:fill="000080"/>
          </w:tcPr>
          <w:p>
            <w:pPr>
              <w:spacing w:after="0"/>
              <w:rPr>
                <w:sz w:val="21"/>
                <w:szCs w:val="21"/>
                <w:color w:val="auto"/>
              </w:rPr>
            </w:pPr>
          </w:p>
        </w:tc>
        <w:tc>
          <w:tcPr>
            <w:tcW w:w="140" w:type="dxa"/>
            <w:vAlign w:val="bottom"/>
            <w:tcBorders>
              <w:bottom w:val="single" w:sz="8" w:color="000080"/>
            </w:tcBorders>
            <w:shd w:val="clear" w:color="auto" w:fill="000080"/>
          </w:tcPr>
          <w:p>
            <w:pPr>
              <w:spacing w:after="0"/>
              <w:rPr>
                <w:sz w:val="21"/>
                <w:szCs w:val="21"/>
                <w:color w:val="auto"/>
              </w:rPr>
            </w:pPr>
          </w:p>
        </w:tc>
        <w:tc>
          <w:tcPr>
            <w:tcW w:w="780" w:type="dxa"/>
            <w:vAlign w:val="bottom"/>
            <w:tcBorders>
              <w:bottom w:val="single" w:sz="8" w:color="000080"/>
              <w:right w:val="single" w:sz="8" w:color="000080"/>
            </w:tcBorders>
            <w:shd w:val="clear" w:color="auto" w:fill="000080"/>
          </w:tcPr>
          <w:p>
            <w:pPr>
              <w:spacing w:after="0"/>
              <w:rPr>
                <w:sz w:val="21"/>
                <w:szCs w:val="21"/>
                <w:color w:val="auto"/>
              </w:rPr>
            </w:pPr>
          </w:p>
        </w:tc>
        <w:tc>
          <w:tcPr>
            <w:tcW w:w="220" w:type="dxa"/>
            <w:vAlign w:val="bottom"/>
            <w:tcBorders>
              <w:bottom w:val="single" w:sz="8" w:color="000080"/>
            </w:tcBorders>
            <w:shd w:val="clear" w:color="auto" w:fill="000080"/>
          </w:tcPr>
          <w:p>
            <w:pPr>
              <w:spacing w:after="0"/>
              <w:rPr>
                <w:sz w:val="21"/>
                <w:szCs w:val="21"/>
                <w:color w:val="auto"/>
              </w:rPr>
            </w:pPr>
          </w:p>
        </w:tc>
        <w:tc>
          <w:tcPr>
            <w:tcW w:w="880" w:type="dxa"/>
            <w:vAlign w:val="bottom"/>
            <w:tcBorders>
              <w:bottom w:val="single" w:sz="8" w:color="000080"/>
              <w:right w:val="single" w:sz="8" w:color="000080"/>
            </w:tcBorders>
            <w:shd w:val="clear" w:color="auto" w:fill="000080"/>
          </w:tcPr>
          <w:p>
            <w:pPr>
              <w:spacing w:after="0"/>
              <w:rPr>
                <w:sz w:val="21"/>
                <w:szCs w:val="21"/>
                <w:color w:val="auto"/>
              </w:rPr>
            </w:pPr>
          </w:p>
        </w:tc>
        <w:tc>
          <w:tcPr>
            <w:tcW w:w="220" w:type="dxa"/>
            <w:vAlign w:val="bottom"/>
            <w:tcBorders>
              <w:bottom w:val="single" w:sz="8" w:color="000080"/>
            </w:tcBorders>
            <w:shd w:val="clear" w:color="auto" w:fill="000080"/>
          </w:tcPr>
          <w:p>
            <w:pPr>
              <w:spacing w:after="0"/>
              <w:rPr>
                <w:sz w:val="21"/>
                <w:szCs w:val="21"/>
                <w:color w:val="auto"/>
              </w:rPr>
            </w:pPr>
          </w:p>
        </w:tc>
        <w:tc>
          <w:tcPr>
            <w:tcW w:w="760" w:type="dxa"/>
            <w:vAlign w:val="bottom"/>
            <w:tcBorders>
              <w:bottom w:val="single" w:sz="8" w:color="000080"/>
              <w:right w:val="single" w:sz="8" w:color="000080"/>
            </w:tcBorders>
            <w:shd w:val="clear" w:color="auto" w:fill="000080"/>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2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b w:val="1"/>
                <w:bCs w:val="1"/>
                <w:color w:val="auto"/>
              </w:rPr>
              <w:t>Q1</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720"/>
              <w:spacing w:after="0"/>
              <w:rPr>
                <w:sz w:val="20"/>
                <w:szCs w:val="20"/>
                <w:color w:val="auto"/>
              </w:rPr>
            </w:pPr>
            <w:r>
              <w:rPr>
                <w:rFonts w:ascii="Arial" w:cs="Arial" w:eastAsia="Arial" w:hAnsi="Arial"/>
                <w:sz w:val="13"/>
                <w:szCs w:val="13"/>
                <w:b w:val="1"/>
                <w:bCs w:val="1"/>
                <w:color w:val="auto"/>
                <w:w w:val="91"/>
              </w:rPr>
              <w:t>Q2</w:t>
            </w: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700"/>
              <w:spacing w:after="0"/>
              <w:rPr>
                <w:sz w:val="20"/>
                <w:szCs w:val="20"/>
                <w:color w:val="auto"/>
              </w:rPr>
            </w:pPr>
            <w:r>
              <w:rPr>
                <w:rFonts w:ascii="Arial" w:cs="Arial" w:eastAsia="Arial" w:hAnsi="Arial"/>
                <w:sz w:val="13"/>
                <w:szCs w:val="13"/>
                <w:b w:val="1"/>
                <w:bCs w:val="1"/>
                <w:color w:val="auto"/>
              </w:rPr>
              <w:t>Q3</w:t>
            </w:r>
          </w:p>
        </w:tc>
        <w:tc>
          <w:tcPr>
            <w:tcW w:w="1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right w:val="single" w:sz="8" w:color="auto"/>
            </w:tcBorders>
            <w:gridSpan w:val="3"/>
          </w:tcPr>
          <w:p>
            <w:pPr>
              <w:jc w:val="right"/>
              <w:ind w:right="597"/>
              <w:spacing w:after="0"/>
              <w:rPr>
                <w:sz w:val="20"/>
                <w:szCs w:val="20"/>
                <w:color w:val="auto"/>
              </w:rPr>
            </w:pPr>
            <w:r>
              <w:rPr>
                <w:rFonts w:ascii="Arial" w:cs="Arial" w:eastAsia="Arial" w:hAnsi="Arial"/>
                <w:sz w:val="13"/>
                <w:szCs w:val="13"/>
                <w:b w:val="1"/>
                <w:bCs w:val="1"/>
                <w:color w:val="auto"/>
              </w:rPr>
              <w:t>Nine Months</w:t>
            </w:r>
          </w:p>
        </w:tc>
        <w:tc>
          <w:tcPr>
            <w:tcW w:w="0" w:type="dxa"/>
            <w:vAlign w:val="bottom"/>
          </w:tcPr>
          <w:p>
            <w:pPr>
              <w:spacing w:after="0"/>
              <w:rPr>
                <w:sz w:val="1"/>
                <w:szCs w:val="1"/>
                <w:color w:val="auto"/>
              </w:rPr>
            </w:pPr>
          </w:p>
        </w:tc>
      </w:tr>
      <w:tr>
        <w:trPr>
          <w:trHeight w:val="57"/>
        </w:trPr>
        <w:tc>
          <w:tcPr>
            <w:tcW w:w="3260" w:type="dxa"/>
            <w:vAlign w:val="bottom"/>
            <w:tcBorders>
              <w:left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260" w:type="dxa"/>
            <w:vAlign w:val="bottom"/>
            <w:tcBorders>
              <w:left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right w:val="single" w:sz="8" w:color="auto"/>
            </w:tcBorders>
          </w:tcPr>
          <w:p>
            <w:pPr>
              <w:jc w:val="center"/>
              <w:ind w:right="177"/>
              <w:spacing w:after="0" w:line="107" w:lineRule="exact"/>
              <w:rPr>
                <w:sz w:val="20"/>
                <w:szCs w:val="20"/>
                <w:color w:val="auto"/>
              </w:rPr>
            </w:pPr>
            <w:r>
              <w:rPr>
                <w:rFonts w:ascii="Arial" w:cs="Arial" w:eastAsia="Arial" w:hAnsi="Arial"/>
                <w:sz w:val="12"/>
                <w:szCs w:val="12"/>
                <w:b w:val="1"/>
                <w:bCs w:val="1"/>
                <w:color w:val="auto"/>
              </w:rPr>
              <w:t>Pretax</w:t>
            </w:r>
          </w:p>
        </w:tc>
        <w:tc>
          <w:tcPr>
            <w:tcW w:w="200" w:type="dxa"/>
            <w:vAlign w:val="bottom"/>
          </w:tcPr>
          <w:p>
            <w:pPr>
              <w:spacing w:after="0"/>
              <w:rPr>
                <w:sz w:val="9"/>
                <w:szCs w:val="9"/>
                <w:color w:val="auto"/>
              </w:rPr>
            </w:pPr>
          </w:p>
        </w:tc>
        <w:tc>
          <w:tcPr>
            <w:tcW w:w="84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right w:val="single" w:sz="8" w:color="auto"/>
            </w:tcBorders>
          </w:tcPr>
          <w:p>
            <w:pPr>
              <w:jc w:val="center"/>
              <w:ind w:right="177"/>
              <w:spacing w:after="0" w:line="107" w:lineRule="exact"/>
              <w:rPr>
                <w:sz w:val="20"/>
                <w:szCs w:val="20"/>
                <w:color w:val="auto"/>
              </w:rPr>
            </w:pPr>
            <w:r>
              <w:rPr>
                <w:rFonts w:ascii="Arial" w:cs="Arial" w:eastAsia="Arial" w:hAnsi="Arial"/>
                <w:sz w:val="12"/>
                <w:szCs w:val="12"/>
                <w:b w:val="1"/>
                <w:bCs w:val="1"/>
                <w:color w:val="auto"/>
              </w:rPr>
              <w:t>Pretax</w:t>
            </w:r>
          </w:p>
        </w:tc>
        <w:tc>
          <w:tcPr>
            <w:tcW w:w="220" w:type="dxa"/>
            <w:vAlign w:val="bottom"/>
          </w:tcPr>
          <w:p>
            <w:pPr>
              <w:spacing w:after="0"/>
              <w:rPr>
                <w:sz w:val="9"/>
                <w:szCs w:val="9"/>
                <w:color w:val="auto"/>
              </w:rPr>
            </w:pPr>
          </w:p>
        </w:tc>
        <w:tc>
          <w:tcPr>
            <w:tcW w:w="82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w w:val="99"/>
              </w:rPr>
              <w:t>Revenue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right w:val="single" w:sz="8" w:color="auto"/>
            </w:tcBorders>
          </w:tcPr>
          <w:p>
            <w:pPr>
              <w:jc w:val="center"/>
              <w:ind w:right="177"/>
              <w:spacing w:after="0" w:line="107" w:lineRule="exact"/>
              <w:rPr>
                <w:sz w:val="20"/>
                <w:szCs w:val="20"/>
                <w:color w:val="auto"/>
              </w:rPr>
            </w:pPr>
            <w:r>
              <w:rPr>
                <w:rFonts w:ascii="Arial" w:cs="Arial" w:eastAsia="Arial" w:hAnsi="Arial"/>
                <w:sz w:val="12"/>
                <w:szCs w:val="12"/>
                <w:b w:val="1"/>
                <w:bCs w:val="1"/>
                <w:color w:val="auto"/>
              </w:rPr>
              <w:t>Pretax</w:t>
            </w:r>
          </w:p>
        </w:tc>
        <w:tc>
          <w:tcPr>
            <w:tcW w:w="220" w:type="dxa"/>
            <w:vAlign w:val="bottom"/>
          </w:tcPr>
          <w:p>
            <w:pPr>
              <w:spacing w:after="0"/>
              <w:rPr>
                <w:sz w:val="9"/>
                <w:szCs w:val="9"/>
                <w:color w:val="auto"/>
              </w:rPr>
            </w:pPr>
          </w:p>
        </w:tc>
        <w:tc>
          <w:tcPr>
            <w:tcW w:w="88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3"/>
                <w:szCs w:val="13"/>
                <w:b w:val="1"/>
                <w:bCs w:val="1"/>
                <w:color w:val="auto"/>
              </w:rPr>
              <w:t>Revenue</w:t>
            </w:r>
          </w:p>
        </w:tc>
        <w:tc>
          <w:tcPr>
            <w:tcW w:w="220" w:type="dxa"/>
            <w:vAlign w:val="bottom"/>
          </w:tcPr>
          <w:p>
            <w:pPr>
              <w:spacing w:after="0"/>
              <w:rPr>
                <w:sz w:val="9"/>
                <w:szCs w:val="9"/>
                <w:color w:val="auto"/>
              </w:rPr>
            </w:pPr>
          </w:p>
        </w:tc>
        <w:tc>
          <w:tcPr>
            <w:tcW w:w="760" w:type="dxa"/>
            <w:vAlign w:val="bottom"/>
            <w:tcBorders>
              <w:right w:val="single" w:sz="8" w:color="auto"/>
            </w:tcBorders>
          </w:tcPr>
          <w:p>
            <w:pPr>
              <w:jc w:val="center"/>
              <w:ind w:right="157"/>
              <w:spacing w:after="0" w:line="107" w:lineRule="exact"/>
              <w:rPr>
                <w:sz w:val="20"/>
                <w:szCs w:val="20"/>
                <w:color w:val="auto"/>
              </w:rPr>
            </w:pPr>
            <w:r>
              <w:rPr>
                <w:rFonts w:ascii="Arial" w:cs="Arial" w:eastAsia="Arial" w:hAnsi="Arial"/>
                <w:sz w:val="12"/>
                <w:szCs w:val="12"/>
                <w:b w:val="1"/>
                <w:bCs w:val="1"/>
                <w:color w:val="auto"/>
              </w:rPr>
              <w:t>Pretax</w:t>
            </w:r>
          </w:p>
        </w:tc>
        <w:tc>
          <w:tcPr>
            <w:tcW w:w="0" w:type="dxa"/>
            <w:vAlign w:val="bottom"/>
          </w:tcPr>
          <w:p>
            <w:pPr>
              <w:spacing w:after="0"/>
              <w:rPr>
                <w:sz w:val="1"/>
                <w:szCs w:val="1"/>
                <w:color w:val="auto"/>
              </w:rPr>
            </w:pPr>
          </w:p>
        </w:tc>
      </w:tr>
      <w:tr>
        <w:trPr>
          <w:trHeight w:val="101"/>
        </w:trPr>
        <w:tc>
          <w:tcPr>
            <w:tcW w:w="326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right w:val="single" w:sz="8" w:color="auto"/>
            </w:tcBorders>
            <w:vMerge w:val="restart"/>
          </w:tcPr>
          <w:p>
            <w:pPr>
              <w:jc w:val="center"/>
              <w:ind w:right="157"/>
              <w:spacing w:after="0"/>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177"/>
              <w:spacing w:after="0"/>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177"/>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64"/>
        </w:trPr>
        <w:tc>
          <w:tcPr>
            <w:tcW w:w="3260" w:type="dxa"/>
            <w:vAlign w:val="bottom"/>
            <w:tcBorders>
              <w:left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North America</w:t>
            </w:r>
          </w:p>
        </w:tc>
        <w:tc>
          <w:tcPr>
            <w:tcW w:w="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1,854</w:t>
            </w:r>
          </w:p>
        </w:tc>
        <w:tc>
          <w:tcPr>
            <w:tcW w:w="4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195</w:t>
            </w:r>
          </w:p>
        </w:tc>
        <w:tc>
          <w:tcPr>
            <w:tcW w:w="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1,971</w:t>
            </w:r>
          </w:p>
        </w:tc>
        <w:tc>
          <w:tcPr>
            <w:tcW w:w="6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232</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2,091</w:t>
            </w:r>
          </w:p>
        </w:tc>
        <w:tc>
          <w:tcPr>
            <w:tcW w:w="8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322</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5,916</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749</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Latin America</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218</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1,499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234</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194</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4,294</w:t>
            </w: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646</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Europe/CIS/W.Africa</w:t>
            </w:r>
          </w:p>
        </w:tc>
        <w:tc>
          <w:tcPr>
            <w:tcW w:w="200" w:type="dxa"/>
            <w:vAlign w:val="bottom"/>
          </w:tcPr>
          <w:p>
            <w:pPr>
              <w:spacing w:after="0"/>
              <w:rPr>
                <w:sz w:val="11"/>
                <w:szCs w:val="11"/>
                <w:color w:val="auto"/>
              </w:rPr>
            </w:pP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2,266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368</w:t>
            </w:r>
          </w:p>
        </w:tc>
        <w:tc>
          <w:tcPr>
            <w:tcW w:w="200" w:type="dxa"/>
            <w:vAlign w:val="bottom"/>
          </w:tcPr>
          <w:p>
            <w:pPr>
              <w:spacing w:after="0"/>
              <w:rPr>
                <w:sz w:val="11"/>
                <w:szCs w:val="11"/>
                <w:color w:val="auto"/>
              </w:rPr>
            </w:pPr>
          </w:p>
        </w:tc>
        <w:tc>
          <w:tcPr>
            <w:tcW w:w="8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2,404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393</w:t>
            </w:r>
          </w:p>
        </w:tc>
        <w:tc>
          <w:tcPr>
            <w:tcW w:w="220" w:type="dxa"/>
            <w:vAlign w:val="bottom"/>
          </w:tcPr>
          <w:p>
            <w:pPr>
              <w:spacing w:after="0"/>
              <w:rPr>
                <w:sz w:val="11"/>
                <w:szCs w:val="11"/>
                <w:color w:val="auto"/>
              </w:rPr>
            </w:pPr>
          </w:p>
        </w:tc>
        <w:tc>
          <w:tcPr>
            <w:tcW w:w="82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2,434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409</w:t>
            </w:r>
          </w:p>
        </w:tc>
        <w:tc>
          <w:tcPr>
            <w:tcW w:w="220" w:type="dxa"/>
            <w:vAlign w:val="bottom"/>
          </w:tcPr>
          <w:p>
            <w:pPr>
              <w:spacing w:after="0"/>
              <w:rPr>
                <w:sz w:val="11"/>
                <w:szCs w:val="11"/>
                <w:color w:val="auto"/>
              </w:rPr>
            </w:pPr>
          </w:p>
        </w:tc>
        <w:tc>
          <w:tcPr>
            <w:tcW w:w="8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7,104</w:t>
            </w:r>
          </w:p>
        </w:tc>
        <w:tc>
          <w:tcPr>
            <w:tcW w:w="220" w:type="dxa"/>
            <w:vAlign w:val="bottom"/>
          </w:tcPr>
          <w:p>
            <w:pPr>
              <w:spacing w:after="0"/>
              <w:rPr>
                <w:sz w:val="11"/>
                <w:szCs w:val="11"/>
                <w:color w:val="auto"/>
              </w:rPr>
            </w:pPr>
          </w:p>
        </w:tc>
        <w:tc>
          <w:tcPr>
            <w:tcW w:w="7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1,170</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Middle East &amp; Asia</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1,792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462</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1,855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489</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1,823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451</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5,470</w:t>
            </w: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1,402</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28</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(37)</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41</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58</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(47)</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127</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(104)</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7,346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1,206</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7,770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1,328</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7,795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1,329</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22,911</w:t>
            </w: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3,863</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452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490</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14</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548</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1,490</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39</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7,798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1,211</w:t>
            </w: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8,260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1,342</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8,343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1,349</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24,401</w:t>
            </w: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3,902</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(161)</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(168)</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(140)</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(469)</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10</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(66)</w:t>
            </w: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(69)</w:t>
            </w:r>
          </w:p>
        </w:tc>
        <w:tc>
          <w:tcPr>
            <w:tcW w:w="22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(68)</w:t>
            </w:r>
          </w:p>
        </w:tc>
        <w:tc>
          <w:tcPr>
            <w:tcW w:w="2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(203)</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(75)</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823</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733</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Income before Tax and Noncontrolling Interests</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922</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1,101</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1,974</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3,997</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(261)</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(229)</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(236)</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(726)</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Income from Continuing Operations</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661</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872</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1,738</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3,271</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(4)</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Schlumberger Income from Continuing Operations</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657</w:t>
            </w: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872</w:t>
            </w:r>
          </w:p>
        </w:tc>
        <w:tc>
          <w:tcPr>
            <w:tcW w:w="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1,738</w:t>
            </w:r>
          </w:p>
        </w:tc>
        <w:tc>
          <w:tcPr>
            <w:tcW w:w="2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3,267</w:t>
            </w:r>
          </w:p>
        </w:tc>
        <w:tc>
          <w:tcPr>
            <w:tcW w:w="0" w:type="dxa"/>
            <w:vAlign w:val="bottom"/>
          </w:tcPr>
          <w:p>
            <w:pPr>
              <w:spacing w:after="0"/>
              <w:rPr>
                <w:sz w:val="1"/>
                <w:szCs w:val="1"/>
                <w:color w:val="auto"/>
              </w:rPr>
            </w:pPr>
          </w:p>
        </w:tc>
      </w:tr>
      <w:tr>
        <w:trPr>
          <w:trHeight w:val="81"/>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Borders>
              <w:left w:val="single" w:sz="8" w:color="CCEEFF"/>
              <w:right w:val="single" w:sz="8" w:color="CCEEFF"/>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 xml:space="preserve">Average Diluted Shares Outstanding </w:t>
            </w:r>
            <w:r>
              <w:rPr>
                <w:rFonts w:ascii="Arial" w:cs="Arial" w:eastAsia="Arial" w:hAnsi="Arial"/>
                <w:sz w:val="10"/>
                <w:szCs w:val="10"/>
                <w:b w:val="1"/>
                <w:bCs w:val="1"/>
                <w:color w:val="auto"/>
              </w:rPr>
              <w:t>(3)</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1,390</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1,383</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1,375</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1,383</w:t>
            </w:r>
          </w:p>
        </w:tc>
        <w:tc>
          <w:tcPr>
            <w:tcW w:w="0" w:type="dxa"/>
            <w:vAlign w:val="bottom"/>
          </w:tcPr>
          <w:p>
            <w:pPr>
              <w:spacing w:after="0"/>
              <w:rPr>
                <w:sz w:val="1"/>
                <w:szCs w:val="1"/>
                <w:color w:val="auto"/>
              </w:rPr>
            </w:pPr>
          </w:p>
        </w:tc>
      </w:tr>
      <w:tr>
        <w:trPr>
          <w:trHeight w:val="248"/>
        </w:trPr>
        <w:tc>
          <w:tcPr>
            <w:tcW w:w="3260" w:type="dxa"/>
            <w:vAlign w:val="bottom"/>
          </w:tcPr>
          <w:p>
            <w:pPr>
              <w:ind w:left="80"/>
              <w:spacing w:after="0"/>
              <w:rPr>
                <w:sz w:val="20"/>
                <w:szCs w:val="20"/>
                <w:color w:val="auto"/>
              </w:rPr>
            </w:pPr>
            <w:r>
              <w:rPr>
                <w:rFonts w:ascii="Arial" w:cs="Arial" w:eastAsia="Arial" w:hAnsi="Arial"/>
                <w:sz w:val="13"/>
                <w:szCs w:val="13"/>
                <w:b w:val="1"/>
                <w:bCs w:val="1"/>
                <w:color w:val="auto"/>
              </w:rPr>
              <w:t>Diluted Earnings per Share - excluding Charges &amp;</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260" w:type="dxa"/>
            <w:vAlign w:val="bottom"/>
          </w:tcPr>
          <w:p>
            <w:pPr>
              <w:ind w:left="300"/>
              <w:spacing w:after="0"/>
              <w:rPr>
                <w:sz w:val="20"/>
                <w:szCs w:val="20"/>
                <w:color w:val="auto"/>
              </w:rPr>
            </w:pPr>
            <w:r>
              <w:rPr>
                <w:rFonts w:ascii="Arial" w:cs="Arial" w:eastAsia="Arial" w:hAnsi="Arial"/>
                <w:sz w:val="13"/>
                <w:szCs w:val="13"/>
                <w:b w:val="1"/>
                <w:bCs w:val="1"/>
                <w:color w:val="auto"/>
              </w:rPr>
              <w:t xml:space="preserve">Credits </w:t>
            </w:r>
            <w:r>
              <w:rPr>
                <w:rFonts w:ascii="Arial" w:cs="Arial" w:eastAsia="Arial" w:hAnsi="Arial"/>
                <w:sz w:val="10"/>
                <w:szCs w:val="10"/>
                <w:b w:val="1"/>
                <w:bCs w:val="1"/>
                <w:color w:val="auto"/>
              </w:rPr>
              <w:t>(4)</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0.56</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0.64</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0.65</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1.84</w:t>
            </w:r>
          </w:p>
        </w:tc>
        <w:tc>
          <w:tcPr>
            <w:tcW w:w="0" w:type="dxa"/>
            <w:vAlign w:val="bottom"/>
          </w:tcPr>
          <w:p>
            <w:pPr>
              <w:spacing w:after="0"/>
              <w:rPr>
                <w:sz w:val="1"/>
                <w:szCs w:val="1"/>
                <w:color w:val="auto"/>
              </w:rPr>
            </w:pPr>
          </w:p>
        </w:tc>
      </w:tr>
      <w:tr>
        <w:trPr>
          <w:trHeight w:val="113"/>
        </w:trPr>
        <w:tc>
          <w:tcPr>
            <w:tcW w:w="326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Diluted Earnings per Share - including Charges &amp;</w:t>
            </w:r>
          </w:p>
        </w:tc>
        <w:tc>
          <w:tcPr>
            <w:tcW w:w="200" w:type="dxa"/>
            <w:vAlign w:val="bottom"/>
            <w:shd w:val="clear" w:color="auto" w:fill="CCEEFF"/>
          </w:tcPr>
          <w:p>
            <w:pPr>
              <w:spacing w:after="0"/>
              <w:rPr>
                <w:sz w:val="9"/>
                <w:szCs w:val="9"/>
                <w:color w:val="auto"/>
              </w:rPr>
            </w:pPr>
          </w:p>
        </w:tc>
        <w:tc>
          <w:tcPr>
            <w:tcW w:w="84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26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 xml:space="preserve">Credits </w:t>
            </w:r>
            <w:r>
              <w:rPr>
                <w:rFonts w:ascii="Arial" w:cs="Arial" w:eastAsia="Arial" w:hAnsi="Arial"/>
                <w:sz w:val="10"/>
                <w:szCs w:val="10"/>
                <w:b w:val="1"/>
                <w:bCs w:val="1"/>
                <w:color w:val="auto"/>
              </w:rPr>
              <w:t>(4)</w:t>
            </w:r>
          </w:p>
        </w:tc>
        <w:tc>
          <w:tcPr>
            <w:tcW w:w="2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0.47</w:t>
            </w:r>
          </w:p>
        </w:tc>
        <w:tc>
          <w:tcPr>
            <w:tcW w:w="2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0.63</w:t>
            </w:r>
          </w:p>
        </w:tc>
        <w:tc>
          <w:tcPr>
            <w:tcW w:w="2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1.26</w:t>
            </w:r>
          </w:p>
        </w:tc>
        <w:tc>
          <w:tcPr>
            <w:tcW w:w="22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2.36</w:t>
            </w:r>
          </w:p>
        </w:tc>
        <w:tc>
          <w:tcPr>
            <w:tcW w:w="0" w:type="dxa"/>
            <w:vAlign w:val="bottom"/>
          </w:tcPr>
          <w:p>
            <w:pPr>
              <w:spacing w:after="0"/>
              <w:rPr>
                <w:sz w:val="1"/>
                <w:szCs w:val="1"/>
                <w:color w:val="auto"/>
              </w:rPr>
            </w:pPr>
          </w:p>
        </w:tc>
      </w:tr>
      <w:tr>
        <w:trPr>
          <w:trHeight w:val="270"/>
        </w:trPr>
        <w:tc>
          <w:tcPr>
            <w:tcW w:w="3260" w:type="dxa"/>
            <w:vAlign w:val="bottom"/>
          </w:tcPr>
          <w:p>
            <w:pPr>
              <w:ind w:left="80"/>
              <w:spacing w:after="0"/>
              <w:rPr>
                <w:sz w:val="20"/>
                <w:szCs w:val="20"/>
                <w:color w:val="auto"/>
              </w:rPr>
            </w:pPr>
            <w:r>
              <w:rPr>
                <w:rFonts w:ascii="Arial" w:cs="Arial" w:eastAsia="Arial" w:hAnsi="Arial"/>
                <w:sz w:val="13"/>
                <w:szCs w:val="13"/>
                <w:b w:val="1"/>
                <w:bCs w:val="1"/>
                <w:color w:val="auto"/>
              </w:rPr>
              <w:t>Effective Tax Rate - excluding Charges &amp; Credits</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22.0%</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21.1%</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22.5%</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21.8%</w:t>
            </w:r>
          </w:p>
        </w:tc>
        <w:tc>
          <w:tcPr>
            <w:tcW w:w="0" w:type="dxa"/>
            <w:vAlign w:val="bottom"/>
          </w:tcPr>
          <w:p>
            <w:pPr>
              <w:spacing w:after="0"/>
              <w:rPr>
                <w:sz w:val="1"/>
                <w:szCs w:val="1"/>
                <w:color w:val="auto"/>
              </w:rPr>
            </w:pPr>
          </w:p>
        </w:tc>
      </w:tr>
      <w:tr>
        <w:trPr>
          <w:trHeight w:val="135"/>
        </w:trPr>
        <w:tc>
          <w:tcPr>
            <w:tcW w:w="3260" w:type="dxa"/>
            <w:vAlign w:val="bottom"/>
            <w:tcBorders>
              <w:left w:val="single" w:sz="8" w:color="CCEEFF"/>
              <w:right w:val="single" w:sz="8" w:color="CCEEFF"/>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Effective Tax Rate - including Charges &amp; Credits</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28.3%</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20.8%</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12.0%</w:t>
            </w:r>
          </w:p>
        </w:tc>
        <w:tc>
          <w:tcPr>
            <w:tcW w:w="22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18.2%</w:t>
            </w:r>
          </w:p>
        </w:tc>
        <w:tc>
          <w:tcPr>
            <w:tcW w:w="0" w:type="dxa"/>
            <w:vAlign w:val="bottom"/>
          </w:tcPr>
          <w:p>
            <w:pPr>
              <w:spacing w:after="0"/>
              <w:rPr>
                <w:sz w:val="1"/>
                <w:szCs w:val="1"/>
                <w:color w:val="auto"/>
              </w:rPr>
            </w:pPr>
          </w:p>
        </w:tc>
      </w:tr>
      <w:tr>
        <w:trPr>
          <w:trHeight w:val="240"/>
        </w:trPr>
        <w:tc>
          <w:tcPr>
            <w:tcW w:w="326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8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8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2" w:right="239" w:bottom="1440" w:gutter="0" w:footer="0" w:header="0"/>
        </w:sectPr>
      </w:pPr>
    </w:p>
    <w:bookmarkStart w:id="8" w:name="page9"/>
    <w:bookmarkEnd w:id="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620395</wp:posOffset>
            </wp:positionV>
            <wp:extent cx="1689735"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8973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3"/>
          <w:szCs w:val="23"/>
          <w:b w:val="1"/>
          <w:bCs w:val="1"/>
          <w:color w:val="3E506E"/>
        </w:rPr>
        <w:t>Notes to the Schlumberger Limited Unaudited Pro Forma Historical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3E506E"/>
        </w:rPr>
        <w:t>Consolidated Financial Information</w:t>
      </w:r>
    </w:p>
    <w:p>
      <w:pPr>
        <w:spacing w:after="0" w:line="227" w:lineRule="exact"/>
        <w:rPr>
          <w:sz w:val="20"/>
          <w:szCs w:val="20"/>
          <w:color w:val="auto"/>
        </w:rPr>
      </w:pPr>
    </w:p>
    <w:p>
      <w:pPr>
        <w:ind w:left="460" w:hanging="452"/>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depreciation and amortization expense associated with fair value adjustments to Smith’s acquired assets of approximately $50 million per quarter.</w:t>
      </w:r>
    </w:p>
    <w:p>
      <w:pPr>
        <w:spacing w:after="0" w:line="102" w:lineRule="exact"/>
        <w:rPr>
          <w:rFonts w:ascii="Arial" w:cs="Arial" w:eastAsia="Arial" w:hAnsi="Arial"/>
          <w:sz w:val="18"/>
          <w:szCs w:val="18"/>
          <w:color w:val="auto"/>
        </w:rPr>
      </w:pPr>
    </w:p>
    <w:p>
      <w:pPr>
        <w:ind w:left="460" w:hanging="452"/>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a reduction in interest expense of approximately $15 million per quarter as a result of fair value adjustments recorded in purchase accounting relating to Smith’s long-term fixed rate debt.</w:t>
      </w:r>
    </w:p>
    <w:p>
      <w:pPr>
        <w:spacing w:after="0" w:line="102" w:lineRule="exact"/>
        <w:rPr>
          <w:rFonts w:ascii="Arial" w:cs="Arial" w:eastAsia="Arial" w:hAnsi="Arial"/>
          <w:sz w:val="18"/>
          <w:szCs w:val="18"/>
          <w:color w:val="auto"/>
        </w:rPr>
      </w:pPr>
    </w:p>
    <w:p>
      <w:pPr>
        <w:ind w:left="460" w:right="20" w:hanging="452"/>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shares outstanding was calculated by taking the Schlumberger historical diluted shares outstanding and adding the approximately 176 million shares of Schlumberger common stock issued in connection with the Smith transaction.</w:t>
      </w:r>
    </w:p>
    <w:p>
      <w:pPr>
        <w:spacing w:after="0" w:line="102" w:lineRule="exact"/>
        <w:rPr>
          <w:rFonts w:ascii="Arial" w:cs="Arial" w:eastAsia="Arial" w:hAnsi="Arial"/>
          <w:sz w:val="18"/>
          <w:szCs w:val="18"/>
          <w:color w:val="auto"/>
        </w:rPr>
      </w:pPr>
    </w:p>
    <w:p>
      <w:pPr>
        <w:ind w:left="460" w:right="20" w:hanging="452"/>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diluted earnings per share reflects the adding back of interest expense associated with Schlumberger’s outstanding convertible debentures to net income, as appropriate, for each period presented.</w:t>
      </w:r>
    </w:p>
    <w:p>
      <w:pPr>
        <w:spacing w:after="0" w:line="102" w:lineRule="exact"/>
        <w:rPr>
          <w:rFonts w:ascii="Arial" w:cs="Arial" w:eastAsia="Arial" w:hAnsi="Arial"/>
          <w:sz w:val="18"/>
          <w:szCs w:val="18"/>
          <w:color w:val="auto"/>
        </w:rPr>
      </w:pPr>
    </w:p>
    <w:p>
      <w:pPr>
        <w:ind w:left="460" w:hanging="452"/>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is a summary of Charges &amp; Credits recorded in each period as well as a reconciliation of pro forma diluted earnings per share, excluding charges and credits to pro forma diluted earnings per share including charges and credits: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2008 Charges &amp; Credits and Reconciliation of Pro Forma Diluted EPS</w:t>
      </w:r>
    </w:p>
    <w:p>
      <w:pPr>
        <w:spacing w:after="0" w:line="2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1290" w:type="dxa"/>
        <w:tblCellMar>
          <w:top w:w="0" w:type="dxa"/>
          <w:left w:w="0" w:type="dxa"/>
          <w:bottom w:w="0" w:type="dxa"/>
          <w:right w:w="0" w:type="dxa"/>
        </w:tblCellMar>
      </w:tblPr>
      <w:tr>
        <w:trPr>
          <w:trHeight w:val="267"/>
        </w:trPr>
        <w:tc>
          <w:tcPr>
            <w:tcW w:w="180" w:type="dxa"/>
            <w:vAlign w:val="bottom"/>
            <w:tcBorders>
              <w:top w:val="single" w:sz="8" w:color="auto"/>
              <w:left w:val="single" w:sz="8" w:color="auto"/>
            </w:tcBorders>
          </w:tcPr>
          <w:p>
            <w:pPr>
              <w:spacing w:after="0"/>
              <w:rPr>
                <w:sz w:val="23"/>
                <w:szCs w:val="23"/>
                <w:color w:val="auto"/>
              </w:rPr>
            </w:pPr>
          </w:p>
        </w:tc>
        <w:tc>
          <w:tcPr>
            <w:tcW w:w="3560" w:type="dxa"/>
            <w:vAlign w:val="bottom"/>
            <w:tcBorders>
              <w:top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6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Fourth Quarter 2008</w:t>
            </w:r>
          </w:p>
        </w:tc>
        <w:tc>
          <w:tcPr>
            <w:tcW w:w="84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0" w:type="dxa"/>
            <w:vAlign w:val="bottom"/>
            <w:tcBorders>
              <w:left w:val="single" w:sz="8" w:color="auto"/>
            </w:tcBorders>
          </w:tcPr>
          <w:p>
            <w:pPr>
              <w:spacing w:after="0"/>
              <w:rPr>
                <w:sz w:val="16"/>
                <w:szCs w:val="16"/>
                <w:color w:val="auto"/>
              </w:rPr>
            </w:pPr>
          </w:p>
        </w:tc>
        <w:tc>
          <w:tcPr>
            <w:tcW w:w="3560" w:type="dxa"/>
            <w:vAlign w:val="bottom"/>
          </w:tcPr>
          <w:p>
            <w:pPr>
              <w:spacing w:after="0"/>
              <w:rPr>
                <w:sz w:val="16"/>
                <w:szCs w:val="16"/>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6"/>
                <w:szCs w:val="16"/>
                <w:color w:val="auto"/>
              </w:rPr>
            </w:pPr>
          </w:p>
        </w:tc>
        <w:tc>
          <w:tcPr>
            <w:tcW w:w="580" w:type="dxa"/>
            <w:vAlign w:val="bottom"/>
            <w:vMerge w:val="restart"/>
          </w:tcPr>
          <w:p>
            <w:pPr>
              <w:jc w:val="right"/>
              <w:ind w:right="199"/>
              <w:spacing w:after="0"/>
              <w:rPr>
                <w:sz w:val="20"/>
                <w:szCs w:val="20"/>
                <w:color w:val="auto"/>
              </w:rPr>
            </w:pPr>
            <w:r>
              <w:rPr>
                <w:rFonts w:ascii="Arial" w:cs="Arial" w:eastAsia="Arial" w:hAnsi="Arial"/>
                <w:sz w:val="16"/>
                <w:szCs w:val="16"/>
                <w:color w:val="auto"/>
              </w:rPr>
              <w:t>Tax</w:t>
            </w:r>
          </w:p>
        </w:tc>
        <w:tc>
          <w:tcPr>
            <w:tcW w:w="1280" w:type="dxa"/>
            <w:vAlign w:val="bottom"/>
            <w:gridSpan w:val="2"/>
          </w:tcPr>
          <w:p>
            <w:pPr>
              <w:ind w:left="360"/>
              <w:spacing w:after="0"/>
              <w:rPr>
                <w:sz w:val="20"/>
                <w:szCs w:val="20"/>
                <w:color w:val="auto"/>
              </w:rPr>
            </w:pPr>
            <w:r>
              <w:rPr>
                <w:rFonts w:ascii="Arial" w:cs="Arial" w:eastAsia="Arial" w:hAnsi="Arial"/>
                <w:sz w:val="16"/>
                <w:szCs w:val="16"/>
                <w:color w:val="auto"/>
              </w:rPr>
              <w:t>Noncont.</w:t>
            </w:r>
          </w:p>
        </w:tc>
        <w:tc>
          <w:tcPr>
            <w:tcW w:w="380" w:type="dxa"/>
            <w:vAlign w:val="bottom"/>
          </w:tcPr>
          <w:p>
            <w:pPr>
              <w:spacing w:after="0"/>
              <w:rPr>
                <w:sz w:val="16"/>
                <w:szCs w:val="16"/>
                <w:color w:val="auto"/>
              </w:rPr>
            </w:pPr>
          </w:p>
        </w:tc>
        <w:tc>
          <w:tcPr>
            <w:tcW w:w="840" w:type="dxa"/>
            <w:vAlign w:val="bottom"/>
            <w:vMerge w:val="restart"/>
          </w:tcPr>
          <w:p>
            <w:pPr>
              <w:jc w:val="right"/>
              <w:ind w:right="41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80" w:type="dxa"/>
            <w:vAlign w:val="bottom"/>
            <w:gridSpan w:val="2"/>
            <w:vMerge w:val="restart"/>
          </w:tcPr>
          <w:p>
            <w:pPr>
              <w:jc w:val="right"/>
              <w:ind w:right="259"/>
              <w:spacing w:after="0"/>
              <w:rPr>
                <w:sz w:val="20"/>
                <w:szCs w:val="20"/>
                <w:color w:val="auto"/>
              </w:rPr>
            </w:pPr>
            <w:r>
              <w:rPr>
                <w:rFonts w:ascii="Arial" w:cs="Arial" w:eastAsia="Arial" w:hAnsi="Arial"/>
                <w:sz w:val="16"/>
                <w:szCs w:val="16"/>
                <w:color w:val="auto"/>
              </w:rPr>
              <w:t>Interest</w:t>
            </w: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tcBorders>
              <w:right w:val="single" w:sz="8" w:color="auto"/>
            </w:tcBorders>
            <w:gridSpan w:val="3"/>
            <w:vMerge w:val="restart"/>
          </w:tcPr>
          <w:p>
            <w:pPr>
              <w:jc w:val="right"/>
              <w:ind w:right="12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$ 1,790</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1,326</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left w:val="single" w:sz="8" w:color="auto"/>
            </w:tcBorders>
            <w:gridSpan w:val="2"/>
          </w:tcPr>
          <w:p>
            <w:pPr>
              <w:ind w:left="160"/>
              <w:spacing w:after="0"/>
              <w:rPr>
                <w:sz w:val="20"/>
                <w:szCs w:val="20"/>
                <w:color w:val="auto"/>
              </w:rPr>
            </w:pPr>
            <w:r>
              <w:rPr>
                <w:rFonts w:ascii="Arial" w:cs="Arial" w:eastAsia="Arial" w:hAnsi="Arial"/>
                <w:sz w:val="16"/>
                <w:szCs w:val="16"/>
                <w:color w:val="auto"/>
              </w:rPr>
              <w:t>Add back Schlumberger Charges &amp; Credits:</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60" w:type="dxa"/>
            <w:vAlign w:val="bottom"/>
          </w:tcPr>
          <w:p>
            <w:pPr>
              <w:ind w:left="180"/>
              <w:spacing w:after="0"/>
              <w:rPr>
                <w:sz w:val="20"/>
                <w:szCs w:val="20"/>
                <w:color w:val="auto"/>
              </w:rPr>
            </w:pPr>
            <w:r>
              <w:rPr>
                <w:rFonts w:ascii="Arial" w:cs="Arial" w:eastAsia="Arial" w:hAnsi="Arial"/>
                <w:sz w:val="16"/>
                <w:szCs w:val="16"/>
                <w:i w:val="1"/>
                <w:iCs w:val="1"/>
                <w:color w:val="auto"/>
              </w:rPr>
              <w:t>Provision for doubtful accounts</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6"/>
                <w:szCs w:val="16"/>
                <w:color w:val="auto"/>
              </w:rPr>
            </w:pP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Other</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left w:val="single" w:sz="8" w:color="auto"/>
            </w:tcBorders>
            <w:gridSpan w:val="2"/>
          </w:tcPr>
          <w:p>
            <w:pPr>
              <w:ind w:left="160"/>
              <w:spacing w:after="0"/>
              <w:rPr>
                <w:sz w:val="20"/>
                <w:szCs w:val="20"/>
                <w:color w:val="auto"/>
              </w:rPr>
            </w:pPr>
            <w:r>
              <w:rPr>
                <w:rFonts w:ascii="Arial" w:cs="Arial" w:eastAsia="Arial" w:hAnsi="Arial"/>
                <w:sz w:val="16"/>
                <w:szCs w:val="16"/>
                <w:color w:val="auto"/>
              </w:rPr>
              <w:t>Add back Smith Charges &amp; Credits:</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Derivative contract related loss</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Borders>
              <w:left w:val="single" w:sz="8" w:color="auto"/>
            </w:tcBorders>
            <w:gridSpan w:val="2"/>
          </w:tcPr>
          <w:p>
            <w:pPr>
              <w:ind w:left="160"/>
              <w:spacing w:after="0"/>
              <w:rPr>
                <w:sz w:val="20"/>
                <w:szCs w:val="20"/>
                <w:color w:val="auto"/>
              </w:rPr>
            </w:pPr>
            <w:r>
              <w:rPr>
                <w:rFonts w:ascii="Arial" w:cs="Arial" w:eastAsia="Arial" w:hAnsi="Arial"/>
                <w:sz w:val="16"/>
                <w:szCs w:val="16"/>
                <w:color w:val="auto"/>
              </w:rPr>
              <w:t>Income attributable to Schlumberger,</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$ 1,935</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(484)</w:t>
            </w:r>
          </w:p>
        </w:tc>
        <w:tc>
          <w:tcPr>
            <w:tcW w:w="58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139"/>
              <w:spacing w:after="0"/>
              <w:rPr>
                <w:sz w:val="20"/>
                <w:szCs w:val="20"/>
                <w:color w:val="auto"/>
              </w:rPr>
            </w:pPr>
            <w:r>
              <w:rPr>
                <w:rFonts w:ascii="Arial" w:cs="Arial" w:eastAsia="Arial" w:hAnsi="Arial"/>
                <w:sz w:val="16"/>
                <w:szCs w:val="16"/>
                <w:color w:val="auto"/>
              </w:rPr>
              <w:t>(7)</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1,444</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3560" w:type="dxa"/>
            <w:vAlign w:val="bottom"/>
            <w:vMerge w:val="restart"/>
          </w:tcPr>
          <w:p>
            <w:pPr>
              <w:ind w:left="180"/>
              <w:spacing w:after="0"/>
              <w:rPr>
                <w:sz w:val="20"/>
                <w:szCs w:val="20"/>
                <w:color w:val="auto"/>
              </w:rPr>
            </w:pPr>
            <w:r>
              <w:rPr>
                <w:rFonts w:ascii="Arial" w:cs="Arial" w:eastAsia="Arial" w:hAnsi="Arial"/>
                <w:sz w:val="16"/>
                <w:szCs w:val="16"/>
                <w:color w:val="auto"/>
              </w:rPr>
              <w:t>excluding Charges &amp; Credits</w:t>
            </w:r>
          </w:p>
        </w:tc>
        <w:tc>
          <w:tcPr>
            <w:tcW w:w="8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0" w:type="dxa"/>
            <w:vAlign w:val="bottom"/>
            <w:tcBorders>
              <w:left w:val="single" w:sz="8" w:color="auto"/>
            </w:tcBorders>
          </w:tcPr>
          <w:p>
            <w:pPr>
              <w:spacing w:after="0"/>
              <w:rPr>
                <w:sz w:val="7"/>
                <w:szCs w:val="7"/>
                <w:color w:val="auto"/>
              </w:rPr>
            </w:pPr>
          </w:p>
        </w:tc>
        <w:tc>
          <w:tcPr>
            <w:tcW w:w="3560" w:type="dxa"/>
            <w:vAlign w:val="bottom"/>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300" w:type="dxa"/>
            <w:vAlign w:val="bottom"/>
            <w:tcBorders>
              <w:right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540" w:type="dxa"/>
            <w:vAlign w:val="bottom"/>
            <w:tcBorders>
              <w:top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spacing w:after="0"/>
              <w:rPr>
                <w:sz w:val="23"/>
                <w:szCs w:val="23"/>
                <w:color w:val="auto"/>
              </w:rPr>
            </w:pPr>
          </w:p>
        </w:tc>
        <w:tc>
          <w:tcPr>
            <w:tcW w:w="16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Twelve Months 2008</w:t>
            </w:r>
          </w:p>
        </w:tc>
        <w:tc>
          <w:tcPr>
            <w:tcW w:w="84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6"/>
                <w:szCs w:val="16"/>
                <w:color w:val="auto"/>
              </w:rPr>
            </w:pPr>
          </w:p>
        </w:tc>
        <w:tc>
          <w:tcPr>
            <w:tcW w:w="600" w:type="dxa"/>
            <w:vAlign w:val="bottom"/>
            <w:vMerge w:val="restart"/>
          </w:tcPr>
          <w:p>
            <w:pPr>
              <w:jc w:val="right"/>
              <w:ind w:right="199"/>
              <w:spacing w:after="0"/>
              <w:rPr>
                <w:sz w:val="20"/>
                <w:szCs w:val="20"/>
                <w:color w:val="auto"/>
              </w:rPr>
            </w:pPr>
            <w:r>
              <w:rPr>
                <w:rFonts w:ascii="Arial" w:cs="Arial" w:eastAsia="Arial" w:hAnsi="Arial"/>
                <w:sz w:val="16"/>
                <w:szCs w:val="16"/>
                <w:color w:val="auto"/>
              </w:rPr>
              <w:t>Tax</w:t>
            </w:r>
          </w:p>
        </w:tc>
        <w:tc>
          <w:tcPr>
            <w:tcW w:w="1280" w:type="dxa"/>
            <w:vAlign w:val="bottom"/>
            <w:gridSpan w:val="2"/>
          </w:tcPr>
          <w:p>
            <w:pPr>
              <w:ind w:left="360"/>
              <w:spacing w:after="0"/>
              <w:rPr>
                <w:sz w:val="20"/>
                <w:szCs w:val="20"/>
                <w:color w:val="auto"/>
              </w:rPr>
            </w:pPr>
            <w:r>
              <w:rPr>
                <w:rFonts w:ascii="Arial" w:cs="Arial" w:eastAsia="Arial" w:hAnsi="Arial"/>
                <w:sz w:val="16"/>
                <w:szCs w:val="16"/>
                <w:color w:val="auto"/>
              </w:rPr>
              <w:t>Noncont.</w:t>
            </w:r>
          </w:p>
        </w:tc>
        <w:tc>
          <w:tcPr>
            <w:tcW w:w="380" w:type="dxa"/>
            <w:vAlign w:val="bottom"/>
          </w:tcPr>
          <w:p>
            <w:pPr>
              <w:spacing w:after="0"/>
              <w:rPr>
                <w:sz w:val="16"/>
                <w:szCs w:val="16"/>
                <w:color w:val="auto"/>
              </w:rPr>
            </w:pPr>
          </w:p>
        </w:tc>
        <w:tc>
          <w:tcPr>
            <w:tcW w:w="840" w:type="dxa"/>
            <w:vAlign w:val="bottom"/>
            <w:vMerge w:val="restart"/>
          </w:tcPr>
          <w:p>
            <w:pPr>
              <w:jc w:val="right"/>
              <w:ind w:right="41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80" w:type="dxa"/>
            <w:vAlign w:val="bottom"/>
            <w:gridSpan w:val="2"/>
            <w:vMerge w:val="restart"/>
          </w:tcPr>
          <w:p>
            <w:pPr>
              <w:jc w:val="right"/>
              <w:ind w:right="259"/>
              <w:spacing w:after="0"/>
              <w:rPr>
                <w:sz w:val="20"/>
                <w:szCs w:val="20"/>
                <w:color w:val="auto"/>
              </w:rPr>
            </w:pPr>
            <w:r>
              <w:rPr>
                <w:rFonts w:ascii="Arial" w:cs="Arial" w:eastAsia="Arial" w:hAnsi="Arial"/>
                <w:sz w:val="16"/>
                <w:szCs w:val="16"/>
                <w:color w:val="auto"/>
              </w:rPr>
              <w:t>Interest</w:t>
            </w: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tcBorders>
              <w:right w:val="single" w:sz="8" w:color="auto"/>
            </w:tcBorders>
            <w:gridSpan w:val="3"/>
            <w:vMerge w:val="restart"/>
          </w:tcPr>
          <w:p>
            <w:pPr>
              <w:jc w:val="right"/>
              <w:ind w:right="12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Borders>
              <w:right w:val="single" w:sz="8" w:color="auto"/>
            </w:tcBorders>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$ 8,112</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6,106</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tcPr>
          <w:p>
            <w:pPr>
              <w:ind w:left="180"/>
              <w:spacing w:after="0"/>
              <w:rPr>
                <w:sz w:val="20"/>
                <w:szCs w:val="20"/>
                <w:color w:val="auto"/>
              </w:rPr>
            </w:pPr>
            <w:r>
              <w:rPr>
                <w:rFonts w:ascii="Arial" w:cs="Arial" w:eastAsia="Arial" w:hAnsi="Arial"/>
                <w:sz w:val="16"/>
                <w:szCs w:val="16"/>
                <w:i w:val="1"/>
                <w:iCs w:val="1"/>
                <w:color w:val="auto"/>
              </w:rPr>
              <w:t>Provision for doubtful accounts</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6"/>
                <w:szCs w:val="16"/>
                <w:color w:val="auto"/>
              </w:rPr>
            </w:pP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Other</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Derivative contract related loss</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$ 8,257</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(1,982)</w:t>
            </w:r>
          </w:p>
        </w:tc>
        <w:tc>
          <w:tcPr>
            <w:tcW w:w="58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139"/>
              <w:spacing w:after="0"/>
              <w:rPr>
                <w:sz w:val="20"/>
                <w:szCs w:val="20"/>
                <w:color w:val="auto"/>
              </w:rPr>
            </w:pPr>
            <w:r>
              <w:rPr>
                <w:rFonts w:ascii="Arial" w:cs="Arial" w:eastAsia="Arial" w:hAnsi="Arial"/>
                <w:sz w:val="16"/>
                <w:szCs w:val="16"/>
                <w:color w:val="auto"/>
              </w:rPr>
              <w:t>(51)</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6,224</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4.46</w:t>
            </w: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540" w:type="dxa"/>
            <w:vAlign w:val="bottom"/>
            <w:vMerge w:val="restart"/>
          </w:tcPr>
          <w:p>
            <w:pPr>
              <w:ind w:left="180"/>
              <w:spacing w:after="0"/>
              <w:rPr>
                <w:sz w:val="20"/>
                <w:szCs w:val="20"/>
                <w:color w:val="auto"/>
              </w:rPr>
            </w:pPr>
            <w:r>
              <w:rPr>
                <w:rFonts w:ascii="Arial" w:cs="Arial" w:eastAsia="Arial" w:hAnsi="Arial"/>
                <w:sz w:val="16"/>
                <w:szCs w:val="16"/>
                <w:color w:val="auto"/>
              </w:rPr>
              <w:t>excluding Charges &amp; Credits</w:t>
            </w:r>
          </w:p>
        </w:tc>
        <w:tc>
          <w:tcPr>
            <w:tcW w:w="8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2009 Charges &amp; Credits and Reconciliation of Pro Forma Diluted EPS</w:t>
      </w:r>
    </w:p>
    <w:p>
      <w:pPr>
        <w:spacing w:after="0" w:line="2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1290" w:type="dxa"/>
        <w:tblCellMar>
          <w:top w:w="0" w:type="dxa"/>
          <w:left w:w="0" w:type="dxa"/>
          <w:bottom w:w="0" w:type="dxa"/>
          <w:right w:w="0" w:type="dxa"/>
        </w:tblCellMar>
      </w:tblPr>
      <w:tr>
        <w:trPr>
          <w:trHeight w:val="267"/>
        </w:trPr>
        <w:tc>
          <w:tcPr>
            <w:tcW w:w="180" w:type="dxa"/>
            <w:vAlign w:val="bottom"/>
            <w:tcBorders>
              <w:top w:val="single" w:sz="8" w:color="auto"/>
              <w:left w:val="single" w:sz="8" w:color="auto"/>
            </w:tcBorders>
          </w:tcPr>
          <w:p>
            <w:pPr>
              <w:spacing w:after="0"/>
              <w:rPr>
                <w:sz w:val="23"/>
                <w:szCs w:val="23"/>
                <w:color w:val="auto"/>
              </w:rPr>
            </w:pPr>
          </w:p>
        </w:tc>
        <w:tc>
          <w:tcPr>
            <w:tcW w:w="3580" w:type="dxa"/>
            <w:vAlign w:val="bottom"/>
            <w:tcBorders>
              <w:top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First Quarter 2009</w:t>
            </w:r>
          </w:p>
        </w:tc>
        <w:tc>
          <w:tcPr>
            <w:tcW w:w="20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0" w:type="dxa"/>
            <w:vAlign w:val="bottom"/>
            <w:tcBorders>
              <w:left w:val="single" w:sz="8" w:color="auto"/>
            </w:tcBorders>
          </w:tcPr>
          <w:p>
            <w:pPr>
              <w:spacing w:after="0"/>
              <w:rPr>
                <w:sz w:val="16"/>
                <w:szCs w:val="16"/>
                <w:color w:val="auto"/>
              </w:rPr>
            </w:pPr>
          </w:p>
        </w:tc>
        <w:tc>
          <w:tcPr>
            <w:tcW w:w="3580" w:type="dxa"/>
            <w:vAlign w:val="bottom"/>
          </w:tcPr>
          <w:p>
            <w:pPr>
              <w:spacing w:after="0"/>
              <w:rPr>
                <w:sz w:val="16"/>
                <w:szCs w:val="16"/>
                <w:color w:val="auto"/>
              </w:rPr>
            </w:pPr>
          </w:p>
        </w:tc>
        <w:tc>
          <w:tcPr>
            <w:tcW w:w="840" w:type="dxa"/>
            <w:vAlign w:val="bottom"/>
            <w:vMerge w:val="restart"/>
          </w:tcPr>
          <w:p>
            <w:pPr>
              <w:jc w:val="right"/>
              <w:ind w:right="219"/>
              <w:spacing w:after="0"/>
              <w:rPr>
                <w:sz w:val="20"/>
                <w:szCs w:val="20"/>
                <w:color w:val="auto"/>
              </w:rPr>
            </w:pPr>
            <w:r>
              <w:rPr>
                <w:rFonts w:ascii="Arial" w:cs="Arial" w:eastAsia="Arial" w:hAnsi="Arial"/>
                <w:sz w:val="16"/>
                <w:szCs w:val="16"/>
                <w:color w:val="auto"/>
              </w:rPr>
              <w:t>Pretax</w:t>
            </w:r>
          </w:p>
        </w:tc>
        <w:tc>
          <w:tcPr>
            <w:tcW w:w="400" w:type="dxa"/>
            <w:vAlign w:val="bottom"/>
          </w:tcPr>
          <w:p>
            <w:pPr>
              <w:spacing w:after="0"/>
              <w:rPr>
                <w:sz w:val="16"/>
                <w:szCs w:val="16"/>
                <w:color w:val="auto"/>
              </w:rPr>
            </w:pPr>
          </w:p>
        </w:tc>
        <w:tc>
          <w:tcPr>
            <w:tcW w:w="580" w:type="dxa"/>
            <w:vAlign w:val="bottom"/>
            <w:vMerge w:val="restart"/>
          </w:tcPr>
          <w:p>
            <w:pPr>
              <w:jc w:val="right"/>
              <w:ind w:right="199"/>
              <w:spacing w:after="0"/>
              <w:rPr>
                <w:sz w:val="20"/>
                <w:szCs w:val="20"/>
                <w:color w:val="auto"/>
              </w:rPr>
            </w:pPr>
            <w:r>
              <w:rPr>
                <w:rFonts w:ascii="Arial" w:cs="Arial" w:eastAsia="Arial" w:hAnsi="Arial"/>
                <w:sz w:val="16"/>
                <w:szCs w:val="16"/>
                <w:color w:val="auto"/>
              </w:rPr>
              <w:t>Tax</w:t>
            </w:r>
          </w:p>
        </w:tc>
        <w:tc>
          <w:tcPr>
            <w:tcW w:w="1460" w:type="dxa"/>
            <w:vAlign w:val="bottom"/>
            <w:gridSpan w:val="2"/>
          </w:tcPr>
          <w:p>
            <w:pPr>
              <w:ind w:left="400"/>
              <w:spacing w:after="0"/>
              <w:rPr>
                <w:sz w:val="20"/>
                <w:szCs w:val="20"/>
                <w:color w:val="auto"/>
              </w:rPr>
            </w:pPr>
            <w:r>
              <w:rPr>
                <w:rFonts w:ascii="Arial" w:cs="Arial" w:eastAsia="Arial" w:hAnsi="Arial"/>
                <w:sz w:val="16"/>
                <w:szCs w:val="16"/>
                <w:color w:val="auto"/>
              </w:rPr>
              <w:t>Noncont.</w:t>
            </w:r>
          </w:p>
        </w:tc>
        <w:tc>
          <w:tcPr>
            <w:tcW w:w="200" w:type="dxa"/>
            <w:vAlign w:val="bottom"/>
          </w:tcPr>
          <w:p>
            <w:pPr>
              <w:spacing w:after="0"/>
              <w:rPr>
                <w:sz w:val="16"/>
                <w:szCs w:val="16"/>
                <w:color w:val="auto"/>
              </w:rPr>
            </w:pPr>
          </w:p>
        </w:tc>
        <w:tc>
          <w:tcPr>
            <w:tcW w:w="760" w:type="dxa"/>
            <w:vAlign w:val="bottom"/>
            <w:vMerge w:val="restart"/>
          </w:tcPr>
          <w:p>
            <w:pPr>
              <w:jc w:val="right"/>
              <w:ind w:right="359"/>
              <w:spacing w:after="0"/>
              <w:rPr>
                <w:sz w:val="20"/>
                <w:szCs w:val="20"/>
                <w:color w:val="auto"/>
              </w:rPr>
            </w:pPr>
            <w:r>
              <w:rPr>
                <w:rFonts w:ascii="Arial" w:cs="Arial" w:eastAsia="Arial" w:hAnsi="Arial"/>
                <w:sz w:val="16"/>
                <w:szCs w:val="16"/>
                <w:color w:val="auto"/>
              </w:rPr>
              <w:t>Net</w:t>
            </w:r>
          </w:p>
        </w:tc>
        <w:tc>
          <w:tcPr>
            <w:tcW w:w="86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tcBorders>
              <w:right w:val="single" w:sz="8" w:color="auto"/>
            </w:tcBorders>
            <w:gridSpan w:val="2"/>
            <w:vMerge w:val="restart"/>
          </w:tcPr>
          <w:p>
            <w:pPr>
              <w:jc w:val="right"/>
              <w:ind w:right="19"/>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$ 1,343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1,004</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Add back Smith Charges &amp; Credits: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Workforce reductions</w:t>
            </w: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c>
          <w:tcPr>
            <w:tcW w:w="4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w:t>
            </w:r>
          </w:p>
        </w:tc>
        <w:tc>
          <w:tcPr>
            <w:tcW w:w="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Income attributable to Schlumberger,</w:t>
            </w: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color w:val="auto"/>
              </w:rPr>
              <w:t>$ 1,376</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(339)</w:t>
            </w:r>
          </w:p>
        </w:tc>
        <w:tc>
          <w:tcPr>
            <w:tcW w:w="62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color w:val="auto"/>
              </w:rPr>
              <w:t>(9)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color w:val="auto"/>
              </w:rPr>
              <w:t>1,028</w:t>
            </w:r>
          </w:p>
        </w:tc>
        <w:tc>
          <w:tcPr>
            <w:tcW w:w="3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3580" w:type="dxa"/>
            <w:vAlign w:val="bottom"/>
            <w:vMerge w:val="restart"/>
          </w:tcPr>
          <w:p>
            <w:pPr>
              <w:ind w:left="200"/>
              <w:spacing w:after="0"/>
              <w:rPr>
                <w:sz w:val="20"/>
                <w:szCs w:val="20"/>
                <w:color w:val="auto"/>
              </w:rPr>
            </w:pPr>
            <w:r>
              <w:rPr>
                <w:rFonts w:ascii="Arial" w:cs="Arial" w:eastAsia="Arial" w:hAnsi="Arial"/>
                <w:sz w:val="16"/>
                <w:szCs w:val="16"/>
                <w:color w:val="auto"/>
              </w:rPr>
              <w:t>excluding Charges &amp; Credits</w:t>
            </w:r>
          </w:p>
        </w:tc>
        <w:tc>
          <w:tcPr>
            <w:tcW w:w="8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0" w:type="dxa"/>
            <w:vAlign w:val="bottom"/>
            <w:tcBorders>
              <w:left w:val="single" w:sz="8" w:color="auto"/>
            </w:tcBorders>
          </w:tcPr>
          <w:p>
            <w:pPr>
              <w:spacing w:after="0"/>
              <w:rPr>
                <w:sz w:val="7"/>
                <w:szCs w:val="7"/>
                <w:color w:val="auto"/>
              </w:rPr>
            </w:pPr>
          </w:p>
        </w:tc>
        <w:tc>
          <w:tcPr>
            <w:tcW w:w="3580" w:type="dxa"/>
            <w:vAlign w:val="bottom"/>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80" w:type="dxa"/>
            <w:vAlign w:val="bottom"/>
            <w:tcBorders>
              <w:left w:val="single" w:sz="8" w:color="auto"/>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tbl>
      <w:tblPr>
        <w:tblLayout w:type="fixed"/>
        <w:tblInd w:w="1290" w:type="dxa"/>
        <w:tblCellMar>
          <w:top w:w="0" w:type="dxa"/>
          <w:left w:w="0" w:type="dxa"/>
          <w:bottom w:w="0" w:type="dxa"/>
          <w:right w:w="0" w:type="dxa"/>
        </w:tblCellMar>
      </w:tblPr>
      <w:tr>
        <w:trPr>
          <w:trHeight w:val="267"/>
        </w:trPr>
        <w:tc>
          <w:tcPr>
            <w:tcW w:w="180" w:type="dxa"/>
            <w:vAlign w:val="bottom"/>
            <w:tcBorders>
              <w:top w:val="single" w:sz="8" w:color="auto"/>
              <w:left w:val="single" w:sz="8" w:color="auto"/>
            </w:tcBorders>
          </w:tcPr>
          <w:p>
            <w:pPr>
              <w:spacing w:after="0"/>
              <w:rPr>
                <w:sz w:val="23"/>
                <w:szCs w:val="23"/>
                <w:color w:val="auto"/>
              </w:rPr>
            </w:pPr>
          </w:p>
        </w:tc>
        <w:tc>
          <w:tcPr>
            <w:tcW w:w="3580" w:type="dxa"/>
            <w:vAlign w:val="bottom"/>
            <w:tcBorders>
              <w:top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Second Quarter 2009</w:t>
            </w:r>
          </w:p>
        </w:tc>
        <w:tc>
          <w:tcPr>
            <w:tcW w:w="14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0" w:type="dxa"/>
            <w:vAlign w:val="bottom"/>
            <w:tcBorders>
              <w:left w:val="single" w:sz="8" w:color="auto"/>
            </w:tcBorders>
          </w:tcPr>
          <w:p>
            <w:pPr>
              <w:spacing w:after="0"/>
              <w:rPr>
                <w:sz w:val="16"/>
                <w:szCs w:val="16"/>
                <w:color w:val="auto"/>
              </w:rPr>
            </w:pPr>
          </w:p>
        </w:tc>
        <w:tc>
          <w:tcPr>
            <w:tcW w:w="358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auto"/>
              </w:rPr>
              <w:t>Pretax</w:t>
            </w:r>
          </w:p>
        </w:tc>
        <w:tc>
          <w:tcPr>
            <w:tcW w:w="380" w:type="dxa"/>
            <w:vAlign w:val="bottom"/>
          </w:tcPr>
          <w:p>
            <w:pPr>
              <w:spacing w:after="0"/>
              <w:rPr>
                <w:sz w:val="16"/>
                <w:szCs w:val="16"/>
                <w:color w:val="auto"/>
              </w:rPr>
            </w:pPr>
          </w:p>
        </w:tc>
        <w:tc>
          <w:tcPr>
            <w:tcW w:w="780" w:type="dxa"/>
            <w:vAlign w:val="bottom"/>
            <w:vMerge w:val="restart"/>
          </w:tcPr>
          <w:p>
            <w:pPr>
              <w:jc w:val="right"/>
              <w:ind w:right="379"/>
              <w:spacing w:after="0"/>
              <w:rPr>
                <w:sz w:val="20"/>
                <w:szCs w:val="20"/>
                <w:color w:val="auto"/>
              </w:rPr>
            </w:pPr>
            <w:r>
              <w:rPr>
                <w:rFonts w:ascii="Arial" w:cs="Arial" w:eastAsia="Arial" w:hAnsi="Arial"/>
                <w:sz w:val="16"/>
                <w:szCs w:val="16"/>
                <w:color w:val="auto"/>
              </w:rPr>
              <w:t>Tax</w:t>
            </w:r>
          </w:p>
        </w:tc>
        <w:tc>
          <w:tcPr>
            <w:tcW w:w="1340" w:type="dxa"/>
            <w:vAlign w:val="bottom"/>
            <w:gridSpan w:val="2"/>
          </w:tcPr>
          <w:p>
            <w:pPr>
              <w:ind w:left="220"/>
              <w:spacing w:after="0"/>
              <w:rPr>
                <w:sz w:val="20"/>
                <w:szCs w:val="20"/>
                <w:color w:val="auto"/>
              </w:rPr>
            </w:pPr>
            <w:r>
              <w:rPr>
                <w:rFonts w:ascii="Arial" w:cs="Arial" w:eastAsia="Arial" w:hAnsi="Arial"/>
                <w:sz w:val="16"/>
                <w:szCs w:val="16"/>
                <w:color w:val="auto"/>
              </w:rPr>
              <w:t>Noncont.</w:t>
            </w:r>
          </w:p>
        </w:tc>
        <w:tc>
          <w:tcPr>
            <w:tcW w:w="140" w:type="dxa"/>
            <w:vAlign w:val="bottom"/>
          </w:tcPr>
          <w:p>
            <w:pPr>
              <w:spacing w:after="0"/>
              <w:rPr>
                <w:sz w:val="16"/>
                <w:szCs w:val="16"/>
                <w:color w:val="auto"/>
              </w:rPr>
            </w:pPr>
          </w:p>
        </w:tc>
        <w:tc>
          <w:tcPr>
            <w:tcW w:w="740" w:type="dxa"/>
            <w:vAlign w:val="bottom"/>
            <w:vMerge w:val="restart"/>
          </w:tcPr>
          <w:p>
            <w:pPr>
              <w:jc w:val="right"/>
              <w:ind w:right="359"/>
              <w:spacing w:after="0"/>
              <w:rPr>
                <w:sz w:val="20"/>
                <w:szCs w:val="20"/>
                <w:color w:val="auto"/>
              </w:rPr>
            </w:pPr>
            <w:r>
              <w:rPr>
                <w:rFonts w:ascii="Arial" w:cs="Arial" w:eastAsia="Arial" w:hAnsi="Arial"/>
                <w:sz w:val="16"/>
                <w:szCs w:val="16"/>
                <w:color w:val="auto"/>
              </w:rPr>
              <w:t>Net</w:t>
            </w:r>
          </w:p>
        </w:tc>
        <w:tc>
          <w:tcPr>
            <w:tcW w:w="86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40" w:type="dxa"/>
            <w:vAlign w:val="bottom"/>
            <w:gridSpan w:val="2"/>
            <w:vMerge w:val="restart"/>
          </w:tcPr>
          <w:p>
            <w:pPr>
              <w:jc w:val="right"/>
              <w:ind w:right="45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60" w:type="dxa"/>
            <w:vAlign w:val="bottom"/>
            <w:tcBorders>
              <w:right w:val="single" w:sz="8" w:color="auto"/>
            </w:tcBorders>
            <w:gridSpan w:val="2"/>
            <w:vMerge w:val="restart"/>
          </w:tcPr>
          <w:p>
            <w:pPr>
              <w:jc w:val="right"/>
              <w:ind w:right="19"/>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6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815</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w:t>
            </w: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633</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Add back Schlumberger Charges &amp; Credits: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Workforce reductions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102</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w:t>
            </w:r>
          </w:p>
        </w:tc>
        <w:tc>
          <w:tcPr>
            <w:tcW w:w="3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tcPr>
          <w:p>
            <w:pPr>
              <w:ind w:left="200"/>
              <w:spacing w:after="0"/>
              <w:rPr>
                <w:sz w:val="20"/>
                <w:szCs w:val="20"/>
                <w:color w:val="auto"/>
              </w:rPr>
            </w:pPr>
            <w:r>
              <w:rPr>
                <w:rFonts w:ascii="Arial" w:cs="Arial" w:eastAsia="Arial" w:hAnsi="Arial"/>
                <w:sz w:val="16"/>
                <w:szCs w:val="16"/>
                <w:i w:val="1"/>
                <w:iCs w:val="1"/>
                <w:color w:val="auto"/>
              </w:rPr>
              <w:t>Postretirement benefits curtailment</w:t>
            </w:r>
          </w:p>
        </w:tc>
        <w:tc>
          <w:tcPr>
            <w:tcW w:w="200" w:type="dxa"/>
            <w:vAlign w:val="bottom"/>
          </w:tcPr>
          <w:p>
            <w:pPr>
              <w:spacing w:after="0"/>
              <w:rPr>
                <w:sz w:val="16"/>
                <w:szCs w:val="16"/>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136</w:t>
            </w:r>
          </w:p>
        </w:tc>
        <w:tc>
          <w:tcPr>
            <w:tcW w:w="38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6"/>
                <w:szCs w:val="16"/>
                <w:color w:val="auto"/>
              </w:rPr>
            </w:pPr>
          </w:p>
        </w:tc>
        <w:tc>
          <w:tcPr>
            <w:tcW w:w="9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16"/>
                <w:szCs w:val="16"/>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580" w:type="dxa"/>
            <w:vAlign w:val="bottom"/>
          </w:tcPr>
          <w:p>
            <w:pPr>
              <w:ind w:left="200"/>
              <w:spacing w:after="0"/>
              <w:rPr>
                <w:sz w:val="20"/>
                <w:szCs w:val="20"/>
                <w:color w:val="auto"/>
              </w:rPr>
            </w:pPr>
            <w:r>
              <w:rPr>
                <w:rFonts w:ascii="Arial" w:cs="Arial" w:eastAsia="Arial" w:hAnsi="Arial"/>
                <w:sz w:val="16"/>
                <w:szCs w:val="16"/>
                <w:i w:val="1"/>
                <w:iCs w:val="1"/>
                <w:color w:val="auto"/>
              </w:rPr>
              <w:t>Workforce reductions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99"/>
              </w:rPr>
              <w:t>1,066</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(209)</w:t>
            </w:r>
          </w:p>
        </w:tc>
        <w:tc>
          <w:tcPr>
            <w:tcW w:w="44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849</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358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excluding Charges &amp; Credits</w:t>
            </w:r>
          </w:p>
        </w:tc>
        <w:tc>
          <w:tcPr>
            <w:tcW w:w="20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4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0" w:type="dxa"/>
            <w:vAlign w:val="bottom"/>
            <w:tcBorders>
              <w:left w:val="single" w:sz="8" w:color="auto"/>
            </w:tcBorders>
          </w:tcPr>
          <w:p>
            <w:pPr>
              <w:spacing w:after="0"/>
              <w:rPr>
                <w:sz w:val="7"/>
                <w:szCs w:val="7"/>
                <w:color w:val="auto"/>
              </w:rPr>
            </w:pPr>
          </w:p>
        </w:tc>
        <w:tc>
          <w:tcPr>
            <w:tcW w:w="3580" w:type="dxa"/>
            <w:vAlign w:val="bottom"/>
            <w:vMerge w:val="continue"/>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80" w:type="dxa"/>
            <w:vAlign w:val="bottom"/>
            <w:tcBorders>
              <w:left w:val="single" w:sz="8" w:color="auto"/>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tbl>
      <w:tblPr>
        <w:tblLayout w:type="fixed"/>
        <w:tblInd w:w="1290" w:type="dxa"/>
        <w:tblCellMar>
          <w:top w:w="0" w:type="dxa"/>
          <w:left w:w="0" w:type="dxa"/>
          <w:bottom w:w="0" w:type="dxa"/>
          <w:right w:w="0" w:type="dxa"/>
        </w:tblCellMar>
      </w:tblPr>
      <w:tr>
        <w:trPr>
          <w:trHeight w:val="267"/>
        </w:trPr>
        <w:tc>
          <w:tcPr>
            <w:tcW w:w="180" w:type="dxa"/>
            <w:vAlign w:val="bottom"/>
            <w:tcBorders>
              <w:top w:val="single" w:sz="8" w:color="auto"/>
              <w:left w:val="single" w:sz="8" w:color="auto"/>
            </w:tcBorders>
          </w:tcPr>
          <w:p>
            <w:pPr>
              <w:spacing w:after="0"/>
              <w:rPr>
                <w:sz w:val="23"/>
                <w:szCs w:val="23"/>
                <w:color w:val="auto"/>
              </w:rPr>
            </w:pPr>
          </w:p>
        </w:tc>
        <w:tc>
          <w:tcPr>
            <w:tcW w:w="360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Third Quarter 2009</w:t>
            </w:r>
          </w:p>
        </w:tc>
        <w:tc>
          <w:tcPr>
            <w:tcW w:w="20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0" w:type="dxa"/>
            <w:vAlign w:val="bottom"/>
            <w:tcBorders>
              <w:left w:val="single" w:sz="8" w:color="auto"/>
            </w:tcBorders>
          </w:tcPr>
          <w:p>
            <w:pPr>
              <w:spacing w:after="0"/>
              <w:rPr>
                <w:sz w:val="16"/>
                <w:szCs w:val="16"/>
                <w:color w:val="auto"/>
              </w:rPr>
            </w:pPr>
          </w:p>
        </w:tc>
        <w:tc>
          <w:tcPr>
            <w:tcW w:w="360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6"/>
                <w:szCs w:val="16"/>
                <w:color w:val="auto"/>
              </w:rPr>
              <w:t>Pretax</w:t>
            </w:r>
          </w:p>
        </w:tc>
        <w:tc>
          <w:tcPr>
            <w:tcW w:w="380" w:type="dxa"/>
            <w:vAlign w:val="bottom"/>
          </w:tcPr>
          <w:p>
            <w:pPr>
              <w:spacing w:after="0"/>
              <w:rPr>
                <w:sz w:val="16"/>
                <w:szCs w:val="16"/>
                <w:color w:val="auto"/>
              </w:rPr>
            </w:pPr>
          </w:p>
        </w:tc>
        <w:tc>
          <w:tcPr>
            <w:tcW w:w="580" w:type="dxa"/>
            <w:vAlign w:val="bottom"/>
            <w:vMerge w:val="restart"/>
          </w:tcPr>
          <w:p>
            <w:pPr>
              <w:jc w:val="right"/>
              <w:ind w:right="179"/>
              <w:spacing w:after="0"/>
              <w:rPr>
                <w:sz w:val="20"/>
                <w:szCs w:val="20"/>
                <w:color w:val="auto"/>
              </w:rPr>
            </w:pPr>
            <w:r>
              <w:rPr>
                <w:rFonts w:ascii="Arial" w:cs="Arial" w:eastAsia="Arial" w:hAnsi="Arial"/>
                <w:sz w:val="16"/>
                <w:szCs w:val="16"/>
                <w:color w:val="auto"/>
              </w:rPr>
              <w:t>Tax</w:t>
            </w:r>
          </w:p>
        </w:tc>
        <w:tc>
          <w:tcPr>
            <w:tcW w:w="1500" w:type="dxa"/>
            <w:vAlign w:val="bottom"/>
            <w:gridSpan w:val="2"/>
          </w:tcPr>
          <w:p>
            <w:pPr>
              <w:ind w:left="420"/>
              <w:spacing w:after="0"/>
              <w:rPr>
                <w:sz w:val="20"/>
                <w:szCs w:val="20"/>
                <w:color w:val="auto"/>
              </w:rPr>
            </w:pPr>
            <w:r>
              <w:rPr>
                <w:rFonts w:ascii="Arial" w:cs="Arial" w:eastAsia="Arial" w:hAnsi="Arial"/>
                <w:sz w:val="16"/>
                <w:szCs w:val="16"/>
                <w:color w:val="auto"/>
              </w:rPr>
              <w:t>Noncont.</w:t>
            </w:r>
          </w:p>
        </w:tc>
        <w:tc>
          <w:tcPr>
            <w:tcW w:w="200" w:type="dxa"/>
            <w:vAlign w:val="bottom"/>
          </w:tcPr>
          <w:p>
            <w:pPr>
              <w:spacing w:after="0"/>
              <w:rPr>
                <w:sz w:val="16"/>
                <w:szCs w:val="16"/>
                <w:color w:val="auto"/>
              </w:rPr>
            </w:pPr>
          </w:p>
        </w:tc>
        <w:tc>
          <w:tcPr>
            <w:tcW w:w="72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86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60" w:type="dxa"/>
            <w:vAlign w:val="bottom"/>
            <w:tcBorders>
              <w:right w:val="single" w:sz="8" w:color="auto"/>
            </w:tcBorders>
            <w:gridSpan w:val="2"/>
            <w:vMerge w:val="restart"/>
          </w:tcPr>
          <w:p>
            <w:pPr>
              <w:jc w:val="right"/>
              <w:ind w:right="19"/>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6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986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772</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Add back Smith Charges &amp; Credits: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Workforce reductions</w:t>
            </w:r>
          </w:p>
        </w:tc>
        <w:tc>
          <w:tcPr>
            <w:tcW w:w="2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Income attributable to Schlumberger,</w:t>
            </w:r>
          </w:p>
        </w:tc>
        <w:tc>
          <w:tcPr>
            <w:tcW w:w="26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159"/>
              <w:spacing w:after="0"/>
              <w:rPr>
                <w:sz w:val="20"/>
                <w:szCs w:val="20"/>
                <w:color w:val="auto"/>
              </w:rPr>
            </w:pPr>
            <w:r>
              <w:rPr>
                <w:rFonts w:ascii="Arial" w:cs="Arial" w:eastAsia="Arial" w:hAnsi="Arial"/>
                <w:sz w:val="16"/>
                <w:szCs w:val="16"/>
                <w:color w:val="auto"/>
              </w:rPr>
              <w:t>999</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179"/>
              <w:spacing w:after="0"/>
              <w:rPr>
                <w:sz w:val="20"/>
                <w:szCs w:val="20"/>
                <w:color w:val="auto"/>
              </w:rPr>
            </w:pPr>
            <w:r>
              <w:rPr>
                <w:rFonts w:ascii="Arial" w:cs="Arial" w:eastAsia="Arial" w:hAnsi="Arial"/>
                <w:sz w:val="16"/>
                <w:szCs w:val="16"/>
                <w:color w:val="auto"/>
              </w:rPr>
              <w:t>781</w:t>
            </w:r>
          </w:p>
        </w:tc>
        <w:tc>
          <w:tcPr>
            <w:tcW w:w="3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3600" w:type="dxa"/>
            <w:vAlign w:val="bottom"/>
            <w:vMerge w:val="restart"/>
          </w:tcPr>
          <w:p>
            <w:pPr>
              <w:ind w:left="200"/>
              <w:spacing w:after="0"/>
              <w:rPr>
                <w:sz w:val="20"/>
                <w:szCs w:val="20"/>
                <w:color w:val="auto"/>
              </w:rPr>
            </w:pPr>
            <w:r>
              <w:rPr>
                <w:rFonts w:ascii="Arial" w:cs="Arial" w:eastAsia="Arial" w:hAnsi="Arial"/>
                <w:sz w:val="16"/>
                <w:szCs w:val="16"/>
                <w:color w:val="auto"/>
              </w:rPr>
              <w:t>excluding Charges &amp; Credits</w:t>
            </w:r>
          </w:p>
        </w:tc>
        <w:tc>
          <w:tcPr>
            <w:tcW w:w="2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0" w:type="dxa"/>
            <w:vAlign w:val="bottom"/>
            <w:tcBorders>
              <w:left w:val="single" w:sz="8" w:color="auto"/>
            </w:tcBorders>
          </w:tcPr>
          <w:p>
            <w:pPr>
              <w:spacing w:after="0"/>
              <w:rPr>
                <w:sz w:val="7"/>
                <w:szCs w:val="7"/>
                <w:color w:val="auto"/>
              </w:rPr>
            </w:pPr>
          </w:p>
        </w:tc>
        <w:tc>
          <w:tcPr>
            <w:tcW w:w="360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80" w:type="dxa"/>
            <w:vAlign w:val="bottom"/>
            <w:tcBorders>
              <w:left w:val="single" w:sz="8" w:color="auto"/>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300" w:type="dxa"/>
            <w:vAlign w:val="bottom"/>
            <w:tcBorders>
              <w:right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20" w:type="dxa"/>
            <w:vAlign w:val="bottom"/>
            <w:tcBorders>
              <w:top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2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Twelve Months 2009</w:t>
            </w:r>
          </w:p>
        </w:tc>
        <w:tc>
          <w:tcPr>
            <w:tcW w:w="14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6"/>
                <w:szCs w:val="16"/>
                <w:color w:val="auto"/>
              </w:rPr>
            </w:pPr>
          </w:p>
        </w:tc>
        <w:tc>
          <w:tcPr>
            <w:tcW w:w="760" w:type="dxa"/>
            <w:vAlign w:val="bottom"/>
            <w:vMerge w:val="restart"/>
          </w:tcPr>
          <w:p>
            <w:pPr>
              <w:jc w:val="right"/>
              <w:ind w:right="379"/>
              <w:spacing w:after="0"/>
              <w:rPr>
                <w:sz w:val="20"/>
                <w:szCs w:val="20"/>
                <w:color w:val="auto"/>
              </w:rPr>
            </w:pPr>
            <w:r>
              <w:rPr>
                <w:rFonts w:ascii="Arial" w:cs="Arial" w:eastAsia="Arial" w:hAnsi="Arial"/>
                <w:sz w:val="16"/>
                <w:szCs w:val="16"/>
                <w:color w:val="auto"/>
              </w:rPr>
              <w:t>Tax</w:t>
            </w:r>
          </w:p>
        </w:tc>
        <w:tc>
          <w:tcPr>
            <w:tcW w:w="1340" w:type="dxa"/>
            <w:vAlign w:val="bottom"/>
            <w:gridSpan w:val="2"/>
          </w:tcPr>
          <w:p>
            <w:pPr>
              <w:ind w:left="220"/>
              <w:spacing w:after="0"/>
              <w:rPr>
                <w:sz w:val="20"/>
                <w:szCs w:val="20"/>
                <w:color w:val="auto"/>
              </w:rPr>
            </w:pPr>
            <w:r>
              <w:rPr>
                <w:rFonts w:ascii="Arial" w:cs="Arial" w:eastAsia="Arial" w:hAnsi="Arial"/>
                <w:sz w:val="16"/>
                <w:szCs w:val="16"/>
                <w:color w:val="auto"/>
              </w:rPr>
              <w:t>Noncont.</w:t>
            </w:r>
          </w:p>
        </w:tc>
        <w:tc>
          <w:tcPr>
            <w:tcW w:w="140" w:type="dxa"/>
            <w:vAlign w:val="bottom"/>
          </w:tcPr>
          <w:p>
            <w:pPr>
              <w:spacing w:after="0"/>
              <w:rPr>
                <w:sz w:val="16"/>
                <w:szCs w:val="16"/>
                <w:color w:val="auto"/>
              </w:rPr>
            </w:pPr>
          </w:p>
        </w:tc>
        <w:tc>
          <w:tcPr>
            <w:tcW w:w="740" w:type="dxa"/>
            <w:vAlign w:val="bottom"/>
            <w:vMerge w:val="restart"/>
          </w:tcPr>
          <w:p>
            <w:pPr>
              <w:jc w:val="right"/>
              <w:ind w:right="359"/>
              <w:spacing w:after="0"/>
              <w:rPr>
                <w:sz w:val="20"/>
                <w:szCs w:val="20"/>
                <w:color w:val="auto"/>
              </w:rPr>
            </w:pPr>
            <w:r>
              <w:rPr>
                <w:rFonts w:ascii="Arial" w:cs="Arial" w:eastAsia="Arial" w:hAnsi="Arial"/>
                <w:sz w:val="16"/>
                <w:szCs w:val="16"/>
                <w:color w:val="auto"/>
              </w:rPr>
              <w:t>Net</w:t>
            </w:r>
          </w:p>
        </w:tc>
        <w:tc>
          <w:tcPr>
            <w:tcW w:w="86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Diluted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340" w:type="dxa"/>
            <w:vAlign w:val="bottom"/>
            <w:gridSpan w:val="2"/>
            <w:vMerge w:val="restart"/>
          </w:tcPr>
          <w:p>
            <w:pPr>
              <w:jc w:val="right"/>
              <w:ind w:right="45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60" w:type="dxa"/>
            <w:vAlign w:val="bottom"/>
            <w:tcBorders>
              <w:right w:val="single" w:sz="8" w:color="auto"/>
            </w:tcBorders>
            <w:gridSpan w:val="2"/>
            <w:vMerge w:val="restart"/>
          </w:tcPr>
          <w:p>
            <w:pPr>
              <w:jc w:val="right"/>
              <w:ind w:right="19"/>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60" w:type="dxa"/>
            <w:vAlign w:val="bottom"/>
            <w:tcBorders>
              <w:bottom w:val="single" w:sz="8" w:color="auto"/>
              <w:right w:val="single" w:sz="8" w:color="auto"/>
            </w:tcBorders>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$ 4,183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(912)</w:t>
            </w: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3,244</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Add back Schlumberger Charges &amp; Credits:</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Workforce reductions</w:t>
            </w: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w:t>
            </w:r>
          </w:p>
        </w:tc>
        <w:tc>
          <w:tcPr>
            <w:tcW w:w="3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6"/>
                <w:szCs w:val="16"/>
                <w:i w:val="1"/>
                <w:iCs w:val="1"/>
                <w:color w:val="auto"/>
              </w:rPr>
              <w:t>Postretirement benefits curtailment</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136</w:t>
            </w:r>
          </w:p>
        </w:tc>
        <w:tc>
          <w:tcPr>
            <w:tcW w:w="36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6"/>
                <w:szCs w:val="16"/>
                <w:color w:val="auto"/>
              </w:rPr>
            </w:pPr>
          </w:p>
        </w:tc>
        <w:tc>
          <w:tcPr>
            <w:tcW w:w="9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16"/>
                <w:szCs w:val="16"/>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Pr>
          <w:p>
            <w:pPr>
              <w:ind w:left="200"/>
              <w:spacing w:after="0"/>
              <w:rPr>
                <w:sz w:val="20"/>
                <w:szCs w:val="20"/>
                <w:color w:val="auto"/>
              </w:rPr>
            </w:pPr>
            <w:r>
              <w:rPr>
                <w:rFonts w:ascii="Arial" w:cs="Arial" w:eastAsia="Arial" w:hAnsi="Arial"/>
                <w:sz w:val="16"/>
                <w:szCs w:val="16"/>
                <w:i w:val="1"/>
                <w:iCs w:val="1"/>
                <w:color w:val="auto"/>
              </w:rPr>
              <w:t>Workforce reductions</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59</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42</w:t>
            </w: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$ 4,480</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(960)</w:t>
            </w:r>
          </w:p>
        </w:tc>
        <w:tc>
          <w:tcPr>
            <w:tcW w:w="44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(27)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3,493</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excluding Charges &amp; Credits</w:t>
            </w:r>
          </w:p>
        </w:tc>
        <w:tc>
          <w:tcPr>
            <w:tcW w:w="86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480" w:type="dxa"/>
            <w:vAlign w:val="bottom"/>
            <w:tcBorders>
              <w:right w:val="single" w:sz="8" w:color="auto"/>
            </w:tcBorders>
            <w:vMerge w:val="continue"/>
            <w:shd w:val="clear" w:color="auto" w:fill="CCEEFF"/>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620" w:type="dxa"/>
            <w:vAlign w:val="bottom"/>
            <w:vMerge w:val="continue"/>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right w:val="single" w:sz="8" w:color="auto"/>
            </w:tcBorders>
            <w:shd w:val="clear" w:color="auto" w:fill="CCEEFF"/>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1"/>
        </w:trPr>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2010 Charges &amp; Credits and Reconciliation of Pro Forma Diluted EPS</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1290" w:type="dxa"/>
        <w:tblCellMar>
          <w:top w:w="0" w:type="dxa"/>
          <w:left w:w="0" w:type="dxa"/>
          <w:bottom w:w="0" w:type="dxa"/>
          <w:right w:w="0" w:type="dxa"/>
        </w:tblCellMar>
      </w:tblPr>
      <w:tr>
        <w:trPr>
          <w:trHeight w:val="240"/>
        </w:trPr>
        <w:tc>
          <w:tcPr>
            <w:tcW w:w="180" w:type="dxa"/>
            <w:vAlign w:val="bottom"/>
            <w:tcBorders>
              <w:top w:val="single" w:sz="8" w:color="auto"/>
              <w:left w:val="single" w:sz="8" w:color="auto"/>
            </w:tcBorders>
          </w:tcPr>
          <w:p>
            <w:pPr>
              <w:spacing w:after="0"/>
              <w:rPr>
                <w:sz w:val="20"/>
                <w:szCs w:val="20"/>
                <w:color w:val="auto"/>
              </w:rPr>
            </w:pPr>
          </w:p>
        </w:tc>
        <w:tc>
          <w:tcPr>
            <w:tcW w:w="4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First Quarter 2010</w:t>
            </w: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6"/>
                <w:szCs w:val="16"/>
                <w:color w:val="auto"/>
              </w:rPr>
              <w:t>Pretax</w:t>
            </w:r>
          </w:p>
        </w:tc>
        <w:tc>
          <w:tcPr>
            <w:tcW w:w="280" w:type="dxa"/>
            <w:vAlign w:val="bottom"/>
          </w:tcPr>
          <w:p>
            <w:pPr>
              <w:spacing w:after="0"/>
              <w:rPr>
                <w:sz w:val="15"/>
                <w:szCs w:val="15"/>
                <w:color w:val="auto"/>
              </w:rPr>
            </w:pPr>
          </w:p>
        </w:tc>
        <w:tc>
          <w:tcPr>
            <w:tcW w:w="600" w:type="dxa"/>
            <w:vAlign w:val="bottom"/>
            <w:vMerge w:val="restart"/>
          </w:tcPr>
          <w:p>
            <w:pPr>
              <w:jc w:val="right"/>
              <w:ind w:right="239"/>
              <w:spacing w:after="0"/>
              <w:rPr>
                <w:sz w:val="20"/>
                <w:szCs w:val="20"/>
                <w:color w:val="auto"/>
              </w:rPr>
            </w:pPr>
            <w:r>
              <w:rPr>
                <w:rFonts w:ascii="Arial" w:cs="Arial" w:eastAsia="Arial" w:hAnsi="Arial"/>
                <w:sz w:val="16"/>
                <w:szCs w:val="16"/>
                <w:color w:val="auto"/>
                <w:w w:val="97"/>
              </w:rPr>
              <w:t>Tax</w:t>
            </w:r>
          </w:p>
        </w:tc>
        <w:tc>
          <w:tcPr>
            <w:tcW w:w="1140" w:type="dxa"/>
            <w:vAlign w:val="bottom"/>
            <w:gridSpan w:val="2"/>
          </w:tcPr>
          <w:p>
            <w:pPr>
              <w:ind w:left="140"/>
              <w:spacing w:after="0" w:line="180" w:lineRule="exact"/>
              <w:rPr>
                <w:sz w:val="20"/>
                <w:szCs w:val="20"/>
                <w:color w:val="auto"/>
              </w:rPr>
            </w:pPr>
            <w:r>
              <w:rPr>
                <w:rFonts w:ascii="Arial" w:cs="Arial" w:eastAsia="Arial" w:hAnsi="Arial"/>
                <w:sz w:val="16"/>
                <w:szCs w:val="16"/>
                <w:color w:val="auto"/>
              </w:rPr>
              <w:t>Noncont.</w:t>
            </w:r>
          </w:p>
        </w:tc>
        <w:tc>
          <w:tcPr>
            <w:tcW w:w="160" w:type="dxa"/>
            <w:vAlign w:val="bottom"/>
          </w:tcPr>
          <w:p>
            <w:pPr>
              <w:spacing w:after="0"/>
              <w:rPr>
                <w:sz w:val="15"/>
                <w:szCs w:val="15"/>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6"/>
                <w:szCs w:val="16"/>
                <w:color w:val="auto"/>
              </w:rPr>
              <w:t>Net</w:t>
            </w:r>
          </w:p>
        </w:tc>
        <w:tc>
          <w:tcPr>
            <w:tcW w:w="800" w:type="dxa"/>
            <w:vAlign w:val="bottom"/>
            <w:tcBorders>
              <w:right w:val="single" w:sz="8" w:color="auto"/>
            </w:tcBorders>
            <w:gridSpan w:val="2"/>
          </w:tcPr>
          <w:p>
            <w:pPr>
              <w:ind w:left="180"/>
              <w:spacing w:after="0" w:line="180" w:lineRule="exact"/>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140" w:type="dxa"/>
            <w:vAlign w:val="bottom"/>
            <w:gridSpan w:val="2"/>
            <w:vMerge w:val="restart"/>
          </w:tcPr>
          <w:p>
            <w:pPr>
              <w:jc w:val="right"/>
              <w:ind w:right="319"/>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0" w:type="dxa"/>
            <w:vAlign w:val="bottom"/>
            <w:tcBorders>
              <w:right w:val="single" w:sz="8" w:color="auto"/>
            </w:tcBorders>
            <w:gridSpan w:val="2"/>
            <w:vMerge w:val="restart"/>
          </w:tcPr>
          <w:p>
            <w:pPr>
              <w:jc w:val="right"/>
              <w:ind w:right="19"/>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(261)</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Add back Schlumberger Charges &amp; Credits:</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Medicare Part D subsidy, elimination of tax deduction</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tcPr>
          <w:p>
            <w:pPr>
              <w:ind w:left="200"/>
              <w:spacing w:after="0"/>
              <w:rPr>
                <w:sz w:val="20"/>
                <w:szCs w:val="20"/>
                <w:color w:val="auto"/>
              </w:rPr>
            </w:pPr>
            <w:r>
              <w:rPr>
                <w:rFonts w:ascii="Arial" w:cs="Arial" w:eastAsia="Arial" w:hAnsi="Arial"/>
                <w:sz w:val="16"/>
                <w:szCs w:val="16"/>
                <w:i w:val="1"/>
                <w:iCs w:val="1"/>
                <w:color w:val="auto"/>
              </w:rPr>
              <w:t>Merger-related transaction costs</w:t>
            </w:r>
          </w:p>
        </w:tc>
        <w:tc>
          <w:tcPr>
            <w:tcW w:w="260" w:type="dxa"/>
            <w:vAlign w:val="bottom"/>
          </w:tcPr>
          <w:p>
            <w:pPr>
              <w:spacing w:after="0"/>
              <w:rPr>
                <w:sz w:val="16"/>
                <w:szCs w:val="16"/>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6"/>
                <w:szCs w:val="16"/>
                <w:color w:val="auto"/>
              </w:rPr>
            </w:pP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6"/>
                <w:szCs w:val="16"/>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tcPr>
          <w:p>
            <w:pPr>
              <w:ind w:left="200"/>
              <w:spacing w:after="0"/>
              <w:rPr>
                <w:sz w:val="20"/>
                <w:szCs w:val="20"/>
                <w:color w:val="auto"/>
              </w:rPr>
            </w:pPr>
            <w:r>
              <w:rPr>
                <w:rFonts w:ascii="Arial" w:cs="Arial" w:eastAsia="Arial" w:hAnsi="Arial"/>
                <w:sz w:val="16"/>
                <w:szCs w:val="16"/>
                <w:i w:val="1"/>
                <w:iCs w:val="1"/>
                <w:color w:val="auto"/>
              </w:rPr>
              <w:t>Venezuela currency devaluation</w:t>
            </w:r>
          </w:p>
        </w:tc>
        <w:tc>
          <w:tcPr>
            <w:tcW w:w="260" w:type="dxa"/>
            <w:vAlign w:val="bottom"/>
          </w:tcPr>
          <w:p>
            <w:pPr>
              <w:spacing w:after="0"/>
              <w:rPr>
                <w:sz w:val="16"/>
                <w:szCs w:val="16"/>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6"/>
                <w:szCs w:val="16"/>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Merger-related transaction costs</w:t>
            </w:r>
          </w:p>
        </w:tc>
        <w:tc>
          <w:tcPr>
            <w:tcW w:w="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Income attributable to Schlumberger,</w:t>
            </w:r>
          </w:p>
        </w:tc>
        <w:tc>
          <w:tcPr>
            <w:tcW w:w="26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99"/>
              <w:spacing w:after="0"/>
              <w:rPr>
                <w:sz w:val="20"/>
                <w:szCs w:val="20"/>
                <w:color w:val="auto"/>
              </w:rPr>
            </w:pPr>
            <w:r>
              <w:rPr>
                <w:rFonts w:ascii="Arial" w:cs="Arial" w:eastAsia="Arial" w:hAnsi="Arial"/>
                <w:sz w:val="16"/>
                <w:szCs w:val="16"/>
                <w:color w:val="auto"/>
              </w:rPr>
              <w:t>997</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59"/>
              <w:spacing w:after="0"/>
              <w:rPr>
                <w:sz w:val="20"/>
                <w:szCs w:val="20"/>
                <w:color w:val="auto"/>
              </w:rPr>
            </w:pPr>
            <w:r>
              <w:rPr>
                <w:rFonts w:ascii="Arial" w:cs="Arial" w:eastAsia="Arial" w:hAnsi="Arial"/>
                <w:sz w:val="16"/>
                <w:szCs w:val="16"/>
                <w:color w:val="auto"/>
              </w:rPr>
              <w:t>(219)</w:t>
            </w:r>
          </w:p>
        </w:tc>
        <w:tc>
          <w:tcPr>
            <w:tcW w:w="36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color w:val="auto"/>
              </w:rPr>
              <w:t>(4)</w:t>
            </w: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jc w:val="right"/>
              <w:ind w:right="79"/>
              <w:spacing w:after="0"/>
              <w:rPr>
                <w:sz w:val="20"/>
                <w:szCs w:val="20"/>
                <w:color w:val="auto"/>
              </w:rPr>
            </w:pPr>
            <w:r>
              <w:rPr>
                <w:rFonts w:ascii="Arial" w:cs="Arial" w:eastAsia="Arial" w:hAnsi="Arial"/>
                <w:sz w:val="16"/>
                <w:szCs w:val="16"/>
                <w:color w:val="auto"/>
              </w:rPr>
              <w:t>774</w:t>
            </w:r>
          </w:p>
        </w:tc>
        <w:tc>
          <w:tcPr>
            <w:tcW w:w="32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4400" w:type="dxa"/>
            <w:vAlign w:val="bottom"/>
            <w:vMerge w:val="restart"/>
          </w:tcPr>
          <w:p>
            <w:pPr>
              <w:ind w:left="60"/>
              <w:spacing w:after="0"/>
              <w:rPr>
                <w:sz w:val="20"/>
                <w:szCs w:val="20"/>
                <w:color w:val="auto"/>
              </w:rPr>
            </w:pPr>
            <w:r>
              <w:rPr>
                <w:rFonts w:ascii="Arial" w:cs="Arial" w:eastAsia="Arial" w:hAnsi="Arial"/>
                <w:sz w:val="16"/>
                <w:szCs w:val="16"/>
                <w:color w:val="auto"/>
              </w:rPr>
              <w:t>excluding Charges &amp; Credits</w:t>
            </w:r>
          </w:p>
        </w:tc>
        <w:tc>
          <w:tcPr>
            <w:tcW w:w="2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 w:type="dxa"/>
            <w:vAlign w:val="bottom"/>
            <w:tcBorders>
              <w:left w:val="single" w:sz="8" w:color="auto"/>
            </w:tcBorders>
          </w:tcPr>
          <w:p>
            <w:pPr>
              <w:spacing w:after="0"/>
              <w:rPr>
                <w:sz w:val="8"/>
                <w:szCs w:val="8"/>
                <w:color w:val="auto"/>
              </w:rPr>
            </w:pPr>
          </w:p>
        </w:tc>
        <w:tc>
          <w:tcPr>
            <w:tcW w:w="4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80" w:type="dxa"/>
            <w:vAlign w:val="bottom"/>
            <w:tcBorders>
              <w:left w:val="single" w:sz="8" w:color="auto"/>
            </w:tcBorders>
          </w:tcPr>
          <w:p>
            <w:pPr>
              <w:spacing w:after="0"/>
              <w:rPr>
                <w:sz w:val="4"/>
                <w:szCs w:val="4"/>
                <w:color w:val="auto"/>
              </w:rPr>
            </w:pPr>
          </w:p>
        </w:tc>
        <w:tc>
          <w:tcPr>
            <w:tcW w:w="44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tbl>
      <w:tblPr>
        <w:tblLayout w:type="fixed"/>
        <w:tblInd w:w="1290" w:type="dxa"/>
        <w:tblCellMar>
          <w:top w:w="0" w:type="dxa"/>
          <w:left w:w="0" w:type="dxa"/>
          <w:bottom w:w="0" w:type="dxa"/>
          <w:right w:w="0" w:type="dxa"/>
        </w:tblCellMar>
      </w:tblPr>
      <w:tr>
        <w:trPr>
          <w:trHeight w:val="235"/>
        </w:trPr>
        <w:tc>
          <w:tcPr>
            <w:tcW w:w="180" w:type="dxa"/>
            <w:vAlign w:val="bottom"/>
            <w:tcBorders>
              <w:top w:val="single" w:sz="8" w:color="auto"/>
              <w:left w:val="single" w:sz="8" w:color="auto"/>
            </w:tcBorders>
          </w:tcPr>
          <w:p>
            <w:pPr>
              <w:spacing w:after="0"/>
              <w:rPr>
                <w:sz w:val="20"/>
                <w:szCs w:val="20"/>
                <w:color w:val="auto"/>
              </w:rPr>
            </w:pPr>
          </w:p>
        </w:tc>
        <w:tc>
          <w:tcPr>
            <w:tcW w:w="4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Second Quarter 2010</w:t>
            </w:r>
          </w:p>
        </w:tc>
        <w:tc>
          <w:tcPr>
            <w:tcW w:w="5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80" w:type="dxa"/>
            <w:vAlign w:val="bottom"/>
            <w:tcBorders>
              <w:left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Pretax</w:t>
            </w:r>
          </w:p>
        </w:tc>
        <w:tc>
          <w:tcPr>
            <w:tcW w:w="260" w:type="dxa"/>
            <w:vAlign w:val="bottom"/>
          </w:tcPr>
          <w:p>
            <w:pPr>
              <w:spacing w:after="0"/>
              <w:rPr>
                <w:sz w:val="15"/>
                <w:szCs w:val="15"/>
                <w:color w:val="auto"/>
              </w:rPr>
            </w:pPr>
          </w:p>
        </w:tc>
        <w:tc>
          <w:tcPr>
            <w:tcW w:w="600" w:type="dxa"/>
            <w:vAlign w:val="bottom"/>
            <w:vMerge w:val="restart"/>
          </w:tcPr>
          <w:p>
            <w:pPr>
              <w:jc w:val="right"/>
              <w:ind w:right="239"/>
              <w:spacing w:after="0"/>
              <w:rPr>
                <w:sz w:val="20"/>
                <w:szCs w:val="20"/>
                <w:color w:val="auto"/>
              </w:rPr>
            </w:pPr>
            <w:r>
              <w:rPr>
                <w:rFonts w:ascii="Arial" w:cs="Arial" w:eastAsia="Arial" w:hAnsi="Arial"/>
                <w:sz w:val="16"/>
                <w:szCs w:val="16"/>
                <w:color w:val="auto"/>
                <w:w w:val="97"/>
              </w:rPr>
              <w:t>Tax</w:t>
            </w:r>
          </w:p>
        </w:tc>
        <w:tc>
          <w:tcPr>
            <w:tcW w:w="960" w:type="dxa"/>
            <w:vAlign w:val="bottom"/>
            <w:gridSpan w:val="2"/>
          </w:tcPr>
          <w:p>
            <w:pPr>
              <w:jc w:val="right"/>
              <w:ind w:right="79"/>
              <w:spacing w:after="0" w:line="180" w:lineRule="exact"/>
              <w:rPr>
                <w:sz w:val="20"/>
                <w:szCs w:val="20"/>
                <w:color w:val="auto"/>
              </w:rPr>
            </w:pPr>
            <w:r>
              <w:rPr>
                <w:rFonts w:ascii="Arial" w:cs="Arial" w:eastAsia="Arial" w:hAnsi="Arial"/>
                <w:sz w:val="16"/>
                <w:szCs w:val="16"/>
                <w:color w:val="auto"/>
              </w:rPr>
              <w:t>Noncont.</w:t>
            </w:r>
          </w:p>
        </w:tc>
        <w:tc>
          <w:tcPr>
            <w:tcW w:w="340" w:type="dxa"/>
            <w:vAlign w:val="bottom"/>
          </w:tcPr>
          <w:p>
            <w:pPr>
              <w:spacing w:after="0"/>
              <w:rPr>
                <w:sz w:val="15"/>
                <w:szCs w:val="15"/>
                <w:color w:val="auto"/>
              </w:rPr>
            </w:pPr>
          </w:p>
        </w:tc>
        <w:tc>
          <w:tcPr>
            <w:tcW w:w="560" w:type="dxa"/>
            <w:vAlign w:val="bottom"/>
            <w:vMerge w:val="restart"/>
          </w:tcPr>
          <w:p>
            <w:pPr>
              <w:jc w:val="right"/>
              <w:ind w:right="179"/>
              <w:spacing w:after="0"/>
              <w:rPr>
                <w:sz w:val="20"/>
                <w:szCs w:val="20"/>
                <w:color w:val="auto"/>
              </w:rPr>
            </w:pPr>
            <w:r>
              <w:rPr>
                <w:rFonts w:ascii="Arial" w:cs="Arial" w:eastAsia="Arial" w:hAnsi="Arial"/>
                <w:sz w:val="16"/>
                <w:szCs w:val="16"/>
                <w:color w:val="auto"/>
              </w:rPr>
              <w:t>Net</w:t>
            </w:r>
          </w:p>
        </w:tc>
        <w:tc>
          <w:tcPr>
            <w:tcW w:w="760" w:type="dxa"/>
            <w:vAlign w:val="bottom"/>
            <w:tcBorders>
              <w:right w:val="single" w:sz="8" w:color="auto"/>
            </w:tcBorders>
            <w:gridSpan w:val="2"/>
          </w:tcPr>
          <w:p>
            <w:pPr>
              <w:ind w:left="140"/>
              <w:spacing w:after="0" w:line="180" w:lineRule="exact"/>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tcBorders>
              <w:right w:val="single" w:sz="8" w:color="auto"/>
            </w:tcBorders>
            <w:gridSpan w:val="2"/>
            <w:vMerge w:val="restart"/>
          </w:tcPr>
          <w:p>
            <w:pPr>
              <w:ind w:left="1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$ 1,101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872</w:t>
            </w:r>
          </w:p>
        </w:tc>
        <w:tc>
          <w:tcPr>
            <w:tcW w:w="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Add back Smith Charges &amp; Credits:</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Venezuela currency devaluation</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tcPr>
          <w:p>
            <w:pPr>
              <w:ind w:left="200"/>
              <w:spacing w:after="0"/>
              <w:rPr>
                <w:sz w:val="20"/>
                <w:szCs w:val="20"/>
                <w:color w:val="auto"/>
              </w:rPr>
            </w:pPr>
            <w:r>
              <w:rPr>
                <w:rFonts w:ascii="Arial" w:cs="Arial" w:eastAsia="Arial" w:hAnsi="Arial"/>
                <w:sz w:val="16"/>
                <w:szCs w:val="16"/>
                <w:i w:val="1"/>
                <w:iCs w:val="1"/>
                <w:color w:val="auto"/>
              </w:rPr>
              <w:t>Merger-related transaction costs</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Gain on investment in @balance</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Income attributable to Schlumberger,</w:t>
            </w: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color w:val="auto"/>
              </w:rPr>
              <w:t>$ 1,116</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59"/>
              <w:spacing w:after="0"/>
              <w:rPr>
                <w:sz w:val="20"/>
                <w:szCs w:val="20"/>
                <w:color w:val="auto"/>
              </w:rPr>
            </w:pPr>
            <w:r>
              <w:rPr>
                <w:rFonts w:ascii="Arial" w:cs="Arial" w:eastAsia="Arial" w:hAnsi="Arial"/>
                <w:sz w:val="16"/>
                <w:szCs w:val="16"/>
                <w:color w:val="auto"/>
              </w:rPr>
              <w:t>(235)</w:t>
            </w:r>
          </w:p>
        </w:tc>
        <w:tc>
          <w:tcPr>
            <w:tcW w:w="74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119"/>
              <w:spacing w:after="0"/>
              <w:rPr>
                <w:sz w:val="20"/>
                <w:szCs w:val="20"/>
                <w:color w:val="auto"/>
              </w:rPr>
            </w:pPr>
            <w:r>
              <w:rPr>
                <w:rFonts w:ascii="Arial" w:cs="Arial" w:eastAsia="Arial" w:hAnsi="Arial"/>
                <w:sz w:val="16"/>
                <w:szCs w:val="16"/>
                <w:color w:val="auto"/>
              </w:rPr>
              <w:t>881</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4400" w:type="dxa"/>
            <w:vAlign w:val="bottom"/>
            <w:vMerge w:val="restart"/>
          </w:tcPr>
          <w:p>
            <w:pPr>
              <w:ind w:left="60"/>
              <w:spacing w:after="0"/>
              <w:rPr>
                <w:sz w:val="20"/>
                <w:szCs w:val="20"/>
                <w:color w:val="auto"/>
              </w:rPr>
            </w:pPr>
            <w:r>
              <w:rPr>
                <w:rFonts w:ascii="Arial" w:cs="Arial" w:eastAsia="Arial" w:hAnsi="Arial"/>
                <w:sz w:val="16"/>
                <w:szCs w:val="16"/>
                <w:color w:val="auto"/>
              </w:rPr>
              <w:t>excluding Charges &amp; Credits</w:t>
            </w:r>
          </w:p>
        </w:tc>
        <w:tc>
          <w:tcPr>
            <w:tcW w:w="8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 w:type="dxa"/>
            <w:vAlign w:val="bottom"/>
            <w:tcBorders>
              <w:left w:val="single" w:sz="8" w:color="auto"/>
            </w:tcBorders>
          </w:tcPr>
          <w:p>
            <w:pPr>
              <w:spacing w:after="0"/>
              <w:rPr>
                <w:sz w:val="8"/>
                <w:szCs w:val="8"/>
                <w:color w:val="auto"/>
              </w:rPr>
            </w:pPr>
          </w:p>
        </w:tc>
        <w:tc>
          <w:tcPr>
            <w:tcW w:w="44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80" w:type="dxa"/>
            <w:vAlign w:val="bottom"/>
            <w:tcBorders>
              <w:left w:val="single" w:sz="8" w:color="auto"/>
            </w:tcBorders>
          </w:tcPr>
          <w:p>
            <w:pPr>
              <w:spacing w:after="0"/>
              <w:rPr>
                <w:sz w:val="4"/>
                <w:szCs w:val="4"/>
                <w:color w:val="auto"/>
              </w:rPr>
            </w:pPr>
          </w:p>
        </w:tc>
        <w:tc>
          <w:tcPr>
            <w:tcW w:w="44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Borders>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Third Quarter 2010</w:t>
            </w: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260" w:type="dxa"/>
            <w:vAlign w:val="bottom"/>
          </w:tcPr>
          <w:p>
            <w:pPr>
              <w:spacing w:after="0"/>
              <w:rPr>
                <w:sz w:val="15"/>
                <w:szCs w:val="15"/>
                <w:color w:val="auto"/>
              </w:rPr>
            </w:pPr>
          </w:p>
        </w:tc>
        <w:tc>
          <w:tcPr>
            <w:tcW w:w="600" w:type="dxa"/>
            <w:vAlign w:val="bottom"/>
            <w:vMerge w:val="restart"/>
          </w:tcPr>
          <w:p>
            <w:pPr>
              <w:jc w:val="right"/>
              <w:ind w:right="239"/>
              <w:spacing w:after="0"/>
              <w:rPr>
                <w:sz w:val="20"/>
                <w:szCs w:val="20"/>
                <w:color w:val="auto"/>
              </w:rPr>
            </w:pPr>
            <w:r>
              <w:rPr>
                <w:rFonts w:ascii="Arial" w:cs="Arial" w:eastAsia="Arial" w:hAnsi="Arial"/>
                <w:sz w:val="16"/>
                <w:szCs w:val="16"/>
                <w:color w:val="auto"/>
                <w:w w:val="97"/>
              </w:rPr>
              <w:t>Tax</w:t>
            </w:r>
          </w:p>
        </w:tc>
        <w:tc>
          <w:tcPr>
            <w:tcW w:w="960" w:type="dxa"/>
            <w:vAlign w:val="bottom"/>
            <w:gridSpan w:val="2"/>
          </w:tcPr>
          <w:p>
            <w:pPr>
              <w:jc w:val="right"/>
              <w:ind w:right="79"/>
              <w:spacing w:after="0" w:line="180" w:lineRule="exact"/>
              <w:rPr>
                <w:sz w:val="20"/>
                <w:szCs w:val="20"/>
                <w:color w:val="auto"/>
              </w:rPr>
            </w:pPr>
            <w:r>
              <w:rPr>
                <w:rFonts w:ascii="Arial" w:cs="Arial" w:eastAsia="Arial" w:hAnsi="Arial"/>
                <w:sz w:val="16"/>
                <w:szCs w:val="16"/>
                <w:color w:val="auto"/>
              </w:rPr>
              <w:t>Noncont.</w:t>
            </w:r>
          </w:p>
        </w:tc>
        <w:tc>
          <w:tcPr>
            <w:tcW w:w="280" w:type="dxa"/>
            <w:vAlign w:val="bottom"/>
          </w:tcPr>
          <w:p>
            <w:pPr>
              <w:spacing w:after="0"/>
              <w:rPr>
                <w:sz w:val="15"/>
                <w:szCs w:val="15"/>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6"/>
                <w:szCs w:val="16"/>
                <w:color w:val="auto"/>
              </w:rPr>
              <w:t>Net</w:t>
            </w:r>
          </w:p>
        </w:tc>
        <w:tc>
          <w:tcPr>
            <w:tcW w:w="760" w:type="dxa"/>
            <w:vAlign w:val="bottom"/>
            <w:tcBorders>
              <w:right w:val="single" w:sz="8" w:color="auto"/>
            </w:tcBorders>
            <w:gridSpan w:val="2"/>
          </w:tcPr>
          <w:p>
            <w:pPr>
              <w:ind w:left="140"/>
              <w:spacing w:after="0" w:line="180" w:lineRule="exact"/>
              <w:rPr>
                <w:sz w:val="20"/>
                <w:szCs w:val="20"/>
                <w:color w:val="auto"/>
              </w:rPr>
            </w:pPr>
            <w:r>
              <w:rPr>
                <w:rFonts w:ascii="Arial" w:cs="Arial" w:eastAsia="Arial" w:hAnsi="Arial"/>
                <w:sz w:val="16"/>
                <w:szCs w:val="16"/>
                <w:color w:val="auto"/>
              </w:rPr>
              <w:t>Diluted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Borders>
              <w:right w:val="single" w:sz="8" w:color="auto"/>
            </w:tcBorders>
            <w:gridSpan w:val="2"/>
            <w:vMerge w:val="restart"/>
          </w:tcPr>
          <w:p>
            <w:pPr>
              <w:ind w:left="1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$ 1,974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(236)</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1,738</w:t>
            </w:r>
          </w:p>
        </w:tc>
        <w:tc>
          <w:tcPr>
            <w:tcW w:w="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Add back Schlumberger Charges &amp; Credits: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Severance and other</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320" w:type="dxa"/>
            <w:vAlign w:val="bottom"/>
          </w:tcPr>
          <w:p>
            <w:pPr>
              <w:ind w:left="200"/>
              <w:spacing w:after="0" w:line="175" w:lineRule="exact"/>
              <w:rPr>
                <w:sz w:val="20"/>
                <w:szCs w:val="20"/>
                <w:color w:val="auto"/>
              </w:rPr>
            </w:pPr>
            <w:r>
              <w:rPr>
                <w:rFonts w:ascii="Arial" w:cs="Arial" w:eastAsia="Arial" w:hAnsi="Arial"/>
                <w:sz w:val="16"/>
                <w:szCs w:val="16"/>
                <w:i w:val="1"/>
                <w:iCs w:val="1"/>
                <w:color w:val="auto"/>
              </w:rPr>
              <w:t>Impairment relating to WesternGeco’s first</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Pr>
          <w:p>
            <w:pPr>
              <w:ind w:left="400"/>
              <w:spacing w:after="0"/>
              <w:rPr>
                <w:sz w:val="20"/>
                <w:szCs w:val="20"/>
                <w:color w:val="auto"/>
              </w:rPr>
            </w:pPr>
            <w:r>
              <w:rPr>
                <w:rFonts w:ascii="Arial" w:cs="Arial" w:eastAsia="Arial" w:hAnsi="Arial"/>
                <w:sz w:val="16"/>
                <w:szCs w:val="16"/>
                <w:i w:val="1"/>
                <w:iCs w:val="1"/>
                <w:color w:val="auto"/>
              </w:rPr>
              <w:t>generation Q-Land acquisition system</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Other WesternGeco-related charges</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Professional fees and other</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Merger-related employee benefits</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Mexico restructuring</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Inventory fair value adjustments</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Repurchase of bonds</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Gain on investment in M-I SWACO</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(1,270)</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(1,238)</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Add back Smith Charges &amp; Credits: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Merger-related transaction costs</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Income attributable to Schlumberger,</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$ 1,151</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59"/>
              <w:spacing w:after="0"/>
              <w:rPr>
                <w:sz w:val="20"/>
                <w:szCs w:val="20"/>
                <w:color w:val="auto"/>
              </w:rPr>
            </w:pPr>
            <w:r>
              <w:rPr>
                <w:rFonts w:ascii="Arial" w:cs="Arial" w:eastAsia="Arial" w:hAnsi="Arial"/>
                <w:sz w:val="16"/>
                <w:szCs w:val="16"/>
                <w:color w:val="auto"/>
              </w:rPr>
              <w:t>(259)</w:t>
            </w:r>
          </w:p>
        </w:tc>
        <w:tc>
          <w:tcPr>
            <w:tcW w:w="74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rPr>
              <w:t>892</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0.65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320" w:type="dxa"/>
            <w:vAlign w:val="bottom"/>
            <w:vMerge w:val="restart"/>
          </w:tcPr>
          <w:p>
            <w:pPr>
              <w:ind w:left="60"/>
              <w:spacing w:after="0"/>
              <w:rPr>
                <w:sz w:val="20"/>
                <w:szCs w:val="20"/>
                <w:color w:val="auto"/>
              </w:rPr>
            </w:pPr>
            <w:r>
              <w:rPr>
                <w:rFonts w:ascii="Arial" w:cs="Arial" w:eastAsia="Arial" w:hAnsi="Arial"/>
                <w:sz w:val="16"/>
                <w:szCs w:val="16"/>
                <w:color w:val="auto"/>
              </w:rPr>
              <w:t>excluding Charges &amp; Credits</w:t>
            </w:r>
          </w:p>
        </w:tc>
        <w:tc>
          <w:tcPr>
            <w:tcW w:w="84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3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0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2010 Charges &amp; Credits and Reconciliation of Pro Forma Diluted EPS (cont.)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1290" w:type="dxa"/>
        <w:tblCellMar>
          <w:top w:w="0" w:type="dxa"/>
          <w:left w:w="0" w:type="dxa"/>
          <w:bottom w:w="0" w:type="dxa"/>
          <w:right w:w="0" w:type="dxa"/>
        </w:tblCellMar>
      </w:tblPr>
      <w:tr>
        <w:trPr>
          <w:trHeight w:val="235"/>
        </w:trPr>
        <w:tc>
          <w:tcPr>
            <w:tcW w:w="180" w:type="dxa"/>
            <w:vAlign w:val="bottom"/>
            <w:tcBorders>
              <w:top w:val="single" w:sz="8" w:color="auto"/>
              <w:left w:val="single" w:sz="8" w:color="auto"/>
            </w:tcBorders>
          </w:tcPr>
          <w:p>
            <w:pPr>
              <w:spacing w:after="0"/>
              <w:rPr>
                <w:sz w:val="20"/>
                <w:szCs w:val="20"/>
                <w:color w:val="auto"/>
              </w:rPr>
            </w:pPr>
          </w:p>
        </w:tc>
        <w:tc>
          <w:tcPr>
            <w:tcW w:w="4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2010</w:t>
            </w: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80" w:type="dxa"/>
            <w:vAlign w:val="bottom"/>
            <w:tcBorders>
              <w:left w:val="single" w:sz="8" w:color="auto"/>
            </w:tcBorders>
          </w:tcPr>
          <w:p>
            <w:pPr>
              <w:spacing w:after="0"/>
              <w:rPr>
                <w:sz w:val="13"/>
                <w:szCs w:val="13"/>
                <w:color w:val="auto"/>
              </w:rPr>
            </w:pPr>
          </w:p>
        </w:tc>
        <w:tc>
          <w:tcPr>
            <w:tcW w:w="4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4320" w:type="dxa"/>
            <w:vAlign w:val="bottom"/>
          </w:tcPr>
          <w:p>
            <w:pPr>
              <w:spacing w:after="0"/>
              <w:rPr>
                <w:sz w:val="15"/>
                <w:szCs w:val="15"/>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260" w:type="dxa"/>
            <w:vAlign w:val="bottom"/>
          </w:tcPr>
          <w:p>
            <w:pPr>
              <w:spacing w:after="0"/>
              <w:rPr>
                <w:sz w:val="15"/>
                <w:szCs w:val="15"/>
                <w:color w:val="auto"/>
              </w:rPr>
            </w:pPr>
          </w:p>
        </w:tc>
        <w:tc>
          <w:tcPr>
            <w:tcW w:w="600" w:type="dxa"/>
            <w:vAlign w:val="bottom"/>
            <w:vMerge w:val="restart"/>
          </w:tcPr>
          <w:p>
            <w:pPr>
              <w:jc w:val="right"/>
              <w:ind w:right="239"/>
              <w:spacing w:after="0"/>
              <w:rPr>
                <w:sz w:val="20"/>
                <w:szCs w:val="20"/>
                <w:color w:val="auto"/>
              </w:rPr>
            </w:pPr>
            <w:r>
              <w:rPr>
                <w:rFonts w:ascii="Arial" w:cs="Arial" w:eastAsia="Arial" w:hAnsi="Arial"/>
                <w:sz w:val="16"/>
                <w:szCs w:val="16"/>
                <w:color w:val="auto"/>
                <w:w w:val="97"/>
              </w:rPr>
              <w:t>Tax</w:t>
            </w:r>
          </w:p>
        </w:tc>
        <w:tc>
          <w:tcPr>
            <w:tcW w:w="1120" w:type="dxa"/>
            <w:vAlign w:val="bottom"/>
            <w:gridSpan w:val="2"/>
          </w:tcPr>
          <w:p>
            <w:pPr>
              <w:ind w:left="140"/>
              <w:spacing w:after="0" w:line="180" w:lineRule="exact"/>
              <w:rPr>
                <w:sz w:val="20"/>
                <w:szCs w:val="20"/>
                <w:color w:val="auto"/>
              </w:rPr>
            </w:pPr>
            <w:r>
              <w:rPr>
                <w:rFonts w:ascii="Arial" w:cs="Arial" w:eastAsia="Arial" w:hAnsi="Arial"/>
                <w:sz w:val="16"/>
                <w:szCs w:val="16"/>
                <w:color w:val="auto"/>
              </w:rPr>
              <w:t>Noncont.</w:t>
            </w: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Net</w:t>
            </w:r>
          </w:p>
        </w:tc>
        <w:tc>
          <w:tcPr>
            <w:tcW w:w="760" w:type="dxa"/>
            <w:vAlign w:val="bottom"/>
            <w:tcBorders>
              <w:right w:val="single" w:sz="8" w:color="auto"/>
            </w:tcBorders>
            <w:gridSpan w:val="2"/>
          </w:tcPr>
          <w:p>
            <w:pPr>
              <w:ind w:left="140"/>
              <w:spacing w:after="0" w:line="180" w:lineRule="exact"/>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120" w:type="dxa"/>
            <w:vAlign w:val="bottom"/>
            <w:gridSpan w:val="2"/>
            <w:vMerge w:val="restart"/>
          </w:tcPr>
          <w:p>
            <w:pPr>
              <w:jc w:val="right"/>
              <w:ind w:right="299"/>
              <w:spacing w:after="0"/>
              <w:rPr>
                <w:sz w:val="20"/>
                <w:szCs w:val="20"/>
                <w:color w:val="auto"/>
              </w:rPr>
            </w:pPr>
            <w:r>
              <w:rPr>
                <w:rFonts w:ascii="Arial" w:cs="Arial" w:eastAsia="Arial" w:hAnsi="Arial"/>
                <w:sz w:val="16"/>
                <w:szCs w:val="16"/>
                <w:color w:val="auto"/>
              </w:rPr>
              <w:t>Interest</w:t>
            </w:r>
          </w:p>
        </w:tc>
        <w:tc>
          <w:tcPr>
            <w:tcW w:w="780" w:type="dxa"/>
            <w:vAlign w:val="bottom"/>
            <w:vMerge w:val="continue"/>
          </w:tcPr>
          <w:p>
            <w:pPr>
              <w:spacing w:after="0"/>
              <w:rPr>
                <w:sz w:val="9"/>
                <w:szCs w:val="9"/>
                <w:color w:val="auto"/>
              </w:rPr>
            </w:pPr>
          </w:p>
        </w:tc>
        <w:tc>
          <w:tcPr>
            <w:tcW w:w="760" w:type="dxa"/>
            <w:vAlign w:val="bottom"/>
            <w:tcBorders>
              <w:right w:val="single" w:sz="8" w:color="auto"/>
            </w:tcBorders>
            <w:gridSpan w:val="2"/>
            <w:vMerge w:val="restart"/>
          </w:tcPr>
          <w:p>
            <w:pPr>
              <w:ind w:left="1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$ 3,997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(726)</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$ 3,267</w:t>
            </w:r>
          </w:p>
        </w:tc>
        <w:tc>
          <w:tcPr>
            <w:tcW w:w="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Add back Schlumberger Charges &amp; Credits: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Medicare Part D subsidy, elimination of tax deduction</w:t>
            </w:r>
          </w:p>
        </w:tc>
        <w:tc>
          <w:tcPr>
            <w:tcW w:w="8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Severance and other</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6"/>
                <w:szCs w:val="16"/>
                <w:color w:val="auto"/>
              </w:rPr>
            </w:pP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432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i w:val="1"/>
                <w:iCs w:val="1"/>
                <w:color w:val="auto"/>
              </w:rPr>
              <w:t>Impairment relating to WesternGeco’s first</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generation Q-Land acquisition system</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c>
          <w:tcPr>
            <w:tcW w:w="26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Other WesternGeco-related charges</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6"/>
                <w:szCs w:val="16"/>
                <w:color w:val="auto"/>
              </w:rPr>
            </w:pP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Professional fees and other</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Merger-related employee benefits</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6"/>
                <w:szCs w:val="16"/>
                <w:color w:val="auto"/>
              </w:rPr>
            </w:pP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Mexico restructuring</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Inventory fair value adjustments</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6"/>
                <w:szCs w:val="16"/>
                <w:color w:val="auto"/>
              </w:rPr>
            </w:pP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Repurchase of bonds</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Gain on investment in M-I SWACO</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(1,270)</w:t>
            </w:r>
          </w:p>
        </w:tc>
        <w:tc>
          <w:tcPr>
            <w:tcW w:w="26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6"/>
                <w:szCs w:val="16"/>
                <w:color w:val="auto"/>
              </w:rPr>
            </w:pP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(1,238)</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Venezuela currency devaluation</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6"/>
                <w:szCs w:val="16"/>
                <w:color w:val="auto"/>
              </w:rPr>
            </w:pP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6"/>
                <w:szCs w:val="16"/>
                <w:color w:val="auto"/>
              </w:rPr>
            </w:pPr>
          </w:p>
        </w:tc>
        <w:tc>
          <w:tcPr>
            <w:tcW w:w="5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Merger-related transaction costs</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320" w:type="dxa"/>
            <w:vAlign w:val="bottom"/>
          </w:tcPr>
          <w:p>
            <w:pPr>
              <w:ind w:left="200"/>
              <w:spacing w:after="0"/>
              <w:rPr>
                <w:sz w:val="20"/>
                <w:szCs w:val="20"/>
                <w:color w:val="auto"/>
              </w:rPr>
            </w:pPr>
            <w:r>
              <w:rPr>
                <w:rFonts w:ascii="Arial" w:cs="Arial" w:eastAsia="Arial" w:hAnsi="Arial"/>
                <w:sz w:val="16"/>
                <w:szCs w:val="16"/>
                <w:i w:val="1"/>
                <w:iCs w:val="1"/>
                <w:color w:val="auto"/>
              </w:rPr>
              <w:t>Gain on investment in @balance</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$ 3,264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(713)</w:t>
            </w:r>
          </w:p>
        </w:tc>
        <w:tc>
          <w:tcPr>
            <w:tcW w:w="3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c>
          <w:tcPr>
            <w:tcW w:w="7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$ 2,547</w:t>
            </w:r>
          </w:p>
        </w:tc>
        <w:tc>
          <w:tcPr>
            <w:tcW w:w="2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00"/>
        </w:trPr>
        <w:tc>
          <w:tcPr>
            <w:tcW w:w="180" w:type="dxa"/>
            <w:vAlign w:val="bottom"/>
            <w:tcBorders>
              <w:left w:val="single" w:sz="8" w:color="auto"/>
            </w:tcBorders>
          </w:tcPr>
          <w:p>
            <w:pPr>
              <w:spacing w:after="0"/>
              <w:rPr>
                <w:sz w:val="8"/>
                <w:szCs w:val="8"/>
                <w:color w:val="auto"/>
              </w:rPr>
            </w:pPr>
          </w:p>
        </w:tc>
        <w:tc>
          <w:tcPr>
            <w:tcW w:w="432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excluding Charges &amp; Credits</w:t>
            </w:r>
          </w:p>
        </w:tc>
        <w:tc>
          <w:tcPr>
            <w:tcW w:w="84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5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0" w:type="dxa"/>
            <w:vAlign w:val="bottom"/>
            <w:tcBorders>
              <w:left w:val="single" w:sz="8" w:color="auto"/>
            </w:tcBorders>
          </w:tcPr>
          <w:p>
            <w:pPr>
              <w:spacing w:after="0"/>
              <w:rPr>
                <w:sz w:val="7"/>
                <w:szCs w:val="7"/>
                <w:color w:val="auto"/>
              </w:rPr>
            </w:pPr>
          </w:p>
        </w:tc>
        <w:tc>
          <w:tcPr>
            <w:tcW w:w="432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0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0" w:type="dxa"/>
            <w:vAlign w:val="bottom"/>
            <w:tcBorders>
              <w:left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1580" w:hanging="203"/>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May not add due to rounding</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Diluted earnings per share excluding Charges &amp; Credits and effective tax rate excluding Charges &amp; Credits are non-GAAP financial measures. Schlumberger management believes that the exclusion of Charges &amp; Credits from the foregoing financial measures enables it to evaluate more effectively, Schlumberger’s operations period over period and to identify operating trends that could otherwise be masked by the excluded items. The foregoing non-GAAP financial measures should be considered in addition to, not as a substitute for, or superior to other measures of financial performance prepared in accordance with GAAP.</w:t>
      </w:r>
    </w:p>
    <w:sectPr>
      <w:pgSz w:w="11900" w:h="16838" w:orient="portrait"/>
      <w:cols w:equalWidth="0" w:num="1">
        <w:col w:w="11420"/>
      </w:cols>
      <w:pgMar w:left="240" w:top="9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2019-12-10T02:46:12Z</dcterms:created>
  <dcterms:modified xsi:type="dcterms:W3CDTF">2019-12-10T02:46:12Z</dcterms:modified>
</cp:coreProperties>
</file>