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2"/>
          <w:szCs w:val="42"/>
          <w:b w:val="1"/>
          <w:bCs w:val="1"/>
          <w:color w:val="auto"/>
        </w:rPr>
        <w:t>SCHLUMBERGER N.V. (SCHLUMBERGER LIMITED)</w:t>
      </w:r>
    </w:p>
    <w:p>
      <w:pPr>
        <w:spacing w:after="0" w:line="7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2"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860" w:space="720"/>
            <w:col w:w="2860" w:space="720"/>
            <w:col w:w="1940"/>
          </w:cols>
          <w:pgMar w:left="240" w:top="362" w:right="5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060"/>
          </w:cols>
          <w:pgMar w:left="240" w:top="362" w:right="559" w:bottom="1440" w:gutter="0" w:footer="0" w:header="0"/>
          <w:type w:val="continuous"/>
        </w:sectPr>
      </w:pP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5599 San Felipe, 17th Floor, Houston, Texas 77056</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Parkstraat 83, The Hague, The Netherlands 2514 JG</w:t>
      </w:r>
    </w:p>
    <w:p>
      <w:pPr>
        <w:spacing w:after="0" w:line="1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100"/>
          </w:cols>
          <w:pgMar w:left="240" w:top="362" w:right="559" w:bottom="1440" w:gutter="0" w:footer="0" w:header="0"/>
          <w:type w:val="continuous"/>
        </w:sectPr>
      </w:pPr>
    </w:p>
    <w:p>
      <w:pPr>
        <w:spacing w:after="0" w:line="18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2" w:right="559" w:bottom="1440" w:gutter="0" w:footer="0" w:header="0"/>
          <w:type w:val="continuous"/>
        </w:sectPr>
      </w:pPr>
    </w:p>
    <w:bookmarkStart w:id="1" w:name="page2"/>
    <w:bookmarkEnd w:id="1"/>
    <w:p>
      <w:pPr>
        <w:ind w:left="1140" w:right="16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 of Certain Officers.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Amended and Restated French Sub Plan for Restricted Units</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stockholders of Schlumberger Limited (Schlumberger N.V.), a Curaçao corporation (“Schlumberger”), approved Schlumberger’s amended and restated French Sub Plan for Restricted Units (as amended and restated, the “French Sub Plan”), which operates under the Schlumberger 2010 Omnibus Stock Incentive Plan (the “Omnibus Plan”), at the 2016 Annual General Meeting of Stockholders of Schlumberger (the “Annual Meeting”) held on April 6, 2016. The Omnibus Plan was approved by stockholders at Schlumberger’s 2010 annual general meeting.</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Stockholder approval of the French Sub Plan is designed to qualify under the so-called “Macron Law” in France, so that restricted stock units and performance stock units that Schlumberger grants under the French Sub Plan to individuals who are subject to taxation under French law (including certain grants previously approved by the Compensation Committee of Schlumberger’s Board of Directors) may qualify as “Free Share Grants,” which are subject to more favorable tax treatment. The foregoing description of the French Sub Plan is qualified in its entirety by reference to the text of the French Sub Plan, which is filed as Exhibit 10.1 hereto.</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Annual Meeting, the stockholders of Schlumberger:</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1—elected all 10 director nominees;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2—approved, on an advisory basis, Schlumberger’s executive compensation;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3—approved Schlumberger’s Consolidated Balance Sheet as at December 31, 2015, its Consolidated Statement of Income for the year ended December 31, 2015, and the declarations of dividends by the Board of Directors in 2015, each as reflected in Schlumberger’s 2015 Annual Report to Stockholders;</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4—approved the appointment of PricewaterhouseCoopers LLP as the independent registered public accounting firm to audit the accounts of Schlumberger for 2016;</w:t>
      </w:r>
    </w:p>
    <w:p>
      <w:pPr>
        <w:spacing w:after="0" w:line="67"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5—approved a resolution to amend Schlumberger’s Articles of Incorporation to (a) allow the Board of Directors to fix the authorized number of directors at an annual general meeting, subject to stockholder approval of that number, and (b) reflect changes to the Curaçao Civil Code regarding parties having the right to attend and address general meetings of stockholders;</w:t>
      </w:r>
    </w:p>
    <w:p>
      <w:pPr>
        <w:spacing w:after="0" w:line="81"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6—approved a resolution to fix the number of directors constituting the Board of Directors at not more than 12, subject to approval of Item 5;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7—approved Schlumberger’s French Sub Plan under its Omnibus Plan for purposes of qualification under French law.</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proposals are described in detail in Schlumberger’s definitive proxy statement for the Annual Meeting, which was filed with the Securities and Exchange Commission on February 19, 2016 (the “Definitive Proxy Statement”).</w:t>
      </w:r>
    </w:p>
    <w:p>
      <w:pPr>
        <w:sectPr>
          <w:pgSz w:w="11900" w:h="16838" w:orient="portrait"/>
          <w:cols w:equalWidth="0" w:num="1">
            <w:col w:w="11400"/>
          </w:cols>
          <w:pgMar w:left="240" w:top="266" w:right="25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voting results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1—Election of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director nominees were elected at the Annual Meeting.</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L.S. Currie</w:t>
            </w:r>
          </w:p>
        </w:tc>
        <w:tc>
          <w:tcPr>
            <w:tcW w:w="3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933,844,410</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23,270,352</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1,109,554</w:t>
            </w:r>
          </w:p>
        </w:tc>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 Maureen Kempston Darkes</w:t>
            </w:r>
          </w:p>
        </w:tc>
        <w:tc>
          <w:tcPr>
            <w:tcW w:w="3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885,807,543</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70,695,627</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1,721,146</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Paal Kibsgaard</w:t>
            </w:r>
          </w:p>
        </w:tc>
        <w:tc>
          <w:tcPr>
            <w:tcW w:w="3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941,874,635</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13,357,931</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2,991,750</w:t>
            </w:r>
          </w:p>
        </w:tc>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Nikolay Kudryavtsev</w:t>
            </w:r>
          </w:p>
        </w:tc>
        <w:tc>
          <w:tcPr>
            <w:tcW w:w="3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950,320,824</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6,765,234</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1,138,258</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3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860,829,023</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96,258,357</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1,136,936</w:t>
            </w:r>
          </w:p>
        </w:tc>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Indra K. Nooyi</w:t>
            </w:r>
          </w:p>
        </w:tc>
        <w:tc>
          <w:tcPr>
            <w:tcW w:w="3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938,984,111</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18,158,259</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1,081,946</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Lubna S. Olayan</w:t>
            </w:r>
          </w:p>
        </w:tc>
        <w:tc>
          <w:tcPr>
            <w:tcW w:w="3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935,467,608</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21,034,617</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1,722,091</w:t>
            </w:r>
          </w:p>
        </w:tc>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Leo Rafael Reif</w:t>
            </w:r>
          </w:p>
        </w:tc>
        <w:tc>
          <w:tcPr>
            <w:tcW w:w="3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945,017,864</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12,084,795</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1,121,657</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3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868,024,507</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89,047,690</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1,152,119</w:t>
            </w:r>
          </w:p>
        </w:tc>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Henri Seydoux</w:t>
            </w:r>
          </w:p>
        </w:tc>
        <w:tc>
          <w:tcPr>
            <w:tcW w:w="3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950,580,513</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6,515,155</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1,128,648</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99,732,234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2—Advisory Resolution to Approve Executive Compensation</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advisory resolution to approve Schlumberger’s executive compensation, as described in the Definitive Proxy Statement, was approved with approximately 64.46% of the votes cast at the Annual Meeting voting in favor of the advisory resolution.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314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500" w:type="dxa"/>
            <w:vAlign w:val="bottom"/>
            <w:gridSpan w:val="3"/>
            <w:shd w:val="clear" w:color="auto" w:fill="CCEEFF"/>
          </w:tcPr>
          <w:p>
            <w:pPr>
              <w:jc w:val="right"/>
              <w:ind w:right="2580"/>
              <w:spacing w:after="0" w:line="203" w:lineRule="exact"/>
              <w:rPr>
                <w:sz w:val="20"/>
                <w:szCs w:val="20"/>
                <w:color w:val="auto"/>
              </w:rPr>
            </w:pPr>
            <w:r>
              <w:rPr>
                <w:rFonts w:ascii="Times New Roman" w:cs="Times New Roman" w:eastAsia="Times New Roman" w:hAnsi="Times New Roman"/>
                <w:sz w:val="18"/>
                <w:szCs w:val="18"/>
                <w:color w:val="auto"/>
              </w:rPr>
              <w:t>615,517,887</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339,241,669</w:t>
            </w:r>
          </w:p>
        </w:tc>
        <w:tc>
          <w:tcPr>
            <w:tcW w:w="1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3,464,760</w:t>
            </w: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9"/>
              <w:spacing w:after="0" w:line="203" w:lineRule="exact"/>
              <w:rPr>
                <w:sz w:val="20"/>
                <w:szCs w:val="20"/>
                <w:color w:val="auto"/>
              </w:rPr>
            </w:pPr>
            <w:r>
              <w:rPr>
                <w:rFonts w:ascii="Times New Roman" w:cs="Times New Roman" w:eastAsia="Times New Roman" w:hAnsi="Times New Roman"/>
                <w:sz w:val="18"/>
                <w:szCs w:val="18"/>
                <w:color w:val="auto"/>
              </w:rPr>
              <w:t>99,732,234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3—Financial Statements and Dividends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proposal to approve Schlumberger’s Consolidated Balance Sheet as at December 31, 2015, its Consolidated Statement of Income for the year ended December 31, 2015, and the declarations of dividends by the Board of Directors in 2015, each as reflected in Schlumberger’s 2015 Annual Report to Stockholders, as described in the Definitive Proxy Statement, was approved with approximately 99.82% of the votes cast at the Annual Meeting voting for the proposal.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4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540" w:type="dxa"/>
            <w:vAlign w:val="bottom"/>
            <w:gridSpan w:val="3"/>
            <w:shd w:val="clear" w:color="auto" w:fill="CCEEFF"/>
          </w:tcPr>
          <w:p>
            <w:pPr>
              <w:jc w:val="right"/>
              <w:ind w:right="2600"/>
              <w:spacing w:after="0" w:line="203" w:lineRule="exact"/>
              <w:rPr>
                <w:sz w:val="20"/>
                <w:szCs w:val="20"/>
                <w:color w:val="auto"/>
              </w:rPr>
            </w:pPr>
            <w:r>
              <w:rPr>
                <w:rFonts w:ascii="Times New Roman" w:cs="Times New Roman" w:eastAsia="Times New Roman" w:hAnsi="Times New Roman"/>
                <w:sz w:val="18"/>
                <w:szCs w:val="18"/>
                <w:color w:val="auto"/>
              </w:rPr>
              <w:t>1,054,140,380</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1,813,272</w:t>
            </w:r>
          </w:p>
        </w:tc>
        <w:tc>
          <w:tcPr>
            <w:tcW w:w="17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2,002,898</w:t>
            </w: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9"/>
              <w:spacing w:after="0" w:line="203" w:lineRule="exact"/>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4—Independent Registered Public Accounting Firm</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proposal to approve the appointment of PricewaterhouseCoopers LLP as the independent registered public accounting firm to audit the accounts of Schlumberger for 2016, as described in the Definitive Proxy Statement, was approved with approximately 98.99% of the votes cast at the Annual Meeting voting for the proposal.</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93"/>
        </w:trPr>
        <w:tc>
          <w:tcPr>
            <w:tcW w:w="126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960" w:type="dxa"/>
            <w:vAlign w:val="bottom"/>
          </w:tcPr>
          <w:p>
            <w:pPr>
              <w:spacing w:after="0"/>
              <w:rPr>
                <w:sz w:val="16"/>
                <w:szCs w:val="16"/>
                <w:color w:val="auto"/>
              </w:rPr>
            </w:pPr>
          </w:p>
        </w:tc>
        <w:tc>
          <w:tcPr>
            <w:tcW w:w="25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4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4460" w:type="dxa"/>
            <w:vAlign w:val="bottom"/>
            <w:tcBorders>
              <w:top w:val="single" w:sz="8" w:color="CCEEFF"/>
            </w:tcBorders>
            <w:gridSpan w:val="3"/>
            <w:shd w:val="clear" w:color="auto" w:fill="CCEEFF"/>
          </w:tcPr>
          <w:p>
            <w:pPr>
              <w:jc w:val="right"/>
              <w:ind w:right="2560"/>
              <w:spacing w:after="0" w:line="203" w:lineRule="exact"/>
              <w:rPr>
                <w:sz w:val="20"/>
                <w:szCs w:val="20"/>
                <w:color w:val="auto"/>
              </w:rPr>
            </w:pPr>
            <w:r>
              <w:rPr>
                <w:rFonts w:ascii="Times New Roman" w:cs="Times New Roman" w:eastAsia="Times New Roman" w:hAnsi="Times New Roman"/>
                <w:sz w:val="18"/>
                <w:szCs w:val="18"/>
                <w:color w:val="auto"/>
              </w:rPr>
              <w:t>1,046,224,595</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10,665,621</w:t>
            </w:r>
          </w:p>
        </w:tc>
        <w:tc>
          <w:tcPr>
            <w:tcW w:w="17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1,066,334</w:t>
            </w:r>
          </w:p>
        </w:tc>
        <w:tc>
          <w:tcPr>
            <w:tcW w:w="17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19"/>
              <w:spacing w:after="0" w:line="203" w:lineRule="exact"/>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5—Amendment of the Articles of Incorporation</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proposal to approve a resolution to amend Schlumberger’s Articles of Incorporation to (a) allow the Board of Directors to fix the authorized number of directors at an annual general meeting, subject to stockholder approval of that number, and (b) reflect changes to the Curaçao Civil Code regarding parties having the right to attend and address general meetings of stockholders, as described in the Definitive Proxy Statement, was approved with approximately 84.03% of the shares outstanding and entitled to vote at the Annual Meeting voting for the proposal. The amendment to the Articles of Incorporation was executed before the civil notary of Curaçao and became effective on April 6, 2016. A copy of the Articles of Incorporation, as amended on April 6, 2016, is attached hereto as Exhibit 3.1.</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4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540" w:type="dxa"/>
            <w:vAlign w:val="bottom"/>
            <w:gridSpan w:val="3"/>
            <w:shd w:val="clear" w:color="auto" w:fill="CCEEFF"/>
          </w:tcPr>
          <w:p>
            <w:pPr>
              <w:jc w:val="right"/>
              <w:ind w:right="2600"/>
              <w:spacing w:after="0" w:line="203" w:lineRule="exact"/>
              <w:rPr>
                <w:sz w:val="20"/>
                <w:szCs w:val="20"/>
                <w:color w:val="auto"/>
              </w:rPr>
            </w:pPr>
            <w:r>
              <w:rPr>
                <w:rFonts w:ascii="Times New Roman" w:cs="Times New Roman" w:eastAsia="Times New Roman" w:hAnsi="Times New Roman"/>
                <w:sz w:val="18"/>
                <w:szCs w:val="18"/>
                <w:color w:val="auto"/>
              </w:rPr>
              <w:t>1,053,123,321</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2,533,540</w:t>
            </w:r>
          </w:p>
        </w:tc>
        <w:tc>
          <w:tcPr>
            <w:tcW w:w="17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2,299,689</w:t>
            </w: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9"/>
              <w:spacing w:after="0" w:line="203" w:lineRule="exact"/>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6—Size of the Board of Directors</w:t>
      </w:r>
    </w:p>
    <w:p>
      <w:pPr>
        <w:spacing w:after="0" w:line="121"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proposal to approve a resolution to fix the number of directors constituting the Board of Directors at not more than 12, subject to approval of Item 5, as described in the Definitive Proxy Statement, was approved with approximately 99.76% of the votes cast at the Annual Meeting voting for the proposal.</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4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540" w:type="dxa"/>
            <w:vAlign w:val="bottom"/>
            <w:gridSpan w:val="3"/>
            <w:shd w:val="clear" w:color="auto" w:fill="CCEEFF"/>
          </w:tcPr>
          <w:p>
            <w:pPr>
              <w:jc w:val="right"/>
              <w:ind w:right="2600"/>
              <w:spacing w:after="0" w:line="203" w:lineRule="exact"/>
              <w:rPr>
                <w:sz w:val="20"/>
                <w:szCs w:val="20"/>
                <w:color w:val="auto"/>
              </w:rPr>
            </w:pPr>
            <w:r>
              <w:rPr>
                <w:rFonts w:ascii="Times New Roman" w:cs="Times New Roman" w:eastAsia="Times New Roman" w:hAnsi="Times New Roman"/>
                <w:sz w:val="18"/>
                <w:szCs w:val="18"/>
                <w:color w:val="auto"/>
              </w:rPr>
              <w:t>1,053,321,868</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2,466,291</w:t>
            </w:r>
          </w:p>
        </w:tc>
        <w:tc>
          <w:tcPr>
            <w:tcW w:w="17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2,168,391</w:t>
            </w:r>
          </w:p>
        </w:tc>
        <w:tc>
          <w:tcPr>
            <w:tcW w:w="1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9"/>
              <w:spacing w:after="0" w:line="203" w:lineRule="exact"/>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7—Amended and Restated French Sub Plan</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proposal to approve Schlumberger’s French Sub Plan under its Omnibus Plan for purposes of qualification under French law, as described in the Definitive Proxy Statement, was approved with approximately 97.63% of the votes cast at the Annual Meeting voting for the proposal.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360" w:type="dxa"/>
            <w:vAlign w:val="bottom"/>
          </w:tcPr>
          <w:p>
            <w:pPr>
              <w:spacing w:after="0"/>
              <w:rPr>
                <w:sz w:val="16"/>
                <w:szCs w:val="16"/>
                <w:color w:val="auto"/>
              </w:rPr>
            </w:pPr>
          </w:p>
        </w:tc>
        <w:tc>
          <w:tcPr>
            <w:tcW w:w="26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5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140" w:type="dxa"/>
            <w:vAlign w:val="bottom"/>
            <w:tcBorders>
              <w:top w:val="single" w:sz="8" w:color="CCEEFF"/>
            </w:tcBorders>
            <w:gridSpan w:val="3"/>
            <w:shd w:val="clear" w:color="auto" w:fill="CCEEFF"/>
          </w:tcPr>
          <w:p>
            <w:pPr>
              <w:jc w:val="right"/>
              <w:ind w:right="3020"/>
              <w:spacing w:after="0" w:line="203" w:lineRule="exact"/>
              <w:rPr>
                <w:sz w:val="20"/>
                <w:szCs w:val="20"/>
                <w:color w:val="auto"/>
              </w:rPr>
            </w:pPr>
            <w:r>
              <w:rPr>
                <w:rFonts w:ascii="Times New Roman" w:cs="Times New Roman" w:eastAsia="Times New Roman" w:hAnsi="Times New Roman"/>
                <w:sz w:val="18"/>
                <w:szCs w:val="18"/>
                <w:color w:val="auto"/>
              </w:rPr>
              <w:t>932,842,799</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22,577,035</w:t>
            </w:r>
          </w:p>
        </w:tc>
        <w:tc>
          <w:tcPr>
            <w:tcW w:w="1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2,804,482</w:t>
            </w:r>
          </w:p>
        </w:tc>
        <w:tc>
          <w:tcPr>
            <w:tcW w:w="18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59"/>
              <w:spacing w:after="0" w:line="203" w:lineRule="exact"/>
              <w:rPr>
                <w:sz w:val="20"/>
                <w:szCs w:val="20"/>
                <w:color w:val="auto"/>
              </w:rPr>
            </w:pPr>
            <w:r>
              <w:rPr>
                <w:rFonts w:ascii="Times New Roman" w:cs="Times New Roman" w:eastAsia="Times New Roman" w:hAnsi="Times New Roman"/>
                <w:sz w:val="18"/>
                <w:szCs w:val="18"/>
                <w:color w:val="auto"/>
              </w:rPr>
              <w:t>99,732,234</w:t>
            </w:r>
          </w:p>
        </w:tc>
      </w:tr>
    </w:tbl>
    <w:p>
      <w:pPr>
        <w:spacing w:after="0" w:line="34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below are filed pursuant to Item 9.01 of this Form 8-K.</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Articles of Incorporation of Schlumberger Limited (Schlumberger N.V.), as amended on April 6, 2016.</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tab/>
        <w:t>Amended and Restated French Sub Plan for Restricted Units.</w:t>
      </w:r>
    </w:p>
    <w:p>
      <w:pPr>
        <w:sectPr>
          <w:pgSz w:w="11900" w:h="16838" w:orient="portrait"/>
          <w:cols w:equalWidth="0" w:num="1">
            <w:col w:w="11420"/>
          </w:cols>
          <w:pgMar w:left="240" w:top="266" w:right="239"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Saul R. Laureles</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Deputy 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2016</w:t>
      </w:r>
    </w:p>
    <w:p>
      <w:pPr>
        <w:sectPr>
          <w:pgSz w:w="11900" w:h="16838" w:orient="portrait"/>
          <w:cols w:equalWidth="0" w:num="1">
            <w:col w:w="11240"/>
          </w:cols>
          <w:pgMar w:left="240" w:top="266" w:right="4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WITH LIMITED LIABILITY</w:t>
      </w:r>
    </w:p>
    <w:p>
      <w:pPr>
        <w:spacing w:after="0" w:line="2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(as amended April 6, 2016)</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DOMICILE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name of the Company is: SCHLUMBERGER N.V.</w:t>
      </w:r>
    </w:p>
    <w:p>
      <w:pPr>
        <w:spacing w:after="0" w:line="3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Abroad and in transactions with foreign entities, persons or organizations, the name SCHLUMBERGER LIMITED may be used.</w:t>
      </w:r>
    </w:p>
    <w:p>
      <w:pPr>
        <w:spacing w:after="0" w:line="3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Company has its corporate seat in Willemstad, Curaçao.</w:t>
      </w:r>
    </w:p>
    <w:p>
      <w:pPr>
        <w:spacing w:after="0" w:line="320"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OBJECTS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objects of the Company are:</w:t>
      </w:r>
    </w:p>
    <w:p>
      <w:pPr>
        <w:spacing w:after="0" w:line="320" w:lineRule="exact"/>
        <w:rPr>
          <w:sz w:val="20"/>
          <w:szCs w:val="20"/>
          <w:color w:val="auto"/>
        </w:rPr>
      </w:pPr>
    </w:p>
    <w:p>
      <w:pPr>
        <w:ind w:left="680" w:hanging="672"/>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 develop, produce and supply technology, services, products and systems and to, throughout the world, engage in any business or activity related thereto;</w:t>
      </w:r>
    </w:p>
    <w:p>
      <w:pPr>
        <w:spacing w:after="0" w:line="256"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270"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w:t>
      </w:r>
    </w:p>
    <w:p>
      <w:pPr>
        <w:sectPr>
          <w:pgSz w:w="11900" w:h="16838" w:orient="portrait"/>
          <w:cols w:equalWidth="0" w:num="1">
            <w:col w:w="11420"/>
          </w:cols>
          <w:pgMar w:left="240" w:top="117" w:right="239" w:bottom="1440" w:gutter="0" w:footer="0" w:header="0"/>
        </w:sectPr>
      </w:pPr>
    </w:p>
    <w:bookmarkStart w:id="6" w:name="page7"/>
    <w:bookmarkEnd w:id="6"/>
    <w:p>
      <w:pPr>
        <w:ind w:lef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purchase or subscribe for securities or evidencing or representing any other rights or interest therein in any and all forms, as well as derivatives and commodities;</w:t>
      </w:r>
    </w:p>
    <w:p>
      <w:pPr>
        <w:spacing w:after="0" w:line="256"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money and to issue evidences of indebtedness therefor, as well as to lend money;</w:t>
      </w:r>
    </w:p>
    <w:p>
      <w:pPr>
        <w:spacing w:after="0" w:line="31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undertake, conduct, assist, promote or engage in any scientific, technical or business research and development;</w:t>
      </w:r>
    </w:p>
    <w:p>
      <w:pPr>
        <w:spacing w:after="0" w:line="319" w:lineRule="exact"/>
        <w:rPr>
          <w:rFonts w:ascii="Times New Roman" w:cs="Times New Roman" w:eastAsia="Times New Roman" w:hAnsi="Times New Roman"/>
          <w:sz w:val="18"/>
          <w:szCs w:val="18"/>
          <w:color w:val="auto"/>
        </w:rPr>
      </w:pPr>
    </w:p>
    <w:p>
      <w:pPr>
        <w:jc w:val="both"/>
        <w:ind w:left="680" w:hanging="672"/>
        <w:spacing w:after="0" w:line="261"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74"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270" w:lineRule="exact"/>
        <w:rPr>
          <w:rFonts w:ascii="Times New Roman" w:cs="Times New Roman" w:eastAsia="Times New Roman" w:hAnsi="Times New Roman"/>
          <w:sz w:val="18"/>
          <w:szCs w:val="18"/>
          <w:color w:val="auto"/>
        </w:rPr>
      </w:pPr>
    </w:p>
    <w:p>
      <w:pPr>
        <w:ind w:left="680" w:hanging="672"/>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56"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270"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place in trust all or any of its properties, including securities.</w:t>
      </w:r>
    </w:p>
    <w:p>
      <w:pPr>
        <w:spacing w:after="0" w:line="320" w:lineRule="exact"/>
        <w:rPr>
          <w:sz w:val="20"/>
          <w:szCs w:val="20"/>
          <w:color w:val="auto"/>
        </w:rPr>
      </w:pPr>
    </w:p>
    <w:p>
      <w:pPr>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Company is entitled to do all that in any way may be useful or necessary for the attainment of the above objects or that is connected therewith in the widest sense.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have perpetual existence.</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AND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301" w:lineRule="exact"/>
        <w:rPr>
          <w:sz w:val="20"/>
          <w:szCs w:val="20"/>
          <w:color w:val="auto"/>
        </w:rPr>
      </w:pPr>
    </w:p>
    <w:p>
      <w:pPr>
        <w:jc w:val="both"/>
        <w:ind w:left="680" w:hanging="674"/>
        <w:spacing w:after="0" w:line="254" w:lineRule="auto"/>
        <w:tabs>
          <w:tab w:leader="none" w:pos="6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Times New Roman" w:cs="Times New Roman" w:eastAsia="Times New Roman" w:hAnsi="Times New Roman"/>
          <w:sz w:val="18"/>
          <w:szCs w:val="18"/>
          <w:b w:val="1"/>
          <w:bCs w:val="1"/>
          <w:i w:val="1"/>
          <w:iCs w:val="1"/>
          <w:color w:val="auto"/>
        </w:rPr>
        <w:t>Authorized Common Share Capital</w:t>
      </w:r>
      <w:r>
        <w:rPr>
          <w:rFonts w:ascii="Times New Roman" w:cs="Times New Roman" w:eastAsia="Times New Roman" w:hAnsi="Times New Roman"/>
          <w:sz w:val="18"/>
          <w:szCs w:val="18"/>
          <w:color w:val="auto"/>
        </w:rPr>
        <w:t>”) and (b) two hundred million (200,000,000) shares of preferred stock of the par value of One United States Cent (US$0.01) per share, which may be issued in different series (the “</w:t>
      </w:r>
      <w:r>
        <w:rPr>
          <w:rFonts w:ascii="Times New Roman" w:cs="Times New Roman" w:eastAsia="Times New Roman" w:hAnsi="Times New Roman"/>
          <w:sz w:val="18"/>
          <w:szCs w:val="18"/>
          <w:b w:val="1"/>
          <w:bCs w:val="1"/>
          <w:i w:val="1"/>
          <w:iCs w:val="1"/>
          <w:color w:val="auto"/>
        </w:rPr>
        <w:t>Authorized Preferred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Capital</w:t>
      </w:r>
      <w:r>
        <w:rPr>
          <w:rFonts w:ascii="Times New Roman" w:cs="Times New Roman" w:eastAsia="Times New Roman" w:hAnsi="Times New Roman"/>
          <w:sz w:val="18"/>
          <w:szCs w:val="18"/>
          <w:color w:val="auto"/>
        </w:rPr>
        <w:t>” and, together with the Authorized Common Share Capital, the “</w:t>
      </w:r>
      <w:r>
        <w:rPr>
          <w:rFonts w:ascii="Times New Roman" w:cs="Times New Roman" w:eastAsia="Times New Roman" w:hAnsi="Times New Roman"/>
          <w:sz w:val="18"/>
          <w:szCs w:val="18"/>
          <w:b w:val="1"/>
          <w:bCs w:val="1"/>
          <w:i w:val="1"/>
          <w:iCs w:val="1"/>
          <w:color w:val="auto"/>
        </w:rPr>
        <w:t>Authorized Capital</w:t>
      </w:r>
      <w:r>
        <w:rPr>
          <w:rFonts w:ascii="Times New Roman" w:cs="Times New Roman" w:eastAsia="Times New Roman" w:hAnsi="Times New Roman"/>
          <w:sz w:val="18"/>
          <w:szCs w:val="18"/>
          <w:color w:val="auto"/>
        </w:rPr>
        <w:t>”). Shares of common stock may be referred 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and shares of preferred stock may be referred to as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common shares and the preferred shares, if any, may sometimes be referred to herein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Holders of common shares and preferred shares may sometimes be referred to as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actual issue of shares shall be effected by way of written instrument signed by the Company and the acquirer or as otherwise permitted by applicable law. The Company cannot issue shares to itself.</w:t>
      </w:r>
    </w:p>
    <w:p>
      <w:pPr>
        <w:spacing w:after="0" w:line="256"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271"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With respect to the issuance of shares, options, warrants or rights to purchase or subscribe for shares, the Board of Directors may enter into and conclude agreements without necessity of any action by the general meeting of stockholders:</w:t>
      </w:r>
    </w:p>
    <w:p>
      <w:pPr>
        <w:spacing w:after="0" w:line="256" w:lineRule="exact"/>
        <w:rPr>
          <w:sz w:val="20"/>
          <w:szCs w:val="20"/>
          <w:color w:val="auto"/>
        </w:rPr>
      </w:pPr>
    </w:p>
    <w:p>
      <w:pPr>
        <w:ind w:left="1120" w:hanging="437"/>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special obligations upon the Company in connection with the purchase of or subscription for shares;</w:t>
      </w:r>
    </w:p>
    <w:p>
      <w:pPr>
        <w:spacing w:after="0" w:line="319"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concerning the issue of shares on a basis other than that on which participation in the Company is open to the public; or</w:t>
      </w:r>
    </w:p>
    <w:p>
      <w:pPr>
        <w:spacing w:after="0" w:line="319"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payment for shares by means other than by legal tender of Curacao.</w:t>
      </w:r>
    </w:p>
    <w:p>
      <w:pPr>
        <w:spacing w:after="0" w:line="320" w:lineRule="exact"/>
        <w:rPr>
          <w:sz w:val="20"/>
          <w:szCs w:val="20"/>
          <w:color w:val="auto"/>
        </w:rPr>
      </w:pPr>
    </w:p>
    <w:p>
      <w:pPr>
        <w:jc w:val="both"/>
        <w:ind w:left="680" w:hanging="674"/>
        <w:spacing w:after="0" w:line="258" w:lineRule="auto"/>
        <w:tabs>
          <w:tab w:leader="none" w:pos="6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8"/>
          <w:szCs w:val="18"/>
          <w:color w:val="auto"/>
        </w:rPr>
        <w:t>Prior to the issuance of any series of preferred shares, the Board of Directors shall specify:</w:t>
      </w:r>
    </w:p>
    <w:p>
      <w:pPr>
        <w:spacing w:after="0" w:line="320" w:lineRule="exact"/>
        <w:rPr>
          <w:sz w:val="20"/>
          <w:szCs w:val="20"/>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such series and the number of preferred shares to constitute such series;</w:t>
      </w:r>
    </w:p>
    <w:p>
      <w:pPr>
        <w:spacing w:after="0" w:line="319" w:lineRule="exact"/>
        <w:rPr>
          <w:rFonts w:ascii="Times New Roman" w:cs="Times New Roman" w:eastAsia="Times New Roman" w:hAnsi="Times New Roman"/>
          <w:sz w:val="18"/>
          <w:szCs w:val="18"/>
          <w:color w:val="auto"/>
        </w:rPr>
      </w:pPr>
    </w:p>
    <w:p>
      <w:pPr>
        <w:jc w:val="both"/>
        <w:ind w:left="1120" w:hanging="437"/>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270" w:lineRule="exact"/>
        <w:rPr>
          <w:rFonts w:ascii="Times New Roman" w:cs="Times New Roman" w:eastAsia="Times New Roman" w:hAnsi="Times New Roman"/>
          <w:sz w:val="18"/>
          <w:szCs w:val="18"/>
          <w:color w:val="auto"/>
        </w:rPr>
      </w:pPr>
    </w:p>
    <w:p>
      <w:pPr>
        <w:jc w:val="both"/>
        <w:ind w:left="1700" w:hanging="558"/>
        <w:spacing w:after="0" w:line="261" w:lineRule="auto"/>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274" w:lineRule="exact"/>
        <w:rPr>
          <w:rFonts w:ascii="Times New Roman" w:cs="Times New Roman" w:eastAsia="Times New Roman" w:hAnsi="Times New Roman"/>
          <w:sz w:val="18"/>
          <w:szCs w:val="18"/>
          <w:color w:val="auto"/>
        </w:rPr>
      </w:pPr>
    </w:p>
    <w:p>
      <w:pPr>
        <w:jc w:val="both"/>
        <w:ind w:left="1700" w:hanging="558"/>
        <w:spacing w:after="0" w:line="261" w:lineRule="auto"/>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274"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dividends shall be payable annually or in installments;</w:t>
      </w:r>
    </w:p>
    <w:p>
      <w:pPr>
        <w:spacing w:after="0" w:line="319" w:lineRule="exact"/>
        <w:rPr>
          <w:rFonts w:ascii="Times New Roman" w:cs="Times New Roman" w:eastAsia="Times New Roman" w:hAnsi="Times New Roman"/>
          <w:sz w:val="18"/>
          <w:szCs w:val="18"/>
          <w:color w:val="auto"/>
        </w:rPr>
      </w:pPr>
    </w:p>
    <w:p>
      <w:pPr>
        <w:ind w:left="1120" w:hanging="437"/>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if any, of the holders of shares of such series to convert shares of such series for shares of any other series of preferred shares or for common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shares of any series shall not be convertible into shares of any series senior thereto;</w:t>
      </w:r>
    </w:p>
    <w:p>
      <w:pPr>
        <w:spacing w:after="0" w:line="256" w:lineRule="exact"/>
        <w:rPr>
          <w:rFonts w:ascii="Times New Roman" w:cs="Times New Roman" w:eastAsia="Times New Roman" w:hAnsi="Times New Roman"/>
          <w:sz w:val="18"/>
          <w:szCs w:val="18"/>
          <w:color w:val="auto"/>
        </w:rPr>
      </w:pPr>
    </w:p>
    <w:p>
      <w:pPr>
        <w:jc w:val="both"/>
        <w:ind w:left="1120" w:hanging="437"/>
        <w:spacing w:after="0" w:line="261"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74"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and conditions of such series which are not inconsistent with these Articles of Incorporation or Curacao law.</w:t>
      </w:r>
    </w:p>
    <w:p>
      <w:pPr>
        <w:spacing w:after="0" w:line="3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Certificates for preferred shares may be issued bearing a legend describing the terms and conditions thereof specified by the Board of Directors.</w:t>
      </w:r>
    </w:p>
    <w:p>
      <w:pPr>
        <w:spacing w:after="0" w:line="320"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w:t>
      </w:r>
    </w:p>
    <w:p>
      <w:pPr>
        <w:sectPr>
          <w:pgSz w:w="11900" w:h="16838" w:orient="portrait"/>
          <w:cols w:equalWidth="0" w:num="1">
            <w:col w:w="11420"/>
          </w:cols>
          <w:pgMar w:left="240" w:top="270" w:right="239" w:bottom="1440" w:gutter="0" w:footer="0" w:header="0"/>
        </w:sectPr>
      </w:pPr>
    </w:p>
    <w:bookmarkStart w:id="9" w:name="page10"/>
    <w:bookmarkEnd w:id="9"/>
    <w:p>
      <w:pPr>
        <w:ind w:left="680" w:right="2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liquidation preferences,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255"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82" w:lineRule="exact"/>
        <w:rPr>
          <w:sz w:val="20"/>
          <w:szCs w:val="20"/>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preferred shares on issuance, plus</w:t>
      </w:r>
    </w:p>
    <w:p>
      <w:pPr>
        <w:spacing w:after="0" w:line="130" w:lineRule="exact"/>
        <w:rPr>
          <w:rFonts w:ascii="Times New Roman" w:cs="Times New Roman" w:eastAsia="Times New Roman" w:hAnsi="Times New Roman"/>
          <w:sz w:val="18"/>
          <w:szCs w:val="18"/>
          <w:color w:val="auto"/>
        </w:rPr>
      </w:pPr>
    </w:p>
    <w:p>
      <w:pPr>
        <w:ind w:left="5400" w:right="3380" w:hanging="4717"/>
        <w:spacing w:after="0" w:line="407" w:lineRule="auto"/>
        <w:tabs>
          <w:tab w:leader="none" w:pos="11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accumulated and unpaid dividends on such preferred shares to the date fixed for distribution. Article 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131" w:lineRule="exact"/>
        <w:rPr>
          <w:sz w:val="20"/>
          <w:szCs w:val="20"/>
          <w:color w:val="auto"/>
        </w:rPr>
      </w:pPr>
    </w:p>
    <w:p>
      <w:pPr>
        <w:jc w:val="both"/>
        <w:ind w:left="680" w:hanging="674"/>
        <w:spacing w:after="0" w:line="256" w:lineRule="auto"/>
        <w:tabs>
          <w:tab w:leader="none" w:pos="6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 xml:space="preserve">The Company may, for its own account and for valuable consideration, from time to time acquire fully paid shares of its stock, on such terms and conditions as the Board of Directors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least one (1) common share remains outstanding with others than the Company,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required by applicable law (x) the equity (as referred to in article 2:114.2 in conjunction with articles 2:118.7 and 2:118.5 of the Curacao Civil Code (“</w:t>
      </w:r>
      <w:r>
        <w:rPr>
          <w:rFonts w:ascii="Times New Roman" w:cs="Times New Roman" w:eastAsia="Times New Roman" w:hAnsi="Times New Roman"/>
          <w:sz w:val="18"/>
          <w:szCs w:val="18"/>
          <w:b w:val="1"/>
          <w:bCs w:val="1"/>
          <w:i w:val="1"/>
          <w:iCs w:val="1"/>
          <w:color w:val="auto"/>
        </w:rPr>
        <w:t>CC</w:t>
      </w:r>
      <w:r>
        <w:rPr>
          <w:rFonts w:ascii="Times New Roman" w:cs="Times New Roman" w:eastAsia="Times New Roman" w:hAnsi="Times New Roman"/>
          <w:sz w:val="18"/>
          <w:szCs w:val="18"/>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93"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82"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Shares of its stock owned by the Company may be sold at such times, under such conditions and for such consideration as may be determined from time to time by the Board of Directors.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shares shall be in registered form.</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Share certificates for common shares may be issued at the request of the stockholder.</w:t>
      </w:r>
    </w:p>
    <w:p>
      <w:pPr>
        <w:spacing w:after="0" w:line="131"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shares shall be entered into a register, which, provided a printed record can be produced therefrom, may be in computerized form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which is kept by the Board of Directors or by a registrar</w:t>
      </w:r>
    </w:p>
    <w:p>
      <w:pPr>
        <w:sectPr>
          <w:pgSz w:w="11900" w:h="16838" w:orient="portrait"/>
          <w:cols w:equalWidth="0" w:num="1">
            <w:col w:w="11420"/>
          </w:cols>
          <w:pgMar w:left="240" w:top="268" w:right="239" w:bottom="1440" w:gutter="0" w:footer="0" w:header="0"/>
        </w:sectPr>
      </w:pPr>
    </w:p>
    <w:bookmarkStart w:id="10" w:name="page11"/>
    <w:bookmarkEnd w:id="10"/>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thereto by the Board of Directors (the “</w:t>
      </w:r>
      <w:r>
        <w:rPr>
          <w:rFonts w:ascii="Times New Roman" w:cs="Times New Roman" w:eastAsia="Times New Roman" w:hAnsi="Times New Roman"/>
          <w:sz w:val="18"/>
          <w:szCs w:val="18"/>
          <w:b w:val="1"/>
          <w:bCs w:val="1"/>
          <w:i w:val="1"/>
          <w:iCs w:val="1"/>
          <w:color w:val="auto"/>
        </w:rPr>
        <w:t>Registrar</w:t>
      </w:r>
      <w:r>
        <w:rPr>
          <w:rFonts w:ascii="Times New Roman" w:cs="Times New Roman" w:eastAsia="Times New Roman" w:hAnsi="Times New Roman"/>
          <w:sz w:val="18"/>
          <w:szCs w:val="18"/>
          <w:color w:val="auto"/>
        </w:rPr>
        <w:t>”). Each entry shall mention the name of the stockholder, his or her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or her address to the Company in writing.</w:t>
      </w:r>
    </w:p>
    <w:p>
      <w:pPr>
        <w:spacing w:after="0" w:line="93"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Every transfer and devolution of a share shall be entered in the Register and every such entry shall be signed or otherwise acknowledged by or on behalf of the Board of Directors or by the Registrar.</w:t>
      </w:r>
    </w:p>
    <w:p>
      <w:pPr>
        <w:spacing w:after="0" w:line="63"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transfer of shares shall be effected by way of a written instrument of transfer (“</w:t>
      </w:r>
      <w:r>
        <w:rPr>
          <w:rFonts w:ascii="Times New Roman" w:cs="Times New Roman" w:eastAsia="Times New Roman" w:hAnsi="Times New Roman"/>
          <w:sz w:val="18"/>
          <w:szCs w:val="18"/>
          <w:b w:val="1"/>
          <w:bCs w:val="1"/>
          <w:i w:val="1"/>
          <w:iCs w:val="1"/>
          <w:color w:val="auto"/>
        </w:rPr>
        <w:t>deed of transfer</w:t>
      </w:r>
      <w:r>
        <w:rPr>
          <w:rFonts w:ascii="Times New Roman" w:cs="Times New Roman" w:eastAsia="Times New Roman" w:hAnsi="Times New Roman"/>
          <w:sz w:val="18"/>
          <w:szCs w:val="18"/>
          <w:color w:val="auto"/>
        </w:rPr>
        <w:t>”)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90"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 xml:space="preserve">Shares may be pledged by the holder thereof and a usufruct on shares can be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regardless of the terms of such pledge or usufruct, the Company will not be under the obligation to honor voting rights or rights of distribution of the usufructee or pledgee,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Company for the purposes of recognizing ownership, the right to vote, the right to receive dividends or other distributions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notices or for any other matter relating to a “stockholder” as set out in these Articles of Incorporation, shall only recognize the registered owner of the shares.</w:t>
      </w:r>
    </w:p>
    <w:p>
      <w:pPr>
        <w:spacing w:after="0" w:line="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provisions of the preceding paragraphs shall also apply in the event of a division of joint ownership.</w:t>
      </w:r>
    </w:p>
    <w:p>
      <w:pPr>
        <w:spacing w:after="0" w:line="131"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If any stockholder shall establish to the satisfaction of the Board of Directors or the Registrar that his or her share certificate has been lost or destroyed, then, at his or her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ectPr>
          <w:pgSz w:w="11900" w:h="16838" w:orient="portrait"/>
          <w:cols w:equalWidth="0" w:num="1">
            <w:col w:w="11420"/>
          </w:cols>
          <w:pgMar w:left="240" w:top="26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34"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67"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86" w:lineRule="exact"/>
        <w:rPr>
          <w:sz w:val="20"/>
          <w:szCs w:val="20"/>
          <w:color w:val="auto"/>
        </w:rPr>
      </w:pPr>
    </w:p>
    <w:p>
      <w:pPr>
        <w:jc w:val="both"/>
        <w:ind w:left="680" w:hanging="674"/>
        <w:spacing w:after="0" w:line="254" w:lineRule="auto"/>
        <w:tabs>
          <w:tab w:leader="none" w:pos="6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 xml:space="preserve">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 stockholders entitled to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directors shall be elected by a plurality of the votes cast if, as of a date that is five</w:t>
      </w:r>
    </w:p>
    <w:p>
      <w:pPr>
        <w:spacing w:after="0" w:line="3" w:lineRule="exact"/>
        <w:rPr>
          <w:sz w:val="20"/>
          <w:szCs w:val="20"/>
          <w:color w:val="auto"/>
        </w:rPr>
      </w:pPr>
    </w:p>
    <w:p>
      <w:pPr>
        <w:jc w:val="both"/>
        <w:ind w:left="680" w:firstLine="3"/>
        <w:spacing w:after="0" w:line="251" w:lineRule="auto"/>
        <w:tabs>
          <w:tab w:leader="none" w:pos="9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w:t>
      </w:r>
    </w:p>
    <w:p>
      <w:pPr>
        <w:sectPr>
          <w:pgSz w:w="11900" w:h="16838" w:orient="portrait"/>
          <w:cols w:equalWidth="0" w:num="1">
            <w:col w:w="11420"/>
          </w:cols>
          <w:pgMar w:left="240" w:top="270" w:right="239" w:bottom="1440" w:gutter="0" w:footer="0" w:header="0"/>
        </w:sectPr>
      </w:pPr>
    </w:p>
    <w:bookmarkStart w:id="12" w:name="page13"/>
    <w:bookmarkEnd w:id="12"/>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82"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Each director shall be elected to serve until the next general meeting of stockholders and until his or her successor shall be elected and qualify, or until his or her death, resignation or removal.</w:t>
      </w:r>
    </w:p>
    <w:p>
      <w:pPr>
        <w:spacing w:after="0" w:line="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Directors need not be residents of Curacao or stockholders of the Company.</w:t>
      </w:r>
    </w:p>
    <w:p>
      <w:pPr>
        <w:spacing w:after="0" w:line="131" w:lineRule="exact"/>
        <w:rPr>
          <w:sz w:val="20"/>
          <w:szCs w:val="20"/>
          <w:color w:val="auto"/>
        </w:rPr>
      </w:pPr>
    </w:p>
    <w:p>
      <w:pPr>
        <w:jc w:val="both"/>
        <w:ind w:left="68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 xml:space="preserve">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the number of directors then in office is reduced to less than a majority of the number constituting the whole Board of Directors, the remaining directors or director shall forthwith call a general meeting of stockholders for the purpose of filling the vacancies on the Board of Directors;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is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98"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Meetings of the Board of Directors may be held in or outside Curaçao.</w:t>
      </w:r>
    </w:p>
    <w:p>
      <w:pPr>
        <w:spacing w:after="0" w:line="131"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82"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color w:val="auto"/>
        </w:rPr>
        <w:t xml:space="preserve">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at any meeting of the Board of Directors a director may not act as proxy for more than one director.</w:t>
      </w:r>
    </w:p>
    <w:p>
      <w:pPr>
        <w:spacing w:after="0" w:line="82"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When action by the Board of Directors is required or permitted to be taken, action at a meeting may be dispensed with if all commercially reasonable efforts have been taken to notify all the directors and if three-fourths of the directors shall consent in writing, by telefax, electronic mail or other</w:t>
      </w:r>
    </w:p>
    <w:p>
      <w:pPr>
        <w:sectPr>
          <w:pgSz w:w="11900" w:h="16838" w:orient="portrait"/>
          <w:cols w:equalWidth="0" w:num="1">
            <w:col w:w="11420"/>
          </w:cols>
          <w:pgMar w:left="240" w:top="270" w:right="239" w:bottom="1440" w:gutter="0" w:footer="0" w:header="0"/>
        </w:sectPr>
      </w:pPr>
    </w:p>
    <w:bookmarkStart w:id="13" w:name="page14"/>
    <w:bookmarkEnd w:id="13"/>
    <w:p>
      <w:pPr>
        <w:ind w:left="68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communication device to such action taken or being taken,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all directors are promptly notified of such action being taken or having been taken.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52" w:lineRule="exact"/>
        <w:rPr>
          <w:sz w:val="20"/>
          <w:szCs w:val="20"/>
          <w:color w:val="auto"/>
        </w:rPr>
      </w:pPr>
    </w:p>
    <w:p>
      <w:pPr>
        <w:jc w:val="both"/>
        <w:ind w:left="680" w:hanging="674"/>
        <w:spacing w:after="0" w:line="254" w:lineRule="auto"/>
        <w:tabs>
          <w:tab w:leader="none" w:pos="6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Board of Directors shall at least annually elect or appoint the following officers: a Chairman, a Chief Executive Officer, a Secretary and a Treasurer, each to serve until his or her successor is elected and qualified or until his or her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9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Company shall be represented at law and otherwise, and shall be bound with respect to third parties, by the Board of Directors and by:</w:t>
      </w:r>
    </w:p>
    <w:p>
      <w:pPr>
        <w:spacing w:after="0" w:line="131" w:lineRule="exact"/>
        <w:rPr>
          <w:sz w:val="20"/>
          <w:szCs w:val="20"/>
          <w:color w:val="auto"/>
        </w:rPr>
      </w:pPr>
    </w:p>
    <w:p>
      <w:pPr>
        <w:ind w:left="1120" w:hanging="437"/>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those directors authorized by the Board of Directors to represent the Company, acting alone, who shall have the following titles and occupy the following offices:</w:t>
      </w:r>
    </w:p>
    <w:p>
      <w:pPr>
        <w:spacing w:after="0" w:line="67"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Vice-Chairman;</w:t>
      </w:r>
    </w:p>
    <w:p>
      <w:pPr>
        <w:spacing w:after="0" w:line="130" w:lineRule="exact"/>
        <w:rPr>
          <w:rFonts w:ascii="Times New Roman" w:cs="Times New Roman" w:eastAsia="Times New Roman" w:hAnsi="Times New Roman"/>
          <w:sz w:val="18"/>
          <w:szCs w:val="18"/>
          <w:color w:val="auto"/>
        </w:rPr>
      </w:pPr>
    </w:p>
    <w:p>
      <w:pPr>
        <w:ind w:left="1120" w:right="20" w:hanging="437"/>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67"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Executive Vice Presidents;</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Vice Presidents;</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Treasurer; or</w:t>
      </w:r>
    </w:p>
    <w:p>
      <w:pPr>
        <w:spacing w:after="0" w:line="130" w:lineRule="exact"/>
        <w:rPr>
          <w:rFonts w:ascii="Times New Roman" w:cs="Times New Roman" w:eastAsia="Times New Roman" w:hAnsi="Times New Roman"/>
          <w:sz w:val="18"/>
          <w:szCs w:val="18"/>
          <w:color w:val="auto"/>
        </w:rPr>
      </w:pPr>
    </w:p>
    <w:p>
      <w:pPr>
        <w:ind w:left="1940" w:hanging="798"/>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420"/>
          </w:cols>
          <w:pgMar w:left="240" w:top="268" w:right="239" w:bottom="1440" w:gutter="0" w:footer="0" w:header="0"/>
        </w:sectPr>
      </w:pPr>
    </w:p>
    <w:bookmarkStart w:id="14" w:name="page15"/>
    <w:bookmarkEnd w:id="14"/>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8"/>
          <w:szCs w:val="18"/>
          <w:color w:val="auto"/>
        </w:rPr>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67"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67"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82"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Board of Directors may grant general or specific authority to additional agents or to committees, giving such agents or committees such general or limited powers or duties as it may deem appropriate.</w:t>
      </w:r>
    </w:p>
    <w:p>
      <w:pPr>
        <w:spacing w:after="0" w:line="67"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In the event of a conflict of interest between the Company and one or more directors, the Company shall be represented as determined from time to time by the Board of Directors.</w:t>
      </w:r>
    </w:p>
    <w:p>
      <w:pPr>
        <w:spacing w:after="0" w:line="67"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86"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131" w:lineRule="exact"/>
        <w:rPr>
          <w:sz w:val="20"/>
          <w:szCs w:val="20"/>
          <w:color w:val="auto"/>
        </w:rPr>
      </w:pPr>
    </w:p>
    <w:p>
      <w:pPr>
        <w:jc w:val="both"/>
        <w:ind w:left="68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w:t>
      </w:r>
    </w:p>
    <w:p>
      <w:pPr>
        <w:sectPr>
          <w:pgSz w:w="11900" w:h="16838" w:orient="portrait"/>
          <w:cols w:equalWidth="0" w:num="1">
            <w:col w:w="11420"/>
          </w:cols>
          <w:pgMar w:left="240" w:top="270" w:right="2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fullest extent allowed by the preceding provisions of this paragraph 1 of this Article in the event of a “Change of Control.”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96" w:lineRule="exact"/>
        <w:rPr>
          <w:sz w:val="20"/>
          <w:szCs w:val="20"/>
          <w:color w:val="auto"/>
        </w:rPr>
      </w:pPr>
    </w:p>
    <w:p>
      <w:pPr>
        <w:jc w:val="both"/>
        <w:ind w:hanging="674"/>
        <w:spacing w:after="0" w:line="253" w:lineRule="auto"/>
        <w:rPr>
          <w:sz w:val="20"/>
          <w:szCs w:val="20"/>
          <w:color w:val="auto"/>
        </w:rPr>
      </w:pPr>
      <w:r>
        <w:rPr>
          <w:rFonts w:ascii="Times New Roman" w:cs="Times New Roman" w:eastAsia="Times New Roman" w:hAnsi="Times New Roman"/>
          <w:sz w:val="18"/>
          <w:szCs w:val="18"/>
          <w:color w:val="auto"/>
        </w:rPr>
        <w:t>10.2.</w:t>
      </w:r>
      <w:r>
        <w:rPr>
          <w:sz w:val="20"/>
          <w:szCs w:val="20"/>
          <w:color w:val="auto"/>
        </w:rPr>
        <w:t xml:space="preserve"> </w:t>
      </w:r>
      <w:r>
        <w:rPr>
          <w:rFonts w:ascii="Times New Roman" w:cs="Times New Roman" w:eastAsia="Times New Roman" w:hAnsi="Times New Roman"/>
          <w:sz w:val="18"/>
          <w:szCs w:val="18"/>
          <w:color w:val="auto"/>
        </w:rPr>
        <w:t>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94" w:lineRule="exact"/>
        <w:rPr>
          <w:sz w:val="20"/>
          <w:szCs w:val="20"/>
          <w:color w:val="auto"/>
        </w:rPr>
      </w:pPr>
    </w:p>
    <w:p>
      <w:pPr>
        <w:jc w:val="both"/>
        <w:ind w:hanging="674"/>
        <w:spacing w:after="0" w:line="266" w:lineRule="auto"/>
        <w:rPr>
          <w:sz w:val="20"/>
          <w:szCs w:val="20"/>
          <w:color w:val="auto"/>
        </w:rPr>
      </w:pPr>
      <w:r>
        <w:rPr>
          <w:rFonts w:ascii="Times New Roman" w:cs="Times New Roman" w:eastAsia="Times New Roman" w:hAnsi="Times New Roman"/>
          <w:sz w:val="18"/>
          <w:szCs w:val="18"/>
          <w:color w:val="auto"/>
        </w:rPr>
        <w:t>10.3.</w:t>
      </w:r>
      <w:r>
        <w:rPr>
          <w:sz w:val="20"/>
          <w:szCs w:val="20"/>
          <w:color w:val="auto"/>
        </w:rPr>
        <w:t xml:space="preserve"> </w:t>
      </w:r>
      <w:r>
        <w:rPr>
          <w:rFonts w:ascii="Times New Roman" w:cs="Times New Roman" w:eastAsia="Times New Roman" w:hAnsi="Times New Roman"/>
          <w:sz w:val="18"/>
          <w:szCs w:val="18"/>
          <w:color w:val="auto"/>
        </w:rPr>
        <w:t>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82" w:lineRule="exact"/>
        <w:rPr>
          <w:sz w:val="20"/>
          <w:szCs w:val="20"/>
          <w:color w:val="auto"/>
        </w:rPr>
      </w:pPr>
    </w:p>
    <w:p>
      <w:pPr>
        <w:jc w:val="both"/>
        <w:ind w:hanging="674"/>
        <w:spacing w:after="0" w:line="266" w:lineRule="auto"/>
        <w:rPr>
          <w:sz w:val="20"/>
          <w:szCs w:val="20"/>
          <w:color w:val="auto"/>
        </w:rPr>
      </w:pPr>
      <w:r>
        <w:rPr>
          <w:rFonts w:ascii="Times New Roman" w:cs="Times New Roman" w:eastAsia="Times New Roman" w:hAnsi="Times New Roman"/>
          <w:sz w:val="18"/>
          <w:szCs w:val="18"/>
          <w:color w:val="auto"/>
        </w:rPr>
        <w:t>10.4.</w:t>
      </w:r>
      <w:r>
        <w:rPr>
          <w:sz w:val="20"/>
          <w:szCs w:val="20"/>
          <w:color w:val="auto"/>
        </w:rPr>
        <w:t xml:space="preserve"> </w:t>
      </w:r>
      <w:r>
        <w:rPr>
          <w:rFonts w:ascii="Times New Roman" w:cs="Times New Roman" w:eastAsia="Times New Roman" w:hAnsi="Times New Roman"/>
          <w:sz w:val="18"/>
          <w:szCs w:val="18"/>
          <w:color w:val="auto"/>
        </w:rPr>
        <w:t>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ectPr>
          <w:pgSz w:w="11900" w:h="16838" w:orient="portrait"/>
          <w:cols w:equalWidth="0" w:num="1">
            <w:col w:w="10740"/>
          </w:cols>
          <w:pgMar w:left="920" w:top="266" w:right="239" w:bottom="1440" w:gutter="0" w:footer="0" w:header="0"/>
        </w:sectPr>
      </w:pPr>
    </w:p>
    <w:bookmarkStart w:id="16" w:name="page17"/>
    <w:bookmarkEnd w:id="16"/>
    <w:p>
      <w:pPr>
        <w:jc w:val="both"/>
        <w:ind w:hanging="67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r>
        <w:rPr>
          <w:sz w:val="20"/>
          <w:szCs w:val="20"/>
          <w:color w:val="auto"/>
        </w:rPr>
        <w:t xml:space="preserve"> </w:t>
      </w:r>
      <w:r>
        <w:rPr>
          <w:rFonts w:ascii="Times New Roman" w:cs="Times New Roman" w:eastAsia="Times New Roman" w:hAnsi="Times New Roman"/>
          <w:sz w:val="18"/>
          <w:szCs w:val="18"/>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89" w:lineRule="exact"/>
        <w:rPr>
          <w:sz w:val="20"/>
          <w:szCs w:val="20"/>
          <w:color w:val="auto"/>
        </w:rPr>
      </w:pPr>
    </w:p>
    <w:p>
      <w:pPr>
        <w:jc w:val="both"/>
        <w:ind w:hanging="674"/>
        <w:spacing w:after="0" w:line="258" w:lineRule="auto"/>
        <w:rPr>
          <w:sz w:val="20"/>
          <w:szCs w:val="20"/>
          <w:color w:val="auto"/>
        </w:rPr>
      </w:pPr>
      <w:r>
        <w:rPr>
          <w:rFonts w:ascii="Times New Roman" w:cs="Times New Roman" w:eastAsia="Times New Roman" w:hAnsi="Times New Roman"/>
          <w:sz w:val="18"/>
          <w:szCs w:val="18"/>
          <w:color w:val="auto"/>
        </w:rPr>
        <w:t>10.6.</w:t>
      </w:r>
      <w:r>
        <w:rPr>
          <w:sz w:val="20"/>
          <w:szCs w:val="20"/>
          <w:color w:val="auto"/>
        </w:rPr>
        <w:t xml:space="preserve"> </w:t>
      </w:r>
      <w:r>
        <w:rPr>
          <w:rFonts w:ascii="Times New Roman" w:cs="Times New Roman" w:eastAsia="Times New Roman" w:hAnsi="Times New Roman"/>
          <w:sz w:val="18"/>
          <w:szCs w:val="18"/>
          <w:color w:val="auto"/>
        </w:rPr>
        <w:t>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89" w:lineRule="exact"/>
        <w:rPr>
          <w:sz w:val="20"/>
          <w:szCs w:val="20"/>
          <w:color w:val="auto"/>
        </w:rPr>
      </w:pPr>
    </w:p>
    <w:p>
      <w:pPr>
        <w:jc w:val="both"/>
        <w:ind w:hanging="674"/>
        <w:spacing w:after="0" w:line="258" w:lineRule="auto"/>
        <w:rPr>
          <w:sz w:val="20"/>
          <w:szCs w:val="20"/>
          <w:color w:val="auto"/>
        </w:rPr>
      </w:pPr>
      <w:r>
        <w:rPr>
          <w:rFonts w:ascii="Times New Roman" w:cs="Times New Roman" w:eastAsia="Times New Roman" w:hAnsi="Times New Roman"/>
          <w:sz w:val="18"/>
          <w:szCs w:val="18"/>
          <w:color w:val="auto"/>
        </w:rPr>
        <w:t>10.7.</w:t>
      </w:r>
      <w:r>
        <w:rPr>
          <w:sz w:val="20"/>
          <w:szCs w:val="20"/>
          <w:color w:val="auto"/>
        </w:rPr>
        <w:t xml:space="preserve"> </w:t>
      </w:r>
      <w:r>
        <w:rPr>
          <w:rFonts w:ascii="Times New Roman" w:cs="Times New Roman" w:eastAsia="Times New Roman" w:hAnsi="Times New Roman"/>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this Article.</w:t>
      </w:r>
    </w:p>
    <w:p>
      <w:pPr>
        <w:spacing w:after="0" w:line="89" w:lineRule="exact"/>
        <w:rPr>
          <w:sz w:val="20"/>
          <w:szCs w:val="20"/>
          <w:color w:val="auto"/>
        </w:rPr>
      </w:pPr>
    </w:p>
    <w:p>
      <w:pPr>
        <w:jc w:val="both"/>
        <w:ind w:hanging="674"/>
        <w:spacing w:after="0" w:line="256" w:lineRule="auto"/>
        <w:rPr>
          <w:sz w:val="20"/>
          <w:szCs w:val="20"/>
          <w:color w:val="auto"/>
        </w:rPr>
      </w:pPr>
      <w:r>
        <w:rPr>
          <w:rFonts w:ascii="Times New Roman" w:cs="Times New Roman" w:eastAsia="Times New Roman" w:hAnsi="Times New Roman"/>
          <w:sz w:val="18"/>
          <w:szCs w:val="18"/>
          <w:color w:val="auto"/>
        </w:rPr>
        <w:t>10.8.</w:t>
      </w:r>
      <w:r>
        <w:rPr>
          <w:sz w:val="20"/>
          <w:szCs w:val="20"/>
          <w:color w:val="auto"/>
        </w:rPr>
        <w:t xml:space="preserve"> </w:t>
      </w:r>
      <w:r>
        <w:rPr>
          <w:rFonts w:ascii="Times New Roman" w:cs="Times New Roman" w:eastAsia="Times New Roman" w:hAnsi="Times New Roman"/>
          <w:sz w:val="18"/>
          <w:szCs w:val="18"/>
          <w:color w:val="auto"/>
        </w:rPr>
        <w:t>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89" w:lineRule="exact"/>
        <w:rPr>
          <w:sz w:val="20"/>
          <w:szCs w:val="20"/>
          <w:color w:val="auto"/>
        </w:rPr>
      </w:pPr>
    </w:p>
    <w:p>
      <w:pPr>
        <w:jc w:val="both"/>
        <w:ind w:hanging="674"/>
        <w:spacing w:after="0" w:line="257" w:lineRule="auto"/>
        <w:rPr>
          <w:sz w:val="20"/>
          <w:szCs w:val="20"/>
          <w:color w:val="auto"/>
        </w:rPr>
      </w:pPr>
      <w:r>
        <w:rPr>
          <w:rFonts w:ascii="Times New Roman" w:cs="Times New Roman" w:eastAsia="Times New Roman" w:hAnsi="Times New Roman"/>
          <w:sz w:val="18"/>
          <w:szCs w:val="18"/>
          <w:color w:val="auto"/>
        </w:rPr>
        <w:t>10.9.</w:t>
      </w:r>
      <w:r>
        <w:rPr>
          <w:sz w:val="20"/>
          <w:szCs w:val="20"/>
          <w:color w:val="auto"/>
        </w:rPr>
        <w:t xml:space="preserve"> </w:t>
      </w:r>
      <w:r>
        <w:rPr>
          <w:rFonts w:ascii="Times New Roman" w:cs="Times New Roman" w:eastAsia="Times New Roman" w:hAnsi="Times New Roman"/>
          <w:sz w:val="18"/>
          <w:szCs w:val="18"/>
          <w:color w:val="auto"/>
        </w:rPr>
        <w:t>For purposes of this Article, references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and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ectPr>
          <w:pgSz w:w="11900" w:h="16838" w:orient="portrait"/>
          <w:cols w:equalWidth="0" w:num="1">
            <w:col w:w="10740"/>
          </w:cols>
          <w:pgMar w:left="920" w:top="27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OF STOCKHOLDERS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3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All general meetings of stockholders shall be held in Curaçao.</w:t>
      </w:r>
    </w:p>
    <w:p>
      <w:pPr>
        <w:spacing w:after="0" w:line="131"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86" w:lineRule="exact"/>
        <w:rPr>
          <w:sz w:val="20"/>
          <w:szCs w:val="20"/>
          <w:color w:val="auto"/>
        </w:rPr>
      </w:pPr>
    </w:p>
    <w:p>
      <w:pPr>
        <w:jc w:val="both"/>
        <w:ind w:left="680" w:hanging="674"/>
        <w:spacing w:after="0" w:line="258" w:lineRule="auto"/>
        <w:tabs>
          <w:tab w:leader="none" w:pos="6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2:130 CC, or by one or more holders of shares representing in the aggregate a majority of the shares then outstanding, or as provided for in Article 8.6.</w:t>
      </w:r>
    </w:p>
    <w:p>
      <w:pPr>
        <w:spacing w:after="0" w:line="89"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Notice of meetings of stockholders, whether annual general meetings or special general meetings, stating the time and place of the meeting, shall be given to the stockholders, directors and any other person having meeting rights as referred to in Article 2:129.2 CC, not fewer than twenty (20) or more than sixty (60) days prior to the date of the meeting in question. Notice shall be sent to each stockholder at the address thereof appearing in the Register.</w:t>
      </w:r>
    </w:p>
    <w:p>
      <w:pPr>
        <w:spacing w:after="0" w:line="8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All notices of general meetings of stockholders shall state the matters to be considered at the meeting.</w:t>
      </w:r>
    </w:p>
    <w:p>
      <w:pPr>
        <w:spacing w:after="0" w:line="131"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Without limiting the manner by which notice otherwise may be given effectively to stockholders, directors and any other person having meeting rights as referred to in Article 2:129.2 CC, any notice given by the Company shall be effective if given by a form of electronic transmission consented to by the person to whom the notice is given. Any such consent shall be revocable by written notice received by the Company.</w:t>
      </w:r>
    </w:p>
    <w:p>
      <w:pPr>
        <w:spacing w:after="0" w:line="82" w:lineRule="exact"/>
        <w:rPr>
          <w:sz w:val="20"/>
          <w:szCs w:val="20"/>
          <w:color w:val="auto"/>
        </w:rPr>
      </w:pPr>
    </w:p>
    <w:p>
      <w:pPr>
        <w:jc w:val="both"/>
        <w:ind w:left="680" w:hanging="674"/>
        <w:spacing w:after="0" w:line="256" w:lineRule="auto"/>
        <w:tabs>
          <w:tab w:leader="none" w:pos="6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89"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For purposes of these Articles of Incorporation,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w:t>
      </w:r>
    </w:p>
    <w:p>
      <w:pPr>
        <w:spacing w:after="0" w:line="252"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Every stockholder, director and any other person having meeting rights as referred to in Article 2:129.2 CC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8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Each holder of common shares and each holder of preferred shares shall be entitled to one vote for each common share or preferred share held.</w:t>
      </w:r>
    </w:p>
    <w:p>
      <w:pPr>
        <w:spacing w:after="0" w:line="131" w:lineRule="exact"/>
        <w:rPr>
          <w:sz w:val="20"/>
          <w:szCs w:val="20"/>
          <w:color w:val="auto"/>
        </w:rPr>
      </w:pPr>
    </w:p>
    <w:p>
      <w:pPr>
        <w:jc w:val="both"/>
        <w:ind w:left="680" w:hanging="674"/>
        <w:spacing w:after="0" w:line="252" w:lineRule="auto"/>
        <w:tabs>
          <w:tab w:leader="none" w:pos="66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52"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67" w:lineRule="exact"/>
        <w:rPr>
          <w:sz w:val="20"/>
          <w:szCs w:val="20"/>
          <w:color w:val="auto"/>
        </w:rPr>
      </w:pPr>
    </w:p>
    <w:p>
      <w:pPr>
        <w:jc w:val="both"/>
        <w:ind w:left="680" w:hanging="674"/>
        <w:spacing w:after="0" w:line="258" w:lineRule="auto"/>
        <w:tabs>
          <w:tab w:leader="none" w:pos="6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ectPr>
          <w:pgSz w:w="11900" w:h="16838" w:orient="portrait"/>
          <w:cols w:equalWidth="0" w:num="1">
            <w:col w:w="11420"/>
          </w:cols>
          <w:pgMar w:left="240" w:top="270" w:right="239" w:bottom="1440" w:gutter="0" w:footer="0" w:header="0"/>
        </w:sectPr>
      </w:pPr>
    </w:p>
    <w:bookmarkStart w:id="19" w:name="page20"/>
    <w:bookmarkEnd w:id="19"/>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8"/>
          <w:szCs w:val="18"/>
          <w:color w:val="auto"/>
        </w:rPr>
        <w:t>Subject to the provisions of Articles 18, 19 and 21, the vote in favor by a majority of the votes cast (excluding any abstentions) shall be necessary to adopt any resolution at any general meeting of stockholders.</w:t>
      </w:r>
    </w:p>
    <w:p>
      <w:pPr>
        <w:spacing w:after="0" w:line="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Board of Directors from time to time shall appoint a person to preside at general meetings of stockholders.</w:t>
      </w:r>
    </w:p>
    <w:p>
      <w:pPr>
        <w:spacing w:after="0" w:line="131"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82" w:lineRule="exact"/>
        <w:rPr>
          <w:sz w:val="20"/>
          <w:szCs w:val="20"/>
          <w:color w:val="auto"/>
        </w:rPr>
      </w:pPr>
    </w:p>
    <w:p>
      <w:pPr>
        <w:jc w:val="both"/>
        <w:ind w:left="680" w:hanging="674"/>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SEPARATE MEETINGS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30" w:lineRule="exact"/>
        <w:rPr>
          <w:sz w:val="20"/>
          <w:szCs w:val="20"/>
          <w:color w:val="auto"/>
        </w:rPr>
      </w:pPr>
    </w:p>
    <w:p>
      <w:pPr>
        <w:jc w:val="both"/>
        <w:ind w:left="680" w:right="2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Separate meetings of holders of each series of preferred shares (each a “</w:t>
      </w:r>
      <w:r>
        <w:rPr>
          <w:rFonts w:ascii="Times New Roman" w:cs="Times New Roman" w:eastAsia="Times New Roman" w:hAnsi="Times New Roman"/>
          <w:sz w:val="18"/>
          <w:szCs w:val="18"/>
          <w:b w:val="1"/>
          <w:bCs w:val="1"/>
          <w:i w:val="1"/>
          <w:iCs w:val="1"/>
          <w:color w:val="auto"/>
        </w:rPr>
        <w:t>Series Meeting</w:t>
      </w:r>
      <w:r>
        <w:rPr>
          <w:rFonts w:ascii="Times New Roman" w:cs="Times New Roman" w:eastAsia="Times New Roman" w:hAnsi="Times New Roman"/>
          <w:sz w:val="18"/>
          <w:szCs w:val="18"/>
          <w:color w:val="auto"/>
        </w:rPr>
        <w:t>”) can be held and may be convened by any two or more members of the Board of Directors.</w:t>
      </w:r>
    </w:p>
    <w:p>
      <w:pPr>
        <w:spacing w:after="0" w:line="64"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Notice of a Series Meeting shall be given not less than ten (10) days prior to the date of the Series Meeting to the address of each holder of preferred shares of the relevant series appearing in the Register.</w:t>
      </w:r>
    </w:p>
    <w:p>
      <w:pPr>
        <w:spacing w:after="0" w:line="67"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The notice shall contain the agenda of the Series Meeting or shall mention that it is deposited for inspection by the holder of the relevant shares at the offices of the Company.</w:t>
      </w:r>
    </w:p>
    <w:p>
      <w:pPr>
        <w:spacing w:after="0" w:line="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Series Meetings do not have to be held in Curacao but may be held in conjunction with any general meeting of stockholders.</w:t>
      </w:r>
    </w:p>
    <w:p>
      <w:pPr>
        <w:spacing w:after="0" w:line="131" w:lineRule="exact"/>
        <w:rPr>
          <w:sz w:val="20"/>
          <w:szCs w:val="20"/>
          <w:color w:val="auto"/>
        </w:rPr>
      </w:pPr>
    </w:p>
    <w:p>
      <w:pPr>
        <w:jc w:val="both"/>
        <w:ind w:left="680" w:right="2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To a Series Meeting all the provisions of these Articles of Incorporation and Curacao law as to General Meetings of Stockholders shall, mutatis mutandis, apply, if not otherwise provided in this Article.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FISCAL YEAR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 the calendar year.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BALANCE SHEET AND PROFIT AND LOSS ACCOUNT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16</w:t>
      </w:r>
    </w:p>
    <w:p>
      <w:pPr>
        <w:spacing w:after="0" w:line="234" w:lineRule="exact"/>
        <w:rPr>
          <w:sz w:val="20"/>
          <w:szCs w:val="20"/>
          <w:color w:val="auto"/>
        </w:rPr>
      </w:pPr>
    </w:p>
    <w:p>
      <w:pPr>
        <w:jc w:val="both"/>
        <w:ind w:left="680" w:right="2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w:t>
      </w:r>
    </w:p>
    <w:p>
      <w:pPr>
        <w:sectPr>
          <w:pgSz w:w="11900" w:h="16838" w:orient="portrait"/>
          <w:cols w:equalWidth="0" w:num="1">
            <w:col w:w="11420"/>
          </w:cols>
          <w:pgMar w:left="240" w:top="270" w:right="239" w:bottom="1440" w:gutter="0" w:footer="0" w:header="0"/>
        </w:sectPr>
      </w:pPr>
    </w:p>
    <w:bookmarkStart w:id="20" w:name="page21"/>
    <w:bookmarkEnd w:id="20"/>
    <w:p>
      <w:pPr>
        <w:ind w:lef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67"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The Board of Directors, with due observance of dividend entitlements of the holders of preferred shares, is authorized to allocate such part of the profits to the retained earning reserves as it deems fit.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DISTRIBUTION OF PROFITS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34"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86"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67"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If dividends are to be distributed, the holders of preferred shares shall have preference as to such dividends in accordance with the preferences of such shares as determined at the issuance thereof.</w:t>
      </w:r>
    </w:p>
    <w:p>
      <w:pPr>
        <w:spacing w:after="0" w:line="67"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The Board of Directors may resolve at any time to distribute one or more interim dividends as an advance payment of the dividend expected to be determined by the stockholders at the annual general meeting.</w:t>
      </w:r>
    </w:p>
    <w:p>
      <w:pPr>
        <w:spacing w:after="0" w:line="67" w:lineRule="exact"/>
        <w:rPr>
          <w:sz w:val="20"/>
          <w:szCs w:val="20"/>
          <w:color w:val="auto"/>
        </w:rPr>
      </w:pPr>
    </w:p>
    <w:p>
      <w:pPr>
        <w:jc w:val="both"/>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DISPOSITION OF THE COMPANY’S ASSETS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18</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BUY OUT</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Article 20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21</w:t>
      </w:r>
    </w:p>
    <w:p>
      <w:pPr>
        <w:spacing w:after="0" w:line="234" w:lineRule="exact"/>
        <w:rPr>
          <w:sz w:val="20"/>
          <w:szCs w:val="20"/>
          <w:color w:val="auto"/>
        </w:rPr>
      </w:pPr>
    </w:p>
    <w:p>
      <w:pPr>
        <w:jc w:val="both"/>
        <w:ind w:left="680" w:hanging="674"/>
        <w:spacing w:after="0" w:line="258" w:lineRule="auto"/>
        <w:tabs>
          <w:tab w:leader="none" w:pos="6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89" w:lineRule="exact"/>
        <w:rPr>
          <w:sz w:val="20"/>
          <w:szCs w:val="20"/>
          <w:color w:val="auto"/>
        </w:rPr>
      </w:pPr>
    </w:p>
    <w:p>
      <w:pPr>
        <w:jc w:val="both"/>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OFFICIAL LANGUAGE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official language of these Articles of Incorporation shall be the English language.</w:t>
      </w:r>
    </w:p>
    <w:p>
      <w:pPr>
        <w:sectPr>
          <w:pgSz w:w="11900" w:h="16838" w:orient="portrait"/>
          <w:cols w:equalWidth="0" w:num="1">
            <w:col w:w="11420"/>
          </w:cols>
          <w:pgMar w:left="240" w:top="270"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Rules of the Schlumberger 2010 Omnibus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French Sub-Plan for Restricted Units</w:t>
      </w:r>
    </w:p>
    <w:p>
      <w:pPr>
        <w:spacing w:after="0" w:line="200" w:lineRule="exact"/>
        <w:rPr>
          <w:sz w:val="20"/>
          <w:szCs w:val="20"/>
          <w:color w:val="auto"/>
        </w:rPr>
      </w:pPr>
    </w:p>
    <w:p>
      <w:pPr>
        <w:spacing w:after="0" w:line="245" w:lineRule="exact"/>
        <w:rPr>
          <w:sz w:val="20"/>
          <w:szCs w:val="20"/>
          <w:color w:val="auto"/>
        </w:rPr>
      </w:pPr>
    </w:p>
    <w:p>
      <w:pPr>
        <w:jc w:val="both"/>
        <w:ind w:firstLine="799"/>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Schlumberger Limited (the “Company”) has established the Schlumberger Omnibus Stock Incentive Plan (the “Plan”)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10% of the share capital (the “French Subsidiary”).</w:t>
      </w:r>
    </w:p>
    <w:p>
      <w:pPr>
        <w:spacing w:after="0" w:line="1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Section 21 of the Plan specifically authorizes the Committee to establish sub-plans as the Committee deems appropriate or advisable to implement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99" w:lineRule="exact"/>
        <w:rPr>
          <w:sz w:val="20"/>
          <w:szCs w:val="20"/>
          <w:color w:val="auto"/>
        </w:rPr>
      </w:pPr>
    </w:p>
    <w:p>
      <w:pPr>
        <w:jc w:val="both"/>
        <w:ind w:left="120" w:firstLine="678"/>
        <w:spacing w:after="0" w:line="258" w:lineRule="auto"/>
        <w:rPr>
          <w:sz w:val="20"/>
          <w:szCs w:val="20"/>
          <w:color w:val="auto"/>
        </w:rPr>
      </w:pPr>
      <w:r>
        <w:rPr>
          <w:rFonts w:ascii="Times New Roman" w:cs="Times New Roman" w:eastAsia="Times New Roman" w:hAnsi="Times New Roman"/>
          <w:sz w:val="18"/>
          <w:szCs w:val="18"/>
          <w:color w:val="auto"/>
        </w:rPr>
        <w:t>The Committee, therefore, intends with this document to establish a sub-plan of the Plan for the purpose of granting awards that qualify for the specific treatment applicable to French Qualified Restricted Share Units awards to employees who are resident of France and who are or may become subject to French tax (i.e. income tax and/or social security tax) as a result of awards granted under the Plan (the “French Grantees”). The terms of the Plan, as set out in this Appendix, shall, subject to the modifications in the following rules, constitute the Rules of the Schlumberger Omnibus Stock Incentive Plan for Employees in France (the “French Plan”).</w:t>
      </w:r>
    </w:p>
    <w:p>
      <w:pPr>
        <w:spacing w:after="0" w:line="184" w:lineRule="exact"/>
        <w:rPr>
          <w:sz w:val="20"/>
          <w:szCs w:val="20"/>
          <w:color w:val="auto"/>
        </w:rPr>
      </w:pPr>
    </w:p>
    <w:p>
      <w:pPr>
        <w:jc w:val="both"/>
        <w:ind w:firstLine="799"/>
        <w:spacing w:after="0" w:line="266" w:lineRule="auto"/>
        <w:rPr>
          <w:sz w:val="20"/>
          <w:szCs w:val="20"/>
          <w:color w:val="auto"/>
        </w:rPr>
      </w:pPr>
      <w:r>
        <w:rPr>
          <w:rFonts w:ascii="Times New Roman" w:cs="Times New Roman" w:eastAsia="Times New Roman" w:hAnsi="Times New Roman"/>
          <w:sz w:val="18"/>
          <w:szCs w:val="18"/>
          <w:color w:val="auto"/>
        </w:rPr>
        <w:t>The adoption of this French Plan shall not confer upon the French Grantees, or any employees of the French Subsidiary, any employment rights and shall not be construed as part of the French Grantees’ employment contracts, if any. Subject to the terms of the Plan, the Committee reserves the right to amend or terminate the French Plan at any time. Such amendments would only apply to future grants and would not be retroactive.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amendment and restatement of the French Plan is effective as of January 1, 2016 and is adopted as April 6, 2016.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1 :French Qualified Restricted Stock Units</w:t>
      </w:r>
    </w:p>
    <w:p>
      <w:pPr>
        <w:spacing w:after="0" w:line="229" w:lineRule="exact"/>
        <w:rPr>
          <w:sz w:val="20"/>
          <w:szCs w:val="20"/>
          <w:color w:val="auto"/>
        </w:rPr>
      </w:pPr>
    </w:p>
    <w:p>
      <w:pPr>
        <w:jc w:val="both"/>
        <w:ind w:firstLine="799"/>
        <w:spacing w:after="0" w:line="256" w:lineRule="auto"/>
        <w:rPr>
          <w:sz w:val="20"/>
          <w:szCs w:val="20"/>
          <w:color w:val="auto"/>
        </w:rPr>
      </w:pPr>
      <w:r>
        <w:rPr>
          <w:rFonts w:ascii="Times New Roman" w:cs="Times New Roman" w:eastAsia="Times New Roman" w:hAnsi="Times New Roman"/>
          <w:sz w:val="18"/>
          <w:szCs w:val="18"/>
          <w:color w:val="auto"/>
        </w:rPr>
        <w:t>It is intended that Restricted Share Units granted under the French Plan shall qualify for the specific tax and social security charges treatment applicable to French Qualified Restricted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Share Units granted under this Appendix 1 will be deemed French Qualified Restricted Share Units.</w:t>
      </w:r>
    </w:p>
    <w:p>
      <w:pPr>
        <w:spacing w:after="0" w:line="211" w:lineRule="exact"/>
        <w:rPr>
          <w:sz w:val="20"/>
          <w:szCs w:val="20"/>
          <w:color w:val="auto"/>
        </w:rPr>
      </w:pPr>
    </w:p>
    <w:p>
      <w:pPr>
        <w:ind w:left="800" w:hanging="792"/>
        <w:spacing w:after="0"/>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French Qualified Restricted Share Units may not be granted under this Addendum to an individual:</w:t>
      </w:r>
    </w:p>
    <w:p>
      <w:pPr>
        <w:spacing w:after="0" w:line="225" w:lineRule="exact"/>
        <w:rPr>
          <w:rFonts w:ascii="Times New Roman" w:cs="Times New Roman" w:eastAsia="Times New Roman" w:hAnsi="Times New Roman"/>
          <w:sz w:val="18"/>
          <w:szCs w:val="18"/>
          <w:b w:val="1"/>
          <w:bCs w:val="1"/>
          <w:color w:val="auto"/>
        </w:rPr>
      </w:pPr>
    </w:p>
    <w:p>
      <w:pPr>
        <w:ind w:firstLine="807"/>
        <w:spacing w:after="0" w:line="282" w:lineRule="auto"/>
        <w:tabs>
          <w:tab w:leader="none" w:pos="105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he is employed Schlumberger Limited or by a company which is a subsidiary of Schlumberger Limited , as defined in Article 225-197-2 of the French “Code de Commerce” in France; or</w:t>
      </w:r>
    </w:p>
    <w:p>
      <w:pPr>
        <w:sectPr>
          <w:pgSz w:w="11900" w:h="16838" w:orient="portrait"/>
          <w:cols w:equalWidth="0" w:num="1">
            <w:col w:w="11420"/>
          </w:cols>
          <w:pgMar w:left="240" w:top="117" w:right="239" w:bottom="1440" w:gutter="0" w:footer="0" w:header="0"/>
        </w:sectPr>
      </w:pPr>
    </w:p>
    <w:bookmarkStart w:id="23" w:name="page24"/>
    <w:bookmarkEnd w:id="23"/>
    <w:p>
      <w:pPr>
        <w:ind w:right="20" w:firstLine="799"/>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Times New Roman" w:cs="Times New Roman" w:eastAsia="Times New Roman" w:hAnsi="Times New Roman"/>
          <w:sz w:val="18"/>
          <w:szCs w:val="18"/>
          <w:color w:val="auto"/>
        </w:rPr>
        <w:t>) unless he is a director with a management function as defined in Article 225-197-1 of the French “Code de Commerce” in France of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a subsidiary of Schlumberger Limited as defined in Article 225-197-2 of the French “Code de Commerce” in France; or</w:t>
      </w:r>
    </w:p>
    <w:p>
      <w:pPr>
        <w:spacing w:after="0" w:line="159" w:lineRule="exact"/>
        <w:rPr>
          <w:sz w:val="20"/>
          <w:szCs w:val="20"/>
          <w:color w:val="auto"/>
        </w:rPr>
      </w:pPr>
    </w:p>
    <w:p>
      <w:pPr>
        <w:ind w:left="1060" w:hanging="253"/>
        <w:spacing w:after="0"/>
        <w:tabs>
          <w:tab w:leader="none" w:pos="10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who owns more than 10% of the share capital of Schlumberger Limited</w:t>
      </w:r>
    </w:p>
    <w:p>
      <w:pPr>
        <w:spacing w:after="0" w:line="369" w:lineRule="exact"/>
        <w:rPr>
          <w:rFonts w:ascii="Times New Roman" w:cs="Times New Roman" w:eastAsia="Times New Roman" w:hAnsi="Times New Roman"/>
          <w:sz w:val="18"/>
          <w:szCs w:val="18"/>
          <w:b w:val="1"/>
          <w:bCs w:val="1"/>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Settlement and Delivery of French Qualified Restricted Share Units</w:t>
      </w:r>
    </w:p>
    <w:p>
      <w:pPr>
        <w:spacing w:after="0" w:line="229" w:lineRule="exact"/>
        <w:rPr>
          <w:rFonts w:ascii="Times New Roman" w:cs="Times New Roman" w:eastAsia="Times New Roman" w:hAnsi="Times New Roman"/>
          <w:sz w:val="18"/>
          <w:szCs w:val="18"/>
          <w:b w:val="1"/>
          <w:bCs w:val="1"/>
          <w:color w:val="auto"/>
        </w:rPr>
      </w:pPr>
    </w:p>
    <w:p>
      <w:pPr>
        <w:ind w:left="1060" w:hanging="253"/>
        <w:spacing w:after="0"/>
        <w:tabs>
          <w:tab w:leader="none" w:pos="106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French Qualified Restricted Share Units shall vest as provided for in the Share Unit Agreement.</w:t>
      </w:r>
    </w:p>
    <w:p>
      <w:pPr>
        <w:spacing w:after="0" w:line="225" w:lineRule="exact"/>
        <w:rPr>
          <w:rFonts w:ascii="Times New Roman" w:cs="Times New Roman" w:eastAsia="Times New Roman" w:hAnsi="Times New Roman"/>
          <w:sz w:val="18"/>
          <w:szCs w:val="18"/>
          <w:b w:val="1"/>
          <w:bCs w:val="1"/>
          <w:color w:val="auto"/>
        </w:rPr>
      </w:pPr>
    </w:p>
    <w:p>
      <w:pPr>
        <w:ind w:left="1080" w:hanging="273"/>
        <w:spacing w:after="0"/>
        <w:tabs>
          <w:tab w:leader="none" w:pos="108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Payment of vested Restricted Share Units shall only be made in shares of Common Stock.</w:t>
      </w:r>
    </w:p>
    <w:p>
      <w:pPr>
        <w:spacing w:after="0" w:line="225" w:lineRule="exact"/>
        <w:rPr>
          <w:rFonts w:ascii="Times New Roman" w:cs="Times New Roman" w:eastAsia="Times New Roman" w:hAnsi="Times New Roman"/>
          <w:sz w:val="18"/>
          <w:szCs w:val="18"/>
          <w:b w:val="1"/>
          <w:bCs w:val="1"/>
          <w:color w:val="auto"/>
        </w:rPr>
      </w:pPr>
    </w:p>
    <w:p>
      <w:pPr>
        <w:jc w:val="both"/>
        <w:ind w:firstLine="807"/>
        <w:spacing w:after="0" w:line="266" w:lineRule="auto"/>
        <w:tabs>
          <w:tab w:leader="none" w:pos="107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Notwithstanding the vesting date of the Restricted Share Units, under no circumstances, except in case of employee’s death as provided for in section 2 (d) below, shall the delivery of the shares related to a French Qualified Restricted Share Unit occur prior to the third anniversary of the Grant Date.</w:t>
      </w:r>
    </w:p>
    <w:p>
      <w:pPr>
        <w:spacing w:after="0" w:line="176" w:lineRule="exact"/>
        <w:rPr>
          <w:rFonts w:ascii="Times New Roman" w:cs="Times New Roman" w:eastAsia="Times New Roman" w:hAnsi="Times New Roman"/>
          <w:sz w:val="18"/>
          <w:szCs w:val="18"/>
          <w:b w:val="1"/>
          <w:bCs w:val="1"/>
          <w:color w:val="auto"/>
        </w:rPr>
      </w:pPr>
    </w:p>
    <w:p>
      <w:pPr>
        <w:jc w:val="both"/>
        <w:ind w:firstLine="807"/>
        <w:spacing w:after="0" w:line="261" w:lineRule="auto"/>
        <w:tabs>
          <w:tab w:leader="none" w:pos="10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Acceleration on Death</w:t>
      </w:r>
      <w:r>
        <w:rPr>
          <w:rFonts w:ascii="Times New Roman" w:cs="Times New Roman" w:eastAsia="Times New Roman" w:hAnsi="Times New Roman"/>
          <w:sz w:val="18"/>
          <w:szCs w:val="18"/>
          <w:color w:val="auto"/>
        </w:rPr>
        <w:t>. Upon Termination of Employment from the Company by reason of employee’s death, all French Qualified Restricted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200" w:lineRule="exact"/>
        <w:rPr>
          <w:rFonts w:ascii="Times New Roman" w:cs="Times New Roman" w:eastAsia="Times New Roman" w:hAnsi="Times New Roman"/>
          <w:sz w:val="18"/>
          <w:szCs w:val="18"/>
          <w:b w:val="1"/>
          <w:bCs w:val="1"/>
          <w:color w:val="auto"/>
        </w:rPr>
      </w:pPr>
    </w:p>
    <w:p>
      <w:pPr>
        <w:spacing w:after="0" w:line="259" w:lineRule="exact"/>
        <w:rPr>
          <w:rFonts w:ascii="Times New Roman" w:cs="Times New Roman" w:eastAsia="Times New Roman" w:hAnsi="Times New Roman"/>
          <w:sz w:val="18"/>
          <w:szCs w:val="18"/>
          <w:b w:val="1"/>
          <w:bCs w:val="1"/>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Sales Restrictions</w:t>
      </w:r>
    </w:p>
    <w:p>
      <w:pPr>
        <w:spacing w:after="0" w:line="229" w:lineRule="exact"/>
        <w:rPr>
          <w:sz w:val="20"/>
          <w:szCs w:val="20"/>
          <w:color w:val="auto"/>
        </w:rPr>
      </w:pPr>
    </w:p>
    <w:p>
      <w:pPr>
        <w:ind w:firstLine="799"/>
        <w:spacing w:after="0" w:line="282" w:lineRule="auto"/>
        <w:rPr>
          <w:sz w:val="20"/>
          <w:szCs w:val="20"/>
          <w:color w:val="auto"/>
        </w:rPr>
      </w:pPr>
      <w:r>
        <w:rPr>
          <w:rFonts w:ascii="Times New Roman" w:cs="Times New Roman" w:eastAsia="Times New Roman" w:hAnsi="Times New Roman"/>
          <w:sz w:val="18"/>
          <w:szCs w:val="18"/>
          <w:color w:val="auto"/>
        </w:rPr>
        <w:t>The sale of shares issued pursuant to the conversion of the French Qualified Restricted Share Units may occur as soon as the shares are delivered to the employee provided the closed periods in section 4 below are respected.</w:t>
      </w:r>
    </w:p>
    <w:p>
      <w:pPr>
        <w:spacing w:after="0" w:line="185" w:lineRule="exact"/>
        <w:rPr>
          <w:sz w:val="20"/>
          <w:szCs w:val="20"/>
          <w:color w:val="auto"/>
        </w:rPr>
      </w:pPr>
    </w:p>
    <w:p>
      <w:pPr>
        <w:ind w:left="800" w:hanging="792"/>
        <w:spacing w:after="0"/>
        <w:tabs>
          <w:tab w:leader="none" w:pos="8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Closed periods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underlying French Qualified Restricted Share Units may not be sold during the following period (“Closed Periods”):</w:t>
      </w:r>
    </w:p>
    <w:p>
      <w:pPr>
        <w:spacing w:after="0" w:line="117" w:lineRule="exact"/>
        <w:rPr>
          <w:rFonts w:ascii="Times New Roman" w:cs="Times New Roman" w:eastAsia="Times New Roman" w:hAnsi="Times New Roman"/>
          <w:sz w:val="18"/>
          <w:szCs w:val="18"/>
          <w:b w:val="1"/>
          <w:bCs w:val="1"/>
          <w:color w:val="auto"/>
        </w:rPr>
      </w:pPr>
    </w:p>
    <w:p>
      <w:pPr>
        <w:ind w:left="1060" w:hanging="253"/>
        <w:spacing w:after="0"/>
        <w:tabs>
          <w:tab w:leader="none" w:pos="10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the 10 days before or after the publication of the annual accounts;</w:t>
      </w:r>
    </w:p>
    <w:p>
      <w:pPr>
        <w:spacing w:after="0" w:line="225" w:lineRule="exact"/>
        <w:rPr>
          <w:rFonts w:ascii="Times New Roman" w:cs="Times New Roman" w:eastAsia="Times New Roman" w:hAnsi="Times New Roman"/>
          <w:sz w:val="18"/>
          <w:szCs w:val="18"/>
          <w:b w:val="1"/>
          <w:bCs w:val="1"/>
          <w:color w:val="auto"/>
        </w:rPr>
      </w:pPr>
    </w:p>
    <w:p>
      <w:pPr>
        <w:ind w:firstLine="807"/>
        <w:spacing w:after="0" w:line="282" w:lineRule="auto"/>
        <w:tabs>
          <w:tab w:leader="none" w:pos="106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62" w:lineRule="exact"/>
        <w:rPr>
          <w:sz w:val="20"/>
          <w:szCs w:val="20"/>
          <w:color w:val="auto"/>
        </w:rPr>
      </w:pPr>
    </w:p>
    <w:p>
      <w:pPr>
        <w:ind w:firstLine="799"/>
        <w:spacing w:after="0" w:line="282" w:lineRule="auto"/>
        <w:rPr>
          <w:sz w:val="20"/>
          <w:szCs w:val="20"/>
          <w:color w:val="auto"/>
        </w:rPr>
      </w:pPr>
      <w:r>
        <w:rPr>
          <w:rFonts w:ascii="Times New Roman" w:cs="Times New Roman" w:eastAsia="Times New Roman" w:hAnsi="Times New Roman"/>
          <w:sz w:val="18"/>
          <w:szCs w:val="18"/>
          <w:color w:val="auto"/>
        </w:rPr>
        <w:t>These Closed Periods will apply to grant of French Qualified Restricted Share Units as long as and to the extent such Closed Periods are applicable under French law.</w:t>
      </w:r>
    </w:p>
    <w:p>
      <w:pPr>
        <w:spacing w:after="0" w:line="185" w:lineRule="exact"/>
        <w:rPr>
          <w:sz w:val="20"/>
          <w:szCs w:val="20"/>
          <w:color w:val="auto"/>
        </w:rPr>
      </w:pPr>
    </w:p>
    <w:p>
      <w:pPr>
        <w:ind w:left="800" w:hanging="792"/>
        <w:spacing w:after="0"/>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French Qualified Restricted Share Units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in the case of death, French Qualified Restricted Share Units may not be transferred to any third party.</w:t>
      </w:r>
    </w:p>
    <w:p>
      <w:pPr>
        <w:sectPr>
          <w:pgSz w:w="11900" w:h="16838" w:orient="portrait"/>
          <w:cols w:equalWidth="0" w:num="1">
            <w:col w:w="11420"/>
          </w:cols>
          <w:pgMar w:left="240" w:top="266" w:right="239" w:bottom="1440" w:gutter="0" w:footer="0" w:header="0"/>
        </w:sectPr>
      </w:pPr>
    </w:p>
    <w:bookmarkStart w:id="24" w:name="page25"/>
    <w:bookmarkEnd w:id="24"/>
    <w:p>
      <w:pPr>
        <w:ind w:left="800" w:hanging="792"/>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certain corporate events</w:t>
      </w:r>
    </w:p>
    <w:p>
      <w:pPr>
        <w:spacing w:after="0" w:line="229" w:lineRule="exact"/>
        <w:rPr>
          <w:sz w:val="20"/>
          <w:szCs w:val="20"/>
          <w:color w:val="auto"/>
        </w:rPr>
      </w:pPr>
    </w:p>
    <w:p>
      <w:pPr>
        <w:jc w:val="both"/>
        <w:ind w:firstLine="799"/>
        <w:spacing w:after="0" w:line="261" w:lineRule="auto"/>
        <w:rPr>
          <w:sz w:val="20"/>
          <w:szCs w:val="20"/>
          <w:color w:val="auto"/>
        </w:rPr>
      </w:pPr>
      <w:r>
        <w:rPr>
          <w:rFonts w:ascii="Times New Roman" w:cs="Times New Roman" w:eastAsia="Times New Roman" w:hAnsi="Times New Roman"/>
          <w:sz w:val="18"/>
          <w:szCs w:val="18"/>
          <w:color w:val="auto"/>
        </w:rPr>
        <w:t>Adjustments to the terms and conditions of the French Qualified Restricted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Share Units may no longer qualify as French Qualified Restricted Share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2: French Terms applicable to three year Performance Share Units</w:t>
      </w:r>
    </w:p>
    <w:p>
      <w:pPr>
        <w:spacing w:after="0" w:line="229" w:lineRule="exact"/>
        <w:rPr>
          <w:sz w:val="20"/>
          <w:szCs w:val="20"/>
          <w:color w:val="auto"/>
        </w:rPr>
      </w:pPr>
    </w:p>
    <w:p>
      <w:pPr>
        <w:jc w:val="both"/>
        <w:ind w:firstLine="799"/>
        <w:spacing w:after="0" w:line="256" w:lineRule="auto"/>
        <w:rPr>
          <w:sz w:val="20"/>
          <w:szCs w:val="20"/>
          <w:color w:val="auto"/>
        </w:rPr>
      </w:pPr>
      <w:r>
        <w:rPr>
          <w:rFonts w:ascii="Times New Roman" w:cs="Times New Roman" w:eastAsia="Times New Roman" w:hAnsi="Times New Roman"/>
          <w:sz w:val="18"/>
          <w:szCs w:val="18"/>
          <w:color w:val="auto"/>
        </w:rPr>
        <w:t>It is intended that Performance Share Units granted under the French Plan shall qualify for the specific tax and social security charges treatment applicable to French Qualified Performance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2 will be deemed French Qualified Performance Share Units.</w:t>
      </w:r>
    </w:p>
    <w:p>
      <w:pPr>
        <w:spacing w:after="0" w:line="211" w:lineRule="exact"/>
        <w:rPr>
          <w:sz w:val="20"/>
          <w:szCs w:val="20"/>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French Qualified Performance Share Units may not be granted under this Addendum to an individual:</w:t>
      </w:r>
    </w:p>
    <w:p>
      <w:pPr>
        <w:spacing w:after="0" w:line="22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unless he is employed by Schlumberger Limited or by a company which is a corporation subsidiary of Schlumberger Limited; or</w:t>
      </w:r>
    </w:p>
    <w:p>
      <w:pPr>
        <w:spacing w:after="0" w:line="225" w:lineRule="exact"/>
        <w:rPr>
          <w:sz w:val="20"/>
          <w:szCs w:val="20"/>
          <w:color w:val="auto"/>
        </w:rPr>
      </w:pPr>
    </w:p>
    <w:p>
      <w:pPr>
        <w:ind w:firstLine="799"/>
        <w:spacing w:after="0" w:line="28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unless he is a director with a management function as defined in Article 225-197-1 of the French “Code de Commerce” in France of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a corporation subsidiary of Schlumberger Limited; or</w:t>
      </w:r>
    </w:p>
    <w:p>
      <w:pPr>
        <w:spacing w:after="0" w:line="159" w:lineRule="exact"/>
        <w:rPr>
          <w:sz w:val="20"/>
          <w:szCs w:val="20"/>
          <w:color w:val="auto"/>
        </w:rPr>
      </w:pPr>
    </w:p>
    <w:p>
      <w:pPr>
        <w:ind w:left="1060" w:hanging="253"/>
        <w:spacing w:after="0"/>
        <w:tabs>
          <w:tab w:leader="none" w:pos="106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who owns more than 10% of the share capital of Schlumberger Limited</w:t>
      </w:r>
    </w:p>
    <w:p>
      <w:pPr>
        <w:spacing w:after="0" w:line="369" w:lineRule="exact"/>
        <w:rPr>
          <w:rFonts w:ascii="Times New Roman" w:cs="Times New Roman" w:eastAsia="Times New Roman" w:hAnsi="Times New Roman"/>
          <w:sz w:val="18"/>
          <w:szCs w:val="18"/>
          <w:b w:val="1"/>
          <w:bCs w:val="1"/>
          <w:color w:val="auto"/>
        </w:rPr>
      </w:pPr>
    </w:p>
    <w:p>
      <w:pPr>
        <w:ind w:left="800" w:hanging="792"/>
        <w:spacing w:after="0"/>
        <w:tabs>
          <w:tab w:leader="none" w:pos="8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Settlement and Delivery of French Qualified Performance Share Units</w:t>
      </w:r>
    </w:p>
    <w:p>
      <w:pPr>
        <w:spacing w:after="0" w:line="229" w:lineRule="exact"/>
        <w:rPr>
          <w:rFonts w:ascii="Times New Roman" w:cs="Times New Roman" w:eastAsia="Times New Roman" w:hAnsi="Times New Roman"/>
          <w:sz w:val="18"/>
          <w:szCs w:val="18"/>
          <w:b w:val="1"/>
          <w:bCs w:val="1"/>
          <w:color w:val="auto"/>
        </w:rPr>
      </w:pPr>
    </w:p>
    <w:p>
      <w:pPr>
        <w:ind w:left="1060" w:hanging="253"/>
        <w:spacing w:after="0"/>
        <w:tabs>
          <w:tab w:leader="none" w:pos="106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French Qualified Performance Share Units shall vest as provided for in the Share Unit Agreement.</w:t>
      </w:r>
    </w:p>
    <w:p>
      <w:pPr>
        <w:spacing w:after="0" w:line="225" w:lineRule="exact"/>
        <w:rPr>
          <w:rFonts w:ascii="Times New Roman" w:cs="Times New Roman" w:eastAsia="Times New Roman" w:hAnsi="Times New Roman"/>
          <w:sz w:val="18"/>
          <w:szCs w:val="18"/>
          <w:b w:val="1"/>
          <w:bCs w:val="1"/>
          <w:color w:val="auto"/>
        </w:rPr>
      </w:pPr>
    </w:p>
    <w:p>
      <w:pPr>
        <w:ind w:left="1080" w:hanging="273"/>
        <w:spacing w:after="0"/>
        <w:tabs>
          <w:tab w:leader="none" w:pos="108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Payment of vested Performance Share Units shall only be made in shares of Common Stock.</w:t>
      </w:r>
    </w:p>
    <w:p>
      <w:pPr>
        <w:spacing w:after="0" w:line="225" w:lineRule="exact"/>
        <w:rPr>
          <w:rFonts w:ascii="Times New Roman" w:cs="Times New Roman" w:eastAsia="Times New Roman" w:hAnsi="Times New Roman"/>
          <w:sz w:val="18"/>
          <w:szCs w:val="18"/>
          <w:b w:val="1"/>
          <w:bCs w:val="1"/>
          <w:color w:val="auto"/>
        </w:rPr>
      </w:pPr>
    </w:p>
    <w:p>
      <w:pPr>
        <w:jc w:val="both"/>
        <w:ind w:firstLine="807"/>
        <w:spacing w:after="0" w:line="266" w:lineRule="auto"/>
        <w:tabs>
          <w:tab w:leader="none" w:pos="1057"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Notwithstanding the vesting date of the Performance Share Units, under no circumstances, except in case of employee’s death as provided for in section 2 (d) below, shall the delivery of the shares related to a French Qualified Performance Share Unit occur prior to the third anniversary of the Grant Date.</w:t>
      </w:r>
    </w:p>
    <w:p>
      <w:pPr>
        <w:spacing w:after="0" w:line="176" w:lineRule="exact"/>
        <w:rPr>
          <w:rFonts w:ascii="Times New Roman" w:cs="Times New Roman" w:eastAsia="Times New Roman" w:hAnsi="Times New Roman"/>
          <w:sz w:val="18"/>
          <w:szCs w:val="18"/>
          <w:b w:val="1"/>
          <w:bCs w:val="1"/>
          <w:color w:val="auto"/>
        </w:rPr>
      </w:pPr>
    </w:p>
    <w:p>
      <w:pPr>
        <w:jc w:val="both"/>
        <w:ind w:firstLine="807"/>
        <w:spacing w:after="0" w:line="261" w:lineRule="auto"/>
        <w:tabs>
          <w:tab w:leader="none" w:pos="106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Acceleration on Death</w:t>
      </w:r>
      <w:r>
        <w:rPr>
          <w:rFonts w:ascii="Times New Roman" w:cs="Times New Roman" w:eastAsia="Times New Roman" w:hAnsi="Times New Roman"/>
          <w:sz w:val="18"/>
          <w:szCs w:val="18"/>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ectPr>
          <w:pgSz w:w="11900" w:h="16838" w:orient="portrait"/>
          <w:cols w:equalWidth="0" w:num="1">
            <w:col w:w="11420"/>
          </w:cols>
          <w:pgMar w:left="240" w:top="266" w:right="239" w:bottom="1440" w:gutter="0" w:footer="0" w:header="0"/>
        </w:sectPr>
      </w:pPr>
    </w:p>
    <w:bookmarkStart w:id="25" w:name="page26"/>
    <w:bookmarkEnd w:id="25"/>
    <w:p>
      <w:pPr>
        <w:ind w:left="800" w:hanging="792"/>
        <w:spacing w:after="0"/>
        <w:tabs>
          <w:tab w:leader="none" w:pos="8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Sales Restrictions</w:t>
      </w:r>
    </w:p>
    <w:p>
      <w:pPr>
        <w:spacing w:after="0" w:line="229" w:lineRule="exact"/>
        <w:rPr>
          <w:sz w:val="20"/>
          <w:szCs w:val="20"/>
          <w:color w:val="auto"/>
        </w:rPr>
      </w:pPr>
    </w:p>
    <w:p>
      <w:pPr>
        <w:ind w:firstLine="799"/>
        <w:spacing w:after="0" w:line="282" w:lineRule="auto"/>
        <w:rPr>
          <w:sz w:val="20"/>
          <w:szCs w:val="20"/>
          <w:color w:val="auto"/>
        </w:rPr>
      </w:pPr>
      <w:r>
        <w:rPr>
          <w:rFonts w:ascii="Times New Roman" w:cs="Times New Roman" w:eastAsia="Times New Roman" w:hAnsi="Times New Roman"/>
          <w:sz w:val="18"/>
          <w:szCs w:val="18"/>
          <w:color w:val="auto"/>
        </w:rPr>
        <w:t>The sale of shares issued pursuant to the conversion of the French Qualified Performance Share Units may occur as soon as the shares are delivered to the employee provided the closed periods in section 4 below are respected.</w:t>
      </w:r>
    </w:p>
    <w:p>
      <w:pPr>
        <w:spacing w:after="0" w:line="185" w:lineRule="exact"/>
        <w:rPr>
          <w:sz w:val="20"/>
          <w:szCs w:val="20"/>
          <w:color w:val="auto"/>
        </w:rPr>
      </w:pPr>
    </w:p>
    <w:p>
      <w:pPr>
        <w:ind w:left="800" w:hanging="792"/>
        <w:spacing w:after="0"/>
        <w:tabs>
          <w:tab w:leader="none" w:pos="8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Closed periods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underlying French Qualified Performance Share Units may not be sold during the following period (“Closed Periods”):</w:t>
      </w:r>
    </w:p>
    <w:p>
      <w:pPr>
        <w:spacing w:after="0" w:line="225" w:lineRule="exact"/>
        <w:rPr>
          <w:rFonts w:ascii="Times New Roman" w:cs="Times New Roman" w:eastAsia="Times New Roman" w:hAnsi="Times New Roman"/>
          <w:sz w:val="18"/>
          <w:szCs w:val="18"/>
          <w:b w:val="1"/>
          <w:bCs w:val="1"/>
          <w:color w:val="auto"/>
        </w:rPr>
      </w:pPr>
    </w:p>
    <w:p>
      <w:pPr>
        <w:ind w:left="1060" w:hanging="253"/>
        <w:spacing w:after="0"/>
        <w:tabs>
          <w:tab w:leader="none" w:pos="10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the 10 days before or after the publication of the annual accounts;</w:t>
      </w:r>
    </w:p>
    <w:p>
      <w:pPr>
        <w:spacing w:after="0" w:line="225" w:lineRule="exact"/>
        <w:rPr>
          <w:rFonts w:ascii="Times New Roman" w:cs="Times New Roman" w:eastAsia="Times New Roman" w:hAnsi="Times New Roman"/>
          <w:sz w:val="18"/>
          <w:szCs w:val="18"/>
          <w:b w:val="1"/>
          <w:bCs w:val="1"/>
          <w:color w:val="auto"/>
        </w:rPr>
      </w:pPr>
    </w:p>
    <w:p>
      <w:pPr>
        <w:ind w:firstLine="807"/>
        <w:spacing w:after="0" w:line="282" w:lineRule="auto"/>
        <w:tabs>
          <w:tab w:leader="none" w:pos="106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62" w:lineRule="exact"/>
        <w:rPr>
          <w:sz w:val="20"/>
          <w:szCs w:val="20"/>
          <w:color w:val="auto"/>
        </w:rPr>
      </w:pPr>
    </w:p>
    <w:p>
      <w:pPr>
        <w:ind w:firstLine="799"/>
        <w:spacing w:after="0" w:line="282" w:lineRule="auto"/>
        <w:rPr>
          <w:sz w:val="20"/>
          <w:szCs w:val="20"/>
          <w:color w:val="auto"/>
        </w:rPr>
      </w:pPr>
      <w:r>
        <w:rPr>
          <w:rFonts w:ascii="Times New Roman" w:cs="Times New Roman" w:eastAsia="Times New Roman" w:hAnsi="Times New Roman"/>
          <w:sz w:val="18"/>
          <w:szCs w:val="18"/>
          <w:color w:val="auto"/>
        </w:rPr>
        <w:t>These Closed Periods will apply to grant of French Qualified Performance Share Units as long as and to the extent such Closed Periods are applicable under French law.</w:t>
      </w:r>
    </w:p>
    <w:p>
      <w:pPr>
        <w:spacing w:after="0" w:line="185" w:lineRule="exact"/>
        <w:rPr>
          <w:sz w:val="20"/>
          <w:szCs w:val="20"/>
          <w:color w:val="auto"/>
        </w:rPr>
      </w:pPr>
    </w:p>
    <w:p>
      <w:pPr>
        <w:ind w:left="800" w:hanging="792"/>
        <w:spacing w:after="0"/>
        <w:tabs>
          <w:tab w:leader="none" w:pos="8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French Qualified Performance Share Units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in the case of death, French Qualified Performance Share Units may not be transferred to any third party.</w:t>
      </w:r>
    </w:p>
    <w:p>
      <w:pPr>
        <w:spacing w:after="0" w:line="248" w:lineRule="exact"/>
        <w:rPr>
          <w:rFonts w:ascii="Times New Roman" w:cs="Times New Roman" w:eastAsia="Times New Roman" w:hAnsi="Times New Roman"/>
          <w:sz w:val="18"/>
          <w:szCs w:val="18"/>
          <w:b w:val="1"/>
          <w:bCs w:val="1"/>
          <w:color w:val="auto"/>
        </w:rPr>
      </w:pPr>
    </w:p>
    <w:p>
      <w:pPr>
        <w:ind w:left="800" w:hanging="792"/>
        <w:spacing w:after="0"/>
        <w:tabs>
          <w:tab w:leader="none" w:pos="8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to certain corporate events</w:t>
      </w:r>
    </w:p>
    <w:p>
      <w:pPr>
        <w:spacing w:after="0" w:line="229" w:lineRule="exact"/>
        <w:rPr>
          <w:sz w:val="20"/>
          <w:szCs w:val="20"/>
          <w:color w:val="auto"/>
        </w:rPr>
      </w:pPr>
    </w:p>
    <w:p>
      <w:pPr>
        <w:jc w:val="both"/>
        <w:ind w:firstLine="799"/>
        <w:spacing w:after="0" w:line="261" w:lineRule="auto"/>
        <w:rPr>
          <w:sz w:val="20"/>
          <w:szCs w:val="20"/>
          <w:color w:val="auto"/>
        </w:rPr>
      </w:pPr>
      <w:r>
        <w:rPr>
          <w:rFonts w:ascii="Times New Roman" w:cs="Times New Roman" w:eastAsia="Times New Roman" w:hAnsi="Times New Roman"/>
          <w:sz w:val="18"/>
          <w:szCs w:val="18"/>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4"/>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lvl w:ilvl="1">
      <w:lvlJc w:val="left"/>
      <w:lvlText w:val="(%2)"/>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lowerLetter"/>
      <w:start w:val="1"/>
    </w:lvl>
    <w:lvl w:ilvl="1">
      <w:lvlJc w:val="left"/>
      <w:lvlText w:val="(%2)"/>
      <w:numFmt w:val="lowerRoman"/>
      <w:start w:val="1"/>
    </w:lvl>
  </w:abstractNum>
  <w:abstractNum w:abstractNumId="9">
    <w:nsid w:val="41A7C4C9"/>
    <w:multiLevelType w:val="hybridMultilevel"/>
    <w:lvl w:ilvl="0">
      <w:lvlJc w:val="left"/>
      <w:lvlText w:val="%1."/>
      <w:numFmt w:val="decimal"/>
      <w:start w:val="1"/>
    </w:lvl>
    <w:lvl w:ilvl="1">
      <w:lvlJc w:val="left"/>
      <w:lvlText w:val="(%2)"/>
      <w:numFmt w:val="lowerLetter"/>
      <w:start w:val="1"/>
    </w:lvl>
  </w:abstractNum>
  <w:abstractNum w:abstractNumId="10">
    <w:nsid w:val="6B68079A"/>
    <w:multiLevelType w:val="hybridMultilevel"/>
    <w:lvl w:ilvl="0">
      <w:lvlJc w:val="left"/>
      <w:lvlText w:val="%1"/>
      <w:numFmt w:val="decimal"/>
      <w:start w:val="1"/>
    </w:lvl>
    <w:lvl w:ilvl="1">
      <w:lvlJc w:val="left"/>
      <w:lvlText w:val="(%2)"/>
      <w:numFmt w:val="lowerLetter"/>
      <w:start w:val="3"/>
    </w:lvl>
  </w:abstractNum>
  <w:abstractNum w:abstractNumId="11">
    <w:nsid w:val="4E6AFB66"/>
    <w:multiLevelType w:val="hybridMultilevel"/>
    <w:lvl w:ilvl="0">
      <w:lvlJc w:val="left"/>
      <w:lvlText w:val="%1."/>
      <w:numFmt w:val="decimal"/>
      <w:start w:val="2"/>
    </w:lvl>
    <w:lvl w:ilvl="1">
      <w:lvlJc w:val="left"/>
      <w:lvlText w:val="(%2)"/>
      <w:numFmt w:val="lowerLetter"/>
      <w:start w:val="1"/>
    </w:lvl>
  </w:abstractNum>
  <w:abstractNum w:abstractNumId="12">
    <w:nsid w:val="25E45D32"/>
    <w:multiLevelType w:val="hybridMultilevel"/>
    <w:lvl w:ilvl="0">
      <w:lvlJc w:val="left"/>
      <w:lvlText w:val="%1."/>
      <w:numFmt w:val="decimal"/>
      <w:start w:val="4"/>
    </w:lvl>
    <w:lvl w:ilvl="1">
      <w:lvlJc w:val="left"/>
      <w:lvlText w:val="(%2)"/>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lvl w:ilvl="1">
      <w:lvlJc w:val="left"/>
      <w:lvlText w:val="(%2)"/>
      <w:numFmt w:val="lowerLetter"/>
      <w:start w:val="3"/>
    </w:lvl>
  </w:abstractNum>
  <w:abstractNum w:abstractNumId="17">
    <w:nsid w:val="257130A3"/>
    <w:multiLevelType w:val="hybridMultilevel"/>
    <w:lvl w:ilvl="0">
      <w:lvlJc w:val="left"/>
      <w:lvlText w:val="%1."/>
      <w:numFmt w:val="decimal"/>
      <w:start w:val="2"/>
    </w:lvl>
    <w:lvl w:ilvl="1">
      <w:lvlJc w:val="left"/>
      <w:lvlText w:val="(%2)"/>
      <w:numFmt w:val="lowerLetter"/>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1."/>
      <w:numFmt w:val="decimal"/>
      <w:start w:val="4"/>
    </w:lvl>
    <w:lvl w:ilvl="1">
      <w:lvlJc w:val="left"/>
      <w:lvlText w:val="(%2)"/>
      <w:numFmt w:val="lowerLetter"/>
      <w:start w:val="1"/>
    </w:lvl>
  </w:abstractNum>
  <w:abstractNum w:abstractNumId="20">
    <w:nsid w:val="628C895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2019-12-05T09:58:34Z</dcterms:created>
  <dcterms:modified xsi:type="dcterms:W3CDTF">2019-12-05T09:58:34Z</dcterms:modified>
</cp:coreProperties>
</file>