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55,950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79,329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44,760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124,089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37,141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20, 2023 upon achievement of the performance criteria and vesting of performance share units granted on December 1,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2023-01-24T15:54:32Z</dcterms:created>
  <dcterms:modified xsi:type="dcterms:W3CDTF">2023-01-24T15:54:32Z</dcterms:modified>
</cp:coreProperties>
</file>