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slb-20240331.htm"/>
      <w:bookmarkStart w:id="1" w:name="ksslb20240331"/>
      <w:bookmarkEnd w:id="0"/>
      <w:bookmarkEnd w:id="1"/>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8"/>
        </w:rPr>
        <w:t>FORM 10-Q</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5"/>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ind w:left="0" w:right="0" w:firstLine="490"/>
              <w:jc w:val="left"/>
              <w:rPr>
                <w:color w:val="000000"/>
              </w:rPr>
            </w:pPr>
            <w:r>
              <w:rPr>
                <w:color w:val="000000"/>
              </w:rPr>
              <w:t>☑</w:t>
            </w:r>
          </w:p>
        </w:tc>
        <w:tc>
          <w:tcPr>
            <w:tcW w:w="9384" w:type="dxa"/>
            <w:tcBorders/>
            <w:vAlign w:val="center"/>
          </w:tcPr>
          <w:p>
            <w:pPr>
              <w:pStyle w:val="TableContents"/>
              <w:pBdr/>
              <w:bidi w:val="0"/>
              <w:spacing w:before="0" w:after="283"/>
              <w:ind w:left="0" w:right="0" w:hanging="490"/>
              <w:jc w:val="left"/>
              <w:rPr>
                <w:rFonts w:ascii="Times New Roman" w:hAnsi="Times New Roman"/>
                <w:sz w:val="18"/>
              </w:rPr>
            </w:pPr>
            <w:r>
              <w:rPr>
                <w:rFonts w:ascii="Arial" w:hAnsi="Arial"/>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6"/>
        </w:rPr>
        <w:t>For the quarterly period ended</w:t>
      </w:r>
      <w:r>
        <w:rPr>
          <w:rFonts w:ascii="Times New Roman" w:hAnsi="Times New Roman"/>
          <w:color w:val="000000"/>
          <w:sz w:val="20"/>
        </w:rPr>
        <w:t xml:space="preserve"> </w:t>
      </w:r>
      <w:r>
        <w:rPr>
          <w:rFonts w:ascii="Arial" w:hAnsi="Arial"/>
          <w:b/>
          <w:color w:val="000000"/>
          <w:sz w:val="16"/>
        </w:rPr>
        <w:t>March 31, 2024</w:t>
      </w:r>
    </w:p>
    <w:p>
      <w:pPr>
        <w:pStyle w:val="TextBody"/>
        <w:bidi w:val="0"/>
        <w:jc w:val="center"/>
        <w:rPr>
          <w:rFonts w:ascii="Times New Roman" w:hAnsi="Times New Roman"/>
          <w:sz w:val="20"/>
        </w:rPr>
      </w:pPr>
      <w:r>
        <w:rPr>
          <w:rFonts w:ascii="Arial" w:hAnsi="Arial"/>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ind w:left="0" w:right="0" w:firstLine="490"/>
              <w:jc w:val="left"/>
              <w:rPr>
                <w:color w:val="000000"/>
              </w:rPr>
            </w:pPr>
            <w:r>
              <w:rPr>
                <w:color w:val="000000"/>
              </w:rPr>
              <w:t>☐</w:t>
            </w:r>
          </w:p>
        </w:tc>
        <w:tc>
          <w:tcPr>
            <w:tcW w:w="9384" w:type="dxa"/>
            <w:tcBorders/>
            <w:vAlign w:val="center"/>
          </w:tcPr>
          <w:p>
            <w:pPr>
              <w:pStyle w:val="TableContents"/>
              <w:pBdr/>
              <w:bidi w:val="0"/>
              <w:spacing w:before="0" w:after="283"/>
              <w:ind w:left="0" w:right="0" w:hanging="490"/>
              <w:jc w:val="left"/>
              <w:rPr>
                <w:rFonts w:ascii="Times New Roman" w:hAnsi="Times New Roman"/>
                <w:sz w:val="18"/>
              </w:rPr>
            </w:pPr>
            <w:r>
              <w:rPr>
                <w:rFonts w:ascii="Arial" w:hAnsi="Arial"/>
                <w:b/>
                <w:color w:val="000000"/>
                <w:sz w:val="18"/>
              </w:rPr>
              <w:t>TRANSITION REPORT PURSUANT TO SECTION 13 OR 15(d) OF THE SECURITIES EXCHANGE ACT OF 1934</w:t>
            </w:r>
            <w:r>
              <w:rPr>
                <w:rFonts w:ascii="Times New Roman" w:hAnsi="Times New Roman"/>
                <w:color w:val="000000"/>
                <w:sz w:val="18"/>
              </w:rPr>
              <w:t xml:space="preserve"> </w:t>
            </w:r>
          </w:p>
        </w:tc>
      </w:tr>
    </w:tbl>
    <w:p>
      <w:pPr>
        <w:pStyle w:val="TextBody"/>
        <w:bidi w:val="0"/>
        <w:spacing w:before="80" w:after="283"/>
        <w:jc w:val="center"/>
        <w:rPr>
          <w:rFonts w:ascii="Times New Roman" w:hAnsi="Times New Roman"/>
          <w:sz w:val="20"/>
        </w:rPr>
      </w:pPr>
      <w:r>
        <w:rPr>
          <w:rFonts w:ascii="Arial" w:hAnsi="Arial"/>
          <w:b/>
          <w:color w:val="000000"/>
          <w:sz w:val="18"/>
        </w:rPr>
        <w:t>Commission file No.: 1-4601</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7145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971550"/>
                    </a:xfrm>
                    <a:prstGeom prst="rect">
                      <a:avLst/>
                    </a:prstGeom>
                  </pic:spPr>
                </pic:pic>
              </a:graphicData>
            </a:graphic>
          </wp:inline>
        </w:drawing>
      </w:r>
      <w:r>
        <w:rPr/>
        <w:t> </w:t>
      </w:r>
    </w:p>
    <w:p>
      <w:pPr>
        <w:pStyle w:val="TextBody"/>
        <w:bidi w:val="0"/>
        <w:jc w:val="center"/>
        <w:rPr>
          <w:rFonts w:ascii="Times New Roman" w:hAnsi="Times New Roman"/>
          <w:sz w:val="20"/>
        </w:rPr>
      </w:pPr>
      <w:r>
        <w:rPr>
          <w:rFonts w:ascii="Arial" w:hAnsi="Arial"/>
          <w:b/>
          <w:color w:val="000000"/>
          <w:sz w:val="32"/>
        </w:rPr>
        <w:t>Schlumberger N.V.</w:t>
      </w:r>
      <w:r>
        <w:rPr>
          <w:rFonts w:ascii="Times New Roman" w:hAnsi="Times New Roman"/>
          <w:color w:val="000000"/>
          <w:sz w:val="20"/>
        </w:rPr>
        <w:t xml:space="preserve"> </w:t>
      </w:r>
      <w:r>
        <w:rPr>
          <w:rFonts w:ascii="Arial" w:hAnsi="Arial"/>
          <w:b/>
          <w:color w:val="000000"/>
          <w:sz w:val="32"/>
        </w:rPr>
        <w:t>(Schlumberger Limited)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6"/>
        </w:rPr>
        <w:t>(Exact name of registrant as specified in its charter)</w:t>
      </w:r>
      <w:r>
        <w:rPr>
          <w:rFonts w:ascii="Times New Roman" w:hAnsi="Times New Roman"/>
          <w:color w:val="000000"/>
          <w:sz w:val="20"/>
        </w:rPr>
        <w:t xml:space="preserve"> </w:t>
      </w:r>
    </w:p>
    <w:tbl>
      <w:tblPr>
        <w:tblW w:w="4813" w:type="dxa"/>
        <w:jc w:val="left"/>
        <w:tblInd w:w="0" w:type="dxa"/>
        <w:tblLayout w:type="fixed"/>
        <w:tblCellMar>
          <w:top w:w="28" w:type="dxa"/>
          <w:left w:w="28" w:type="dxa"/>
          <w:bottom w:w="28" w:type="dxa"/>
          <w:right w:w="28" w:type="dxa"/>
        </w:tblCellMar>
      </w:tblPr>
      <w:tblGrid>
        <w:gridCol w:w="3421"/>
        <w:gridCol w:w="146"/>
        <w:gridCol w:w="124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center"/>
              <w:rPr>
                <w:rFonts w:ascii="Arial" w:hAnsi="Arial"/>
                <w:sz w:val="16"/>
              </w:rPr>
            </w:pPr>
            <w:r>
              <w:rPr>
                <w:rFonts w:ascii="Arial" w:hAnsi="Arial"/>
                <w:b/>
                <w:caps/>
                <w:color w:val="000000"/>
                <w:sz w:val="16"/>
              </w:rPr>
              <w:t>C</w:t>
            </w:r>
            <w:r>
              <w:rPr>
                <w:rFonts w:ascii="Arial" w:hAnsi="Arial"/>
                <w:b/>
                <w:color w:val="000000"/>
                <w:sz w:val="16"/>
              </w:rPr>
              <w:t>uraçao</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52-0684746</w:t>
            </w:r>
          </w:p>
        </w:tc>
      </w:tr>
      <w:tr>
        <w:trPr/>
        <w:tc>
          <w:tcPr>
            <w:tcW w:w="3421"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(State or other jurisdiction of</w:t>
              <w:b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(IRS Employer</w:t>
              <w:br/>
              <w:t>Identification No.)</w:t>
            </w:r>
          </w:p>
        </w:tc>
      </w:tr>
      <w:tr>
        <w:trPr/>
        <w:tc>
          <w:tcPr>
            <w:tcW w:w="34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42 rue Saint-Dominique</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Paris, France</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75007</w:t>
            </w:r>
          </w:p>
        </w:tc>
      </w:tr>
      <w:tr>
        <w:trPr/>
        <w:tc>
          <w:tcPr>
            <w:tcW w:w="34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5599 San Felipe</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Houston, Texas, United States of America</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77056</w:t>
            </w:r>
          </w:p>
        </w:tc>
      </w:tr>
      <w:tr>
        <w:trPr/>
        <w:tc>
          <w:tcPr>
            <w:tcW w:w="34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62 Buckingham Gate</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London, United Kingdom</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SW1E 6AJ</w:t>
            </w:r>
          </w:p>
        </w:tc>
      </w:tr>
      <w:tr>
        <w:trPr/>
        <w:tc>
          <w:tcPr>
            <w:tcW w:w="34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Parkstraat 83</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The Hague, The Netherlands</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2514 JG</w:t>
            </w:r>
          </w:p>
        </w:tc>
      </w:tr>
      <w:tr>
        <w:trPr/>
        <w:tc>
          <w:tcPr>
            <w:tcW w:w="3421"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(Addresses of principal executive offices)</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Arial" w:hAnsi="Arial"/>
                <w:color w:val="000000"/>
                <w:sz w:val="14"/>
              </w:rPr>
            </w:pPr>
            <w:r>
              <w:rPr>
                <w:rFonts w:ascii="Arial" w:hAnsi="Arial"/>
                <w:color w:val="000000"/>
                <w:sz w:val="14"/>
              </w:rPr>
              <w:t>(Zip Codes)</w:t>
            </w:r>
          </w:p>
        </w:tc>
      </w:tr>
    </w:tbl>
    <w:p>
      <w:pPr>
        <w:pStyle w:val="TextBody"/>
        <w:bidi w:val="0"/>
        <w:spacing w:before="120" w:after="283"/>
        <w:jc w:val="center"/>
        <w:rPr>
          <w:rFonts w:ascii="Times New Roman" w:hAnsi="Times New Roman"/>
          <w:sz w:val="20"/>
        </w:rPr>
      </w:pPr>
      <w:r>
        <w:rPr>
          <w:rFonts w:ascii="Arial" w:hAnsi="Arial"/>
          <w:b/>
          <w:color w:val="000000"/>
          <w:sz w:val="20"/>
        </w:rPr>
        <w:t>Registrant’s telephone number in the United States, including area code, is: (713) 513-2000</w:t>
      </w:r>
      <w:r>
        <w:rPr>
          <w:rFonts w:ascii="Times New Roman" w:hAnsi="Times New Roman"/>
          <w:color w:val="000000"/>
          <w:sz w:val="20"/>
        </w:rPr>
        <w:t xml:space="preserve"> </w:t>
      </w:r>
    </w:p>
    <w:p>
      <w:pPr>
        <w:pStyle w:val="TextBody"/>
        <w:bidi w:val="0"/>
        <w:spacing w:before="80" w:after="283"/>
        <w:jc w:val="center"/>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403" w:type="dxa"/>
        <w:jc w:val="left"/>
        <w:tblInd w:w="0" w:type="dxa"/>
        <w:tblLayout w:type="fixed"/>
        <w:tblCellMar>
          <w:top w:w="28" w:type="dxa"/>
          <w:left w:w="28" w:type="dxa"/>
          <w:bottom w:w="28" w:type="dxa"/>
          <w:right w:w="28" w:type="dxa"/>
        </w:tblCellMar>
      </w:tblPr>
      <w:tblGrid>
        <w:gridCol w:w="3166"/>
        <w:gridCol w:w="1576"/>
        <w:gridCol w:w="3661"/>
      </w:tblGrid>
      <w:tr>
        <w:trPr/>
        <w:tc>
          <w:tcPr>
            <w:tcW w:w="316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Title of each class</w:t>
            </w:r>
          </w:p>
        </w:tc>
        <w:tc>
          <w:tcPr>
            <w:tcW w:w="1576" w:type="dxa"/>
            <w:tcBorders/>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Trading Symbol(s)</w:t>
            </w:r>
          </w:p>
        </w:tc>
        <w:tc>
          <w:tcPr>
            <w:tcW w:w="3661" w:type="dxa"/>
            <w:tcBorders/>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Name of each exchange on which registered</w:t>
            </w:r>
          </w:p>
        </w:tc>
      </w:tr>
      <w:tr>
        <w:trPr/>
        <w:tc>
          <w:tcPr>
            <w:tcW w:w="31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$0.01 per share</w:t>
            </w:r>
          </w:p>
        </w:tc>
        <w:tc>
          <w:tcPr>
            <w:tcW w:w="157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SLB</w:t>
            </w:r>
          </w:p>
        </w:tc>
        <w:tc>
          <w:tcPr>
            <w:tcW w:w="3661"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120" w:after="283"/>
        <w:jc w:val="left"/>
        <w:rPr>
          <w:rFonts w:ascii="Times New Roman" w:hAnsi="Times New Roman"/>
          <w:sz w:val="20"/>
        </w:rPr>
      </w:pPr>
      <w:r>
        <w:rPr>
          <w:rFonts w:ascii="Arial" w:hAnsi="Arial"/>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5"/>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5"/>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5"/>
        </w:rPr>
        <w:t xml:space="preserve">No </w:t>
      </w:r>
      <w:r>
        <w:rPr>
          <w:rFonts w:ascii="Times New Roman" w:hAnsi="Times New Roman"/>
          <w:color w:val="000000"/>
          <w:sz w:val="20"/>
        </w:rPr>
        <w:t xml:space="preserve">☐ </w:t>
      </w:r>
    </w:p>
    <w:p>
      <w:pPr>
        <w:pStyle w:val="TextBody"/>
        <w:bidi w:val="0"/>
        <w:spacing w:before="120" w:after="283"/>
        <w:jc w:val="left"/>
        <w:rPr>
          <w:rFonts w:ascii="Arial" w:hAnsi="Arial"/>
          <w:color w:val="000000"/>
          <w:sz w:val="15"/>
        </w:rPr>
      </w:pPr>
      <w:r>
        <w:rPr>
          <w:rFonts w:ascii="Arial" w:hAnsi="Arial"/>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32" w:type="dxa"/>
        <w:jc w:val="left"/>
        <w:tblInd w:w="0" w:type="dxa"/>
        <w:tblLayout w:type="fixed"/>
        <w:tblCellMar>
          <w:top w:w="28" w:type="dxa"/>
          <w:left w:w="28" w:type="dxa"/>
          <w:bottom w:w="28" w:type="dxa"/>
          <w:right w:w="28" w:type="dxa"/>
        </w:tblCellMar>
      </w:tblPr>
      <w:tblGrid>
        <w:gridCol w:w="1966"/>
        <w:gridCol w:w="146"/>
        <w:gridCol w:w="316"/>
        <w:gridCol w:w="146"/>
        <w:gridCol w:w="1951"/>
        <w:gridCol w:w="146"/>
        <w:gridCol w:w="36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5"/>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5"/>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722" w:type="dxa"/>
        <w:jc w:val="left"/>
        <w:tblInd w:w="0" w:type="dxa"/>
        <w:tblLayout w:type="fixed"/>
        <w:tblCellMar>
          <w:top w:w="28" w:type="dxa"/>
          <w:left w:w="28" w:type="dxa"/>
          <w:bottom w:w="28" w:type="dxa"/>
          <w:right w:w="28" w:type="dxa"/>
        </w:tblCellMar>
      </w:tblPr>
      <w:tblGrid>
        <w:gridCol w:w="3931"/>
        <w:gridCol w:w="2791"/>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2791"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0"/>
              <w:jc w:val="center"/>
              <w:rPr>
                <w:rFonts w:ascii="Arial" w:hAnsi="Arial"/>
                <w:b/>
                <w:color w:val="000000"/>
                <w:sz w:val="17"/>
                <w:u w:val="single"/>
              </w:rPr>
            </w:pPr>
            <w:r>
              <w:rPr>
                <w:rFonts w:ascii="Arial" w:hAnsi="Arial"/>
                <w:b/>
                <w:color w:val="000000"/>
                <w:sz w:val="17"/>
                <w:u w:val="single"/>
              </w:rPr>
              <w:t>Class</w:t>
            </w:r>
          </w:p>
        </w:tc>
        <w:tc>
          <w:tcPr>
            <w:tcW w:w="2791" w:type="dxa"/>
            <w:tcBorders/>
            <w:vAlign w:val="center"/>
          </w:tcPr>
          <w:p>
            <w:pPr>
              <w:pStyle w:val="TableContents"/>
              <w:bidi w:val="0"/>
              <w:spacing w:before="0" w:after="283"/>
              <w:ind w:left="0" w:right="0" w:firstLine="240"/>
              <w:jc w:val="center"/>
              <w:rPr>
                <w:rFonts w:ascii="Arial" w:hAnsi="Arial"/>
                <w:b/>
                <w:color w:val="000000"/>
                <w:sz w:val="17"/>
                <w:u w:val="single"/>
              </w:rPr>
            </w:pPr>
            <w:r>
              <w:rPr>
                <w:rFonts w:ascii="Arial" w:hAnsi="Arial"/>
                <w:b/>
                <w:color w:val="000000"/>
                <w:sz w:val="17"/>
                <w:u w:val="single"/>
              </w:rPr>
              <w:t>Outstanding at March 31, 2024</w:t>
            </w:r>
          </w:p>
        </w:tc>
      </w:tr>
      <w:tr>
        <w:trPr/>
        <w:tc>
          <w:tcPr>
            <w:tcW w:w="3931" w:type="dxa"/>
            <w:tcBorders/>
            <w:vAlign w:val="center"/>
          </w:tcPr>
          <w:p>
            <w:pPr>
              <w:pStyle w:val="TableContents"/>
              <w:pBdr/>
              <w:bidi w:val="0"/>
              <w:spacing w:before="0" w:after="283"/>
              <w:ind w:left="0" w:right="0" w:hanging="240"/>
              <w:jc w:val="left"/>
              <w:rPr>
                <w:rFonts w:ascii="Arial" w:hAnsi="Arial"/>
                <w:color w:val="000000"/>
                <w:sz w:val="17"/>
              </w:rPr>
            </w:pPr>
            <w:r>
              <w:rPr>
                <w:rFonts w:ascii="Arial" w:hAnsi="Arial"/>
                <w:color w:val="000000"/>
                <w:sz w:val="17"/>
              </w:rPr>
              <w:t>COMMON STOCK, $0.01 PAR VALUE PER SHARE</w:t>
            </w:r>
          </w:p>
        </w:tc>
        <w:tc>
          <w:tcPr>
            <w:tcW w:w="2791" w:type="dxa"/>
            <w:tcBorders/>
            <w:vAlign w:val="center"/>
          </w:tcPr>
          <w:p>
            <w:pPr>
              <w:pStyle w:val="TableContents"/>
              <w:bidi w:val="0"/>
              <w:jc w:val="center"/>
              <w:rPr>
                <w:rFonts w:ascii="Arial" w:hAnsi="Arial"/>
                <w:color w:val="000000"/>
                <w:sz w:val="17"/>
              </w:rPr>
            </w:pPr>
            <w:r>
              <w:rPr>
                <w:rFonts w:ascii="Arial" w:hAnsi="Arial"/>
                <w:color w:val="000000"/>
                <w:sz w:val="17"/>
              </w:rPr>
              <w:t>1,429,337,724</w:t>
            </w:r>
          </w:p>
          <w:p>
            <w:pPr>
              <w:pStyle w:val="TableContents"/>
              <w:bidi w:val="0"/>
              <w:spacing w:before="0" w:after="283"/>
              <w:jc w:val="center"/>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SCHLUMBERGER LIMITED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First Quarter 2024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164" w:type="dxa"/>
        <w:jc w:val="left"/>
        <w:tblInd w:w="0" w:type="dxa"/>
        <w:tblLayout w:type="fixed"/>
        <w:tblCellMar>
          <w:top w:w="28" w:type="dxa"/>
          <w:left w:w="28" w:type="dxa"/>
          <w:bottom w:w="28" w:type="dxa"/>
          <w:right w:w="28" w:type="dxa"/>
        </w:tblCellMar>
      </w:tblPr>
      <w:tblGrid>
        <w:gridCol w:w="826"/>
        <w:gridCol w:w="386"/>
        <w:gridCol w:w="7351"/>
        <w:gridCol w:w="601"/>
      </w:tblGrid>
      <w:tr>
        <w:trPr/>
        <w:tc>
          <w:tcPr>
            <w:tcW w:w="82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826" w:type="dxa"/>
            <w:tcBorders/>
            <w:vAlign w:val="center"/>
          </w:tcPr>
          <w:p>
            <w:pPr>
              <w:pStyle w:val="TableContents"/>
              <w:bidi w:val="0"/>
              <w:spacing w:before="0" w:after="283"/>
              <w:jc w:val="left"/>
              <w:rPr>
                <w:rFonts w:ascii="Arial" w:hAnsi="Arial"/>
                <w:b/>
                <w:color w:val="000000"/>
                <w:sz w:val="18"/>
              </w:rPr>
            </w:pPr>
            <w:r>
              <w:rPr>
                <w:rFonts w:ascii="Arial" w:hAnsi="Arial"/>
                <w:b/>
                <w:color w:val="000000"/>
                <w:sz w:val="18"/>
              </w:rPr>
              <w:t>PART I</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Financial Information</w:t>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1.</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1_financial_statements">
              <w:r>
                <w:rPr>
                  <w:rStyle w:val="InternetLink"/>
                  <w:rFonts w:ascii="Arial" w:hAnsi="Arial"/>
                  <w:color w:val="0000FF"/>
                  <w:sz w:val="18"/>
                  <w:u w:val="single"/>
                </w:rPr>
                <w:t>Financial Statements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3</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2.</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14</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3.</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19</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4.</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4_controls_and_procedures">
              <w:r>
                <w:rPr>
                  <w:rStyle w:val="InternetLink"/>
                  <w:rFonts w:ascii="Arial" w:hAnsi="Arial"/>
                  <w:color w:val="0000FF"/>
                  <w:sz w:val="18"/>
                  <w:u w:val="single"/>
                </w:rPr>
                <w:t>Controls and Procedures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19</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jc w:val="right"/>
              <w:rPr/>
            </w:pPr>
            <w:r>
              <w:rPr/>
              <w:t> </w:t>
            </w:r>
          </w:p>
        </w:tc>
      </w:tr>
      <w:tr>
        <w:trPr/>
        <w:tc>
          <w:tcPr>
            <w:tcW w:w="826" w:type="dxa"/>
            <w:tcBorders/>
            <w:vAlign w:val="center"/>
          </w:tcPr>
          <w:p>
            <w:pPr>
              <w:pStyle w:val="TableContents"/>
              <w:bidi w:val="0"/>
              <w:spacing w:before="0" w:after="283"/>
              <w:jc w:val="left"/>
              <w:rPr>
                <w:rFonts w:ascii="Arial" w:hAnsi="Arial"/>
                <w:b/>
                <w:color w:val="000000"/>
                <w:sz w:val="18"/>
              </w:rPr>
            </w:pPr>
            <w:r>
              <w:rPr>
                <w:rFonts w:ascii="Arial" w:hAnsi="Arial"/>
                <w:b/>
                <w:color w:val="000000"/>
                <w:sz w:val="18"/>
              </w:rPr>
              <w:t>PART II</w:t>
            </w:r>
          </w:p>
        </w:tc>
        <w:tc>
          <w:tcPr>
            <w:tcW w:w="38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rFonts w:ascii="Arial" w:hAnsi="Arial"/>
                <w:b/>
                <w:color w:val="000000"/>
                <w:sz w:val="18"/>
              </w:rPr>
            </w:pPr>
            <w:r>
              <w:rPr>
                <w:rFonts w:ascii="Arial" w:hAnsi="Arial"/>
                <w:b/>
                <w:color w:val="000000"/>
                <w:sz w:val="18"/>
              </w:rPr>
              <w:t>Other Information</w:t>
            </w:r>
          </w:p>
        </w:tc>
        <w:tc>
          <w:tcPr>
            <w:tcW w:w="601" w:type="dxa"/>
            <w:tcBorders/>
            <w:vAlign w:val="center"/>
          </w:tcPr>
          <w:p>
            <w:pPr>
              <w:pStyle w:val="TableContents"/>
              <w:bidi w:val="0"/>
              <w:spacing w:before="0" w:after="283"/>
              <w:jc w:val="right"/>
              <w:rPr/>
            </w:pPr>
            <w:r>
              <w:rPr/>
              <w:t> </w:t>
            </w:r>
          </w:p>
        </w:tc>
      </w:tr>
      <w:tr>
        <w:trPr/>
        <w:tc>
          <w:tcPr>
            <w:tcW w:w="82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735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1.</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1_legal_proceedings">
              <w:r>
                <w:rPr>
                  <w:rStyle w:val="InternetLink"/>
                  <w:rFonts w:ascii="Arial" w:hAnsi="Arial"/>
                  <w:color w:val="0000FF"/>
                  <w:sz w:val="18"/>
                  <w:u w:val="single"/>
                </w:rPr>
                <w:t>Legal Proceedings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20</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1A.</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1a_risk_factors">
              <w:r>
                <w:rPr>
                  <w:rStyle w:val="InternetLink"/>
                  <w:rFonts w:ascii="Arial" w:hAnsi="Arial"/>
                  <w:color w:val="0000FF"/>
                  <w:sz w:val="18"/>
                  <w:u w:val="single"/>
                </w:rPr>
                <w:t>Risk Factors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20</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2.</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Arial" w:hAnsi="Arial"/>
                  <w:color w:val="0000FF"/>
                  <w:sz w:val="18"/>
                  <w:u w:val="single"/>
                </w:rPr>
                <w:t>Unregistered Sales of Equity Securities and Use of Proceeds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20</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3.</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Arial" w:hAnsi="Arial"/>
                  <w:color w:val="0000FF"/>
                  <w:sz w:val="18"/>
                  <w:u w:val="single"/>
                </w:rPr>
                <w:t>Defaults Upon Senior Securities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20</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4.</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4_mine_safety_disclosures">
              <w:r>
                <w:rPr>
                  <w:rStyle w:val="InternetLink"/>
                  <w:rFonts w:ascii="Arial" w:hAnsi="Arial"/>
                  <w:color w:val="0000FF"/>
                  <w:sz w:val="18"/>
                  <w:u w:val="single"/>
                </w:rPr>
                <w:t>Mine Safety Disclosures</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20</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5.</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5_other_information">
              <w:r>
                <w:rPr>
                  <w:rStyle w:val="InternetLink"/>
                  <w:rFonts w:ascii="Arial" w:hAnsi="Arial"/>
                  <w:color w:val="0000FF"/>
                  <w:sz w:val="18"/>
                  <w:u w:val="single"/>
                </w:rPr>
                <w:t>Other Information</w:t>
              </w:r>
            </w:hyperlink>
          </w:p>
        </w:tc>
        <w:tc>
          <w:tcPr>
            <w:tcW w:w="601" w:type="dxa"/>
            <w:tcBorders/>
            <w:vAlign w:val="center"/>
          </w:tcPr>
          <w:p>
            <w:pPr>
              <w:pStyle w:val="TableContents"/>
              <w:bidi w:val="0"/>
              <w:spacing w:before="0" w:after="283"/>
              <w:ind w:left="0" w:right="0" w:firstLine="240"/>
              <w:jc w:val="right"/>
              <w:rPr>
                <w:rFonts w:ascii="Arial" w:hAnsi="Arial"/>
                <w:color w:val="000000"/>
                <w:sz w:val="18"/>
              </w:rPr>
            </w:pPr>
            <w:r>
              <w:rPr>
                <w:rFonts w:ascii="Arial" w:hAnsi="Arial"/>
                <w:color w:val="000000"/>
                <w:sz w:val="18"/>
              </w:rPr>
              <w:t>21</w:t>
            </w:r>
          </w:p>
        </w:tc>
      </w:tr>
      <w:tr>
        <w:trPr/>
        <w:tc>
          <w:tcPr>
            <w:tcW w:w="826" w:type="dxa"/>
            <w:tcBorders/>
            <w:vAlign w:val="center"/>
          </w:tcPr>
          <w:p>
            <w:pPr>
              <w:pStyle w:val="TableContents"/>
              <w:pBdr/>
              <w:bidi w:val="0"/>
              <w:spacing w:before="0" w:after="283"/>
              <w:ind w:left="0" w:right="0" w:hanging="240"/>
              <w:jc w:val="left"/>
              <w:rPr/>
            </w:pPr>
            <w:r>
              <w:rPr/>
              <w:t> </w:t>
            </w:r>
          </w:p>
        </w:tc>
        <w:tc>
          <w:tcPr>
            <w:tcW w:w="386" w:type="dxa"/>
            <w:tcBorders/>
            <w:vAlign w:val="center"/>
          </w:tcPr>
          <w:p>
            <w:pPr>
              <w:pStyle w:val="TableContents"/>
              <w:bidi w:val="0"/>
              <w:spacing w:before="0" w:after="283"/>
              <w:ind w:left="0" w:right="0" w:firstLine="240"/>
              <w:jc w:val="left"/>
              <w:rPr/>
            </w:pPr>
            <w:r>
              <w:rPr/>
              <w:t> </w:t>
            </w:r>
          </w:p>
        </w:tc>
        <w:tc>
          <w:tcPr>
            <w:tcW w:w="7351" w:type="dxa"/>
            <w:tcBorders/>
            <w:vAlign w:val="center"/>
          </w:tcPr>
          <w:p>
            <w:pPr>
              <w:pStyle w:val="TableContents"/>
              <w:pBdr/>
              <w:bidi w:val="0"/>
              <w:spacing w:before="0" w:after="283"/>
              <w:ind w:left="0" w:right="0" w:hanging="240"/>
              <w:jc w:val="left"/>
              <w:rPr/>
            </w:pPr>
            <w:r>
              <w:rPr/>
              <w:t> </w:t>
            </w:r>
          </w:p>
        </w:tc>
        <w:tc>
          <w:tcPr>
            <w:tcW w:w="601" w:type="dxa"/>
            <w:tcBorders/>
            <w:vAlign w:val="center"/>
          </w:tcPr>
          <w:p>
            <w:pPr>
              <w:pStyle w:val="TableContents"/>
              <w:bidi w:val="0"/>
              <w:spacing w:before="0" w:after="283"/>
              <w:ind w:left="0" w:right="0" w:firstLine="240"/>
              <w:jc w:val="right"/>
              <w:rPr/>
            </w:pPr>
            <w:r>
              <w:rPr/>
              <w:t> </w:t>
            </w:r>
          </w:p>
        </w:tc>
      </w:tr>
      <w:tr>
        <w:trPr/>
        <w:tc>
          <w:tcPr>
            <w:tcW w:w="826" w:type="dxa"/>
            <w:tcBorders/>
            <w:vAlign w:val="center"/>
          </w:tcPr>
          <w:p>
            <w:pPr>
              <w:pStyle w:val="TableContents"/>
              <w:pBdr/>
              <w:bidi w:val="0"/>
              <w:spacing w:before="0" w:after="283"/>
              <w:ind w:left="0" w:right="0" w:hanging="240"/>
              <w:jc w:val="left"/>
              <w:rPr>
                <w:rFonts w:ascii="Arial" w:hAnsi="Arial"/>
                <w:b/>
                <w:color w:val="000000"/>
                <w:sz w:val="18"/>
              </w:rPr>
            </w:pPr>
            <w:r>
              <w:rPr>
                <w:rFonts w:ascii="Arial" w:hAnsi="Arial"/>
                <w:b/>
                <w:color w:val="000000"/>
                <w:sz w:val="18"/>
              </w:rPr>
              <w:t>Item 6.</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51" w:type="dxa"/>
            <w:tcBorders/>
            <w:vAlign w:val="center"/>
          </w:tcPr>
          <w:p>
            <w:pPr>
              <w:pStyle w:val="TableContents"/>
              <w:pBdr/>
              <w:bidi w:val="0"/>
              <w:spacing w:before="0" w:after="283"/>
              <w:ind w:left="0" w:right="0" w:hanging="240"/>
              <w:jc w:val="left"/>
              <w:rPr/>
            </w:pPr>
            <w:hyperlink w:anchor="item_6_exhibits">
              <w:r>
                <w:rPr>
                  <w:rStyle w:val="InternetLink"/>
                  <w:rFonts w:ascii="Arial" w:hAnsi="Arial"/>
                  <w:color w:val="0000FF"/>
                  <w:sz w:val="18"/>
                  <w:u w:val="single"/>
                </w:rPr>
                <w:t>Exhibits</w:t>
              </w:r>
            </w:hyperlink>
          </w:p>
        </w:tc>
        <w:tc>
          <w:tcPr>
            <w:tcW w:w="601"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u w:val="single"/>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 w:name="item_1_financial_statements"/>
      <w:bookmarkEnd w:id="2"/>
      <w:r>
        <w:rPr>
          <w:rFonts w:ascii="Arial" w:hAnsi="Arial"/>
          <w:b/>
          <w:color w:val="000000"/>
          <w:sz w:val="18"/>
          <w:u w:val="single"/>
        </w:rPr>
        <w:t>Item 1.</w:t>
      </w:r>
      <w:r>
        <w:rPr>
          <w:rFonts w:ascii="Times New Roman" w:hAnsi="Times New Roman"/>
          <w:color w:val="000000"/>
          <w:sz w:val="20"/>
        </w:rPr>
        <w:t xml:space="preserve"> </w:t>
      </w:r>
      <w:r>
        <w:rPr>
          <w:rFonts w:ascii="Arial" w:hAnsi="Arial"/>
          <w:b/>
          <w:color w:val="000000"/>
          <w:sz w:val="18"/>
          <w:u w:val="single"/>
        </w:rPr>
        <w:t>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b/>
          <w:color w:val="000000"/>
          <w:sz w:val="18"/>
          <w:u w:val="single"/>
        </w:rPr>
      </w:pPr>
      <w:r>
        <w:rPr>
          <w:rFonts w:ascii="Arial" w:hAnsi="Arial"/>
          <w:b/>
          <w:color w:val="000000"/>
          <w:sz w:val="18"/>
          <w:u w:val="single"/>
        </w:rPr>
        <w:t>SCHLUMBERGER LIMITED AND SUBSIDIARIES</w:t>
      </w:r>
    </w:p>
    <w:p>
      <w:pPr>
        <w:pStyle w:val="TextBody"/>
        <w:bidi w:val="0"/>
        <w:spacing w:before="120" w:after="283"/>
        <w:jc w:val="center"/>
        <w:rPr>
          <w:rFonts w:ascii="Times New Roman" w:hAnsi="Times New Roman"/>
          <w:sz w:val="20"/>
        </w:rPr>
      </w:pPr>
      <w:r>
        <w:rPr>
          <w:rFonts w:ascii="Arial" w:hAnsi="Arial"/>
          <w:b/>
          <w:color w:val="000000"/>
          <w:sz w:val="18"/>
          <w:u w:val="single"/>
        </w:rPr>
        <w:t>CONSOLIDATED STATEMENT OF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(Unaudited)</w:t>
      </w:r>
      <w:r>
        <w:rPr>
          <w:rFonts w:ascii="Times New Roman" w:hAnsi="Times New Roman"/>
          <w:color w:val="000000"/>
          <w:sz w:val="20"/>
        </w:rPr>
        <w:t xml:space="preserve"> </w:t>
      </w:r>
    </w:p>
    <w:tbl>
      <w:tblPr>
        <w:tblW w:w="7491" w:type="dxa"/>
        <w:jc w:val="left"/>
        <w:tblInd w:w="0" w:type="dxa"/>
        <w:tblLayout w:type="fixed"/>
        <w:tblCellMar>
          <w:top w:w="28" w:type="dxa"/>
          <w:left w:w="28" w:type="dxa"/>
          <w:bottom w:w="28" w:type="dxa"/>
          <w:right w:w="28" w:type="dxa"/>
        </w:tblCellMar>
      </w:tblPr>
      <w:tblGrid>
        <w:gridCol w:w="4356"/>
        <w:gridCol w:w="312"/>
        <w:gridCol w:w="844"/>
        <w:gridCol w:w="216"/>
        <w:gridCol w:w="216"/>
        <w:gridCol w:w="312"/>
        <w:gridCol w:w="844"/>
        <w:gridCol w:w="391"/>
      </w:tblGrid>
      <w:tr>
        <w:trPr/>
        <w:tc>
          <w:tcPr>
            <w:tcW w:w="4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00" w:type="dxa"/>
            <w:gridSpan w:val="7"/>
            <w:tcBorders/>
            <w:shd w:fill="FFFFFF" w:val="clear"/>
            <w:vAlign w:val="center"/>
          </w:tcPr>
          <w:p>
            <w:pPr>
              <w:pStyle w:val="TableContents"/>
              <w:bidi w:val="0"/>
              <w:spacing w:before="0" w:after="283"/>
              <w:jc w:val="right"/>
              <w:rPr>
                <w:rFonts w:ascii="Times New Roman" w:hAnsi="Times New Roman"/>
                <w:sz w:val="16"/>
              </w:rPr>
            </w:pPr>
            <w:bookmarkStart w:id="3" w:name="ole_link1"/>
            <w:bookmarkEnd w:id="3"/>
            <w:r>
              <w:rPr>
                <w:rFonts w:ascii="Arial" w:hAnsi="Arial"/>
                <w:i/>
                <w:color w:val="000000"/>
                <w:sz w:val="16"/>
              </w:rPr>
              <w:t>(Stated in millions, except per share amounts</w:t>
            </w:r>
            <w:r>
              <w:rPr>
                <w:rFonts w:ascii="Arial" w:hAnsi="Arial"/>
                <w:color w:val="000000"/>
                <w:sz w:val="16"/>
              </w:rPr>
              <w:t>)</w:t>
            </w:r>
          </w:p>
        </w:tc>
        <w:tc>
          <w:tcPr>
            <w:tcW w:w="391" w:type="dxa"/>
            <w:tcBorders/>
            <w:shd w:fill="FFFFFF" w:val="clear"/>
            <w:vAlign w:val="center"/>
          </w:tcPr>
          <w:p>
            <w:pPr>
              <w:pStyle w:val="TableContents"/>
              <w:bidi w:val="0"/>
              <w:spacing w:before="0" w:after="283"/>
              <w:jc w:val="right"/>
              <w:rPr/>
            </w:pPr>
            <w:r>
              <w:rPr/>
              <w:t> </w:t>
            </w:r>
          </w:p>
        </w:tc>
      </w:tr>
      <w:tr>
        <w:trPr/>
        <w:tc>
          <w:tcPr>
            <w:tcW w:w="435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56" w:type="dxa"/>
            <w:tcBorders/>
            <w:shd w:fill="FFFFFF" w:val="clear"/>
            <w:vAlign w:val="center"/>
          </w:tcPr>
          <w:p>
            <w:pPr>
              <w:pStyle w:val="TableContents"/>
              <w:bidi w:val="0"/>
              <w:spacing w:before="0" w:after="283"/>
              <w:jc w:val="left"/>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Revenue</w:t>
            </w:r>
          </w:p>
        </w:tc>
        <w:tc>
          <w:tcPr>
            <w:tcW w:w="115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Services</w:t>
            </w:r>
          </w:p>
        </w:tc>
        <w:tc>
          <w:tcPr>
            <w:tcW w:w="31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5,676</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Product sales</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3,031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Total Revenue</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391" w:type="dxa"/>
            <w:tcBorders/>
            <w:shd w:fill="FFFFFF" w:val="clear"/>
            <w:vAlign w:val="center"/>
          </w:tcPr>
          <w:p>
            <w:pPr>
              <w:pStyle w:val="TableContents"/>
              <w:bidi w:val="0"/>
              <w:spacing w:before="0" w:after="283"/>
              <w:jc w:val="left"/>
              <w:rPr/>
            </w:pPr>
            <w:r>
              <w:rPr/>
              <w:t> </w:t>
            </w:r>
          </w:p>
        </w:tc>
      </w:tr>
      <w:tr>
        <w:trPr/>
        <w:tc>
          <w:tcPr>
            <w:tcW w:w="435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Interest &amp; other income</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84</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391" w:type="dxa"/>
            <w:tcBorders/>
            <w:shd w:fill="CFF0FC" w:val="cle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Expenses</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services</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4,415</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sales</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2,592</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&amp; engineering</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182</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General &amp; administrative</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121</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Merger &amp; integration</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Interest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Income before taxes</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1,357</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Tax expense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259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Net income</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1,098</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income attributable to noncontrolling interests</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Net income attributable to SLB</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1,068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right"/>
              <w:rPr/>
            </w:pPr>
            <w:r>
              <w:rPr/>
              <w:t> </w:t>
            </w:r>
          </w:p>
        </w:tc>
      </w:tr>
      <w:tr>
        <w:trPr/>
        <w:tc>
          <w:tcPr>
            <w:tcW w:w="435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Basic income per share of SLB</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right"/>
              <w:rPr/>
            </w:pPr>
            <w:r>
              <w:rPr/>
              <w:t> </w:t>
            </w:r>
          </w:p>
        </w:tc>
      </w:tr>
      <w:tr>
        <w:trPr/>
        <w:tc>
          <w:tcPr>
            <w:tcW w:w="435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Diluted income per share of SLB</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Average shares outstanding:</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Basic</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1,431</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Assuming dilution</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1,447</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sz w:val="20"/>
        </w:rPr>
      </w:pPr>
      <w:r>
        <w:rPr>
          <w:rFonts w:ascii="Arial" w:hAnsi="Arial"/>
          <w:i/>
          <w:color w:val="000000"/>
          <w:sz w:val="18"/>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u w:val="single"/>
        </w:rPr>
        <w:t>SCHLUMBERGER LIMITED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b/>
          <w:color w:val="000000"/>
          <w:sz w:val="18"/>
          <w:u w:val="single"/>
        </w:rPr>
        <w:t>CONSOLIDATED STATEMENT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(Unaudited)</w:t>
      </w:r>
      <w:r>
        <w:rPr>
          <w:rFonts w:ascii="Times New Roman" w:hAnsi="Times New Roman"/>
          <w:color w:val="000000"/>
          <w:sz w:val="20"/>
        </w:rPr>
        <w:t xml:space="preserve">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5496"/>
        <w:gridCol w:w="335"/>
        <w:gridCol w:w="908"/>
        <w:gridCol w:w="264"/>
        <w:gridCol w:w="232"/>
        <w:gridCol w:w="335"/>
        <w:gridCol w:w="669"/>
        <w:gridCol w:w="411"/>
      </w:tblGrid>
      <w:tr>
        <w:trPr/>
        <w:tc>
          <w:tcPr>
            <w:tcW w:w="54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239"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411" w:type="dxa"/>
            <w:tcBorders/>
            <w:shd w:fill="FFFFFF" w:val="clear"/>
            <w:vAlign w:val="center"/>
          </w:tcPr>
          <w:p>
            <w:pPr>
              <w:pStyle w:val="TableContents"/>
              <w:bidi w:val="0"/>
              <w:spacing w:before="0" w:after="283"/>
              <w:jc w:val="right"/>
              <w:rPr/>
            </w:pPr>
            <w:r>
              <w:rPr/>
              <w:t> </w:t>
            </w:r>
          </w:p>
        </w:tc>
      </w:tr>
      <w:tr>
        <w:trPr/>
        <w:tc>
          <w:tcPr>
            <w:tcW w:w="5496" w:type="dxa"/>
            <w:tcBorders/>
            <w:shd w:fill="FFFFFF" w:val="clear"/>
            <w:vAlign w:val="center"/>
          </w:tcPr>
          <w:p>
            <w:pPr>
              <w:pStyle w:val="TableContents"/>
              <w:bidi w:val="0"/>
              <w:spacing w:before="0" w:after="283"/>
              <w:jc w:val="right"/>
              <w:rPr/>
            </w:pPr>
            <w:r>
              <w:rPr/>
              <w:t> </w:t>
            </w:r>
          </w:p>
        </w:tc>
        <w:tc>
          <w:tcPr>
            <w:tcW w:w="1243" w:type="dxa"/>
            <w:gridSpan w:val="2"/>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right"/>
              <w:rPr/>
            </w:pPr>
            <w:r>
              <w:rPr/>
              <w:t> </w:t>
            </w:r>
          </w:p>
        </w:tc>
        <w:tc>
          <w:tcPr>
            <w:tcW w:w="100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496" w:type="dxa"/>
            <w:tcBorders/>
            <w:shd w:fill="FFFFFF" w:val="clear"/>
            <w:vAlign w:val="center"/>
          </w:tcPr>
          <w:p>
            <w:pPr>
              <w:pStyle w:val="TableContents"/>
              <w:bidi w:val="0"/>
              <w:spacing w:before="0" w:after="283"/>
              <w:jc w:val="left"/>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vAlign w:val="center"/>
          </w:tcPr>
          <w:p>
            <w:pPr>
              <w:pStyle w:val="TableContents"/>
              <w:bidi w:val="0"/>
              <w:spacing w:before="0" w:after="283"/>
              <w:jc w:val="left"/>
              <w:rPr>
                <w:sz w:val="4"/>
                <w:szCs w:val="4"/>
              </w:rPr>
            </w:pPr>
            <w:r>
              <w:rPr>
                <w:sz w:val="4"/>
                <w:szCs w:val="4"/>
              </w:rPr>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Net income</w:t>
            </w:r>
          </w:p>
        </w:tc>
        <w:tc>
          <w:tcPr>
            <w:tcW w:w="335"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08"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1,098</w:t>
            </w:r>
          </w:p>
        </w:tc>
        <w:tc>
          <w:tcPr>
            <w:tcW w:w="264"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3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411" w:type="dxa"/>
            <w:tcBorders/>
            <w:shd w:fill="CFF0FC" w:val="clear"/>
            <w:vAlign w:val="center"/>
          </w:tcPr>
          <w:p>
            <w:pPr>
              <w:pStyle w:val="TableContents"/>
              <w:bidi w:val="0"/>
              <w:spacing w:before="0" w:after="283"/>
              <w:jc w:val="left"/>
              <w:rPr/>
            </w:pPr>
            <w:r>
              <w:rPr/>
              <w:t> </w:t>
            </w:r>
          </w:p>
        </w:tc>
      </w:tr>
      <w:tr>
        <w:trPr/>
        <w:tc>
          <w:tcPr>
            <w:tcW w:w="549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Currency translation adjustments</w:t>
            </w:r>
          </w:p>
        </w:tc>
        <w:tc>
          <w:tcPr>
            <w:tcW w:w="1243" w:type="dxa"/>
            <w:gridSpan w:val="2"/>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49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net change arising during the period</w:t>
            </w:r>
          </w:p>
        </w:tc>
        <w:tc>
          <w:tcPr>
            <w:tcW w:w="335"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23</w:t>
            </w:r>
          </w:p>
        </w:tc>
        <w:tc>
          <w:tcPr>
            <w:tcW w:w="264"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335"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49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Cash flow hedges</w:t>
            </w:r>
          </w:p>
        </w:tc>
        <w:tc>
          <w:tcPr>
            <w:tcW w:w="1243" w:type="dxa"/>
            <w:gridSpan w:val="2"/>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49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 on cash flow hedges</w:t>
            </w:r>
          </w:p>
        </w:tc>
        <w:tc>
          <w:tcPr>
            <w:tcW w:w="335"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w:t>
            </w:r>
          </w:p>
        </w:tc>
        <w:tc>
          <w:tcPr>
            <w:tcW w:w="26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335"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Reclassification to net income of net realized gain</w:t>
            </w:r>
          </w:p>
        </w:tc>
        <w:tc>
          <w:tcPr>
            <w:tcW w:w="335"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w:t>
            </w:r>
          </w:p>
        </w:tc>
        <w:tc>
          <w:tcPr>
            <w:tcW w:w="26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49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Pension and other postretirement benefit plans</w:t>
            </w:r>
          </w:p>
        </w:tc>
        <w:tc>
          <w:tcPr>
            <w:tcW w:w="1243" w:type="dxa"/>
            <w:gridSpan w:val="2"/>
            <w:tcBorders/>
            <w:shd w:fill="CFF0FC" w:val="clear"/>
            <w:vAlign w:val="center"/>
          </w:tcPr>
          <w:p>
            <w:pPr>
              <w:pStyle w:val="TableContents"/>
              <w:bidi w:val="0"/>
              <w:spacing w:before="0" w:after="283"/>
              <w:jc w:val="left"/>
              <w:rPr>
                <w:sz w:val="4"/>
                <w:szCs w:val="4"/>
              </w:rPr>
            </w:pPr>
            <w:r>
              <w:rPr>
                <w:sz w:val="4"/>
                <w:szCs w:val="4"/>
              </w:rPr>
            </w:r>
          </w:p>
        </w:tc>
        <w:tc>
          <w:tcPr>
            <w:tcW w:w="264"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100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Amortization to net income of net actuarial gain</w:t>
            </w:r>
          </w:p>
        </w:tc>
        <w:tc>
          <w:tcPr>
            <w:tcW w:w="335"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264"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Amortization to net income of net prior service credit</w:t>
            </w:r>
          </w:p>
        </w:tc>
        <w:tc>
          <w:tcPr>
            <w:tcW w:w="335"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w:t>
            </w:r>
          </w:p>
        </w:tc>
        <w:tc>
          <w:tcPr>
            <w:tcW w:w="26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335"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Income taxes on pension and other postretirement benefit plans</w:t>
            </w:r>
          </w:p>
        </w:tc>
        <w:tc>
          <w:tcPr>
            <w:tcW w:w="335"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w:t>
            </w:r>
          </w:p>
        </w:tc>
        <w:tc>
          <w:tcPr>
            <w:tcW w:w="264"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11" w:type="dxa"/>
            <w:tcBorders/>
            <w:shd w:fill="FFFFFF" w:val="clear"/>
            <w:vAlign w:val="center"/>
          </w:tcPr>
          <w:p>
            <w:pPr>
              <w:pStyle w:val="TableContents"/>
              <w:bidi w:val="0"/>
              <w:spacing w:before="0" w:after="283"/>
              <w:jc w:val="left"/>
              <w:rPr/>
            </w:pPr>
            <w:r>
              <w:rPr/>
              <w:t> </w:t>
            </w:r>
          </w:p>
        </w:tc>
      </w:tr>
      <w:tr>
        <w:trPr/>
        <w:tc>
          <w:tcPr>
            <w:tcW w:w="549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Other</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Comprehensive income</w:t>
            </w:r>
          </w:p>
        </w:tc>
        <w:tc>
          <w:tcPr>
            <w:tcW w:w="335"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1,103</w:t>
            </w:r>
          </w:p>
        </w:tc>
        <w:tc>
          <w:tcPr>
            <w:tcW w:w="264"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9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Comprehensive income attributable to noncontrolling interests</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30</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sz w:val="4"/>
                <w:szCs w:val="4"/>
              </w:rPr>
            </w:pPr>
            <w:r>
              <w:rPr>
                <w:sz w:val="4"/>
                <w:szCs w:val="4"/>
              </w:rPr>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Comprehensive income attributable to SLB</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1,073</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i/>
          <w:color w:val="000000"/>
          <w:sz w:val="18"/>
        </w:rPr>
        <w:t>See 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u w:val="single"/>
        </w:rPr>
        <w:t>SCHLUMBERGER LIMITED AND SUBSIDIARIES</w:t>
      </w:r>
      <w:r>
        <w:rPr>
          <w:rFonts w:ascii="Times New Roman" w:hAnsi="Times New Roman"/>
          <w:color w:val="000000"/>
          <w:sz w:val="20"/>
        </w:rPr>
        <w:t xml:space="preserve"> </w:t>
      </w:r>
    </w:p>
    <w:p>
      <w:pPr>
        <w:pStyle w:val="TextBody"/>
        <w:bidi w:val="0"/>
        <w:spacing w:before="120" w:after="283"/>
        <w:jc w:val="center"/>
        <w:rPr>
          <w:rFonts w:ascii="Arial" w:hAnsi="Arial"/>
          <w:b/>
          <w:color w:val="000000"/>
          <w:sz w:val="18"/>
          <w:u w:val="single"/>
        </w:rPr>
      </w:pPr>
      <w:r>
        <w:rPr>
          <w:rFonts w:ascii="Arial" w:hAnsi="Arial"/>
          <w:b/>
          <w:color w:val="000000"/>
          <w:sz w:val="18"/>
          <w:u w:val="single"/>
        </w:rPr>
        <w:t>CONSOLIDATED BALANCE SHEET</w:t>
      </w:r>
    </w:p>
    <w:p>
      <w:pPr>
        <w:pStyle w:val="TextBody"/>
        <w:bidi w:val="0"/>
        <w:jc w:val="left"/>
        <w:rPr/>
      </w:pPr>
      <w:r>
        <w:rPr/>
        <w:t> </w:t>
      </w:r>
    </w:p>
    <w:tbl>
      <w:tblPr>
        <w:tblW w:w="9281" w:type="dxa"/>
        <w:jc w:val="left"/>
        <w:tblInd w:w="0" w:type="dxa"/>
        <w:tblLayout w:type="fixed"/>
        <w:tblCellMar>
          <w:top w:w="28" w:type="dxa"/>
          <w:left w:w="28" w:type="dxa"/>
          <w:bottom w:w="28" w:type="dxa"/>
          <w:right w:w="28" w:type="dxa"/>
        </w:tblCellMar>
      </w:tblPr>
      <w:tblGrid>
        <w:gridCol w:w="6576"/>
        <w:gridCol w:w="260"/>
        <w:gridCol w:w="835"/>
        <w:gridCol w:w="166"/>
        <w:gridCol w:w="146"/>
        <w:gridCol w:w="211"/>
        <w:gridCol w:w="676"/>
        <w:gridCol w:w="411"/>
      </w:tblGrid>
      <w:tr>
        <w:trPr/>
        <w:tc>
          <w:tcPr>
            <w:tcW w:w="65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870"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411" w:type="dxa"/>
            <w:tcBorders/>
            <w:shd w:fill="FFFFFF" w:val="clear"/>
            <w:vAlign w:val="center"/>
          </w:tcPr>
          <w:p>
            <w:pPr>
              <w:pStyle w:val="TableContents"/>
              <w:bidi w:val="0"/>
              <w:spacing w:before="0" w:after="283"/>
              <w:jc w:val="right"/>
              <w:rPr/>
            </w:pPr>
            <w:r>
              <w:rPr/>
              <w:t> </w:t>
            </w:r>
          </w:p>
        </w:tc>
      </w:tr>
      <w:tr>
        <w:trPr/>
        <w:tc>
          <w:tcPr>
            <w:tcW w:w="6576" w:type="dxa"/>
            <w:tcBorders/>
            <w:shd w:fill="FFFFFF" w:val="clear"/>
            <w:vAlign w:val="center"/>
          </w:tcPr>
          <w:p>
            <w:pPr>
              <w:pStyle w:val="TableContents"/>
              <w:bidi w:val="0"/>
              <w:spacing w:before="0" w:after="283"/>
              <w:jc w:val="righ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FFFFFF" w:val="clear"/>
            <w:vAlign w:val="center"/>
          </w:tcPr>
          <w:p>
            <w:pPr>
              <w:pStyle w:val="TableContents"/>
              <w:bidi w:val="0"/>
              <w:spacing w:before="0" w:after="283"/>
              <w:ind w:left="200" w:right="0" w:firstLine="200"/>
              <w:jc w:val="left"/>
              <w:rPr/>
            </w:pPr>
            <w:r>
              <w:rPr/>
              <w:t> </w:t>
            </w:r>
          </w:p>
        </w:tc>
        <w:tc>
          <w:tcPr>
            <w:tcW w:w="1095"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FFFFFF" w:val="clear"/>
            <w:vAlign w:val="center"/>
          </w:tcPr>
          <w:p>
            <w:pPr>
              <w:pStyle w:val="TableContents"/>
              <w:bidi w:val="0"/>
              <w:spacing w:before="0" w:after="283"/>
              <w:ind w:left="200" w:right="0" w:firstLine="200"/>
              <w:jc w:val="left"/>
              <w:rPr/>
            </w:pPr>
            <w:r>
              <w:rPr/>
              <w:t> </w:t>
            </w:r>
          </w:p>
        </w:tc>
        <w:tc>
          <w:tcPr>
            <w:tcW w:w="1095"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Dec. 31,</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6576" w:type="dxa"/>
            <w:tcBorders/>
            <w:shd w:fill="FFFFFF" w:val="clear"/>
            <w:vAlign w:val="center"/>
          </w:tcPr>
          <w:p>
            <w:pPr>
              <w:pStyle w:val="TableContents"/>
              <w:bidi w:val="0"/>
              <w:spacing w:before="0" w:after="283"/>
              <w:ind w:left="200" w:right="0" w:firstLine="2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bottom w:val="single" w:sz="18" w:space="0" w:color="CFF0FC"/>
            </w:tcBorders>
            <w:shd w:fill="CFF0FC" w:val="clear"/>
            <w:tcMar>
              <w:top w:w="0" w:type="dxa"/>
              <w:left w:w="0" w:type="dxa"/>
              <w:right w:w="0" w:type="dxa"/>
            </w:tcMar>
            <w:vAlign w:val="center"/>
          </w:tcPr>
          <w:p>
            <w:pPr>
              <w:pStyle w:val="TableContents"/>
              <w:bidi w:val="0"/>
              <w:spacing w:before="0" w:after="283"/>
              <w:jc w:val="left"/>
              <w:rPr>
                <w:rFonts w:ascii="Arial" w:hAnsi="Arial"/>
                <w:b/>
                <w:i/>
                <w:color w:val="000000"/>
                <w:sz w:val="18"/>
              </w:rPr>
            </w:pPr>
            <w:r>
              <w:rPr>
                <w:rFonts w:ascii="Arial" w:hAnsi="Arial"/>
                <w:b/>
                <w:i/>
                <w:color w:val="000000"/>
                <w:sz w:val="18"/>
              </w:rPr>
              <w:t>ASSETS</w:t>
            </w:r>
          </w:p>
        </w:tc>
        <w:tc>
          <w:tcPr>
            <w:tcW w:w="1095" w:type="dxa"/>
            <w:gridSpan w:val="2"/>
            <w:tcBorders>
              <w:bottom w:val="single" w:sz="18" w:space="0" w:color="CFF0FC"/>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Current Assets</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w:t>
            </w:r>
          </w:p>
        </w:tc>
        <w:tc>
          <w:tcPr>
            <w:tcW w:w="26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investments</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Receivables less allowance for doubtful accounts (2024 - $333; 2023 - $337)</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7,812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Inventories</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 current assets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17,718</w:t>
            </w:r>
          </w:p>
        </w:tc>
        <w:tc>
          <w:tcPr>
            <w:tcW w:w="4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Investments in Affiliated Companies</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1,624</w:t>
            </w:r>
          </w:p>
        </w:tc>
        <w:tc>
          <w:tcPr>
            <w:tcW w:w="4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Fixed Assets less accumulated depreciation</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7,240</w:t>
            </w:r>
          </w:p>
        </w:tc>
        <w:tc>
          <w:tcPr>
            <w:tcW w:w="4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Goodwill</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14,084</w:t>
            </w:r>
          </w:p>
        </w:tc>
        <w:tc>
          <w:tcPr>
            <w:tcW w:w="4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Intangible Assets</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3,239</w:t>
            </w:r>
          </w:p>
        </w:tc>
        <w:tc>
          <w:tcPr>
            <w:tcW w:w="4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Other Assets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47,856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b/>
                <w:i/>
                <w:color w:val="000000"/>
                <w:sz w:val="18"/>
              </w:rPr>
            </w:pPr>
            <w:r>
              <w:rPr>
                <w:rFonts w:ascii="Arial" w:hAnsi="Arial"/>
                <w:b/>
                <w:i/>
                <w:color w:val="000000"/>
                <w:sz w:val="18"/>
              </w:rPr>
              <w:t>LIABILITIES AND EQUITY</w:t>
            </w:r>
          </w:p>
        </w:tc>
        <w:tc>
          <w:tcPr>
            <w:tcW w:w="1095"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411" w:type="dxa"/>
            <w:tcBorders/>
            <w:shd w:fill="CFF0FC" w:val="clear"/>
            <w:vAlign w:val="center"/>
          </w:tcPr>
          <w:p>
            <w:pPr>
              <w:pStyle w:val="TableContents"/>
              <w:bidi w:val="0"/>
              <w:spacing w:before="0" w:after="283"/>
              <w:jc w:val="righ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Current Liabilities</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 and accrued liabilities</w:t>
            </w:r>
          </w:p>
        </w:tc>
        <w:tc>
          <w:tcPr>
            <w:tcW w:w="26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10,904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Estimated liability for taxes on income</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borrowings and current portion of long-term debt</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Dividends payable</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sz w:val="4"/>
                <w:szCs w:val="4"/>
              </w:rPr>
            </w:pPr>
            <w:r>
              <w:rPr>
                <w:sz w:val="4"/>
                <w:szCs w:val="4"/>
              </w:rPr>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12,879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13,395</w:t>
            </w:r>
          </w:p>
        </w:tc>
        <w:tc>
          <w:tcPr>
            <w:tcW w:w="4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Long-term Debt</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10,842</w:t>
            </w:r>
          </w:p>
        </w:tc>
        <w:tc>
          <w:tcPr>
            <w:tcW w:w="4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Postretirement Benefits</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4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Deferred Taxes</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w:t>
            </w:r>
          </w:p>
        </w:tc>
        <w:tc>
          <w:tcPr>
            <w:tcW w:w="4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Other Liabilities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25,933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Equity</w:t>
            </w:r>
          </w:p>
        </w:tc>
        <w:tc>
          <w:tcPr>
            <w:tcW w:w="1095"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Common stock</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11,624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Treasury stock</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(531</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(678</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Retained earnings</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other comprehensive loss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7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SLB stockholders’ equity</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20,736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20,189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Noncontrolling interests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21,923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47,856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Arial" w:hAnsi="Arial"/>
          <w:i/>
          <w:color w:val="000000"/>
          <w:sz w:val="18"/>
        </w:rPr>
        <w:t>See 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u w:val="single"/>
        </w:rPr>
      </w:pPr>
      <w:r>
        <w:rPr>
          <w:rFonts w:ascii="Arial" w:hAnsi="Arial"/>
          <w:b/>
          <w:color w:val="000000"/>
          <w:sz w:val="18"/>
          <w:u w:val="single"/>
        </w:rPr>
        <w:t>SCHLUMBERGER LIMITED AND SUBSIDIARIES</w:t>
      </w:r>
    </w:p>
    <w:p>
      <w:pPr>
        <w:pStyle w:val="TextBody"/>
        <w:bidi w:val="0"/>
        <w:jc w:val="center"/>
        <w:rPr>
          <w:rFonts w:ascii="Arial" w:hAnsi="Arial"/>
          <w:b/>
          <w:color w:val="000000"/>
          <w:sz w:val="18"/>
          <w:u w:val="single"/>
        </w:rPr>
      </w:pPr>
      <w:r>
        <w:rPr>
          <w:rFonts w:ascii="Arial" w:hAnsi="Arial"/>
          <w:b/>
          <w:color w:val="000000"/>
          <w:sz w:val="18"/>
          <w:u w:val="single"/>
        </w:rPr>
        <w:t>CONSOLIDATED STATEMENT OF CASH FLOWS</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62"/>
        <w:gridCol w:w="306"/>
        <w:gridCol w:w="832"/>
        <w:gridCol w:w="241"/>
        <w:gridCol w:w="212"/>
        <w:gridCol w:w="306"/>
        <w:gridCol w:w="832"/>
        <w:gridCol w:w="714"/>
      </w:tblGrid>
      <w:tr>
        <w:trPr/>
        <w:tc>
          <w:tcPr>
            <w:tcW w:w="67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9491"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714" w:type="dxa"/>
            <w:tcBorders/>
            <w:shd w:fill="FFFFFF" w:val="clear"/>
            <w:vAlign w:val="center"/>
          </w:tcPr>
          <w:p>
            <w:pPr>
              <w:pStyle w:val="TableContents"/>
              <w:bidi w:val="0"/>
              <w:spacing w:before="0" w:after="283"/>
              <w:jc w:val="right"/>
              <w:rPr/>
            </w:pPr>
            <w:r>
              <w:rPr/>
              <w:t> </w:t>
            </w:r>
          </w:p>
        </w:tc>
      </w:tr>
      <w:tr>
        <w:trPr/>
        <w:tc>
          <w:tcPr>
            <w:tcW w:w="6762" w:type="dxa"/>
            <w:tcBorders/>
            <w:shd w:fill="FFFFFF" w:val="clear"/>
            <w:vAlign w:val="center"/>
          </w:tcPr>
          <w:p>
            <w:pPr>
              <w:pStyle w:val="TableContents"/>
              <w:bidi w:val="0"/>
              <w:spacing w:before="0" w:after="283"/>
              <w:jc w:val="righ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right"/>
              <w:rPr/>
            </w:pPr>
            <w:r>
              <w:rPr/>
              <w:t> </w:t>
            </w:r>
          </w:p>
        </w:tc>
      </w:tr>
      <w:tr>
        <w:trPr/>
        <w:tc>
          <w:tcPr>
            <w:tcW w:w="6762" w:type="dxa"/>
            <w:tcBorders/>
            <w:shd w:fill="FFFFFF" w:val="cle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FFFFFF" w:val="cle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operating activities:</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714" w:type="dxa"/>
            <w:tcBorders/>
            <w:shd w:fill="CFF0FC" w:val="clear"/>
            <w:vAlign w:val="center"/>
          </w:tcPr>
          <w:p>
            <w:pPr>
              <w:pStyle w:val="TableContents"/>
              <w:bidi w:val="0"/>
              <w:spacing w:before="0" w:after="283"/>
              <w:ind w:left="0" w:right="0" w:firstLine="200"/>
              <w:jc w:val="left"/>
              <w:rPr/>
            </w:pPr>
            <w:r>
              <w:rPr/>
              <w:t> </w:t>
            </w:r>
          </w:p>
        </w:tc>
      </w:tr>
      <w:tr>
        <w:trPr/>
        <w:tc>
          <w:tcPr>
            <w:tcW w:w="676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income</w:t>
            </w:r>
          </w:p>
        </w:tc>
        <w:tc>
          <w:tcPr>
            <w:tcW w:w="30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1,098</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714" w:type="dxa"/>
            <w:tcBorders/>
            <w:shd w:fill="FFFFFF" w:val="clear"/>
            <w:vAlign w:val="center"/>
          </w:tcPr>
          <w:p>
            <w:pPr>
              <w:pStyle w:val="TableContents"/>
              <w:bidi w:val="0"/>
              <w:spacing w:before="0" w:after="283"/>
              <w:ind w:left="0" w:right="0" w:firstLine="200"/>
              <w:jc w:val="left"/>
              <w:rPr/>
            </w:pPr>
            <w:r>
              <w:rPr/>
              <w:t> </w:t>
            </w:r>
          </w:p>
        </w:tc>
      </w:tr>
      <w:tr>
        <w:trPr/>
        <w:tc>
          <w:tcPr>
            <w:tcW w:w="676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Adjustments to reconcile net income to net cash provided by operating activities:</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714" w:type="dxa"/>
            <w:tcBorders/>
            <w:shd w:fill="CFF0FC" w:val="clear"/>
            <w:vAlign w:val="center"/>
          </w:tcPr>
          <w:p>
            <w:pPr>
              <w:pStyle w:val="TableContents"/>
              <w:bidi w:val="0"/>
              <w:spacing w:before="0" w:after="283"/>
              <w:ind w:left="0" w:right="0" w:firstLine="500"/>
              <w:jc w:val="right"/>
              <w:rPr/>
            </w:pPr>
            <w:r>
              <w:rPr/>
              <w:t> </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Charges and credits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14" w:type="dxa"/>
            <w:tcBorders/>
            <w:shd w:fill="FFFFFF"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500" w:right="0" w:firstLine="500"/>
              <w:jc w:val="left"/>
              <w:rPr>
                <w:rFonts w:ascii="Times New Roman" w:hAnsi="Times New Roman"/>
                <w:sz w:val="18"/>
              </w:rPr>
            </w:pPr>
            <w:r>
              <w:rPr>
                <w:rFonts w:ascii="Arial" w:hAnsi="Arial"/>
                <w:color w:val="000000"/>
                <w:sz w:val="18"/>
              </w:rPr>
              <w:t xml:space="preserve">Depreciation and amortization </w:t>
            </w:r>
            <w:r>
              <w:rPr>
                <w:rFonts w:ascii="Arial" w:hAnsi="Arial"/>
                <w:color w:val="000000"/>
                <w:sz w:val="12"/>
              </w:rPr>
              <w:t>(1)</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600</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563</w:t>
            </w:r>
          </w:p>
        </w:tc>
        <w:tc>
          <w:tcPr>
            <w:tcW w:w="714" w:type="dxa"/>
            <w:tcBorders/>
            <w:shd w:fill="CFF0FC" w:val="clear"/>
            <w:vAlign w:val="center"/>
          </w:tcPr>
          <w:p>
            <w:pPr>
              <w:pStyle w:val="TableContents"/>
              <w:bidi w:val="0"/>
              <w:spacing w:before="0" w:after="283"/>
              <w:ind w:left="0" w:right="0" w:firstLine="500"/>
              <w:jc w:val="left"/>
              <w:rPr/>
            </w:pPr>
            <w:r>
              <w:rPr/>
              <w:t> </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Deferred taxes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(30</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714" w:type="dxa"/>
            <w:tcBorders/>
            <w:shd w:fill="FFFFFF" w:val="clear"/>
            <w:vAlign w:val="center"/>
          </w:tcPr>
          <w:p>
            <w:pPr>
              <w:pStyle w:val="TableContents"/>
              <w:bidi w:val="0"/>
              <w:spacing w:before="0" w:after="283"/>
              <w:ind w:left="0" w:right="0" w:firstLine="500"/>
              <w:jc w:val="left"/>
              <w:rPr/>
            </w:pPr>
            <w:r>
              <w:rPr/>
              <w:t> </w:t>
            </w:r>
          </w:p>
        </w:tc>
      </w:tr>
      <w:tr>
        <w:trPr/>
        <w:tc>
          <w:tcPr>
            <w:tcW w:w="6762" w:type="dxa"/>
            <w:tcBorders/>
            <w:shd w:fill="CFF0FC"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Stock-based compensation expense</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100</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714" w:type="dxa"/>
            <w:tcBorders/>
            <w:shd w:fill="CFF0FC" w:val="clear"/>
            <w:vAlign w:val="center"/>
          </w:tcPr>
          <w:p>
            <w:pPr>
              <w:pStyle w:val="TableContents"/>
              <w:bidi w:val="0"/>
              <w:spacing w:before="0" w:after="283"/>
              <w:ind w:left="0" w:right="0" w:firstLine="500"/>
              <w:jc w:val="left"/>
              <w:rPr/>
            </w:pPr>
            <w:r>
              <w:rPr/>
              <w:t> </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Earnings of equity method investments, less dividends received</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714"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200" w:right="0" w:firstLine="200"/>
              <w:jc w:val="left"/>
              <w:rPr>
                <w:rFonts w:ascii="Times New Roman" w:hAnsi="Times New Roman"/>
                <w:sz w:val="18"/>
              </w:rPr>
            </w:pPr>
            <w:r>
              <w:rPr>
                <w:rFonts w:ascii="Arial" w:hAnsi="Arial"/>
                <w:color w:val="000000"/>
                <w:sz w:val="18"/>
              </w:rPr>
              <w:t xml:space="preserve">Change in assets and liabilities: </w:t>
            </w:r>
            <w:r>
              <w:rPr>
                <w:rFonts w:ascii="Arial" w:hAnsi="Arial"/>
                <w:color w:val="000000"/>
                <w:sz w:val="12"/>
              </w:rPr>
              <w:t>(2)</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714" w:type="dxa"/>
            <w:tcBorders/>
            <w:shd w:fill="CFF0FC" w:val="clear"/>
            <w:vAlign w:val="center"/>
          </w:tcPr>
          <w:p>
            <w:pPr>
              <w:pStyle w:val="TableContents"/>
              <w:bidi w:val="0"/>
              <w:spacing w:before="0" w:after="283"/>
              <w:ind w:left="0" w:right="0" w:firstLine="500"/>
              <w:jc w:val="right"/>
              <w:rPr/>
            </w:pPr>
            <w:r>
              <w:rPr/>
              <w:t> </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Increase in receivables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(429</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(509</w:t>
            </w:r>
          </w:p>
        </w:tc>
        <w:tc>
          <w:tcPr>
            <w:tcW w:w="714" w:type="dxa"/>
            <w:tcBorders/>
            <w:shd w:fill="FFFFFF"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Increase in inventories</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(172</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714" w:type="dxa"/>
            <w:tcBorders/>
            <w:shd w:fill="CFF0FC"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Decrease in other current assets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46</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714" w:type="dxa"/>
            <w:tcBorders/>
            <w:shd w:fill="FFFFFF" w:val="clear"/>
            <w:vAlign w:val="center"/>
          </w:tcPr>
          <w:p>
            <w:pPr>
              <w:pStyle w:val="TableContents"/>
              <w:bidi w:val="0"/>
              <w:spacing w:before="0" w:after="283"/>
              <w:ind w:left="0" w:right="0" w:firstLine="500"/>
              <w:jc w:val="left"/>
              <w:rPr/>
            </w:pPr>
            <w:r>
              <w:rPr/>
              <w:t> </w:t>
            </w:r>
          </w:p>
        </w:tc>
      </w:tr>
      <w:tr>
        <w:trPr/>
        <w:tc>
          <w:tcPr>
            <w:tcW w:w="6762" w:type="dxa"/>
            <w:tcBorders/>
            <w:shd w:fill="CFF0FC"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Decrease (increase) in other assets</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714" w:type="dxa"/>
            <w:tcBorders/>
            <w:shd w:fill="CFF0FC"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Decrease in accounts payable and accrued liabilities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(885</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714" w:type="dxa"/>
            <w:tcBorders/>
            <w:shd w:fill="FFFFFF"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Decrease in estimated liability for taxes on income</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(46</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714" w:type="dxa"/>
            <w:tcBorders/>
            <w:shd w:fill="CFF0FC" w:val="cle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500" w:right="0" w:firstLine="500"/>
              <w:jc w:val="left"/>
              <w:rPr>
                <w:rFonts w:ascii="Arial" w:hAnsi="Arial"/>
                <w:color w:val="000000"/>
                <w:sz w:val="18"/>
              </w:rPr>
            </w:pPr>
            <w:r>
              <w:rPr>
                <w:rFonts w:ascii="Arial" w:hAnsi="Arial"/>
                <w:color w:val="000000"/>
                <w:sz w:val="18"/>
              </w:rPr>
              <w:t>Other</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327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investing activities:</w:t>
            </w:r>
          </w:p>
        </w:tc>
        <w:tc>
          <w:tcPr>
            <w:tcW w:w="1138" w:type="dxa"/>
            <w:gridSpan w:val="2"/>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38" w:type="dxa"/>
            <w:gridSpan w:val="2"/>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Capital expenditures</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(399</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(410</w:t>
            </w:r>
          </w:p>
        </w:tc>
        <w:tc>
          <w:tcPr>
            <w:tcW w:w="714" w:type="dxa"/>
            <w:tcBorders/>
            <w:shd w:fill="CFF0FC"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APS investments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(121</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714" w:type="dxa"/>
            <w:tcBorders/>
            <w:shd w:fill="FFFFFF"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Exploration data costs capitalized</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(29</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714" w:type="dxa"/>
            <w:tcBorders/>
            <w:shd w:fill="CFF0FC"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Business acquisitions and investments, net of cash acquired</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714" w:type="dxa"/>
            <w:tcBorders/>
            <w:shd w:fill="FFFFFF"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Proceeds from sale of Liberty shares</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Sale of short-term investments, net</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390</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Other</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financing activities:</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left"/>
              <w:rPr>
                <w:sz w:val="4"/>
                <w:szCs w:val="4"/>
              </w:rPr>
            </w:pPr>
            <w:r>
              <w:rPr>
                <w:sz w:val="4"/>
                <w:szCs w:val="4"/>
              </w:rPr>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Dividends paid</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(357</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714" w:type="dxa"/>
            <w:tcBorders/>
            <w:shd w:fill="FFFFFF"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Proceeds from employee stock purchase plan</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100</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Proceeds from exercise of stock options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Taxes paid on net settled stock-based compensation awards</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(78</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714" w:type="dxa"/>
            <w:tcBorders/>
            <w:shd w:fill="CFF0FC"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Stock repurchase program</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(270</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714" w:type="dxa"/>
            <w:tcBorders/>
            <w:shd w:fill="FFFFFF"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Proceeds from issuance of long-term debt</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345</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Net decrease in short-term borrowings</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714" w:type="dxa"/>
            <w:tcBorders/>
            <w:shd w:fill="FFFFFF" w:val="cle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62" w:type="dxa"/>
            <w:tcBorders/>
            <w:shd w:fill="CFF0FC" w:val="clear"/>
            <w:vAlign w:val="center"/>
          </w:tcPr>
          <w:p>
            <w:pPr>
              <w:pStyle w:val="TableContents"/>
              <w:bidi w:val="0"/>
              <w:spacing w:before="0" w:after="283"/>
              <w:ind w:left="300" w:right="0" w:firstLine="300"/>
              <w:jc w:val="left"/>
              <w:rPr>
                <w:rFonts w:ascii="Arial" w:hAnsi="Arial"/>
                <w:color w:val="000000"/>
                <w:sz w:val="18"/>
              </w:rPr>
            </w:pPr>
            <w:r>
              <w:rPr>
                <w:rFonts w:ascii="Arial" w:hAnsi="Arial"/>
                <w:color w:val="000000"/>
                <w:sz w:val="18"/>
              </w:rPr>
              <w:t>Other</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FINANCING ACTIVITIES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in cash before translation effect</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(91</w:t>
            </w:r>
          </w:p>
        </w:tc>
        <w:tc>
          <w:tcPr>
            <w:tcW w:w="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(155</w:t>
            </w:r>
          </w:p>
        </w:tc>
        <w:tc>
          <w:tcPr>
            <w:tcW w:w="7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Translation effect on cash</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(21</w:t>
            </w:r>
          </w:p>
        </w:tc>
        <w:tc>
          <w:tcPr>
            <w:tcW w:w="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714" w:type="dxa"/>
            <w:tcBorders/>
            <w:shd w:fill="FFFFFF" w:val="clear"/>
            <w:vAlign w:val="center"/>
          </w:tcPr>
          <w:p>
            <w:pPr>
              <w:pStyle w:val="TableContents"/>
              <w:bidi w:val="0"/>
              <w:spacing w:before="0" w:after="283"/>
              <w:jc w:val="left"/>
              <w:rPr/>
            </w:pPr>
            <w:r>
              <w:rPr/>
              <w:t> </w:t>
            </w:r>
          </w:p>
        </w:tc>
      </w:tr>
      <w:tr>
        <w:trPr/>
        <w:tc>
          <w:tcPr>
            <w:tcW w:w="67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beginning of period</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2,900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1,655</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end of period</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2,788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pPr>
      <w:r>
        <w:rPr>
          <w:rFonts w:ascii="Arial" w:hAnsi="Arial"/>
          <w:color w:val="000000"/>
          <w:sz w:val="16"/>
        </w:rPr>
        <w:t>Includes depreciation of fixed assets and amortization of intangible assets, exploration data costs, and APS investments.</w:t>
      </w:r>
      <w:r>
        <w:rPr>
          <w:color w:val="000000"/>
        </w:rPr>
        <w:t xml:space="preserve">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pPr>
      <w:r>
        <w:rPr>
          <w:rFonts w:ascii="Arial" w:hAnsi="Arial"/>
          <w:color w:val="000000"/>
          <w:sz w:val="16"/>
        </w:rPr>
        <w:t>Net of the effect of business acquisitions.</w:t>
      </w:r>
      <w:r>
        <w:rPr>
          <w:color w:val="000000"/>
        </w:rPr>
        <w:t xml:space="preserve"> </w:t>
      </w:r>
    </w:p>
    <w:p>
      <w:pPr>
        <w:pStyle w:val="TextBody"/>
        <w:bidi w:val="0"/>
        <w:jc w:val="left"/>
        <w:rPr/>
      </w:pPr>
      <w:r>
        <w:rPr/>
        <w:t> </w:t>
      </w:r>
    </w:p>
    <w:p>
      <w:pPr>
        <w:pStyle w:val="TextBody"/>
        <w:bidi w:val="0"/>
        <w:jc w:val="both"/>
        <w:rPr>
          <w:rFonts w:ascii="Arial" w:hAnsi="Arial"/>
          <w:i/>
          <w:color w:val="000000"/>
          <w:sz w:val="18"/>
        </w:rPr>
      </w:pPr>
      <w:r>
        <w:rPr>
          <w:rFonts w:ascii="Arial" w:hAnsi="Arial"/>
          <w:i/>
          <w:color w:val="000000"/>
          <w:sz w:val="18"/>
        </w:rPr>
        <w:t>See Notes to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u w:val="single"/>
        </w:rPr>
      </w:pPr>
      <w:r>
        <w:rPr>
          <w:rFonts w:ascii="Arial" w:hAnsi="Arial"/>
          <w:b/>
          <w:color w:val="000000"/>
          <w:sz w:val="18"/>
          <w:u w:val="single"/>
        </w:rPr>
        <w:t>SCHLUMBERGER LIMITED AND SUBSIDIARIES</w:t>
      </w:r>
    </w:p>
    <w:p>
      <w:pPr>
        <w:pStyle w:val="TextBody"/>
        <w:bidi w:val="0"/>
        <w:jc w:val="center"/>
        <w:rPr>
          <w:rFonts w:ascii="Times New Roman" w:hAnsi="Times New Roman"/>
          <w:sz w:val="20"/>
        </w:rPr>
      </w:pPr>
      <w:bookmarkStart w:id="4" w:name="consolidated_statement_stockholders_equi"/>
      <w:bookmarkEnd w:id="4"/>
      <w:r>
        <w:rPr>
          <w:rFonts w:ascii="Arial" w:hAnsi="Arial"/>
          <w:b/>
          <w:color w:val="000000"/>
          <w:sz w:val="18"/>
          <w:u w:val="single"/>
        </w:rPr>
        <w:t>CONSOLIDATED STATEMENT OF STOCKHOLDERS’ EQUITY</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2"/>
        <w:gridCol w:w="146"/>
        <w:gridCol w:w="691"/>
        <w:gridCol w:w="146"/>
        <w:gridCol w:w="971"/>
        <w:gridCol w:w="146"/>
        <w:gridCol w:w="811"/>
        <w:gridCol w:w="146"/>
        <w:gridCol w:w="1351"/>
        <w:gridCol w:w="146"/>
        <w:gridCol w:w="1306"/>
        <w:gridCol w:w="146"/>
        <w:gridCol w:w="737"/>
      </w:tblGrid>
      <w:tr>
        <w:trPr/>
        <w:tc>
          <w:tcPr>
            <w:tcW w:w="3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34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597" w:type="dxa"/>
            <w:gridSpan w:val="11"/>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 except per share amounts)</w:t>
            </w:r>
          </w:p>
        </w:tc>
      </w:tr>
      <w:tr>
        <w:trPr/>
        <w:tc>
          <w:tcPr>
            <w:tcW w:w="34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pPr>
            <w:r>
              <w:rPr/>
              <w:t> </w:t>
            </w:r>
          </w:p>
        </w:tc>
      </w:tr>
      <w:tr>
        <w:trPr/>
        <w:tc>
          <w:tcPr>
            <w:tcW w:w="34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left"/>
              <w:rPr>
                <w:sz w:val="4"/>
                <w:szCs w:val="4"/>
              </w:rPr>
            </w:pPr>
            <w:r>
              <w:rPr>
                <w:sz w:val="4"/>
                <w:szCs w:val="4"/>
              </w:rPr>
            </w:r>
          </w:p>
        </w:tc>
      </w:tr>
      <w:tr>
        <w:trPr/>
        <w:tc>
          <w:tcPr>
            <w:tcW w:w="34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left"/>
              <w:rPr>
                <w:sz w:val="4"/>
                <w:szCs w:val="4"/>
              </w:rPr>
            </w:pPr>
            <w:r>
              <w:rPr>
                <w:sz w:val="4"/>
                <w:szCs w:val="4"/>
              </w:rPr>
            </w:r>
          </w:p>
        </w:tc>
      </w:tr>
      <w:tr>
        <w:trPr/>
        <w:tc>
          <w:tcPr>
            <w:tcW w:w="34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left"/>
              <w:rPr>
                <w:sz w:val="4"/>
                <w:szCs w:val="4"/>
              </w:rPr>
            </w:pPr>
            <w:r>
              <w:rPr>
                <w:sz w:val="4"/>
                <w:szCs w:val="4"/>
              </w:rPr>
            </w:r>
          </w:p>
        </w:tc>
      </w:tr>
      <w:tr>
        <w:trPr/>
        <w:tc>
          <w:tcPr>
            <w:tcW w:w="3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January 1, 2024 –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 January 1, 2024</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$11,624</w:t>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$(678)</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$13,497</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$1,170</w:t>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$21,359</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1,098</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Currency translation adjustments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Changes in fair value of cash flow hedges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Pension and other postretirement benefit plans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Shares sold to optionees, less shares exchanged</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net of taxes withheld</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(338)</w:t>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260</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 repurchase program</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4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r>
      <w:tr>
        <w:trPr/>
        <w:tc>
          <w:tcPr>
            <w:tcW w:w="346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6"/>
              </w:rPr>
              <w:t>Dividends declared ($0.275</w:t>
            </w:r>
            <w:r>
              <w:rPr>
                <w:rFonts w:ascii="Times New Roman" w:hAnsi="Times New Roman"/>
                <w:color w:val="000000"/>
                <w:sz w:val="20"/>
              </w:rPr>
              <w:t> </w:t>
            </w:r>
            <w:r>
              <w:rPr>
                <w:rFonts w:ascii="Arial" w:hAnsi="Arial"/>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(393)</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(393)</w:t>
            </w:r>
          </w:p>
        </w:tc>
      </w:tr>
      <w:tr>
        <w:trPr/>
        <w:tc>
          <w:tcPr>
            <w:tcW w:w="34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r>
      <w:tr>
        <w:trPr/>
        <w:tc>
          <w:tcPr>
            <w:tcW w:w="34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 March 31, 2024</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$21,923</w:t>
            </w:r>
          </w:p>
        </w:tc>
      </w:tr>
    </w:tbl>
    <w:p>
      <w:pPr>
        <w:pStyle w:val="TextBody"/>
        <w:bidi w:val="0"/>
        <w:jc w:val="left"/>
        <w:rPr/>
      </w:pPr>
      <w:r>
        <w:rPr/>
        <w:t> </w:t>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3721"/>
        <w:gridCol w:w="146"/>
        <w:gridCol w:w="691"/>
        <w:gridCol w:w="146"/>
        <w:gridCol w:w="961"/>
        <w:gridCol w:w="146"/>
        <w:gridCol w:w="751"/>
        <w:gridCol w:w="146"/>
        <w:gridCol w:w="1261"/>
        <w:gridCol w:w="146"/>
        <w:gridCol w:w="1141"/>
        <w:gridCol w:w="146"/>
        <w:gridCol w:w="73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pPr>
            <w:r>
              <w:rPr/>
              <w:t> </w:t>
            </w:r>
          </w:p>
        </w:tc>
      </w:tr>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January 1, 2023 – 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Total</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 January 1, 2023</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$11,837</w:t>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$(1,016)</w:t>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$10,719</w:t>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$(3,855)</w:t>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$304</w:t>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$17,989</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934</w:t>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944</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Currency translation adjustments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Changes in fair value of cash flow hedges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Pension and other postretirement benefit plans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Shares sold to optionees, less shares exchanged</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net of taxes withheld</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(503)</w:t>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415</w:t>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209</w:t>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 repurchase program</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(230)</w:t>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(230)</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r>
      <w:tr>
        <w:trPr/>
        <w:tc>
          <w:tcPr>
            <w:tcW w:w="372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6"/>
              </w:rPr>
              <w:t>Dividends declared ($0.25</w:t>
            </w:r>
            <w:r>
              <w:rPr>
                <w:rFonts w:ascii="Times New Roman" w:hAnsi="Times New Roman"/>
                <w:color w:val="000000"/>
                <w:sz w:val="20"/>
              </w:rPr>
              <w:t> </w:t>
            </w:r>
            <w:r>
              <w:rPr>
                <w:rFonts w:ascii="Arial" w:hAnsi="Arial"/>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9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r>
      <w:tr>
        <w:trPr/>
        <w:tc>
          <w:tcPr>
            <w:tcW w:w="37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Dividends paid to noncontrolling interest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shd w:fill="FFFFFF" w:val="clear"/>
            <w:vAlign w:val="center"/>
          </w:tcPr>
          <w:p>
            <w:pPr>
              <w:pStyle w:val="TableContents"/>
              <w:bidi w:val="0"/>
              <w:spacing w:before="0" w:after="283"/>
              <w:jc w:val="righ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r>
      <w:tr>
        <w:trPr/>
        <w:tc>
          <w:tcPr>
            <w:tcW w:w="37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 March 31, 2023</w:t>
            </w:r>
          </w:p>
        </w:tc>
        <w:tc>
          <w:tcPr>
            <w:tcW w:w="146" w:type="dxa"/>
            <w:tcBorders/>
            <w:shd w:fill="CFF0FC" w:val="cle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2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$18,380</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8"/>
          <w:u w:val="single"/>
        </w:rPr>
        <w:t>SHARES OF COMMON STOCK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(Unaudited)</w:t>
      </w:r>
      <w:r>
        <w:rPr>
          <w:rFonts w:ascii="Times New Roman" w:hAnsi="Times New Roman"/>
          <w:color w:val="000000"/>
          <w:sz w:val="20"/>
        </w:rPr>
        <w:t xml:space="preserve"> </w:t>
      </w:r>
    </w:p>
    <w:p>
      <w:pPr>
        <w:pStyle w:val="TextBody"/>
        <w:bidi w:val="0"/>
        <w:jc w:val="left"/>
        <w:rPr/>
      </w:pPr>
      <w:r>
        <w:rPr/>
        <w:t> </w:t>
      </w:r>
    </w:p>
    <w:tbl>
      <w:tblPr>
        <w:tblW w:w="8104" w:type="dxa"/>
        <w:jc w:val="left"/>
        <w:tblInd w:w="0" w:type="dxa"/>
        <w:tblLayout w:type="fixed"/>
        <w:tblCellMar>
          <w:top w:w="28" w:type="dxa"/>
          <w:left w:w="28" w:type="dxa"/>
          <w:bottom w:w="28" w:type="dxa"/>
          <w:right w:w="28" w:type="dxa"/>
        </w:tblCellMar>
      </w:tblPr>
      <w:tblGrid>
        <w:gridCol w:w="4351"/>
        <w:gridCol w:w="146"/>
        <w:gridCol w:w="571"/>
        <w:gridCol w:w="146"/>
        <w:gridCol w:w="146"/>
        <w:gridCol w:w="301"/>
        <w:gridCol w:w="779"/>
        <w:gridCol w:w="166"/>
        <w:gridCol w:w="146"/>
        <w:gridCol w:w="231"/>
        <w:gridCol w:w="910"/>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2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211" w:type="dxa"/>
            <w:tcBorders/>
            <w:shd w:fill="FFFFFF" w:val="cle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January 1, 2024</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21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1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Shares issued under employee stock purchase plan</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 repurchase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See Notes to Consolidated Financial Statements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u w:val="single"/>
        </w:rPr>
        <w:t>SCHLUMBERGER LIMITED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b/>
          <w:color w:val="000000"/>
          <w:sz w:val="18"/>
          <w:u w:val="single"/>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 xml:space="preserve">1. </w:t>
      </w:r>
      <w:r>
        <w:rPr>
          <w:rFonts w:ascii="Arial" w:hAnsi="Arial"/>
          <w:b/>
          <w:color w:val="000000"/>
          <w:sz w:val="18"/>
          <w:u w:val="single"/>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2024 are not necessarily indicative of the results that may be expected for the full year ending December 31, 2024. The December 31, 2023 balance sheet information has been derived from the SLB 2023 audited financial statements. For further information, refer to the </w:t>
      </w:r>
      <w:r>
        <w:rPr>
          <w:rFonts w:ascii="Arial" w:hAnsi="Arial"/>
          <w:i/>
          <w:color w:val="000000"/>
          <w:sz w:val="18"/>
        </w:rPr>
        <w:t>Consolidated Financial Statements</w:t>
      </w:r>
      <w:r>
        <w:rPr>
          <w:rFonts w:ascii="Times New Roman" w:hAnsi="Times New Roman"/>
          <w:color w:val="000000"/>
          <w:sz w:val="20"/>
        </w:rPr>
        <w:t xml:space="preserve"> </w:t>
      </w:r>
      <w:r>
        <w:rPr>
          <w:rFonts w:ascii="Arial" w:hAnsi="Arial"/>
          <w:color w:val="000000"/>
          <w:sz w:val="18"/>
        </w:rPr>
        <w:t>and notes thereto included in the SLB Annual Report on Form 10-K for the year ended December 31, 2023, filed with the Securities and Exchange Commission on January 24, 2024.</w:t>
      </w:r>
    </w:p>
    <w:p>
      <w:pPr>
        <w:pStyle w:val="TextBody"/>
        <w:bidi w:val="0"/>
        <w:jc w:val="both"/>
        <w:rPr/>
      </w:pPr>
      <w:r>
        <w:rPr/>
        <w:t> </w:t>
      </w:r>
    </w:p>
    <w:p>
      <w:pPr>
        <w:pStyle w:val="TextBody"/>
        <w:bidi w:val="0"/>
        <w:jc w:val="both"/>
        <w:rPr>
          <w:rFonts w:ascii="Arial" w:hAnsi="Arial"/>
          <w:i/>
          <w:color w:val="000000"/>
          <w:sz w:val="18"/>
        </w:rPr>
      </w:pPr>
      <w:r>
        <w:rPr>
          <w:rFonts w:ascii="Arial" w:hAnsi="Arial"/>
          <w:i/>
          <w:color w:val="000000"/>
          <w:sz w:val="18"/>
        </w:rPr>
        <w:t>Recently Announced Transaction</w:t>
      </w:r>
    </w:p>
    <w:p>
      <w:pPr>
        <w:pStyle w:val="TextBody"/>
        <w:bidi w:val="0"/>
        <w:spacing w:before="120" w:after="283"/>
        <w:jc w:val="both"/>
        <w:rPr>
          <w:rFonts w:ascii="Times New Roman" w:hAnsi="Times New Roman"/>
          <w:sz w:val="20"/>
        </w:rPr>
      </w:pPr>
      <w:r>
        <w:rPr>
          <w:rFonts w:ascii="Arial" w:hAnsi="Arial"/>
          <w:color w:val="000000"/>
          <w:sz w:val="18"/>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w:t>
      </w:r>
      <w:r>
        <w:rPr>
          <w:rFonts w:ascii="Times New Roman" w:hAnsi="Times New Roman"/>
          <w:color w:val="000000"/>
          <w:sz w:val="20"/>
        </w:rPr>
        <w:t xml:space="preserve"> </w:t>
      </w:r>
      <w:r>
        <w:rPr>
          <w:rFonts w:ascii="Arial" w:hAnsi="Arial"/>
          <w:color w:val="000000"/>
          <w:sz w:val="18"/>
        </w:rPr>
        <w:t>shares of SLB common stock in exchange for each ChampionX share. At the closing of the transaction ChampionX shareholders will own approximately 9% of SLB's outstanding shares of common stock. ChampionX reported revenue of approximately $3.8</w:t>
      </w:r>
      <w:r>
        <w:rPr>
          <w:rFonts w:ascii="Times New Roman" w:hAnsi="Times New Roman"/>
          <w:color w:val="000000"/>
          <w:sz w:val="20"/>
        </w:rPr>
        <w:t xml:space="preserve"> </w:t>
      </w:r>
      <w:r>
        <w:rPr>
          <w:rFonts w:ascii="Arial" w:hAnsi="Arial"/>
          <w:color w:val="000000"/>
          <w:sz w:val="18"/>
        </w:rPr>
        <w:t>billion in 2023. The transaction is subject to ChampionX stockholder approval, regulatory approvals and other customary closing conditions. It is anticipated that the closing of the transaction will occur before the end of 2024.</w:t>
      </w:r>
    </w:p>
    <w:p>
      <w:pPr>
        <w:pStyle w:val="TextBody"/>
        <w:bidi w:val="0"/>
        <w:spacing w:before="240" w:after="283"/>
        <w:jc w:val="both"/>
        <w:rPr>
          <w:rFonts w:ascii="Times New Roman" w:hAnsi="Times New Roman"/>
          <w:sz w:val="20"/>
        </w:rPr>
      </w:pPr>
      <w:r>
        <w:rPr>
          <w:rFonts w:ascii="Arial" w:hAnsi="Arial"/>
          <w:b/>
          <w:color w:val="000000"/>
          <w:sz w:val="18"/>
        </w:rPr>
        <w:t xml:space="preserve">2. </w:t>
      </w:r>
      <w:r>
        <w:rPr>
          <w:rFonts w:ascii="Arial" w:hAnsi="Arial"/>
          <w:b/>
          <w:color w:val="000000"/>
          <w:sz w:val="18"/>
          <w:u w:val="single"/>
        </w:rPr>
        <w:t>Charges and Credits</w:t>
      </w:r>
    </w:p>
    <w:p>
      <w:pPr>
        <w:pStyle w:val="TextBody"/>
        <w:bidi w:val="0"/>
        <w:spacing w:before="120" w:after="283"/>
        <w:jc w:val="both"/>
        <w:rPr>
          <w:rFonts w:ascii="Arial" w:hAnsi="Arial"/>
          <w:b/>
          <w:color w:val="000000"/>
          <w:sz w:val="18"/>
        </w:rPr>
      </w:pPr>
      <w:r>
        <w:rPr>
          <w:rFonts w:ascii="Arial" w:hAnsi="Arial"/>
          <w:b/>
          <w:color w:val="000000"/>
          <w:sz w:val="18"/>
        </w:rPr>
        <w:t>2024</w:t>
      </w:r>
    </w:p>
    <w:p>
      <w:pPr>
        <w:pStyle w:val="TextBody"/>
        <w:bidi w:val="0"/>
        <w:spacing w:before="120" w:after="283"/>
        <w:jc w:val="both"/>
        <w:rPr>
          <w:rFonts w:ascii="Times New Roman" w:hAnsi="Times New Roman"/>
          <w:sz w:val="20"/>
        </w:rPr>
      </w:pPr>
      <w:r>
        <w:rPr>
          <w:rFonts w:ascii="Arial" w:hAnsi="Arial"/>
          <w:color w:val="000000"/>
          <w:sz w:val="18"/>
        </w:rPr>
        <w:t>In connection with SLB's October 2023 acquisition of the Aker Solutions ("Aker") subsea business, SLB recorded $25</w:t>
      </w:r>
      <w:r>
        <w:rPr>
          <w:rFonts w:ascii="Times New Roman" w:hAnsi="Times New Roman"/>
          <w:color w:val="000000"/>
          <w:sz w:val="20"/>
        </w:rPr>
        <w:t xml:space="preserve"> </w:t>
      </w:r>
      <w:r>
        <w:rPr>
          <w:rFonts w:ascii="Arial" w:hAnsi="Arial"/>
          <w:color w:val="000000"/>
          <w:sz w:val="18"/>
        </w:rPr>
        <w:t>million of pretax charges during the first quarter of 2024 consisting of: $14</w:t>
      </w:r>
      <w:r>
        <w:rPr>
          <w:rFonts w:ascii="Times New Roman" w:hAnsi="Times New Roman"/>
          <w:color w:val="000000"/>
          <w:sz w:val="20"/>
        </w:rPr>
        <w:t xml:space="preserve"> </w:t>
      </w:r>
      <w:r>
        <w:rPr>
          <w:rFonts w:ascii="Arial" w:hAnsi="Arial"/>
          <w:color w:val="000000"/>
          <w:sz w:val="18"/>
        </w:rPr>
        <w:t>million relating to the amortization of purchase accounting adjustments associated with the write-up of acquired inventories to its estimated fair value and $11</w:t>
      </w:r>
      <w:r>
        <w:rPr>
          <w:rFonts w:ascii="Times New Roman" w:hAnsi="Times New Roman"/>
          <w:color w:val="000000"/>
          <w:sz w:val="20"/>
        </w:rPr>
        <w:t xml:space="preserve"> </w:t>
      </w:r>
      <w:r>
        <w:rPr>
          <w:rFonts w:ascii="Arial" w:hAnsi="Arial"/>
          <w:color w:val="000000"/>
          <w:sz w:val="18"/>
        </w:rPr>
        <w:t>million of other merger and integration-related costs. $14</w:t>
      </w:r>
      <w:r>
        <w:rPr>
          <w:rFonts w:ascii="Times New Roman" w:hAnsi="Times New Roman"/>
          <w:color w:val="000000"/>
          <w:sz w:val="20"/>
        </w:rPr>
        <w:t xml:space="preserve"> </w:t>
      </w:r>
      <w:r>
        <w:rPr>
          <w:rFonts w:ascii="Arial" w:hAnsi="Arial"/>
          <w:color w:val="000000"/>
          <w:sz w:val="18"/>
        </w:rPr>
        <w:t xml:space="preserve">million of these costs are classified in </w:t>
      </w:r>
      <w:r>
        <w:rPr>
          <w:rFonts w:ascii="Arial" w:hAnsi="Arial"/>
          <w:i/>
          <w:color w:val="000000"/>
          <w:sz w:val="18"/>
        </w:rPr>
        <w:t>Cost of Sales</w:t>
      </w:r>
      <w:r>
        <w:rPr>
          <w:rFonts w:ascii="Times New Roman" w:hAnsi="Times New Roman"/>
          <w:color w:val="000000"/>
          <w:sz w:val="20"/>
        </w:rPr>
        <w:t xml:space="preserve"> </w:t>
      </w:r>
      <w:r>
        <w:rPr>
          <w:rFonts w:ascii="Arial" w:hAnsi="Arial"/>
          <w:color w:val="000000"/>
          <w:sz w:val="18"/>
        </w:rPr>
        <w:t xml:space="preserve">in the </w:t>
      </w:r>
      <w:r>
        <w:rPr>
          <w:rFonts w:ascii="Arial" w:hAnsi="Arial"/>
          <w:i/>
          <w:color w:val="000000"/>
          <w:sz w:val="18"/>
        </w:rPr>
        <w:t>Consolidated Statement of Income</w:t>
      </w:r>
      <w:r>
        <w:rPr>
          <w:rFonts w:ascii="Arial" w:hAnsi="Arial"/>
          <w:color w:val="000000"/>
          <w:sz w:val="18"/>
        </w:rPr>
        <w:t>, with the remaining $11</w:t>
      </w:r>
      <w:r>
        <w:rPr>
          <w:rFonts w:ascii="Times New Roman" w:hAnsi="Times New Roman"/>
          <w:color w:val="000000"/>
          <w:sz w:val="20"/>
        </w:rPr>
        <w:t xml:space="preserve"> </w:t>
      </w:r>
      <w:r>
        <w:rPr>
          <w:rFonts w:ascii="Arial" w:hAnsi="Arial"/>
          <w:color w:val="000000"/>
          <w:sz w:val="18"/>
        </w:rPr>
        <w:t>million classified in</w:t>
      </w:r>
      <w:r>
        <w:rPr>
          <w:rFonts w:ascii="Times New Roman" w:hAnsi="Times New Roman"/>
          <w:color w:val="000000"/>
          <w:sz w:val="20"/>
        </w:rPr>
        <w:t xml:space="preserve"> </w:t>
      </w:r>
      <w:r>
        <w:rPr>
          <w:rFonts w:ascii="Arial" w:hAnsi="Arial"/>
          <w:i/>
          <w:color w:val="000000"/>
          <w:sz w:val="18"/>
        </w:rPr>
        <w:t>Merger &amp; integration</w:t>
      </w:r>
      <w:r>
        <w:rPr>
          <w:rFonts w:ascii="Arial" w:hAnsi="Arial"/>
          <w:color w:val="000000"/>
          <w:sz w:val="18"/>
        </w:rPr>
        <w:t>.</w:t>
      </w:r>
    </w:p>
    <w:p>
      <w:pPr>
        <w:pStyle w:val="TextBody"/>
        <w:bidi w:val="0"/>
        <w:jc w:val="both"/>
        <w:rPr/>
      </w:pPr>
      <w:r>
        <w:rPr/>
        <w:t> </w:t>
      </w:r>
    </w:p>
    <w:tbl>
      <w:tblPr>
        <w:tblW w:w="7591" w:type="dxa"/>
        <w:jc w:val="left"/>
        <w:tblInd w:w="0" w:type="dxa"/>
        <w:tblLayout w:type="fixed"/>
        <w:tblCellMar>
          <w:top w:w="28" w:type="dxa"/>
          <w:left w:w="28" w:type="dxa"/>
          <w:bottom w:w="28" w:type="dxa"/>
          <w:right w:w="28" w:type="dxa"/>
        </w:tblCellMar>
      </w:tblPr>
      <w:tblGrid>
        <w:gridCol w:w="2181"/>
        <w:gridCol w:w="515"/>
        <w:gridCol w:w="775"/>
        <w:gridCol w:w="146"/>
        <w:gridCol w:w="146"/>
        <w:gridCol w:w="510"/>
        <w:gridCol w:w="510"/>
        <w:gridCol w:w="146"/>
        <w:gridCol w:w="146"/>
        <w:gridCol w:w="653"/>
        <w:gridCol w:w="653"/>
        <w:gridCol w:w="146"/>
        <w:gridCol w:w="146"/>
        <w:gridCol w:w="211"/>
        <w:gridCol w:w="316"/>
        <w:gridCol w:w="391"/>
      </w:tblGrid>
      <w:tr>
        <w:trPr/>
        <w:tc>
          <w:tcPr>
            <w:tcW w:w="218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vAlign w:val="center"/>
          </w:tcPr>
          <w:p>
            <w:pPr>
              <w:pStyle w:val="TableContents"/>
              <w:bidi w:val="0"/>
              <w:spacing w:before="0" w:after="283"/>
              <w:jc w:val="left"/>
              <w:rPr/>
            </w:pPr>
            <w:r>
              <w:rPr/>
              <w:t> </w:t>
            </w:r>
          </w:p>
        </w:tc>
        <w:tc>
          <w:tcPr>
            <w:tcW w:w="5019" w:type="dxa"/>
            <w:gridSpan w:val="14"/>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391" w:type="dxa"/>
            <w:tcBorders/>
            <w:shd w:fill="FFFFFF" w:val="clear"/>
            <w:vAlign w:val="center"/>
          </w:tcPr>
          <w:p>
            <w:pPr>
              <w:pStyle w:val="TableContents"/>
              <w:bidi w:val="0"/>
              <w:spacing w:before="0" w:after="283"/>
              <w:jc w:val="righ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Pretax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Merger and integration</w:t>
            </w:r>
          </w:p>
        </w:tc>
        <w:tc>
          <w:tcPr>
            <w:tcW w:w="5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color w:val="000000"/>
          <w:sz w:val="18"/>
        </w:rPr>
      </w:pPr>
      <w:r>
        <w:rPr>
          <w:rFonts w:ascii="Arial" w:hAnsi="Arial"/>
          <w:b/>
          <w:color w:val="000000"/>
          <w:sz w:val="18"/>
        </w:rPr>
        <w:t>2023</w:t>
      </w:r>
    </w:p>
    <w:p>
      <w:pPr>
        <w:pStyle w:val="TextBody"/>
        <w:bidi w:val="0"/>
        <w:spacing w:before="120" w:after="283"/>
        <w:jc w:val="both"/>
        <w:rPr>
          <w:rFonts w:ascii="Times New Roman" w:hAnsi="Times New Roman"/>
          <w:sz w:val="20"/>
        </w:rPr>
      </w:pPr>
      <w:r>
        <w:rPr>
          <w:rFonts w:ascii="Arial" w:hAnsi="Arial"/>
          <w:color w:val="000000"/>
          <w:sz w:val="18"/>
        </w:rPr>
        <w:t>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w:t>
      </w:r>
      <w:r>
        <w:rPr>
          <w:rFonts w:ascii="Times New Roman" w:hAnsi="Times New Roman"/>
          <w:color w:val="000000"/>
          <w:sz w:val="20"/>
        </w:rPr>
        <w:t xml:space="preserve"> </w:t>
      </w:r>
      <w:r>
        <w:rPr>
          <w:rFonts w:ascii="Arial" w:hAnsi="Arial"/>
          <w:color w:val="000000"/>
          <w:sz w:val="18"/>
        </w:rPr>
        <w:t>million shares of Liberty and received net proceeds of $137</w:t>
      </w:r>
      <w:r>
        <w:rPr>
          <w:rFonts w:ascii="Times New Roman" w:hAnsi="Times New Roman"/>
          <w:color w:val="000000"/>
          <w:sz w:val="20"/>
        </w:rPr>
        <w:t xml:space="preserve"> </w:t>
      </w:r>
      <w:r>
        <w:rPr>
          <w:rFonts w:ascii="Arial" w:hAnsi="Arial"/>
          <w:color w:val="000000"/>
          <w:sz w:val="18"/>
        </w:rPr>
        <w:t>million. As a result, SLB recognized a pretax gain of $36</w:t>
      </w:r>
      <w:r>
        <w:rPr>
          <w:rFonts w:ascii="Times New Roman" w:hAnsi="Times New Roman"/>
          <w:color w:val="000000"/>
          <w:sz w:val="20"/>
        </w:rPr>
        <w:t xml:space="preserve"> </w:t>
      </w:r>
      <w:r>
        <w:rPr>
          <w:rFonts w:ascii="Arial" w:hAnsi="Arial"/>
          <w:color w:val="000000"/>
          <w:sz w:val="18"/>
        </w:rPr>
        <w:t>million ($28</w:t>
      </w:r>
      <w:r>
        <w:rPr>
          <w:rFonts w:ascii="Times New Roman" w:hAnsi="Times New Roman"/>
          <w:color w:val="000000"/>
          <w:sz w:val="20"/>
        </w:rPr>
        <w:t xml:space="preserve"> </w:t>
      </w:r>
      <w:r>
        <w:rPr>
          <w:rFonts w:ascii="Arial" w:hAnsi="Arial"/>
          <w:color w:val="000000"/>
          <w:sz w:val="18"/>
        </w:rPr>
        <w:t xml:space="preserve">million after-tax) which is classified in </w:t>
      </w:r>
      <w:r>
        <w:rPr>
          <w:rFonts w:ascii="Arial" w:hAnsi="Arial"/>
          <w:i/>
          <w:color w:val="000000"/>
          <w:sz w:val="18"/>
        </w:rPr>
        <w:t xml:space="preserve">Interest &amp; other income </w:t>
      </w:r>
      <w:r>
        <w:rPr>
          <w:rFonts w:ascii="Arial" w:hAnsi="Arial"/>
          <w:color w:val="000000"/>
          <w:sz w:val="18"/>
        </w:rPr>
        <w:t xml:space="preserve">in the </w:t>
      </w:r>
      <w:r>
        <w:rPr>
          <w:rFonts w:ascii="Arial" w:hAnsi="Arial"/>
          <w:i/>
          <w:color w:val="000000"/>
          <w:sz w:val="18"/>
        </w:rPr>
        <w:t>Consolidated Statement of Income.</w:t>
      </w:r>
    </w:p>
    <w:p>
      <w:pPr>
        <w:pStyle w:val="TextBody"/>
        <w:bidi w:val="0"/>
        <w:spacing w:before="240" w:after="283"/>
        <w:jc w:val="both"/>
        <w:rPr>
          <w:rFonts w:ascii="Times New Roman" w:hAnsi="Times New Roman"/>
          <w:sz w:val="20"/>
        </w:rPr>
      </w:pPr>
      <w:r>
        <w:rPr>
          <w:rFonts w:ascii="Arial" w:hAnsi="Arial"/>
          <w:b/>
          <w:color w:val="000000"/>
          <w:sz w:val="18"/>
        </w:rPr>
        <w:t xml:space="preserve">3. </w:t>
      </w:r>
      <w:r>
        <w:rPr>
          <w:rFonts w:ascii="Arial" w:hAnsi="Arial"/>
          <w:b/>
          <w:color w:val="000000"/>
          <w:sz w:val="18"/>
          <w:u w:val="single"/>
        </w:rPr>
        <w:t>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The following is a reconciliation from basic earnings per share of SLB to diluted earnings per share of SLB:</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2"/>
        <w:gridCol w:w="299"/>
        <w:gridCol w:w="812"/>
        <w:gridCol w:w="146"/>
        <w:gridCol w:w="146"/>
        <w:gridCol w:w="232"/>
        <w:gridCol w:w="909"/>
        <w:gridCol w:w="146"/>
        <w:gridCol w:w="146"/>
        <w:gridCol w:w="330"/>
        <w:gridCol w:w="732"/>
        <w:gridCol w:w="146"/>
        <w:gridCol w:w="146"/>
        <w:gridCol w:w="345"/>
        <w:gridCol w:w="691"/>
        <w:gridCol w:w="146"/>
        <w:gridCol w:w="146"/>
        <w:gridCol w:w="223"/>
        <w:gridCol w:w="873"/>
        <w:gridCol w:w="146"/>
        <w:gridCol w:w="146"/>
        <w:gridCol w:w="319"/>
        <w:gridCol w:w="705"/>
        <w:gridCol w:w="193"/>
      </w:tblGrid>
      <w:tr>
        <w:trPr/>
        <w:tc>
          <w:tcPr>
            <w:tcW w:w="20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82" w:type="dxa"/>
            <w:tcBorders/>
            <w:shd w:fill="FFFFFF" w:val="clear"/>
            <w:vAlign w:val="center"/>
          </w:tcPr>
          <w:p>
            <w:pPr>
              <w:pStyle w:val="TableContents"/>
              <w:bidi w:val="0"/>
              <w:spacing w:before="0" w:after="283"/>
              <w:jc w:val="left"/>
              <w:rPr/>
            </w:pPr>
            <w:r>
              <w:rPr/>
              <w:t> </w:t>
            </w:r>
          </w:p>
        </w:tc>
        <w:tc>
          <w:tcPr>
            <w:tcW w:w="7930" w:type="dxa"/>
            <w:gridSpan w:val="22"/>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 except per share amounts)</w:t>
            </w:r>
          </w:p>
        </w:tc>
        <w:tc>
          <w:tcPr>
            <w:tcW w:w="193" w:type="dxa"/>
            <w:tcBorders/>
            <w:shd w:fill="FFFFFF" w:val="clear"/>
            <w:vAlign w:val="center"/>
          </w:tcPr>
          <w:p>
            <w:pPr>
              <w:pStyle w:val="TableContents"/>
              <w:bidi w:val="0"/>
              <w:spacing w:before="0" w:after="283"/>
              <w:jc w:val="right"/>
              <w:rPr/>
            </w:pPr>
            <w:r>
              <w:rPr/>
              <w:t> </w:t>
            </w:r>
          </w:p>
        </w:tc>
      </w:tr>
      <w:tr>
        <w:trPr/>
        <w:tc>
          <w:tcPr>
            <w:tcW w:w="2082" w:type="dxa"/>
            <w:tcBorders/>
            <w:shd w:fill="FFFFFF" w:val="clear"/>
            <w:vAlign w:val="center"/>
          </w:tcPr>
          <w:p>
            <w:pPr>
              <w:pStyle w:val="TableContents"/>
              <w:bidi w:val="0"/>
              <w:spacing w:before="0" w:after="283"/>
              <w:jc w:val="righ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2082" w:type="dxa"/>
            <w:tcBorders/>
            <w:shd w:fill="FFFFFF" w:val="clear"/>
            <w:vAlign w:val="center"/>
          </w:tcPr>
          <w:p>
            <w:pPr>
              <w:pStyle w:val="TableContents"/>
              <w:bidi w:val="0"/>
              <w:spacing w:before="0" w:after="283"/>
              <w:jc w:val="left"/>
              <w:rPr/>
            </w:pPr>
            <w:r>
              <w:rPr/>
              <w:t> </w:t>
            </w:r>
          </w:p>
        </w:tc>
        <w:tc>
          <w:tcPr>
            <w:tcW w:w="38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2"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Income</w:t>
              <w:br/>
              <w:t>Attributable</w:t>
              <w:br/>
              <w:t>to SLB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Average </w:t>
              <w:b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Earnings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Net Income</w:t>
              <w:br/>
              <w:t>Attributable</w:t>
              <w:br/>
              <w:t>to SLB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 xml:space="preserve">Average </w:t>
              <w:b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Earnings per</w:t>
              <w:br/>
              <w:t>Share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2" w:type="dxa"/>
            <w:tcBorders/>
            <w:shd w:fill="CFF0FC" w:val="cle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First Quarter</w:t>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left"/>
              <w:rPr>
                <w:sz w:val="4"/>
                <w:szCs w:val="4"/>
              </w:rPr>
            </w:pPr>
            <w:r>
              <w:rPr>
                <w:sz w:val="4"/>
                <w:szCs w:val="4"/>
              </w:rPr>
            </w:r>
          </w:p>
        </w:tc>
        <w:tc>
          <w:tcPr>
            <w:tcW w:w="193" w:type="dxa"/>
            <w:tcBorders/>
            <w:shd w:fill="CFF0FC" w:val="clear"/>
            <w:vAlign w:val="center"/>
          </w:tcPr>
          <w:p>
            <w:pPr>
              <w:pStyle w:val="TableContents"/>
              <w:bidi w:val="0"/>
              <w:spacing w:before="0" w:after="283"/>
              <w:jc w:val="left"/>
              <w:rPr/>
            </w:pPr>
            <w:r>
              <w:rPr/>
              <w:t> </w:t>
            </w:r>
          </w:p>
        </w:tc>
      </w:tr>
      <w:tr>
        <w:trPr/>
        <w:tc>
          <w:tcPr>
            <w:tcW w:w="20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Basic</w:t>
            </w:r>
          </w:p>
        </w:tc>
        <w:tc>
          <w:tcPr>
            <w:tcW w:w="299"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12"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Assumed exercise of stock options</w:t>
            </w:r>
          </w:p>
        </w:tc>
        <w:tc>
          <w:tcPr>
            <w:tcW w:w="299"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left"/>
              <w:rPr>
                <w:sz w:val="4"/>
                <w:szCs w:val="4"/>
              </w:rPr>
            </w:pPr>
            <w:r>
              <w:rPr>
                <w:sz w:val="4"/>
                <w:szCs w:val="4"/>
              </w:rPr>
            </w:r>
          </w:p>
        </w:tc>
        <w:tc>
          <w:tcPr>
            <w:tcW w:w="193" w:type="dxa"/>
            <w:tcBorders/>
            <w:shd w:fill="CFF0FC" w:val="clear"/>
            <w:vAlign w:val="center"/>
          </w:tcPr>
          <w:p>
            <w:pPr>
              <w:pStyle w:val="TableContents"/>
              <w:bidi w:val="0"/>
              <w:spacing w:before="0" w:after="283"/>
              <w:jc w:val="right"/>
              <w:rPr/>
            </w:pPr>
            <w:r>
              <w:rPr/>
              <w:t> </w:t>
            </w:r>
          </w:p>
        </w:tc>
      </w:tr>
      <w:tr>
        <w:trPr/>
        <w:tc>
          <w:tcPr>
            <w:tcW w:w="20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stock</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right"/>
              <w:rPr/>
            </w:pPr>
            <w:r>
              <w:rPr/>
              <w:t> </w:t>
            </w:r>
          </w:p>
        </w:tc>
      </w:tr>
      <w:tr>
        <w:trPr/>
        <w:tc>
          <w:tcPr>
            <w:tcW w:w="20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Diluted</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2"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18"/>
        </w:rPr>
        <w:t>The number of outstanding options to purchase shares of SLB common stock that were not included in the computation of diluted income per share, because to do so would have had an antidilutive effect, was as follows:</w:t>
      </w:r>
      <w:r>
        <w:rPr>
          <w:rFonts w:ascii="Times New Roman" w:hAnsi="Times New Roman"/>
          <w:color w:val="000000"/>
          <w:sz w:val="20"/>
        </w:rPr>
        <w:t xml:space="preserve"> </w:t>
      </w:r>
    </w:p>
    <w:tbl>
      <w:tblPr>
        <w:tblW w:w="4989" w:type="dxa"/>
        <w:jc w:val="left"/>
        <w:tblInd w:w="0" w:type="dxa"/>
        <w:tblLayout w:type="fixed"/>
        <w:tblCellMar>
          <w:top w:w="28" w:type="dxa"/>
          <w:left w:w="28" w:type="dxa"/>
          <w:bottom w:w="28" w:type="dxa"/>
          <w:right w:w="28" w:type="dxa"/>
        </w:tblCellMar>
      </w:tblPr>
      <w:tblGrid>
        <w:gridCol w:w="2056"/>
        <w:gridCol w:w="329"/>
        <w:gridCol w:w="713"/>
        <w:gridCol w:w="329"/>
        <w:gridCol w:w="329"/>
        <w:gridCol w:w="329"/>
        <w:gridCol w:w="713"/>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98"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3098" w:type="dxa"/>
            <w:gridSpan w:val="3"/>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2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9"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Employee stock options</w:t>
            </w:r>
          </w:p>
        </w:tc>
        <w:tc>
          <w:tcPr>
            <w:tcW w:w="329"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20</w:t>
            </w:r>
          </w:p>
        </w:tc>
        <w:tc>
          <w:tcPr>
            <w:tcW w:w="329"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18"/>
        </w:rPr>
        <w:t xml:space="preserve">4. </w:t>
      </w:r>
      <w:r>
        <w:rPr>
          <w:rFonts w:ascii="Arial" w:hAnsi="Arial"/>
          <w:b/>
          <w:color w:val="000000"/>
          <w:sz w:val="18"/>
          <w:u w:val="single"/>
        </w:rPr>
        <w:t>Inventories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A summary of inventories, which are stated at the lower of average cost or net realizable value, is as follows:</w:t>
      </w:r>
      <w:r>
        <w:rPr>
          <w:rFonts w:ascii="Times New Roman" w:hAnsi="Times New Roman"/>
          <w:color w:val="000000"/>
          <w:sz w:val="20"/>
        </w:rPr>
        <w:t xml:space="preserve"> </w:t>
      </w:r>
    </w:p>
    <w:tbl>
      <w:tblPr>
        <w:tblW w:w="4688" w:type="dxa"/>
        <w:jc w:val="left"/>
        <w:tblInd w:w="0" w:type="dxa"/>
        <w:tblLayout w:type="fixed"/>
        <w:tblCellMar>
          <w:top w:w="28" w:type="dxa"/>
          <w:left w:w="28" w:type="dxa"/>
          <w:bottom w:w="28" w:type="dxa"/>
          <w:right w:w="28" w:type="dxa"/>
        </w:tblCellMar>
      </w:tblPr>
      <w:tblGrid>
        <w:gridCol w:w="2641"/>
        <w:gridCol w:w="211"/>
        <w:gridCol w:w="571"/>
        <w:gridCol w:w="146"/>
        <w:gridCol w:w="146"/>
        <w:gridCol w:w="211"/>
        <w:gridCol w:w="57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97"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Dec. 31,</w:t>
            </w:r>
          </w:p>
        </w:tc>
        <w:tc>
          <w:tcPr>
            <w:tcW w:w="191" w:type="dxa"/>
            <w:tcBorders/>
            <w:shd w:fill="FFFFFF" w:val="cle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Raw materials &amp; field materials</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2,296</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Work in progress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762</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Finished goods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Arial" w:hAnsi="Arial"/>
          <w:b/>
          <w:color w:val="000000"/>
          <w:sz w:val="18"/>
        </w:rPr>
        <w:t xml:space="preserve">5. </w:t>
      </w:r>
      <w:r>
        <w:rPr>
          <w:rFonts w:ascii="Arial" w:hAnsi="Arial"/>
          <w:b/>
          <w:color w:val="000000"/>
          <w:sz w:val="18"/>
          <w:u w:val="single"/>
        </w:rPr>
        <w:t>Fixed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Fixed assets consist of the following:</w:t>
      </w:r>
      <w:r>
        <w:rPr>
          <w:rFonts w:ascii="Times New Roman" w:hAnsi="Times New Roman"/>
          <w:color w:val="000000"/>
          <w:sz w:val="20"/>
        </w:rPr>
        <w:t xml:space="preserve"> </w:t>
      </w:r>
    </w:p>
    <w:p>
      <w:pPr>
        <w:pStyle w:val="TextBody"/>
        <w:bidi w:val="0"/>
        <w:jc w:val="both"/>
        <w:rPr/>
      </w:pPr>
      <w:r>
        <w:rPr/>
        <w:t> </w:t>
      </w:r>
    </w:p>
    <w:tbl>
      <w:tblPr>
        <w:tblW w:w="4988" w:type="dxa"/>
        <w:jc w:val="left"/>
        <w:tblInd w:w="0" w:type="dxa"/>
        <w:tblLayout w:type="fixed"/>
        <w:tblCellMar>
          <w:top w:w="28" w:type="dxa"/>
          <w:left w:w="28" w:type="dxa"/>
          <w:bottom w:w="28" w:type="dxa"/>
          <w:right w:w="28" w:type="dxa"/>
        </w:tblCellMar>
      </w:tblPr>
      <w:tblGrid>
        <w:gridCol w:w="2731"/>
        <w:gridCol w:w="211"/>
        <w:gridCol w:w="676"/>
        <w:gridCol w:w="146"/>
        <w:gridCol w:w="146"/>
        <w:gridCol w:w="211"/>
        <w:gridCol w:w="676"/>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97"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2731"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Dec. 31,</w:t>
            </w:r>
          </w:p>
        </w:tc>
        <w:tc>
          <w:tcPr>
            <w:tcW w:w="19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plant &amp; equipment</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29,934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29,965</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Less: 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22,681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Depreciation expense relating to fixed assets was $377</w:t>
      </w:r>
      <w:r>
        <w:rPr>
          <w:rFonts w:ascii="Times New Roman" w:hAnsi="Times New Roman"/>
          <w:color w:val="000000"/>
          <w:sz w:val="20"/>
        </w:rPr>
        <w:t xml:space="preserve"> </w:t>
      </w:r>
      <w:r>
        <w:rPr>
          <w:rFonts w:ascii="Arial" w:hAnsi="Arial"/>
          <w:color w:val="000000"/>
          <w:sz w:val="18"/>
        </w:rPr>
        <w:t>million and $347</w:t>
      </w:r>
      <w:r>
        <w:rPr>
          <w:rFonts w:ascii="Times New Roman" w:hAnsi="Times New Roman"/>
          <w:color w:val="000000"/>
          <w:sz w:val="20"/>
        </w:rPr>
        <w:t xml:space="preserve"> </w:t>
      </w:r>
      <w:r>
        <w:rPr>
          <w:rFonts w:ascii="Arial" w:hAnsi="Arial"/>
          <w:color w:val="000000"/>
          <w:sz w:val="18"/>
        </w:rPr>
        <w:t>million in the first quarter of 2024 and 2023, respectively.</w:t>
      </w:r>
    </w:p>
    <w:p>
      <w:pPr>
        <w:pStyle w:val="TextBody"/>
        <w:bidi w:val="0"/>
        <w:spacing w:before="240" w:after="283"/>
        <w:jc w:val="both"/>
        <w:rPr>
          <w:rFonts w:ascii="Times New Roman" w:hAnsi="Times New Roman"/>
          <w:sz w:val="20"/>
        </w:rPr>
      </w:pPr>
      <w:r>
        <w:rPr>
          <w:rFonts w:ascii="Arial" w:hAnsi="Arial"/>
          <w:b/>
          <w:color w:val="000000"/>
          <w:sz w:val="18"/>
        </w:rPr>
        <w:t xml:space="preserve">6. </w:t>
      </w:r>
      <w:r>
        <w:rPr>
          <w:rFonts w:ascii="Arial" w:hAnsi="Arial"/>
          <w:b/>
          <w:color w:val="000000"/>
          <w:sz w:val="18"/>
          <w:u w:val="single"/>
        </w:rPr>
        <w:t>Intangible Assets</w:t>
      </w:r>
    </w:p>
    <w:p>
      <w:pPr>
        <w:pStyle w:val="TextBody"/>
        <w:bidi w:val="0"/>
        <w:spacing w:before="120" w:after="283"/>
        <w:jc w:val="both"/>
        <w:rPr>
          <w:rFonts w:ascii="Times New Roman" w:hAnsi="Times New Roman"/>
          <w:sz w:val="20"/>
        </w:rPr>
      </w:pPr>
      <w:r>
        <w:rPr>
          <w:rFonts w:ascii="Arial" w:hAnsi="Arial"/>
          <w:color w:val="000000"/>
          <w:sz w:val="18"/>
        </w:rPr>
        <w:t>Intangible assets consist of the following: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2"/>
        <w:gridCol w:w="276"/>
        <w:gridCol w:w="749"/>
        <w:gridCol w:w="146"/>
        <w:gridCol w:w="146"/>
        <w:gridCol w:w="336"/>
        <w:gridCol w:w="910"/>
        <w:gridCol w:w="146"/>
        <w:gridCol w:w="146"/>
        <w:gridCol w:w="237"/>
        <w:gridCol w:w="641"/>
        <w:gridCol w:w="146"/>
        <w:gridCol w:w="109"/>
        <w:gridCol w:w="270"/>
        <w:gridCol w:w="731"/>
        <w:gridCol w:w="146"/>
        <w:gridCol w:w="109"/>
        <w:gridCol w:w="315"/>
        <w:gridCol w:w="856"/>
        <w:gridCol w:w="146"/>
        <w:gridCol w:w="146"/>
        <w:gridCol w:w="226"/>
        <w:gridCol w:w="615"/>
        <w:gridCol w:w="195"/>
      </w:tblGrid>
      <w:tr>
        <w:trPr/>
        <w:tc>
          <w:tcPr>
            <w:tcW w:w="24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vAlign w:val="center"/>
          </w:tcPr>
          <w:p>
            <w:pPr>
              <w:pStyle w:val="TableContents"/>
              <w:bidi w:val="0"/>
              <w:spacing w:before="0" w:after="283"/>
              <w:jc w:val="left"/>
              <w:rPr/>
            </w:pPr>
            <w:r>
              <w:rPr/>
              <w:t> </w:t>
            </w:r>
          </w:p>
        </w:tc>
        <w:tc>
          <w:tcPr>
            <w:tcW w:w="7548" w:type="dxa"/>
            <w:gridSpan w:val="22"/>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5" w:type="dxa"/>
            <w:tcBorders/>
            <w:shd w:fill="FFFFFF" w:val="clear"/>
            <w:vAlign w:val="center"/>
          </w:tcPr>
          <w:p>
            <w:pPr>
              <w:pStyle w:val="TableContents"/>
              <w:bidi w:val="0"/>
              <w:spacing w:before="0" w:after="283"/>
              <w:jc w:val="right"/>
              <w:rPr/>
            </w:pPr>
            <w:r>
              <w:rPr/>
              <w:t> </w:t>
            </w:r>
          </w:p>
        </w:tc>
      </w:tr>
      <w:tr>
        <w:trPr/>
        <w:tc>
          <w:tcPr>
            <w:tcW w:w="2462" w:type="dxa"/>
            <w:tcBorders/>
            <w:shd w:fill="FFFFFF" w:val="clear"/>
            <w:vAlign w:val="center"/>
          </w:tcPr>
          <w:p>
            <w:pPr>
              <w:pStyle w:val="TableContents"/>
              <w:bidi w:val="0"/>
              <w:spacing w:before="0" w:after="283"/>
              <w:jc w:val="left"/>
              <w:rPr>
                <w:sz w:val="4"/>
                <w:szCs w:val="4"/>
              </w:rPr>
            </w:pPr>
            <w:r>
              <w:rPr>
                <w:sz w:val="4"/>
                <w:szCs w:val="4"/>
              </w:rPr>
            </w:r>
          </w:p>
        </w:tc>
        <w:tc>
          <w:tcPr>
            <w:tcW w:w="7548" w:type="dxa"/>
            <w:gridSpan w:val="2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462" w:type="dxa"/>
            <w:tcBorders/>
            <w:shd w:fill="FFFFFF" w:val="clear"/>
            <w:vAlign w:val="center"/>
          </w:tcPr>
          <w:p>
            <w:pPr>
              <w:pStyle w:val="TableContents"/>
              <w:bidi w:val="0"/>
              <w:spacing w:before="0" w:after="283"/>
              <w:jc w:val="left"/>
              <w:rPr>
                <w:sz w:val="4"/>
                <w:szCs w:val="4"/>
              </w:rPr>
            </w:pPr>
            <w:r>
              <w:rPr>
                <w:sz w:val="4"/>
                <w:szCs w:val="4"/>
              </w:rPr>
            </w:r>
          </w:p>
        </w:tc>
        <w:tc>
          <w:tcPr>
            <w:tcW w:w="37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Dec.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Net Book</w:t>
            </w:r>
          </w:p>
        </w:tc>
        <w:tc>
          <w:tcPr>
            <w:tcW w:w="146" w:type="dxa"/>
            <w:tcBorders/>
            <w:shd w:fill="FFFFFF" w:val="cle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Gross</w:t>
            </w:r>
          </w:p>
        </w:tc>
        <w:tc>
          <w:tcPr>
            <w:tcW w:w="146" w:type="dxa"/>
            <w:tcBorders/>
            <w:shd w:fill="FFFFFF" w:val="cle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Net Book</w:t>
            </w:r>
          </w:p>
        </w:tc>
        <w:tc>
          <w:tcPr>
            <w:tcW w:w="195" w:type="dxa"/>
            <w:tcBorders/>
            <w:shd w:fill="FFFFFF" w:val="clear"/>
            <w:vAlign w:val="center"/>
          </w:tcPr>
          <w:p>
            <w:pPr>
              <w:pStyle w:val="TableContents"/>
              <w:bidi w:val="0"/>
              <w:spacing w:before="0" w:after="283"/>
              <w:jc w:val="center"/>
              <w:rPr/>
            </w:pPr>
            <w:r>
              <w:rPr/>
              <w:t> </w:t>
            </w:r>
          </w:p>
        </w:tc>
      </w:tr>
      <w:tr>
        <w:trPr/>
        <w:tc>
          <w:tcPr>
            <w:tcW w:w="2462" w:type="dxa"/>
            <w:tcBorders/>
            <w:shd w:fill="FFFFFF" w:val="clear"/>
            <w:vAlign w:val="center"/>
          </w:tcPr>
          <w:p>
            <w:pPr>
              <w:pStyle w:val="TableContents"/>
              <w:bidi w:val="0"/>
              <w:spacing w:before="0" w:after="283"/>
              <w:jc w:val="left"/>
              <w:rPr>
                <w:sz w:val="4"/>
                <w:szCs w:val="4"/>
              </w:rPr>
            </w:pPr>
            <w:r>
              <w:rPr>
                <w:sz w:val="4"/>
                <w:szCs w:val="4"/>
              </w:rPr>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Customer relationships</w:t>
            </w:r>
          </w:p>
        </w:tc>
        <w:tc>
          <w:tcPr>
            <w:tcW w:w="27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9"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1,886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3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1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7"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4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1,155</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1,887</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95" w:type="dxa"/>
            <w:tcBorders/>
            <w:shd w:fill="CFF0FC" w:val="clear"/>
            <w:vAlign w:val="center"/>
          </w:tcPr>
          <w:p>
            <w:pPr>
              <w:pStyle w:val="TableContents"/>
              <w:bidi w:val="0"/>
              <w:spacing w:before="0" w:after="283"/>
              <w:jc w:val="left"/>
              <w:rPr/>
            </w:pPr>
            <w:r>
              <w:rPr/>
              <w:t> </w:t>
            </w:r>
          </w:p>
        </w:tc>
      </w:tr>
      <w:tr>
        <w:trPr/>
        <w:tc>
          <w:tcPr>
            <w:tcW w:w="24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Technology/technical know-how</w:t>
            </w:r>
          </w:p>
        </w:tc>
        <w:tc>
          <w:tcPr>
            <w:tcW w:w="276"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721</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1,516</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95" w:type="dxa"/>
            <w:tcBorders/>
            <w:shd w:fill="FFFFFF" w:val="clear"/>
            <w:vAlign w:val="center"/>
          </w:tcPr>
          <w:p>
            <w:pPr>
              <w:pStyle w:val="TableContents"/>
              <w:bidi w:val="0"/>
              <w:spacing w:before="0" w:after="283"/>
              <w:jc w:val="left"/>
              <w:rPr/>
            </w:pPr>
            <w:r>
              <w:rPr/>
              <w:t> </w:t>
            </w:r>
          </w:p>
        </w:tc>
      </w:tr>
      <w:tr>
        <w:trPr/>
        <w:tc>
          <w:tcPr>
            <w:tcW w:w="246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Tradenames</w:t>
            </w:r>
          </w:p>
        </w:tc>
        <w:tc>
          <w:tcPr>
            <w:tcW w:w="276"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36"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7"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521</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0"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795</w:t>
            </w:r>
          </w:p>
        </w:tc>
        <w:tc>
          <w:tcPr>
            <w:tcW w:w="146" w:type="dxa"/>
            <w:tcBorders/>
            <w:shd w:fill="CFF0FC" w:val="cle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15"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530</w:t>
            </w:r>
          </w:p>
        </w:tc>
        <w:tc>
          <w:tcPr>
            <w:tcW w:w="195" w:type="dxa"/>
            <w:tcBorders/>
            <w:shd w:fill="CFF0FC" w:val="clear"/>
            <w:vAlign w:val="center"/>
          </w:tcPr>
          <w:p>
            <w:pPr>
              <w:pStyle w:val="TableContents"/>
              <w:bidi w:val="0"/>
              <w:spacing w:before="0" w:after="283"/>
              <w:jc w:val="left"/>
              <w:rPr/>
            </w:pPr>
            <w:r>
              <w:rPr/>
              <w:t> </w:t>
            </w:r>
          </w:p>
        </w:tc>
      </w:tr>
      <w:tr>
        <w:trPr/>
        <w:tc>
          <w:tcPr>
            <w:tcW w:w="246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2" w:type="dxa"/>
            <w:tcBorders/>
            <w:shd w:fill="CFF0FC" w:val="clear"/>
            <w:vAlign w:val="center"/>
          </w:tcPr>
          <w:p>
            <w:pPr>
              <w:pStyle w:val="TableContents"/>
              <w:bidi w:val="0"/>
              <w:spacing w:before="0" w:after="283"/>
              <w:jc w:val="left"/>
              <w:rPr>
                <w:sz w:val="4"/>
                <w:szCs w:val="4"/>
              </w:rPr>
            </w:pPr>
            <w:r>
              <w:rPr>
                <w:sz w:val="4"/>
                <w:szCs w:val="4"/>
              </w:rPr>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Amortization expense charged to income was $81</w:t>
      </w:r>
      <w:r>
        <w:rPr>
          <w:rFonts w:ascii="Times New Roman" w:hAnsi="Times New Roman"/>
          <w:color w:val="000000"/>
          <w:sz w:val="20"/>
        </w:rPr>
        <w:t xml:space="preserve"> </w:t>
      </w:r>
      <w:r>
        <w:rPr>
          <w:rFonts w:ascii="Arial" w:hAnsi="Arial"/>
          <w:color w:val="000000"/>
          <w:sz w:val="18"/>
        </w:rPr>
        <w:t>million during the first quarter of 2024 and $76</w:t>
      </w:r>
      <w:r>
        <w:rPr>
          <w:rFonts w:ascii="Times New Roman" w:hAnsi="Times New Roman"/>
          <w:color w:val="000000"/>
          <w:sz w:val="20"/>
        </w:rPr>
        <w:t xml:space="preserve"> </w:t>
      </w:r>
      <w:r>
        <w:rPr>
          <w:rFonts w:ascii="Arial" w:hAnsi="Arial"/>
          <w:color w:val="000000"/>
          <w:sz w:val="18"/>
        </w:rPr>
        <w:t>million during the first quarter of 2023.</w:t>
      </w:r>
    </w:p>
    <w:p>
      <w:pPr>
        <w:pStyle w:val="TextBody"/>
        <w:bidi w:val="0"/>
        <w:jc w:val="both"/>
        <w:rPr>
          <w:rFonts w:ascii="Times New Roman" w:hAnsi="Times New Roman"/>
          <w:sz w:val="20"/>
        </w:rPr>
      </w:pPr>
      <w:r>
        <w:rPr>
          <w:rFonts w:ascii="Arial" w:hAnsi="Arial"/>
          <w:color w:val="000000"/>
          <w:sz w:val="18"/>
        </w:rPr>
        <w:t>Based on the carrying value of intangible assets at March 31, 2024, amortization expense for the subsequent five years is estimated to be: remaining three quarters of 2024—$244</w:t>
      </w:r>
      <w:r>
        <w:rPr>
          <w:rFonts w:ascii="Times New Roman" w:hAnsi="Times New Roman"/>
          <w:color w:val="000000"/>
          <w:sz w:val="20"/>
        </w:rPr>
        <w:t xml:space="preserve"> </w:t>
      </w:r>
      <w:r>
        <w:rPr>
          <w:rFonts w:ascii="Arial" w:hAnsi="Arial"/>
          <w:color w:val="000000"/>
          <w:sz w:val="18"/>
        </w:rPr>
        <w:t>million; 2025—$306</w:t>
      </w:r>
      <w:r>
        <w:rPr>
          <w:rFonts w:ascii="Times New Roman" w:hAnsi="Times New Roman"/>
          <w:color w:val="000000"/>
          <w:sz w:val="20"/>
        </w:rPr>
        <w:t xml:space="preserve"> </w:t>
      </w:r>
      <w:r>
        <w:rPr>
          <w:rFonts w:ascii="Arial" w:hAnsi="Arial"/>
          <w:color w:val="000000"/>
          <w:sz w:val="18"/>
        </w:rPr>
        <w:t>million; 2026—$297</w:t>
      </w:r>
      <w:r>
        <w:rPr>
          <w:rFonts w:ascii="Times New Roman" w:hAnsi="Times New Roman"/>
          <w:color w:val="000000"/>
          <w:sz w:val="20"/>
        </w:rPr>
        <w:t xml:space="preserve"> </w:t>
      </w:r>
      <w:r>
        <w:rPr>
          <w:rFonts w:ascii="Arial" w:hAnsi="Arial"/>
          <w:color w:val="000000"/>
          <w:sz w:val="18"/>
        </w:rPr>
        <w:t>million; 2027—$293</w:t>
      </w:r>
      <w:r>
        <w:rPr>
          <w:rFonts w:ascii="Times New Roman" w:hAnsi="Times New Roman"/>
          <w:color w:val="000000"/>
          <w:sz w:val="20"/>
        </w:rPr>
        <w:t xml:space="preserve"> </w:t>
      </w:r>
      <w:r>
        <w:rPr>
          <w:rFonts w:ascii="Arial" w:hAnsi="Arial"/>
          <w:color w:val="000000"/>
          <w:sz w:val="18"/>
        </w:rPr>
        <w:t>million; 2028—$283</w:t>
      </w:r>
      <w:r>
        <w:rPr>
          <w:rFonts w:ascii="Times New Roman" w:hAnsi="Times New Roman"/>
          <w:color w:val="000000"/>
          <w:sz w:val="20"/>
        </w:rPr>
        <w:t xml:space="preserve"> </w:t>
      </w:r>
      <w:r>
        <w:rPr>
          <w:rFonts w:ascii="Arial" w:hAnsi="Arial"/>
          <w:color w:val="000000"/>
          <w:sz w:val="18"/>
        </w:rPr>
        <w:t>million; and 2029—$270</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18"/>
        </w:rPr>
        <w:t xml:space="preserve">7. </w:t>
      </w:r>
      <w:r>
        <w:rPr>
          <w:rFonts w:ascii="Arial" w:hAnsi="Arial"/>
          <w:b/>
          <w:color w:val="000000"/>
          <w:sz w:val="18"/>
          <w:u w:val="single"/>
        </w:rPr>
        <w:t>Long-term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18"/>
        </w:rPr>
        <w:t>Long-term Debt</w:t>
      </w:r>
      <w:r>
        <w:rPr>
          <w:rFonts w:ascii="Times New Roman" w:hAnsi="Times New Roman"/>
          <w:color w:val="000000"/>
          <w:sz w:val="20"/>
        </w:rPr>
        <w:t xml:space="preserve"> </w:t>
      </w:r>
      <w:r>
        <w:rPr>
          <w:rFonts w:ascii="Arial" w:hAnsi="Arial"/>
          <w:color w:val="000000"/>
          <w:sz w:val="18"/>
        </w:rPr>
        <w:t>consists of the following:</w:t>
      </w:r>
      <w:r>
        <w:rPr>
          <w:rFonts w:ascii="Times New Roman" w:hAnsi="Times New Roman"/>
          <w:color w:val="000000"/>
          <w:sz w:val="20"/>
        </w:rPr>
        <w:t xml:space="preserve"> </w:t>
      </w:r>
    </w:p>
    <w:p>
      <w:pPr>
        <w:pStyle w:val="TextBody"/>
        <w:bidi w:val="0"/>
        <w:jc w:val="left"/>
        <w:rPr/>
      </w:pPr>
      <w:r>
        <w:rPr/>
        <w:t> </w:t>
      </w:r>
    </w:p>
    <w:tbl>
      <w:tblPr>
        <w:tblW w:w="5378" w:type="dxa"/>
        <w:jc w:val="left"/>
        <w:tblInd w:w="0" w:type="dxa"/>
        <w:tblLayout w:type="fixed"/>
        <w:tblCellMar>
          <w:top w:w="28" w:type="dxa"/>
          <w:left w:w="28" w:type="dxa"/>
          <w:bottom w:w="28" w:type="dxa"/>
          <w:right w:w="28" w:type="dxa"/>
        </w:tblCellMar>
      </w:tblPr>
      <w:tblGrid>
        <w:gridCol w:w="3121"/>
        <w:gridCol w:w="211"/>
        <w:gridCol w:w="676"/>
        <w:gridCol w:w="146"/>
        <w:gridCol w:w="146"/>
        <w:gridCol w:w="211"/>
        <w:gridCol w:w="67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87"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Dec. 31,</w:t>
            </w:r>
          </w:p>
        </w:tc>
        <w:tc>
          <w:tcPr>
            <w:tcW w:w="191" w:type="dxa"/>
            <w:tcBorders/>
            <w:shd w:fill="FFFFFF" w:val="cle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3.90% Senior Notes due 2028</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1,469</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2.65% Senior Notes due 2030</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1.375% Guaranteed Notes due 2026</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1,104</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2.00% Guaranteed Notes due 2032</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1,098</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0.25% Notes due 2027</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0.50% Notes due 2031</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992</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4.30% Senior Notes due 2029</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847</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1.00% Guaranteed Notes due 2026</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662</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4.00% Senior Notes due 2025</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523</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1.40% Senior Notes due 2025</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499</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4.50% Senior Notes due 2028</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4.85% Senior Notes due 2033</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7.00% Notes due 2038</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5.95% Notes due 2041</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5.13% Notes due 2043</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10,740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 xml:space="preserve">The estimated fair value of SLB’s </w:t>
      </w:r>
      <w:r>
        <w:rPr>
          <w:rFonts w:ascii="Arial" w:hAnsi="Arial"/>
          <w:i/>
          <w:color w:val="000000"/>
          <w:sz w:val="18"/>
        </w:rPr>
        <w:t xml:space="preserve">Long-term Debt, </w:t>
      </w:r>
      <w:r>
        <w:rPr>
          <w:rFonts w:ascii="Arial" w:hAnsi="Arial"/>
          <w:color w:val="000000"/>
          <w:sz w:val="18"/>
        </w:rPr>
        <w:t>based on quoted market prices at March 31, 2024 and December 31, 2023, was $10.0</w:t>
      </w:r>
      <w:r>
        <w:rPr>
          <w:rFonts w:ascii="Times New Roman" w:hAnsi="Times New Roman"/>
          <w:color w:val="000000"/>
          <w:sz w:val="20"/>
        </w:rPr>
        <w:t xml:space="preserve"> </w:t>
      </w:r>
      <w:r>
        <w:rPr>
          <w:rFonts w:ascii="Arial" w:hAnsi="Arial"/>
          <w:color w:val="000000"/>
          <w:sz w:val="18"/>
        </w:rPr>
        <w:t>billion and $10.2</w:t>
      </w:r>
      <w:r>
        <w:rPr>
          <w:rFonts w:ascii="Times New Roman" w:hAnsi="Times New Roman"/>
          <w:color w:val="000000"/>
          <w:sz w:val="20"/>
        </w:rPr>
        <w:t xml:space="preserve"> </w:t>
      </w:r>
      <w:r>
        <w:rPr>
          <w:rFonts w:ascii="Arial" w:hAnsi="Arial"/>
          <w:color w:val="000000"/>
          <w:sz w:val="18"/>
        </w:rPr>
        <w:t>billion, respectively.</w:t>
      </w:r>
    </w:p>
    <w:p>
      <w:pPr>
        <w:pStyle w:val="TextBody"/>
        <w:bidi w:val="0"/>
        <w:jc w:val="both"/>
        <w:rPr/>
      </w:pPr>
      <w:r>
        <w:rPr/>
        <w:t> </w:t>
      </w:r>
    </w:p>
    <w:p>
      <w:pPr>
        <w:pStyle w:val="TextBody"/>
        <w:bidi w:val="0"/>
        <w:spacing w:before="0" w:after="40"/>
        <w:jc w:val="both"/>
        <w:rPr>
          <w:rFonts w:ascii="Times New Roman" w:hAnsi="Times New Roman"/>
          <w:sz w:val="20"/>
        </w:rPr>
      </w:pPr>
      <w:r>
        <w:rPr>
          <w:rFonts w:ascii="Arial" w:hAnsi="Arial"/>
          <w:color w:val="000000"/>
          <w:sz w:val="18"/>
        </w:rPr>
        <w:t>At March 31, 2024, SLB had committed credit facility agreements aggregating $5.0</w:t>
      </w:r>
      <w:r>
        <w:rPr>
          <w:rFonts w:ascii="Times New Roman" w:hAnsi="Times New Roman"/>
          <w:color w:val="000000"/>
          <w:sz w:val="20"/>
        </w:rPr>
        <w:t xml:space="preserve"> </w:t>
      </w:r>
      <w:r>
        <w:rPr>
          <w:rFonts w:ascii="Arial" w:hAnsi="Arial"/>
          <w:color w:val="000000"/>
          <w:sz w:val="18"/>
        </w:rPr>
        <w:t>billion with commercial banks, of which $4.7</w:t>
      </w:r>
      <w:r>
        <w:rPr>
          <w:rFonts w:ascii="Times New Roman" w:hAnsi="Times New Roman"/>
          <w:color w:val="000000"/>
          <w:sz w:val="20"/>
        </w:rPr>
        <w:t xml:space="preserve"> </w:t>
      </w:r>
      <w:r>
        <w:rPr>
          <w:rFonts w:ascii="Arial" w:hAnsi="Arial"/>
          <w:color w:val="000000"/>
          <w:sz w:val="18"/>
        </w:rPr>
        <w:t>billion was available and unused. These committed facilities, of which $2.0</w:t>
      </w:r>
      <w:r>
        <w:rPr>
          <w:rFonts w:ascii="Times New Roman" w:hAnsi="Times New Roman"/>
          <w:color w:val="000000"/>
          <w:sz w:val="20"/>
        </w:rPr>
        <w:t xml:space="preserve"> </w:t>
      </w:r>
      <w:r>
        <w:rPr>
          <w:rFonts w:ascii="Arial" w:hAnsi="Arial"/>
          <w:color w:val="000000"/>
          <w:sz w:val="18"/>
        </w:rPr>
        <w:t>billion matures in February 2027 and $3.0</w:t>
      </w:r>
      <w:r>
        <w:rPr>
          <w:rFonts w:ascii="Times New Roman" w:hAnsi="Times New Roman"/>
          <w:color w:val="000000"/>
          <w:sz w:val="20"/>
        </w:rPr>
        <w:t xml:space="preserve"> </w:t>
      </w:r>
      <w:r>
        <w:rPr>
          <w:rFonts w:ascii="Arial" w:hAnsi="Arial"/>
          <w:color w:val="000000"/>
          <w:sz w:val="18"/>
        </w:rPr>
        <w:t>billion matures in December 2028, support commercial paper programs in the United States and Europe. Borrowings under the commercial paper programs at March 31, 2024 were</w:t>
      </w:r>
      <w:r>
        <w:rPr>
          <w:rFonts w:ascii="Times New Roman" w:hAnsi="Times New Roman"/>
          <w:color w:val="000000"/>
          <w:sz w:val="20"/>
        </w:rPr>
        <w:t xml:space="preserve"> </w:t>
      </w:r>
      <w:r>
        <w:rPr>
          <w:rFonts w:ascii="Arial" w:hAnsi="Arial"/>
          <w:color w:val="000000"/>
          <w:sz w:val="18"/>
        </w:rPr>
        <w:t>$345</w:t>
      </w:r>
      <w:r>
        <w:rPr>
          <w:rFonts w:ascii="Times New Roman" w:hAnsi="Times New Roman"/>
          <w:color w:val="000000"/>
          <w:sz w:val="20"/>
        </w:rPr>
        <w:t xml:space="preserve"> </w:t>
      </w:r>
      <w:r>
        <w:rPr>
          <w:rFonts w:ascii="Arial" w:hAnsi="Arial"/>
          <w:color w:val="000000"/>
          <w:sz w:val="18"/>
        </w:rPr>
        <w:t xml:space="preserve">million, all of which were classified in </w:t>
      </w:r>
      <w:r>
        <w:rPr>
          <w:rFonts w:ascii="Arial" w:hAnsi="Arial"/>
          <w:i/>
          <w:color w:val="000000"/>
          <w:sz w:val="18"/>
        </w:rPr>
        <w:t>Short-term borrowings and current portion of long-term debt</w:t>
      </w:r>
      <w:r>
        <w:rPr>
          <w:rFonts w:ascii="Times New Roman" w:hAnsi="Times New Roman"/>
          <w:color w:val="000000"/>
          <w:sz w:val="20"/>
        </w:rPr>
        <w:t xml:space="preserve"> </w:t>
      </w:r>
      <w:r>
        <w:rPr>
          <w:rFonts w:ascii="Arial" w:hAnsi="Arial"/>
          <w:color w:val="000000"/>
          <w:sz w:val="18"/>
        </w:rPr>
        <w:t xml:space="preserve">in the </w:t>
      </w:r>
      <w:r>
        <w:rPr>
          <w:rFonts w:ascii="Arial" w:hAnsi="Arial"/>
          <w:i/>
          <w:color w:val="000000"/>
          <w:sz w:val="18"/>
        </w:rPr>
        <w:t>Consolidated Balance Sheet</w:t>
      </w:r>
      <w:r>
        <w:rPr>
          <w:rFonts w:ascii="Arial" w:hAnsi="Arial"/>
          <w:color w:val="000000"/>
          <w:sz w:val="18"/>
        </w:rPr>
        <w:t>. There were</w:t>
      </w:r>
      <w:r>
        <w:rPr>
          <w:rFonts w:ascii="Times New Roman" w:hAnsi="Times New Roman"/>
          <w:color w:val="000000"/>
          <w:sz w:val="20"/>
        </w:rPr>
        <w:t xml:space="preserve"> </w:t>
      </w:r>
      <w:r>
        <w:rPr>
          <w:rFonts w:ascii="Arial" w:hAnsi="Arial"/>
          <w:color w:val="000000"/>
          <w:sz w:val="18"/>
        </w:rPr>
        <w:t>no</w:t>
      </w:r>
      <w:r>
        <w:rPr>
          <w:rFonts w:ascii="Times New Roman" w:hAnsi="Times New Roman"/>
          <w:color w:val="000000"/>
          <w:sz w:val="20"/>
        </w:rPr>
        <w:t xml:space="preserve"> </w:t>
      </w:r>
      <w:r>
        <w:rPr>
          <w:rFonts w:ascii="Arial" w:hAnsi="Arial"/>
          <w:color w:val="000000"/>
          <w:sz w:val="18"/>
        </w:rPr>
        <w:t>borrowings under the commercial paper programs at December 31,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pStyle w:val="TextBody"/>
        <w:bidi w:val="0"/>
        <w:spacing w:before="240" w:after="283"/>
        <w:jc w:val="left"/>
        <w:rPr>
          <w:rFonts w:ascii="Times New Roman" w:hAnsi="Times New Roman"/>
          <w:sz w:val="20"/>
        </w:rPr>
      </w:pPr>
      <w:r>
        <w:rPr>
          <w:rFonts w:ascii="Arial" w:hAnsi="Arial"/>
          <w:b/>
          <w:color w:val="000000"/>
          <w:sz w:val="18"/>
        </w:rPr>
        <w:t xml:space="preserve">8. </w:t>
      </w:r>
      <w:r>
        <w:rPr>
          <w:rFonts w:ascii="Arial" w:hAnsi="Arial"/>
          <w:b/>
          <w:color w:val="000000"/>
          <w:sz w:val="18"/>
          <w:u w:val="single"/>
        </w:rPr>
        <w:t>Derivative Instruments and Hedging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hAnsi="Arial"/>
          <w:i/>
          <w:color w:val="000000"/>
          <w:sz w:val="18"/>
        </w:rPr>
        <w:t xml:space="preserve">Consolidated Balance Sheet </w:t>
      </w:r>
      <w:r>
        <w:rPr>
          <w:rFonts w:ascii="Arial" w:hAnsi="Arial"/>
          <w:color w:val="000000"/>
          <w:sz w:val="18"/>
        </w:rPr>
        <w:t xml:space="preserve">and in </w:t>
      </w:r>
      <w:r>
        <w:rPr>
          <w:rFonts w:ascii="Arial" w:hAnsi="Arial"/>
          <w:i/>
          <w:color w:val="000000"/>
          <w:sz w:val="18"/>
        </w:rPr>
        <w:t xml:space="preserve">Accumulated other comprehensive loss. </w:t>
      </w:r>
      <w:r>
        <w:rPr>
          <w:rFonts w:ascii="Arial" w:hAnsi="Arial"/>
          <w:color w:val="000000"/>
          <w:sz w:val="18"/>
        </w:rPr>
        <w:t>Amounts recorded in</w:t>
      </w:r>
      <w:r>
        <w:rPr>
          <w:rFonts w:ascii="Times New Roman" w:hAnsi="Times New Roman"/>
          <w:color w:val="000000"/>
          <w:sz w:val="20"/>
        </w:rPr>
        <w:t xml:space="preserve"> </w:t>
      </w:r>
      <w:r>
        <w:rPr>
          <w:rFonts w:ascii="Arial" w:hAnsi="Arial"/>
          <w:i/>
          <w:color w:val="000000"/>
          <w:sz w:val="18"/>
        </w:rPr>
        <w:t xml:space="preserve">Accumulated other comprehensive loss </w:t>
      </w:r>
      <w:r>
        <w:rPr>
          <w:rFonts w:ascii="Arial" w:hAnsi="Arial"/>
          <w:color w:val="000000"/>
          <w:sz w:val="18"/>
        </w:rPr>
        <w:t>are reclassified into earnings in the same period or periods that the hedged item is recognized in earnings.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Details regarding SLB’s outstanding cross-currency interest rate swaps as of March 31, 2024,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Arial" w:hAnsi="Arial"/>
          <w:color w:val="000000"/>
          <w:sz w:val="18"/>
        </w:rPr>
        <w:t>During 2019, a US-dollar functional currency subsidiary of SLB issued €1.5</w:t>
      </w:r>
      <w:r>
        <w:rPr>
          <w:rFonts w:ascii="Times New Roman" w:hAnsi="Times New Roman"/>
          <w:color w:val="000000"/>
          <w:sz w:val="20"/>
        </w:rPr>
        <w:t xml:space="preserve"> </w:t>
      </w:r>
      <w:r>
        <w:rPr>
          <w:rFonts w:ascii="Arial" w:hAnsi="Arial"/>
          <w:color w:val="000000"/>
          <w:sz w:val="18"/>
        </w:rPr>
        <w:t>billion of Euro-denominated debt. SLB entered into cross-currency interest rate swaps in order to hedge changes in the US dollar value of its €0.5</w:t>
      </w:r>
      <w:r>
        <w:rPr>
          <w:rFonts w:ascii="Times New Roman" w:hAnsi="Times New Roman"/>
          <w:color w:val="000000"/>
          <w:sz w:val="20"/>
        </w:rPr>
        <w:t xml:space="preserve"> </w:t>
      </w:r>
      <w:r>
        <w:rPr>
          <w:rFonts w:ascii="Arial" w:hAnsi="Arial"/>
          <w:color w:val="000000"/>
          <w:sz w:val="18"/>
        </w:rPr>
        <w:t>billion 0.00% Notes due 2024, €0.5</w:t>
      </w:r>
      <w:r>
        <w:rPr>
          <w:rFonts w:ascii="Times New Roman" w:hAnsi="Times New Roman"/>
          <w:color w:val="000000"/>
          <w:sz w:val="20"/>
        </w:rPr>
        <w:t xml:space="preserve"> </w:t>
      </w:r>
      <w:r>
        <w:rPr>
          <w:rFonts w:ascii="Arial" w:hAnsi="Arial"/>
          <w:color w:val="000000"/>
          <w:sz w:val="18"/>
        </w:rPr>
        <w:t>billion 0.25% Notes due 2027 and €0.5</w:t>
      </w:r>
      <w:r>
        <w:rPr>
          <w:rFonts w:ascii="Times New Roman" w:hAnsi="Times New Roman"/>
          <w:color w:val="000000"/>
          <w:sz w:val="20"/>
        </w:rPr>
        <w:t xml:space="preserve"> </w:t>
      </w:r>
      <w:r>
        <w:rPr>
          <w:rFonts w:ascii="Arial" w:hAnsi="Arial"/>
          <w:color w:val="000000"/>
          <w:sz w:val="18"/>
        </w:rPr>
        <w:t>billion 0.50% Notes due 2031. These cross-currency interest rate swaps effectively convert the Euro-denominated notes to US-dollar denominated debt with fixed annual interest rates of 2.29%, 2.51% and 2.76%, respectively.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Arial" w:hAnsi="Arial"/>
          <w:color w:val="000000"/>
          <w:sz w:val="18"/>
        </w:rPr>
        <w:t>During 2020, a US-dollar functional currency subsidiary of SLB issued €0.8</w:t>
      </w:r>
      <w:r>
        <w:rPr>
          <w:rFonts w:ascii="Times New Roman" w:hAnsi="Times New Roman"/>
          <w:color w:val="000000"/>
          <w:sz w:val="20"/>
        </w:rPr>
        <w:t xml:space="preserve"> </w:t>
      </w:r>
      <w:r>
        <w:rPr>
          <w:rFonts w:ascii="Arial" w:hAnsi="Arial"/>
          <w:color w:val="000000"/>
          <w:sz w:val="18"/>
        </w:rPr>
        <w:t>billion of Euro-denominated debt. SLB entered into cross-currency interest rate swaps to hedge changes in the US dollar value of its €0.4</w:t>
      </w:r>
      <w:r>
        <w:rPr>
          <w:rFonts w:ascii="Times New Roman" w:hAnsi="Times New Roman"/>
          <w:color w:val="000000"/>
          <w:sz w:val="20"/>
        </w:rPr>
        <w:t xml:space="preserve"> </w:t>
      </w:r>
      <w:r>
        <w:rPr>
          <w:rFonts w:ascii="Arial" w:hAnsi="Arial"/>
          <w:color w:val="000000"/>
          <w:sz w:val="18"/>
        </w:rPr>
        <w:t>billion of 0.25% Notes due 2027 and €0.4</w:t>
      </w:r>
      <w:r>
        <w:rPr>
          <w:rFonts w:ascii="Times New Roman" w:hAnsi="Times New Roman"/>
          <w:color w:val="000000"/>
          <w:sz w:val="20"/>
        </w:rPr>
        <w:t xml:space="preserve"> </w:t>
      </w:r>
      <w:r>
        <w:rPr>
          <w:rFonts w:ascii="Arial" w:hAnsi="Arial"/>
          <w:color w:val="000000"/>
          <w:sz w:val="18"/>
        </w:rPr>
        <w:t xml:space="preserve">billion of 0.50% Notes due 2031. These cross-currency interest rate swaps effectively convert the Euro-denominated notes to US-dollar denominated debt with fixed annual interest rates of 1.87% and 2.20%, respectively.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Arial" w:hAnsi="Arial"/>
          <w:color w:val="000000"/>
          <w:sz w:val="18"/>
        </w:rPr>
        <w:t>During 2020, a US-dollar functional currency subsidiary of SLB issued €2.0</w:t>
      </w:r>
      <w:r>
        <w:rPr>
          <w:rFonts w:ascii="Times New Roman" w:hAnsi="Times New Roman"/>
          <w:color w:val="000000"/>
          <w:sz w:val="20"/>
        </w:rPr>
        <w:t xml:space="preserve"> </w:t>
      </w:r>
      <w:r>
        <w:rPr>
          <w:rFonts w:ascii="Arial" w:hAnsi="Arial"/>
          <w:color w:val="000000"/>
          <w:sz w:val="18"/>
        </w:rPr>
        <w:t>billion of Euro-denominated debt. SLB entered into cross-currency interest rate swaps to hedge changes in the US dollar value of its €1.0</w:t>
      </w:r>
      <w:r>
        <w:rPr>
          <w:rFonts w:ascii="Times New Roman" w:hAnsi="Times New Roman"/>
          <w:color w:val="000000"/>
          <w:sz w:val="20"/>
        </w:rPr>
        <w:t xml:space="preserve"> </w:t>
      </w:r>
      <w:r>
        <w:rPr>
          <w:rFonts w:ascii="Arial" w:hAnsi="Arial"/>
          <w:color w:val="000000"/>
          <w:sz w:val="18"/>
        </w:rPr>
        <w:t>billion of 1.375% Guaranteed Notes due 2026 and €1.0</w:t>
      </w:r>
      <w:r>
        <w:rPr>
          <w:rFonts w:ascii="Times New Roman" w:hAnsi="Times New Roman"/>
          <w:color w:val="000000"/>
          <w:sz w:val="20"/>
        </w:rPr>
        <w:t xml:space="preserve"> </w:t>
      </w:r>
      <w:r>
        <w:rPr>
          <w:rFonts w:ascii="Arial" w:hAnsi="Arial"/>
          <w:color w:val="000000"/>
          <w:sz w:val="18"/>
        </w:rPr>
        <w:t xml:space="preserve">billion of 2.00% Guaranteed Notes due 2032. These cross-currency interest rate swaps effectively convert the Euro-denominated notes to US-dollar denominated debt with fixed annual interest rates of 2.77% and 3.49%, respectively. </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Arial" w:hAnsi="Arial"/>
          <w:color w:val="000000"/>
          <w:sz w:val="18"/>
        </w:rPr>
        <w:t>During 2020, a Canadian dollar functional currency subsidiary of SLB issued $0.5</w:t>
      </w:r>
      <w:r>
        <w:rPr>
          <w:rFonts w:ascii="Times New Roman" w:hAnsi="Times New Roman"/>
          <w:color w:val="000000"/>
          <w:sz w:val="20"/>
        </w:rPr>
        <w:t xml:space="preserve"> </w:t>
      </w:r>
      <w:r>
        <w:rPr>
          <w:rFonts w:ascii="Arial" w:hAnsi="Arial"/>
          <w:color w:val="000000"/>
          <w:sz w:val="18"/>
        </w:rPr>
        <w:t>billion of US dollar denominated debt. SLB entered into cross-currency interest rate swaps to hedge changes in the US dollar value of its $0.5</w:t>
      </w:r>
      <w:r>
        <w:rPr>
          <w:rFonts w:ascii="Times New Roman" w:hAnsi="Times New Roman"/>
          <w:color w:val="000000"/>
          <w:sz w:val="20"/>
        </w:rPr>
        <w:t xml:space="preserve"> </w:t>
      </w:r>
      <w:r>
        <w:rPr>
          <w:rFonts w:ascii="Arial" w:hAnsi="Arial"/>
          <w:color w:val="000000"/>
          <w:sz w:val="18"/>
        </w:rPr>
        <w:t>billion 1.40% Senior Notes due 2025. These cross-currency interest rate swaps effectively convert the US dollar notes to Canadian dollar denominated debt with a fixed annual interest rate of 1.73%.</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A summary of the amounts included in the</w:t>
      </w:r>
      <w:r>
        <w:rPr>
          <w:rFonts w:ascii="Times New Roman" w:hAnsi="Times New Roman"/>
          <w:color w:val="000000"/>
          <w:sz w:val="20"/>
        </w:rPr>
        <w:t xml:space="preserve"> </w:t>
      </w:r>
      <w:r>
        <w:rPr>
          <w:rFonts w:ascii="Arial" w:hAnsi="Arial"/>
          <w:i/>
          <w:color w:val="000000"/>
          <w:sz w:val="18"/>
        </w:rPr>
        <w:t>Consolidated Balance Sheet</w:t>
      </w:r>
      <w:r>
        <w:rPr>
          <w:rFonts w:ascii="Times New Roman" w:hAnsi="Times New Roman"/>
          <w:color w:val="000000"/>
          <w:sz w:val="20"/>
        </w:rPr>
        <w:t xml:space="preserve"> </w:t>
      </w:r>
      <w:r>
        <w:rPr>
          <w:rFonts w:ascii="Arial" w:hAnsi="Arial"/>
          <w:color w:val="000000"/>
          <w:sz w:val="18"/>
        </w:rPr>
        <w:t>relating to cross currency interest rate swaps was as follows:</w:t>
      </w:r>
    </w:p>
    <w:p>
      <w:pPr>
        <w:pStyle w:val="TextBody"/>
        <w:bidi w:val="0"/>
        <w:jc w:val="both"/>
        <w:rPr/>
      </w:pPr>
      <w:r>
        <w:rPr/>
        <w:t> </w:t>
      </w:r>
    </w:p>
    <w:tbl>
      <w:tblPr>
        <w:tblW w:w="6395" w:type="dxa"/>
        <w:jc w:val="left"/>
        <w:tblInd w:w="0" w:type="dxa"/>
        <w:tblLayout w:type="fixed"/>
        <w:tblCellMar>
          <w:top w:w="28" w:type="dxa"/>
          <w:left w:w="28" w:type="dxa"/>
          <w:bottom w:w="28" w:type="dxa"/>
          <w:right w:w="28" w:type="dxa"/>
        </w:tblCellMar>
      </w:tblPr>
      <w:tblGrid>
        <w:gridCol w:w="3406"/>
        <w:gridCol w:w="498"/>
        <w:gridCol w:w="747"/>
        <w:gridCol w:w="154"/>
        <w:gridCol w:w="154"/>
        <w:gridCol w:w="498"/>
        <w:gridCol w:w="747"/>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2798" w:type="dxa"/>
            <w:gridSpan w:val="6"/>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 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Dec.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Accounts payable and accrued liabilities</w:t>
            </w:r>
          </w:p>
        </w:tc>
        <w:tc>
          <w:tcPr>
            <w:tcW w:w="49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Other Assets</w:t>
            </w:r>
          </w:p>
        </w:tc>
        <w:tc>
          <w:tcPr>
            <w:tcW w:w="498"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7"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49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Other Liabilities</w:t>
            </w:r>
          </w:p>
        </w:tc>
        <w:tc>
          <w:tcPr>
            <w:tcW w:w="49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98</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sz w:val="4"/>
                <w:szCs w:val="4"/>
              </w:rPr>
            </w:pPr>
            <w:r>
              <w:rPr>
                <w:sz w:val="4"/>
                <w:szCs w:val="4"/>
              </w:rPr>
            </w:r>
          </w:p>
        </w:tc>
        <w:tc>
          <w:tcPr>
            <w:tcW w:w="49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The fair values were determined using a model with inputs that are observable in the market or can be derived or corroborated by observable data.</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 xml:space="preserve">SLB has entered into derivative contracts that hedge the price of oil related to approximately 75% of the projected oil production for the second and third quarters of 2024, approximately 50% for the fourth quarter of 2024, and approximately 25% for the first quarter of 2025 for one of its Asset Performance Solutions ("APS") projects. These contracts are accounted for as cash flow hedges, with changes in the fair value of the hedge recorded in </w:t>
      </w:r>
      <w:r>
        <w:rPr>
          <w:rFonts w:ascii="Arial" w:hAnsi="Arial"/>
          <w:i/>
          <w:color w:val="000000"/>
          <w:sz w:val="18"/>
        </w:rPr>
        <w:t>Accumulated other comprehensive loss</w:t>
      </w:r>
      <w:r>
        <w:rPr>
          <w:rFonts w:ascii="Arial" w:hAnsi="Arial"/>
          <w:color w:val="000000"/>
          <w:sz w:val="18"/>
        </w:rPr>
        <w:t xml:space="preserve">. Amounts recorded in </w:t>
      </w:r>
      <w:r>
        <w:rPr>
          <w:rFonts w:ascii="Arial" w:hAnsi="Arial"/>
          <w:i/>
          <w:color w:val="000000"/>
          <w:sz w:val="18"/>
        </w:rPr>
        <w:t xml:space="preserve">Accumulated other comprehensive loss </w:t>
      </w:r>
      <w:r>
        <w:rPr>
          <w:rFonts w:ascii="Arial" w:hAnsi="Arial"/>
          <w:color w:val="000000"/>
          <w:sz w:val="18"/>
        </w:rPr>
        <w:t>are reclassified to earnings in the same period or periods that the hedged item is recognized in earnings.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pStyle w:val="TextBody"/>
        <w:bidi w:val="0"/>
        <w:jc w:val="both"/>
        <w:rPr>
          <w:rFonts w:ascii="Times New Roman" w:hAnsi="Times New Roman"/>
          <w:sz w:val="20"/>
        </w:rPr>
      </w:pPr>
      <w:r>
        <w:rPr>
          <w:rFonts w:ascii="Arial" w:hAnsi="Arial"/>
          <w:color w:val="000000"/>
          <w:sz w:val="18"/>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hAnsi="Arial"/>
          <w:i/>
          <w:color w:val="000000"/>
          <w:sz w:val="18"/>
        </w:rPr>
        <w:t xml:space="preserve">Consolidated Balance Sheet </w:t>
      </w:r>
      <w:r>
        <w:rPr>
          <w:rFonts w:ascii="Arial" w:hAnsi="Arial"/>
          <w:color w:val="000000"/>
          <w:sz w:val="18"/>
        </w:rPr>
        <w:t xml:space="preserve">and changes in the fair value are recognized in the </w:t>
      </w:r>
      <w:r>
        <w:rPr>
          <w:rFonts w:ascii="Arial" w:hAnsi="Arial"/>
          <w:i/>
          <w:color w:val="000000"/>
          <w:sz w:val="18"/>
        </w:rPr>
        <w:t xml:space="preserve">Consolidated Statement of Income, </w:t>
      </w:r>
      <w:r>
        <w:rPr>
          <w:rFonts w:ascii="Arial" w:hAnsi="Arial"/>
          <w:color w:val="000000"/>
          <w:sz w:val="18"/>
        </w:rPr>
        <w:t>as are changes in the fair value of the hedged item.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Foreign currency forward contracts were outstanding for the US dollar equivalent of $5.1</w:t>
      </w:r>
      <w:r>
        <w:rPr>
          <w:rFonts w:ascii="Times New Roman" w:hAnsi="Times New Roman"/>
          <w:color w:val="000000"/>
          <w:sz w:val="20"/>
        </w:rPr>
        <w:t xml:space="preserve"> </w:t>
      </w:r>
      <w:r>
        <w:rPr>
          <w:rFonts w:ascii="Arial" w:hAnsi="Arial"/>
          <w:color w:val="000000"/>
          <w:sz w:val="18"/>
        </w:rPr>
        <w:t>billion and $5.4</w:t>
      </w:r>
      <w:r>
        <w:rPr>
          <w:rFonts w:ascii="Times New Roman" w:hAnsi="Times New Roman"/>
          <w:color w:val="000000"/>
          <w:sz w:val="20"/>
        </w:rPr>
        <w:t xml:space="preserve"> </w:t>
      </w:r>
      <w:r>
        <w:rPr>
          <w:rFonts w:ascii="Arial" w:hAnsi="Arial"/>
          <w:color w:val="000000"/>
          <w:sz w:val="18"/>
        </w:rPr>
        <w:t>billion in various foreign currencies as of March 31, 2024 and December 31, 2023, respectively.</w:t>
      </w:r>
    </w:p>
    <w:p>
      <w:pPr>
        <w:pStyle w:val="TextBody"/>
        <w:bidi w:val="0"/>
        <w:jc w:val="both"/>
        <w:rPr>
          <w:rFonts w:ascii="Arial" w:hAnsi="Arial"/>
          <w:color w:val="000000"/>
          <w:sz w:val="18"/>
        </w:rPr>
      </w:pPr>
      <w:r>
        <w:rPr>
          <w:rFonts w:ascii="Arial" w:hAnsi="Arial"/>
          <w:color w:val="000000"/>
          <w:sz w:val="18"/>
        </w:rPr>
        <w:t>Other than the previously mentioned cross-currency interest rate swaps, the fair value of the other outstanding derivatives was not material as of March 31, 2024 and December 31, 2023.</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The effect of derivative instruments designated as cash flow hedges, and those not designated as hedges, on the </w:t>
      </w:r>
      <w:r>
        <w:rPr>
          <w:rFonts w:ascii="Arial" w:hAnsi="Arial"/>
          <w:i/>
          <w:color w:val="000000"/>
          <w:sz w:val="18"/>
        </w:rPr>
        <w:t xml:space="preserve">Consolidated Statement of Income </w:t>
      </w:r>
      <w:r>
        <w:rPr>
          <w:rFonts w:ascii="Arial" w:hAnsi="Arial"/>
          <w:color w:val="000000"/>
          <w:sz w:val="18"/>
        </w:rPr>
        <w:t>was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28"/>
        <w:gridCol w:w="369"/>
        <w:gridCol w:w="844"/>
        <w:gridCol w:w="291"/>
        <w:gridCol w:w="255"/>
        <w:gridCol w:w="369"/>
        <w:gridCol w:w="659"/>
        <w:gridCol w:w="166"/>
        <w:gridCol w:w="146"/>
        <w:gridCol w:w="3678"/>
      </w:tblGrid>
      <w:tr>
        <w:trPr/>
        <w:tc>
          <w:tcPr>
            <w:tcW w:w="34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8" w:type="dxa"/>
            <w:tcBorders/>
            <w:shd w:fill="FFFFFF" w:val="clear"/>
            <w:vAlign w:val="center"/>
          </w:tcPr>
          <w:p>
            <w:pPr>
              <w:pStyle w:val="TableContents"/>
              <w:bidi w:val="0"/>
              <w:spacing w:before="0" w:after="283"/>
              <w:jc w:val="left"/>
              <w:rPr>
                <w:sz w:val="4"/>
                <w:szCs w:val="4"/>
              </w:rPr>
            </w:pPr>
            <w:r>
              <w:rPr>
                <w:sz w:val="4"/>
                <w:szCs w:val="4"/>
              </w:rPr>
            </w:r>
          </w:p>
        </w:tc>
        <w:tc>
          <w:tcPr>
            <w:tcW w:w="2787" w:type="dxa"/>
            <w:gridSpan w:val="6"/>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jc w:val="left"/>
              <w:rPr>
                <w:sz w:val="4"/>
                <w:szCs w:val="4"/>
              </w:rPr>
            </w:pPr>
            <w:r>
              <w:rPr>
                <w:sz w:val="4"/>
                <w:szCs w:val="4"/>
              </w:rPr>
            </w:r>
          </w:p>
        </w:tc>
      </w:tr>
      <w:tr>
        <w:trPr/>
        <w:tc>
          <w:tcPr>
            <w:tcW w:w="3428"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jc w:val="left"/>
              <w:rPr/>
            </w:pPr>
            <w:r>
              <w:rPr/>
              <w:t> </w:t>
            </w:r>
          </w:p>
        </w:tc>
      </w:tr>
      <w:tr>
        <w:trPr/>
        <w:tc>
          <w:tcPr>
            <w:tcW w:w="3428" w:type="dxa"/>
            <w:tcBorders/>
            <w:shd w:fill="FFFFFF" w:val="clear"/>
            <w:vAlign w:val="center"/>
          </w:tcPr>
          <w:p>
            <w:pPr>
              <w:pStyle w:val="TableContents"/>
              <w:bidi w:val="0"/>
              <w:spacing w:before="0" w:after="283"/>
              <w:jc w:val="left"/>
              <w:rPr>
                <w:sz w:val="4"/>
                <w:szCs w:val="4"/>
              </w:rPr>
            </w:pPr>
            <w:r>
              <w:rPr>
                <w:sz w:val="4"/>
                <w:szCs w:val="4"/>
              </w:rPr>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 (Loss) Recognized in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jc w:val="left"/>
              <w:rPr/>
            </w:pPr>
            <w:r>
              <w:rPr/>
              <w:t> </w:t>
            </w:r>
          </w:p>
        </w:tc>
      </w:tr>
      <w:tr>
        <w:trPr/>
        <w:tc>
          <w:tcPr>
            <w:tcW w:w="3428" w:type="dxa"/>
            <w:tcBorders/>
            <w:shd w:fill="FFFFFF" w:val="clear"/>
            <w:vAlign w:val="center"/>
          </w:tcPr>
          <w:p>
            <w:pPr>
              <w:pStyle w:val="TableContents"/>
              <w:bidi w:val="0"/>
              <w:spacing w:before="0" w:after="283"/>
              <w:jc w:val="left"/>
              <w:rPr>
                <w:sz w:val="4"/>
                <w:szCs w:val="4"/>
              </w:rPr>
            </w:pPr>
            <w:r>
              <w:rPr>
                <w:sz w:val="4"/>
                <w:szCs w:val="4"/>
              </w:rPr>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jc w:val="left"/>
              <w:rPr>
                <w:sz w:val="4"/>
                <w:szCs w:val="4"/>
              </w:rPr>
            </w:pPr>
            <w:r>
              <w:rPr>
                <w:sz w:val="4"/>
                <w:szCs w:val="4"/>
              </w:rPr>
            </w:r>
          </w:p>
        </w:tc>
      </w:tr>
      <w:tr>
        <w:trPr/>
        <w:tc>
          <w:tcPr>
            <w:tcW w:w="3428" w:type="dxa"/>
            <w:tcBorders/>
            <w:shd w:fill="FFFFFF" w:val="clear"/>
            <w:vAlign w:val="center"/>
          </w:tcPr>
          <w:p>
            <w:pPr>
              <w:pStyle w:val="TableContents"/>
              <w:bidi w:val="0"/>
              <w:spacing w:before="0" w:after="283"/>
              <w:jc w:val="left"/>
              <w:rPr>
                <w:sz w:val="4"/>
                <w:szCs w:val="4"/>
              </w:rPr>
            </w:pPr>
            <w:r>
              <w:rPr>
                <w:sz w:val="4"/>
                <w:szCs w:val="4"/>
              </w:rPr>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Consolidated Statement of Income Classification</w:t>
            </w:r>
          </w:p>
        </w:tc>
      </w:tr>
      <w:tr>
        <w:trPr/>
        <w:tc>
          <w:tcPr>
            <w:tcW w:w="34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Derivatives designated as cash flow hedges:</w:t>
            </w:r>
          </w:p>
        </w:tc>
        <w:tc>
          <w:tcPr>
            <w:tcW w:w="1213"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righ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78"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Cross-currency interest rate swaps</w:t>
            </w:r>
          </w:p>
        </w:tc>
        <w:tc>
          <w:tcPr>
            <w:tcW w:w="369"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(94</w:t>
            </w:r>
          </w:p>
        </w:tc>
        <w:tc>
          <w:tcPr>
            <w:tcW w:w="29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55" w:type="dxa"/>
            <w:tcBorders/>
            <w:shd w:fill="FFFFFF" w:val="clear"/>
            <w:vAlign w:val="center"/>
          </w:tcPr>
          <w:p>
            <w:pPr>
              <w:pStyle w:val="TableContents"/>
              <w:bidi w:val="0"/>
              <w:spacing w:before="0" w:after="283"/>
              <w:jc w:val="right"/>
              <w:rPr/>
            </w:pPr>
            <w:r>
              <w:rPr/>
              <w:t> </w:t>
            </w:r>
          </w:p>
        </w:tc>
        <w:tc>
          <w:tcPr>
            <w:tcW w:w="36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Cost of services/sales</w:t>
            </w:r>
          </w:p>
        </w:tc>
      </w:tr>
      <w:tr>
        <w:trPr/>
        <w:tc>
          <w:tcPr>
            <w:tcW w:w="342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Cross-currency interest rate swaps</w:t>
            </w:r>
          </w:p>
        </w:tc>
        <w:tc>
          <w:tcPr>
            <w:tcW w:w="369"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(21</w:t>
            </w:r>
          </w:p>
        </w:tc>
        <w:tc>
          <w:tcPr>
            <w:tcW w:w="29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55" w:type="dxa"/>
            <w:tcBorders/>
            <w:shd w:fill="CFF0FC" w:val="clear"/>
            <w:vAlign w:val="center"/>
          </w:tcPr>
          <w:p>
            <w:pPr>
              <w:pStyle w:val="TableContents"/>
              <w:bidi w:val="0"/>
              <w:spacing w:before="0" w:after="283"/>
              <w:jc w:val="right"/>
              <w:rPr/>
            </w:pPr>
            <w:r>
              <w:rPr/>
              <w:t> </w:t>
            </w:r>
          </w:p>
        </w:tc>
        <w:tc>
          <w:tcPr>
            <w:tcW w:w="36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78" w:type="dxa"/>
            <w:tcBorders/>
            <w:shd w:fill="CFF0FC" w:val="cle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Interest expense</w:t>
            </w:r>
          </w:p>
        </w:tc>
      </w:tr>
      <w:tr>
        <w:trPr/>
        <w:tc>
          <w:tcPr>
            <w:tcW w:w="342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Commodity contracts</w:t>
            </w:r>
          </w:p>
        </w:tc>
        <w:tc>
          <w:tcPr>
            <w:tcW w:w="36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w:t>
            </w:r>
          </w:p>
        </w:tc>
        <w:tc>
          <w:tcPr>
            <w:tcW w:w="29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55" w:type="dxa"/>
            <w:tcBorders/>
            <w:shd w:fill="FFFFFF" w:val="clear"/>
            <w:vAlign w:val="center"/>
          </w:tcPr>
          <w:p>
            <w:pPr>
              <w:pStyle w:val="TableContents"/>
              <w:bidi w:val="0"/>
              <w:spacing w:before="0" w:after="283"/>
              <w:jc w:val="right"/>
              <w:rPr/>
            </w:pPr>
            <w:r>
              <w:rPr/>
              <w:t> </w:t>
            </w:r>
          </w:p>
        </w:tc>
        <w:tc>
          <w:tcPr>
            <w:tcW w:w="369"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Revenue</w:t>
            </w:r>
          </w:p>
        </w:tc>
      </w:tr>
      <w:tr>
        <w:trPr/>
        <w:tc>
          <w:tcPr>
            <w:tcW w:w="342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exchange contracts</w:t>
            </w:r>
          </w:p>
        </w:tc>
        <w:tc>
          <w:tcPr>
            <w:tcW w:w="369"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291"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right"/>
              <w:rPr/>
            </w:pPr>
            <w:r>
              <w:rPr/>
              <w:t> </w:t>
            </w:r>
          </w:p>
        </w:tc>
        <w:tc>
          <w:tcPr>
            <w:tcW w:w="36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8" w:type="dxa"/>
            <w:tcBorders/>
            <w:shd w:fill="CFF0FC" w:val="cle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Cost of services/sales</w:t>
            </w:r>
          </w:p>
        </w:tc>
      </w:tr>
      <w:tr>
        <w:trPr/>
        <w:tc>
          <w:tcPr>
            <w:tcW w:w="342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exchange contracts</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Revenue</w:t>
            </w:r>
          </w:p>
        </w:tc>
      </w:tr>
      <w:tr>
        <w:trPr/>
        <w:tc>
          <w:tcPr>
            <w:tcW w:w="3428" w:type="dxa"/>
            <w:tcBorders/>
            <w:shd w:fill="CFF0FC" w:val="clear"/>
            <w:vAlign w:val="center"/>
          </w:tcPr>
          <w:p>
            <w:pPr>
              <w:pStyle w:val="TableContents"/>
              <w:bidi w:val="0"/>
              <w:spacing w:before="0" w:after="283"/>
              <w:jc w:val="left"/>
              <w:rPr>
                <w:sz w:val="4"/>
                <w:szCs w:val="4"/>
              </w:rPr>
            </w:pPr>
            <w:r>
              <w:rPr>
                <w:sz w:val="4"/>
                <w:szCs w:val="4"/>
              </w:rPr>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255" w:type="dxa"/>
            <w:tcBorders/>
            <w:shd w:fill="CFF0FC" w:val="clear"/>
            <w:vAlign w:val="center"/>
          </w:tcPr>
          <w:p>
            <w:pPr>
              <w:pStyle w:val="TableContents"/>
              <w:bidi w:val="0"/>
              <w:spacing w:before="0" w:after="283"/>
              <w:jc w:val="righ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8" w:type="dxa"/>
            <w:tcBorders/>
            <w:shd w:fill="CFF0FC" w:val="clear"/>
            <w:vAlign w:val="center"/>
          </w:tcPr>
          <w:p>
            <w:pPr>
              <w:pStyle w:val="TableContents"/>
              <w:bidi w:val="0"/>
              <w:spacing w:before="0" w:after="283"/>
              <w:jc w:val="left"/>
              <w:rPr/>
            </w:pPr>
            <w:r>
              <w:rPr/>
              <w:t> </w:t>
            </w:r>
          </w:p>
        </w:tc>
      </w:tr>
      <w:tr>
        <w:trPr/>
        <w:tc>
          <w:tcPr>
            <w:tcW w:w="342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Derivatives not designated as hedges:</w:t>
            </w:r>
          </w:p>
        </w:tc>
        <w:tc>
          <w:tcPr>
            <w:tcW w:w="1213" w:type="dxa"/>
            <w:gridSpan w:val="2"/>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78" w:type="dxa"/>
            <w:tcBorders/>
            <w:shd w:fill="FFFFFF" w:val="clear"/>
            <w:vAlign w:val="center"/>
          </w:tcPr>
          <w:p>
            <w:pPr>
              <w:pStyle w:val="TableContents"/>
              <w:bidi w:val="0"/>
              <w:spacing w:before="0" w:after="283"/>
              <w:ind w:left="0" w:right="0" w:firstLine="200"/>
              <w:jc w:val="left"/>
              <w:rPr>
                <w:sz w:val="4"/>
                <w:szCs w:val="4"/>
              </w:rPr>
            </w:pPr>
            <w:r>
              <w:rPr>
                <w:sz w:val="4"/>
                <w:szCs w:val="4"/>
              </w:rPr>
            </w:r>
          </w:p>
        </w:tc>
      </w:tr>
      <w:tr>
        <w:trPr/>
        <w:tc>
          <w:tcPr>
            <w:tcW w:w="342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exchange contracts</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sz w:val="4"/>
                <w:szCs w:val="4"/>
              </w:rPr>
            </w:pPr>
            <w:r>
              <w:rPr>
                <w:sz w:val="4"/>
                <w:szCs w:val="4"/>
              </w:rPr>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8" w:type="dxa"/>
            <w:tcBorders/>
            <w:shd w:fill="CFF0FC" w:val="clear"/>
            <w:vAlign w:val="center"/>
          </w:tcPr>
          <w:p>
            <w:pPr>
              <w:pStyle w:val="TableContents"/>
              <w:bidi w:val="0"/>
              <w:spacing w:before="0" w:after="283"/>
              <w:jc w:val="left"/>
              <w:rPr>
                <w:rFonts w:ascii="Arial" w:hAnsi="Arial"/>
                <w:i/>
                <w:color w:val="000000"/>
                <w:sz w:val="18"/>
              </w:rPr>
            </w:pPr>
            <w:r>
              <w:rPr>
                <w:rFonts w:ascii="Arial" w:hAnsi="Arial"/>
                <w:i/>
                <w:color w:val="000000"/>
                <w:sz w:val="18"/>
              </w:rPr>
              <w:t>Cost of services/sales</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SLB issued a credit default swap ("CDS") to a third-party financial institution that has a notional amount outstanding, as of March 31, 2024, of $521</w:t>
      </w:r>
      <w:r>
        <w:rPr>
          <w:rFonts w:ascii="Times New Roman" w:hAnsi="Times New Roman"/>
          <w:color w:val="000000"/>
          <w:sz w:val="20"/>
        </w:rPr>
        <w:t xml:space="preserve"> </w:t>
      </w:r>
      <w:r>
        <w:rPr>
          <w:rFonts w:ascii="Arial" w:hAnsi="Arial"/>
          <w:color w:val="000000"/>
          <w:sz w:val="18"/>
        </w:rPr>
        <w:t>million. The CDS related to a secured borrowing provided by the financial institution to SLB's primary customer in Mexico. The secured borrowing was utilized by this customer to pay certain of SLB's outstanding receivables. The notional amount of the CDS reduces on a monthly basis over its remaining 23-month term. The fair value of this derivative liability was not material at March 31, 2024.</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18"/>
        </w:rPr>
        <w:t xml:space="preserve">9. </w:t>
      </w:r>
      <w:r>
        <w:rPr>
          <w:rFonts w:ascii="Arial" w:hAnsi="Arial"/>
          <w:b/>
          <w:color w:val="000000"/>
          <w:sz w:val="18"/>
          <w:u w:val="single"/>
        </w:rPr>
        <w:t>Contingencies</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 xml:space="preserve">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 </w:t>
      </w:r>
    </w:p>
    <w:p>
      <w:pPr>
        <w:pStyle w:val="TextBody"/>
        <w:bidi w:val="0"/>
        <w:spacing w:before="240" w:after="283"/>
        <w:jc w:val="both"/>
        <w:rPr>
          <w:rFonts w:ascii="Times New Roman" w:hAnsi="Times New Roman"/>
          <w:sz w:val="20"/>
        </w:rPr>
      </w:pPr>
      <w:r>
        <w:rPr>
          <w:rFonts w:ascii="Arial" w:hAnsi="Arial"/>
          <w:b/>
          <w:color w:val="000000"/>
          <w:sz w:val="18"/>
        </w:rPr>
        <w:t xml:space="preserve">10. </w:t>
      </w:r>
      <w:r>
        <w:rPr>
          <w:rFonts w:ascii="Arial" w:hAnsi="Arial"/>
          <w:b/>
          <w:color w:val="000000"/>
          <w:sz w:val="18"/>
          <w:u w:val="single"/>
        </w:rPr>
        <w:t>Segment Information</w:t>
      </w:r>
      <w:r>
        <w:rPr>
          <w:rFonts w:ascii="Times New Roman" w:hAnsi="Times New Roman"/>
          <w:color w:val="000000"/>
          <w:sz w:val="20"/>
        </w:rPr>
        <w:t xml:space="preserve"> </w:t>
      </w:r>
    </w:p>
    <w:p>
      <w:pPr>
        <w:pStyle w:val="TextBody"/>
        <w:bidi w:val="0"/>
        <w:jc w:val="both"/>
        <w:rPr/>
      </w:pPr>
      <w:r>
        <w:rPr/>
        <w:t> </w:t>
      </w:r>
    </w:p>
    <w:tbl>
      <w:tblPr>
        <w:tblW w:w="8565" w:type="dxa"/>
        <w:jc w:val="left"/>
        <w:tblInd w:w="0" w:type="dxa"/>
        <w:tblLayout w:type="fixed"/>
        <w:tblCellMar>
          <w:top w:w="28" w:type="dxa"/>
          <w:left w:w="28" w:type="dxa"/>
          <w:bottom w:w="28" w:type="dxa"/>
          <w:right w:w="28" w:type="dxa"/>
        </w:tblCellMar>
      </w:tblPr>
      <w:tblGrid>
        <w:gridCol w:w="3066"/>
        <w:gridCol w:w="235"/>
        <w:gridCol w:w="636"/>
        <w:gridCol w:w="166"/>
        <w:gridCol w:w="146"/>
        <w:gridCol w:w="340"/>
        <w:gridCol w:w="920"/>
        <w:gridCol w:w="166"/>
        <w:gridCol w:w="146"/>
        <w:gridCol w:w="230"/>
        <w:gridCol w:w="626"/>
        <w:gridCol w:w="166"/>
        <w:gridCol w:w="146"/>
        <w:gridCol w:w="320"/>
        <w:gridCol w:w="865"/>
        <w:gridCol w:w="391"/>
      </w:tblGrid>
      <w:tr>
        <w:trPr/>
        <w:tc>
          <w:tcPr>
            <w:tcW w:w="30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5" w:type="dxa"/>
            <w:gridSpan w:val="10"/>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39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First Quarter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Income</w:t>
            </w:r>
          </w:p>
        </w:tc>
        <w:tc>
          <w:tcPr>
            <w:tcW w:w="391" w:type="dxa"/>
            <w:tcBorders/>
            <w:shd w:fill="FFFFFF" w:val="cle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Before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Before Taxes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Digital &amp; Integration</w:t>
            </w:r>
          </w:p>
        </w:tc>
        <w:tc>
          <w:tcPr>
            <w:tcW w:w="235"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2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39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Reservoir Performance</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242</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Well Construction</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672</w:t>
            </w:r>
          </w:p>
        </w:tc>
        <w:tc>
          <w:tcPr>
            <w:tcW w:w="39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Production Systems</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Eliminations &amp; other</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(157</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Pretax segment operating income</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1,391</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Corporate &amp; other </w:t>
            </w:r>
            <w:r>
              <w:rPr>
                <w:rFonts w:ascii="Arial" w:hAnsi="Arial"/>
                <w:color w:val="000000"/>
                <w:sz w:val="12"/>
              </w:rPr>
              <w:t>(1)</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(191</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income </w:t>
            </w:r>
            <w:r>
              <w:rPr>
                <w:rFonts w:ascii="Arial" w:hAnsi="Arial"/>
                <w:color w:val="000000"/>
                <w:sz w:val="12"/>
              </w:rPr>
              <w:t>(2)</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expense </w:t>
            </w:r>
            <w:r>
              <w:rPr>
                <w:rFonts w:ascii="Arial" w:hAnsi="Arial"/>
                <w:color w:val="000000"/>
                <w:sz w:val="12"/>
              </w:rPr>
              <w:t>(3)</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(110</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Charges and credits </w:t>
            </w:r>
            <w:r>
              <w:rPr>
                <w:rFonts w:ascii="Arial" w:hAnsi="Arial"/>
                <w:color w:val="000000"/>
                <w:sz w:val="12"/>
              </w:rPr>
              <w:t>(4)</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Comprised principally of certain corporate expenses not allocated to the segments, stock-based compensation costs, amortization expense associated with certain intangible assets, certain centrally managed initiatives and other nonoperating items.</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Interest income excludes amounts that are included in the segments’ income ($4</w:t>
      </w:r>
      <w:r>
        <w:rPr>
          <w:rFonts w:ascii="Arial" w:hAnsi="Arial"/>
          <w:color w:val="000000"/>
          <w:sz w:val="20"/>
        </w:rPr>
        <w:t xml:space="preserve"> </w:t>
      </w:r>
      <w:r>
        <w:rPr>
          <w:rFonts w:ascii="Arial" w:hAnsi="Arial"/>
          <w:color w:val="000000"/>
          <w:sz w:val="16"/>
        </w:rPr>
        <w:t>million in 2024; $- million in 2023).</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sz w:val="20"/>
        </w:rPr>
      </w:pPr>
      <w:r>
        <w:rPr>
          <w:rFonts w:ascii="Arial" w:hAnsi="Arial"/>
          <w:color w:val="000000"/>
          <w:sz w:val="16"/>
        </w:rPr>
        <w:t>Interest expense excludes amounts that are included in the segments’ income ($3</w:t>
      </w:r>
      <w:r>
        <w:rPr>
          <w:rFonts w:ascii="Arial" w:hAnsi="Arial"/>
          <w:color w:val="000000"/>
          <w:sz w:val="20"/>
        </w:rPr>
        <w:t xml:space="preserve"> </w:t>
      </w:r>
      <w:r>
        <w:rPr>
          <w:rFonts w:ascii="Arial" w:hAnsi="Arial"/>
          <w:color w:val="000000"/>
          <w:sz w:val="16"/>
        </w:rPr>
        <w:t>million in 2024; $3</w:t>
      </w:r>
      <w:r>
        <w:rPr>
          <w:rFonts w:ascii="Arial" w:hAnsi="Arial"/>
          <w:color w:val="000000"/>
          <w:sz w:val="20"/>
        </w:rPr>
        <w:t xml:space="preserve"> </w:t>
      </w:r>
      <w:r>
        <w:rPr>
          <w:rFonts w:ascii="Arial" w:hAnsi="Arial"/>
          <w:color w:val="000000"/>
          <w:sz w:val="16"/>
        </w:rPr>
        <w:t>million in 2023).</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sz w:val="20"/>
        </w:rPr>
      </w:pPr>
      <w:r>
        <w:rPr>
          <w:rFonts w:ascii="Arial" w:hAnsi="Arial"/>
          <w:color w:val="000000"/>
          <w:sz w:val="16"/>
        </w:rPr>
        <w:t xml:space="preserve">See Note 2 – </w:t>
      </w:r>
      <w:r>
        <w:rPr>
          <w:rFonts w:ascii="Arial" w:hAnsi="Arial"/>
          <w:i/>
          <w:color w:val="000000"/>
          <w:sz w:val="16"/>
        </w:rPr>
        <w:t>Charges and Credits</w:t>
      </w:r>
      <w:r>
        <w:rPr>
          <w:rFonts w:ascii="Arial" w:hAnsi="Arial"/>
          <w:color w:val="000000"/>
          <w:sz w:val="16"/>
        </w:rPr>
        <w:t>.</w:t>
      </w:r>
    </w:p>
    <w:p>
      <w:pPr>
        <w:pStyle w:val="TextBody"/>
        <w:bidi w:val="0"/>
        <w:spacing w:before="180" w:after="283"/>
        <w:jc w:val="both"/>
        <w:rPr>
          <w:rFonts w:ascii="Arial" w:hAnsi="Arial"/>
          <w:color w:val="000000"/>
          <w:sz w:val="18"/>
        </w:rPr>
      </w:pPr>
      <w:r>
        <w:rPr>
          <w:rFonts w:ascii="Arial" w:hAnsi="Arial"/>
          <w:color w:val="000000"/>
          <w:sz w:val="18"/>
        </w:rPr>
        <w:t>Revenue by geographic area was as follows:</w:t>
      </w:r>
    </w:p>
    <w:p>
      <w:pPr>
        <w:pStyle w:val="TextBody"/>
        <w:bidi w:val="0"/>
        <w:jc w:val="left"/>
        <w:rPr/>
      </w:pPr>
      <w:r>
        <w:rPr/>
        <w:t> </w:t>
      </w:r>
    </w:p>
    <w:tbl>
      <w:tblPr>
        <w:tblW w:w="3698" w:type="dxa"/>
        <w:jc w:val="left"/>
        <w:tblInd w:w="0" w:type="dxa"/>
        <w:tblLayout w:type="fixed"/>
        <w:tblCellMar>
          <w:top w:w="28" w:type="dxa"/>
          <w:left w:w="28" w:type="dxa"/>
          <w:bottom w:w="28" w:type="dxa"/>
          <w:right w:w="28" w:type="dxa"/>
        </w:tblCellMar>
      </w:tblPr>
      <w:tblGrid>
        <w:gridCol w:w="1651"/>
        <w:gridCol w:w="211"/>
        <w:gridCol w:w="571"/>
        <w:gridCol w:w="146"/>
        <w:gridCol w:w="146"/>
        <w:gridCol w:w="211"/>
        <w:gridCol w:w="57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1856" w:type="dxa"/>
            <w:gridSpan w:val="6"/>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North America</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Latin America</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1,618</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Europe &amp; Africa </w:t>
            </w:r>
            <w:r>
              <w:rPr>
                <w:rFonts w:ascii="Arial" w:hAnsi="Arial"/>
                <w:color w:val="000000"/>
                <w:sz w:val="12"/>
              </w:rPr>
              <w:t>(1)</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1,974</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Middle East &amp; Asia</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2,393</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Includes Russia and the Caspian region.</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North America and International revenue disaggregated by segment was as follows:</w:t>
      </w:r>
    </w:p>
    <w:p>
      <w:pPr>
        <w:pStyle w:val="TextBody"/>
        <w:bidi w:val="0"/>
        <w:jc w:val="left"/>
        <w:rPr/>
      </w:pPr>
      <w:r>
        <w:rPr/>
        <w:t> </w:t>
      </w:r>
    </w:p>
    <w:tbl>
      <w:tblPr>
        <w:tblW w:w="6539" w:type="dxa"/>
        <w:jc w:val="left"/>
        <w:tblInd w:w="0" w:type="dxa"/>
        <w:tblLayout w:type="fixed"/>
        <w:tblCellMar>
          <w:top w:w="28" w:type="dxa"/>
          <w:left w:w="28" w:type="dxa"/>
          <w:bottom w:w="28" w:type="dxa"/>
          <w:right w:w="28" w:type="dxa"/>
        </w:tblCellMar>
      </w:tblPr>
      <w:tblGrid>
        <w:gridCol w:w="2011"/>
        <w:gridCol w:w="226"/>
        <w:gridCol w:w="615"/>
        <w:gridCol w:w="166"/>
        <w:gridCol w:w="146"/>
        <w:gridCol w:w="315"/>
        <w:gridCol w:w="856"/>
        <w:gridCol w:w="166"/>
        <w:gridCol w:w="146"/>
        <w:gridCol w:w="211"/>
        <w:gridCol w:w="376"/>
        <w:gridCol w:w="166"/>
        <w:gridCol w:w="146"/>
        <w:gridCol w:w="211"/>
        <w:gridCol w:w="571"/>
        <w:gridCol w:w="211"/>
      </w:tblGrid>
      <w:tr>
        <w:trPr/>
        <w:tc>
          <w:tcPr>
            <w:tcW w:w="20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211" w:type="dxa"/>
            <w:tcBorders/>
            <w:shd w:fill="FFFFFF" w:val="clear"/>
            <w:vAlign w:val="center"/>
          </w:tcPr>
          <w:p>
            <w:pPr>
              <w:pStyle w:val="TableContents"/>
              <w:bidi w:val="0"/>
              <w:spacing w:before="0" w:after="283"/>
              <w:jc w:val="righ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North</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Digital &amp; Integration</w:t>
            </w:r>
          </w:p>
        </w:tc>
        <w:tc>
          <w:tcPr>
            <w:tcW w:w="22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1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5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953</w:t>
            </w:r>
          </w:p>
        </w:tc>
        <w:tc>
          <w:tcPr>
            <w:tcW w:w="21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Reservoir Performance</w:t>
            </w:r>
          </w:p>
        </w:tc>
        <w:tc>
          <w:tcPr>
            <w:tcW w:w="226"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1,725</w:t>
            </w:r>
          </w:p>
        </w:tc>
        <w:tc>
          <w:tcPr>
            <w:tcW w:w="21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Well Construction</w:t>
            </w:r>
          </w:p>
        </w:tc>
        <w:tc>
          <w:tcPr>
            <w:tcW w:w="226"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3,368</w:t>
            </w:r>
          </w:p>
        </w:tc>
        <w:tc>
          <w:tcPr>
            <w:tcW w:w="21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Production Systems</w:t>
            </w:r>
          </w:p>
        </w:tc>
        <w:tc>
          <w:tcPr>
            <w:tcW w:w="226"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2,818</w:t>
            </w:r>
          </w:p>
        </w:tc>
        <w:tc>
          <w:tcPr>
            <w:tcW w:w="21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Eliminations &amp; other</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r>
      <w:tr>
        <w:trPr/>
        <w:tc>
          <w:tcPr>
            <w:tcW w:w="2011"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First Quarter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North</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Digital &amp; Integration</w:t>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894</w:t>
            </w:r>
          </w:p>
        </w:tc>
        <w:tc>
          <w:tcPr>
            <w:tcW w:w="21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Reservoir Performance</w:t>
            </w:r>
          </w:p>
        </w:tc>
        <w:tc>
          <w:tcPr>
            <w:tcW w:w="226"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1,503</w:t>
            </w:r>
          </w:p>
        </w:tc>
        <w:tc>
          <w:tcPr>
            <w:tcW w:w="21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Well Construction</w:t>
            </w:r>
          </w:p>
        </w:tc>
        <w:tc>
          <w:tcPr>
            <w:tcW w:w="226"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3,261</w:t>
            </w:r>
          </w:p>
        </w:tc>
        <w:tc>
          <w:tcPr>
            <w:tcW w:w="21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Production Systems</w:t>
            </w:r>
          </w:p>
        </w:tc>
        <w:tc>
          <w:tcPr>
            <w:tcW w:w="226"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2,207</w:t>
            </w:r>
          </w:p>
        </w:tc>
        <w:tc>
          <w:tcPr>
            <w:tcW w:w="21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Eliminations &amp; other</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Revenue in excess of billings related to contracts where revenue is recognized over time was $0.4</w:t>
      </w:r>
      <w:r>
        <w:rPr>
          <w:rFonts w:ascii="Times New Roman" w:hAnsi="Times New Roman"/>
          <w:color w:val="000000"/>
          <w:sz w:val="20"/>
        </w:rPr>
        <w:t xml:space="preserve"> </w:t>
      </w:r>
      <w:r>
        <w:rPr>
          <w:rFonts w:ascii="Arial" w:hAnsi="Arial"/>
          <w:color w:val="000000"/>
          <w:sz w:val="18"/>
        </w:rPr>
        <w:t xml:space="preserve">billion at March 31, 2024 and December 31, 2023. Such amounts are included within </w:t>
      </w:r>
      <w:r>
        <w:rPr>
          <w:rFonts w:ascii="Arial" w:hAnsi="Arial"/>
          <w:i/>
          <w:color w:val="000000"/>
          <w:sz w:val="18"/>
        </w:rPr>
        <w:t>Receivables less allowance for doubtful accounts</w:t>
      </w:r>
      <w:r>
        <w:rPr>
          <w:rFonts w:ascii="Times New Roman" w:hAnsi="Times New Roman"/>
          <w:color w:val="000000"/>
          <w:sz w:val="20"/>
        </w:rPr>
        <w:t xml:space="preserve"> </w:t>
      </w:r>
      <w:r>
        <w:rPr>
          <w:rFonts w:ascii="Arial" w:hAnsi="Arial"/>
          <w:color w:val="000000"/>
          <w:sz w:val="18"/>
        </w:rPr>
        <w:t xml:space="preserve">in the </w:t>
      </w:r>
      <w:r>
        <w:rPr>
          <w:rFonts w:ascii="Arial" w:hAnsi="Arial"/>
          <w:i/>
          <w:color w:val="000000"/>
          <w:sz w:val="18"/>
        </w:rPr>
        <w:t>Consolidated Balance Sheet</w:t>
      </w:r>
      <w:r>
        <w:rPr>
          <w:rFonts w:ascii="Arial" w:hAnsi="Arial"/>
          <w:color w:val="000000"/>
          <w:sz w:val="18"/>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Total backlog was $5.3</w:t>
      </w:r>
      <w:r>
        <w:rPr>
          <w:rFonts w:ascii="Times New Roman" w:hAnsi="Times New Roman"/>
          <w:color w:val="000000"/>
          <w:sz w:val="20"/>
        </w:rPr>
        <w:t xml:space="preserve"> </w:t>
      </w:r>
      <w:r>
        <w:rPr>
          <w:rFonts w:ascii="Arial" w:hAnsi="Arial"/>
          <w:color w:val="000000"/>
          <w:sz w:val="18"/>
        </w:rPr>
        <w:t>billion at March 31, 2024, of which approximately</w:t>
      </w:r>
      <w:r>
        <w:rPr>
          <w:rFonts w:ascii="Times New Roman" w:hAnsi="Times New Roman"/>
          <w:color w:val="000000"/>
          <w:sz w:val="20"/>
        </w:rPr>
        <w:t xml:space="preserve"> </w:t>
      </w:r>
      <w:r>
        <w:rPr>
          <w:rFonts w:ascii="Arial" w:hAnsi="Arial"/>
          <w:color w:val="000000"/>
          <w:sz w:val="18"/>
        </w:rPr>
        <w:t>65% is expected to be recognized as revenue over the next 12 months.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Billings and cash collections in excess of revenue was $2.0</w:t>
      </w:r>
      <w:r>
        <w:rPr>
          <w:rFonts w:ascii="Times New Roman" w:hAnsi="Times New Roman"/>
          <w:color w:val="000000"/>
          <w:sz w:val="20"/>
        </w:rPr>
        <w:t xml:space="preserve"> </w:t>
      </w:r>
      <w:r>
        <w:rPr>
          <w:rFonts w:ascii="Arial" w:hAnsi="Arial"/>
          <w:color w:val="000000"/>
          <w:sz w:val="18"/>
        </w:rPr>
        <w:t xml:space="preserve">billion at both March 31, 2024 and December 31, 2023. Such amounts are included within </w:t>
      </w:r>
      <w:r>
        <w:rPr>
          <w:rFonts w:ascii="Arial" w:hAnsi="Arial"/>
          <w:i/>
          <w:color w:val="000000"/>
          <w:sz w:val="18"/>
        </w:rPr>
        <w:t>Accounts payable and accrued liabilities</w:t>
      </w:r>
      <w:r>
        <w:rPr>
          <w:rFonts w:ascii="Times New Roman" w:hAnsi="Times New Roman"/>
          <w:color w:val="000000"/>
          <w:sz w:val="20"/>
        </w:rPr>
        <w:t xml:space="preserve"> </w:t>
      </w:r>
      <w:r>
        <w:rPr>
          <w:rFonts w:ascii="Arial" w:hAnsi="Arial"/>
          <w:color w:val="000000"/>
          <w:sz w:val="18"/>
        </w:rPr>
        <w:t xml:space="preserve">in the </w:t>
      </w:r>
      <w:r>
        <w:rPr>
          <w:rFonts w:ascii="Arial" w:hAnsi="Arial"/>
          <w:i/>
          <w:color w:val="000000"/>
          <w:sz w:val="18"/>
        </w:rPr>
        <w:t>Consolidated Balance Sheet</w:t>
      </w:r>
      <w:r>
        <w:rPr>
          <w:rFonts w:ascii="Arial" w:hAnsi="Arial"/>
          <w:color w:val="000000"/>
          <w:sz w:val="18"/>
        </w:rPr>
        <w: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5" w:name="item_2_managements_discussion_analysis_f"/>
      <w:bookmarkEnd w:id="5"/>
      <w:r>
        <w:rPr>
          <w:rFonts w:ascii="Arial" w:hAnsi="Arial"/>
          <w:b/>
          <w:color w:val="000000"/>
          <w:sz w:val="18"/>
          <w:u w:val="single"/>
        </w:rPr>
        <w:t>Item 2.</w:t>
      </w:r>
      <w:r>
        <w:rPr>
          <w:rFonts w:ascii="Times New Roman" w:hAnsi="Times New Roman"/>
          <w:color w:val="000000"/>
          <w:sz w:val="20"/>
        </w:rPr>
        <w:t xml:space="preserve"> </w:t>
      </w:r>
      <w:r>
        <w:rPr>
          <w:rFonts w:ascii="Arial" w:hAnsi="Arial"/>
          <w:b/>
          <w:color w:val="000000"/>
          <w:sz w:val="18"/>
          <w:u w:val="single"/>
        </w:rPr>
        <w:t>Management’s Discussion and Analysis of</w:t>
      </w:r>
      <w:r>
        <w:rPr>
          <w:rFonts w:ascii="Times New Roman" w:hAnsi="Times New Roman"/>
          <w:color w:val="000000"/>
          <w:sz w:val="20"/>
          <w:u w:val="single"/>
        </w:rPr>
        <w:t xml:space="preserve"> </w:t>
      </w:r>
      <w:r>
        <w:rPr>
          <w:rFonts w:ascii="Arial" w:hAnsi="Arial"/>
          <w:b/>
          <w:color w:val="000000"/>
          <w:sz w:val="18"/>
          <w:u w:val="single"/>
        </w:rPr>
        <w:t>Financial Condition and Results of Operations.</w:t>
      </w:r>
      <w:r>
        <w:rPr>
          <w:rFonts w:ascii="Times New Roman" w:hAnsi="Times New Roman"/>
          <w:color w:val="000000"/>
          <w:sz w:val="20"/>
        </w:rPr>
        <w:t xml:space="preserve"> </w:t>
      </w:r>
    </w:p>
    <w:p>
      <w:pPr>
        <w:pStyle w:val="TextBody"/>
        <w:bidi w:val="0"/>
        <w:spacing w:before="360" w:after="283"/>
        <w:jc w:val="center"/>
        <w:rPr>
          <w:rFonts w:ascii="Arial" w:hAnsi="Arial"/>
          <w:b/>
          <w:color w:val="000000"/>
          <w:sz w:val="18"/>
          <w:u w:val="single"/>
        </w:rPr>
      </w:pPr>
      <w:r>
        <w:rPr>
          <w:rFonts w:ascii="Arial" w:hAnsi="Arial"/>
          <w:b/>
          <w:color w:val="000000"/>
          <w:sz w:val="18"/>
          <w:u w:val="single"/>
        </w:rPr>
        <w:t>First Quarter 2024 Compared to Fourth Quarter 2023</w:t>
      </w:r>
    </w:p>
    <w:p>
      <w:pPr>
        <w:pStyle w:val="TextBody"/>
        <w:bidi w:val="0"/>
        <w:jc w:val="both"/>
        <w:rPr/>
      </w:pPr>
      <w:r>
        <w:rPr/>
        <w:t> </w:t>
      </w:r>
    </w:p>
    <w:tbl>
      <w:tblPr>
        <w:tblW w:w="8795" w:type="dxa"/>
        <w:jc w:val="left"/>
        <w:tblInd w:w="0" w:type="dxa"/>
        <w:tblLayout w:type="fixed"/>
        <w:tblCellMar>
          <w:top w:w="28" w:type="dxa"/>
          <w:left w:w="28" w:type="dxa"/>
          <w:bottom w:w="28" w:type="dxa"/>
          <w:right w:w="28" w:type="dxa"/>
        </w:tblCellMar>
      </w:tblPr>
      <w:tblGrid>
        <w:gridCol w:w="3066"/>
        <w:gridCol w:w="235"/>
        <w:gridCol w:w="636"/>
        <w:gridCol w:w="166"/>
        <w:gridCol w:w="146"/>
        <w:gridCol w:w="368"/>
        <w:gridCol w:w="997"/>
        <w:gridCol w:w="166"/>
        <w:gridCol w:w="146"/>
        <w:gridCol w:w="230"/>
        <w:gridCol w:w="626"/>
        <w:gridCol w:w="166"/>
        <w:gridCol w:w="146"/>
        <w:gridCol w:w="348"/>
        <w:gridCol w:w="942"/>
        <w:gridCol w:w="411"/>
      </w:tblGrid>
      <w:tr>
        <w:trPr/>
        <w:tc>
          <w:tcPr>
            <w:tcW w:w="30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5" w:type="dxa"/>
            <w:gridSpan w:val="10"/>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41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Fourth Quarter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 Before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Income Before</w:t>
            </w:r>
          </w:p>
        </w:tc>
        <w:tc>
          <w:tcPr>
            <w:tcW w:w="411" w:type="dxa"/>
            <w:tcBorders/>
            <w:shd w:fill="FFFFFF" w:val="cle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Taxes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Digital &amp; Integration</w:t>
            </w:r>
          </w:p>
        </w:tc>
        <w:tc>
          <w:tcPr>
            <w:tcW w:w="235"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9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356</w:t>
            </w:r>
          </w:p>
        </w:tc>
        <w:tc>
          <w:tcPr>
            <w:tcW w:w="41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Reservoir Performance</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41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Well Construction</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770</w:t>
            </w:r>
          </w:p>
        </w:tc>
        <w:tc>
          <w:tcPr>
            <w:tcW w:w="41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Production Systems</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442</w:t>
            </w:r>
          </w:p>
        </w:tc>
        <w:tc>
          <w:tcPr>
            <w:tcW w:w="41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Eliminations &amp; other</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(157</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Pretax segment operating income</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1,868</w:t>
            </w:r>
          </w:p>
        </w:tc>
        <w:tc>
          <w:tcPr>
            <w:tcW w:w="41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Corporate &amp; other </w:t>
            </w:r>
            <w:r>
              <w:rPr>
                <w:rFonts w:ascii="Arial" w:hAnsi="Arial"/>
                <w:color w:val="000000"/>
                <w:sz w:val="12"/>
              </w:rPr>
              <w:t>(1)</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(191</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income </w:t>
            </w:r>
            <w:r>
              <w:rPr>
                <w:rFonts w:ascii="Arial" w:hAnsi="Arial"/>
                <w:color w:val="000000"/>
                <w:sz w:val="12"/>
              </w:rPr>
              <w:t>(2)</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1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expense </w:t>
            </w:r>
            <w:r>
              <w:rPr>
                <w:rFonts w:ascii="Arial" w:hAnsi="Arial"/>
                <w:color w:val="000000"/>
                <w:sz w:val="12"/>
              </w:rPr>
              <w:t>(3)</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(110</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Charges and credits</w:t>
            </w:r>
            <w:r>
              <w:rPr>
                <w:rFonts w:ascii="Times New Roman" w:hAnsi="Times New Roman"/>
                <w:color w:val="000000"/>
                <w:sz w:val="18"/>
              </w:rPr>
              <w:t> </w:t>
            </w:r>
            <w:r>
              <w:rPr>
                <w:rFonts w:ascii="Arial" w:hAnsi="Arial"/>
                <w:color w:val="000000"/>
                <w:sz w:val="12"/>
              </w:rPr>
              <w:t>(4)</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CFF0FC"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 xml:space="preserve">Comprised principally of certain corporate expenses not allocated to the segments, stock-based compensation costs, amortization expense associated with certain intangible assets, certain centrally managed initiatives and other nonoperating items.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Interest income excludes amounts that are included in the segments’ income ($4 million in Q1 2024; $11 million in Q4 2023).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Interest expense excludes amounts that are included in the segments’ income ($3 million in Q1 2024; $4 million in Q4 2023).</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pPr>
      <w:r>
        <w:rPr>
          <w:rFonts w:ascii="Arial" w:hAnsi="Arial"/>
          <w:color w:val="000000"/>
          <w:sz w:val="16"/>
        </w:rPr>
        <w:t xml:space="preserve">Charges and credits are described in detail in Note 2 to the </w:t>
      </w:r>
      <w:r>
        <w:rPr>
          <w:rFonts w:ascii="Arial" w:hAnsi="Arial"/>
          <w:i/>
          <w:color w:val="000000"/>
          <w:sz w:val="16"/>
        </w:rPr>
        <w:t>Consolidated Financial Statements</w:t>
      </w:r>
      <w:r>
        <w:rPr>
          <w:rFonts w:ascii="Arial" w:hAnsi="Arial"/>
          <w:color w:val="000000"/>
          <w:sz w:val="16"/>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First-quarter 2024 revenue of $8.7 billion decreased 3% sequentially as revenue declined 3% both in North America and in the international markets due to seasonality. However, this impact was less pronounced than in prior years as robust activity gains partially offset seasonal effects.</w:t>
      </w:r>
    </w:p>
    <w:p>
      <w:pPr>
        <w:pStyle w:val="TextBody"/>
        <w:bidi w:val="0"/>
        <w:jc w:val="both"/>
        <w:rPr>
          <w:rFonts w:ascii="Times New Roman" w:hAnsi="Times New Roman"/>
          <w:sz w:val="20"/>
        </w:rPr>
      </w:pPr>
      <w:r>
        <w:rPr>
          <w:rFonts w:ascii="Arial" w:hAnsi="Arial"/>
          <w:color w:val="000000"/>
          <w:sz w:val="18"/>
        </w:rPr>
        <w:t>SLB remains confident in its global revenue growth outlook for 2024, with softness in North America being offset by upside in the international markets. The dynamics of this cycle remain intact, with international and offshore growth taking place across all geographies which is benefiting all of SLB’s Divisions.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Margin expansion throughout the year is expected to be driven by tight service and equipment capacity internationally, increased technology adoption, and further operational efficiency. In the second quarter of 2024, SLB expects a seasonal rebound in activity in the Northern Hemisphere coupled with robust activity internationally, led by the Middle East, Asia, and Africa, which will drive broad sequential margin expansion across all Divisions and geographies.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The oil and gas industry continues to benefit from strong market fundamentals driven by a growing demand outlook. This is resulting in a significant baseload of activity, particularly in the international and offshore markets, closely aligned with SLB’s strengths of our business. As the cycle persists, SLB expects operators to increase their investments in production and reservoir recovery, with the goal of maximizing the efficiency and longevity of their producing assets. This is expected to result in operating expenditures becoming an increasing part of global upstream spending over time.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 xml:space="preserve">SLB is already benefiting from these investments, and its recently announced agreement to acquire ChampionX (see Note 1 to the </w:t>
      </w:r>
      <w:r>
        <w:rPr>
          <w:rFonts w:ascii="Arial" w:hAnsi="Arial"/>
          <w:i/>
          <w:color w:val="000000"/>
          <w:sz w:val="18"/>
        </w:rPr>
        <w:t>Consolidated Financial Statements</w:t>
      </w:r>
      <w:r>
        <w:rPr>
          <w:rFonts w:ascii="Arial" w:hAnsi="Arial"/>
          <w:color w:val="000000"/>
          <w:sz w:val="18"/>
        </w:rPr>
        <w:t>) will position SLB to further capture this growing opportunity through the addition of a leading production chemicals portfolio and a complementary artificial lift offering.</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8"/>
        </w:rPr>
      </w:pPr>
      <w:r>
        <w:rPr>
          <w:rFonts w:ascii="Arial" w:hAnsi="Arial"/>
          <w:b/>
          <w:color w:val="000000"/>
          <w:sz w:val="18"/>
        </w:rPr>
        <w:t>Digital &amp; Integration</w:t>
      </w:r>
    </w:p>
    <w:p>
      <w:pPr>
        <w:pStyle w:val="TextBody"/>
        <w:bidi w:val="0"/>
        <w:spacing w:before="120" w:after="283"/>
        <w:jc w:val="both"/>
        <w:rPr>
          <w:rFonts w:ascii="Arial" w:hAnsi="Arial"/>
          <w:color w:val="000000"/>
          <w:sz w:val="18"/>
        </w:rPr>
      </w:pPr>
      <w:r>
        <w:rPr>
          <w:rFonts w:ascii="Arial" w:hAnsi="Arial"/>
          <w:color w:val="000000"/>
          <w:sz w:val="18"/>
        </w:rPr>
        <w:t>Digital &amp; Integration revenue of $953 million declined 9% sequentially following strong year-end digital sales in the fourth quarter of 2023.</w:t>
      </w:r>
    </w:p>
    <w:p>
      <w:pPr>
        <w:pStyle w:val="TextBody"/>
        <w:bidi w:val="0"/>
        <w:jc w:val="both"/>
        <w:rPr>
          <w:rFonts w:ascii="Arial" w:hAnsi="Arial"/>
          <w:color w:val="000000"/>
          <w:sz w:val="18"/>
        </w:rPr>
      </w:pPr>
      <w:r>
        <w:rPr>
          <w:rFonts w:ascii="Arial" w:hAnsi="Arial"/>
          <w:color w:val="000000"/>
          <w:sz w:val="18"/>
        </w:rPr>
        <w:t>Digital &amp; Integration pretax operating margin of 27% contracted 735 basis points (“bps”) primarily due to the seasonally lower digital sales.</w:t>
      </w:r>
    </w:p>
    <w:p>
      <w:pPr>
        <w:pStyle w:val="TextBody"/>
        <w:bidi w:val="0"/>
        <w:spacing w:before="240" w:after="283"/>
        <w:jc w:val="both"/>
        <w:rPr>
          <w:rFonts w:ascii="Arial" w:hAnsi="Arial"/>
          <w:b/>
          <w:color w:val="000000"/>
          <w:sz w:val="18"/>
        </w:rPr>
      </w:pPr>
      <w:r>
        <w:rPr>
          <w:rFonts w:ascii="Arial" w:hAnsi="Arial"/>
          <w:b/>
          <w:color w:val="000000"/>
          <w:sz w:val="18"/>
        </w:rPr>
        <w:t>Reservoir Performance</w:t>
      </w:r>
    </w:p>
    <w:p>
      <w:pPr>
        <w:pStyle w:val="TextBody"/>
        <w:bidi w:val="0"/>
        <w:spacing w:before="120" w:after="283"/>
        <w:jc w:val="both"/>
        <w:rPr>
          <w:rFonts w:ascii="Arial" w:hAnsi="Arial"/>
          <w:color w:val="000000"/>
          <w:sz w:val="18"/>
        </w:rPr>
      </w:pPr>
      <w:r>
        <w:rPr>
          <w:rFonts w:ascii="Arial" w:hAnsi="Arial"/>
          <w:color w:val="000000"/>
          <w:sz w:val="18"/>
        </w:rPr>
        <w:t>Reservoir Performance revenue of $1.7 billion decreased 1% sequentially as seasonal activity reductions in Russia and Asia were partially offset by activity increases in the Middle East, North America, and Europe &amp; Africa.</w:t>
      </w:r>
    </w:p>
    <w:p>
      <w:pPr>
        <w:pStyle w:val="TextBody"/>
        <w:bidi w:val="0"/>
        <w:jc w:val="both"/>
        <w:rPr>
          <w:rFonts w:ascii="Arial" w:hAnsi="Arial"/>
          <w:color w:val="000000"/>
          <w:sz w:val="18"/>
        </w:rPr>
      </w:pPr>
      <w:r>
        <w:rPr>
          <w:rFonts w:ascii="Arial" w:hAnsi="Arial"/>
          <w:color w:val="000000"/>
          <w:sz w:val="18"/>
        </w:rPr>
        <w:t>Reservoir Performance pretax operating margin of 20% contracted 170 bps sequentially as a result of the seasonal revenue decline in international activity.</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8"/>
        </w:rPr>
      </w:pPr>
      <w:r>
        <w:rPr>
          <w:rFonts w:ascii="Arial" w:hAnsi="Arial"/>
          <w:b/>
          <w:color w:val="000000"/>
          <w:sz w:val="18"/>
        </w:rPr>
        <w:t>Well Construction</w:t>
      </w:r>
    </w:p>
    <w:p>
      <w:pPr>
        <w:pStyle w:val="TextBody"/>
        <w:bidi w:val="0"/>
        <w:spacing w:before="120" w:after="283"/>
        <w:jc w:val="both"/>
        <w:rPr>
          <w:rFonts w:ascii="Arial" w:hAnsi="Arial"/>
          <w:color w:val="000000"/>
          <w:sz w:val="18"/>
        </w:rPr>
      </w:pPr>
      <w:r>
        <w:rPr>
          <w:rFonts w:ascii="Arial" w:hAnsi="Arial"/>
          <w:color w:val="000000"/>
          <w:sz w:val="18"/>
        </w:rPr>
        <w:t>Well Construction revenue of $3.4 billion decreased 2% sequentially due to seasonal activity reductions across all areas.</w:t>
      </w:r>
    </w:p>
    <w:p>
      <w:pPr>
        <w:pStyle w:val="TextBody"/>
        <w:bidi w:val="0"/>
        <w:jc w:val="both"/>
        <w:rPr>
          <w:rFonts w:ascii="Times New Roman" w:hAnsi="Times New Roman"/>
          <w:sz w:val="20"/>
        </w:rPr>
      </w:pPr>
      <w:r>
        <w:rPr>
          <w:rFonts w:ascii="Arial" w:hAnsi="Arial"/>
          <w:color w:val="000000"/>
          <w:sz w:val="18"/>
        </w:rPr>
        <w:t>Well Construction pretax operating margin of 20% contracted 198 bps due to the seasonal decline in activity.</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8"/>
        </w:rPr>
      </w:pPr>
      <w:r>
        <w:rPr>
          <w:rFonts w:ascii="Arial" w:hAnsi="Arial"/>
          <w:b/>
          <w:color w:val="000000"/>
          <w:sz w:val="18"/>
        </w:rPr>
        <w:t>Production Systems</w:t>
      </w:r>
    </w:p>
    <w:p>
      <w:pPr>
        <w:pStyle w:val="TextBody"/>
        <w:bidi w:val="0"/>
        <w:spacing w:before="120" w:after="283"/>
        <w:jc w:val="both"/>
        <w:rPr>
          <w:rFonts w:ascii="Arial" w:hAnsi="Arial"/>
          <w:color w:val="000000"/>
          <w:sz w:val="18"/>
        </w:rPr>
      </w:pPr>
      <w:r>
        <w:rPr>
          <w:rFonts w:ascii="Arial" w:hAnsi="Arial"/>
          <w:color w:val="000000"/>
          <w:sz w:val="18"/>
        </w:rPr>
        <w:t>Production Systems revenue of $2.8 billion decreased 4% sequentially driven by seasonally lower sales of subsea production systems, artificial lift, and midstream production systems.</w:t>
      </w:r>
    </w:p>
    <w:p>
      <w:pPr>
        <w:pStyle w:val="TextBody"/>
        <w:bidi w:val="0"/>
        <w:jc w:val="both"/>
        <w:rPr>
          <w:rFonts w:ascii="Arial" w:hAnsi="Arial"/>
          <w:color w:val="000000"/>
          <w:sz w:val="18"/>
        </w:rPr>
      </w:pPr>
      <w:r>
        <w:rPr>
          <w:rFonts w:ascii="Arial" w:hAnsi="Arial"/>
          <w:color w:val="000000"/>
          <w:sz w:val="18"/>
        </w:rPr>
        <w:t>Production Systems pretax operating margin contracted 84 bps sequentially due to the seasonally lower sales.</w:t>
      </w:r>
    </w:p>
    <w:p>
      <w:pPr>
        <w:pStyle w:val="TextBody"/>
        <w:bidi w:val="0"/>
        <w:spacing w:before="360" w:after="283"/>
        <w:jc w:val="center"/>
        <w:rPr>
          <w:rFonts w:ascii="Arial" w:hAnsi="Arial"/>
          <w:b/>
          <w:color w:val="000000"/>
          <w:sz w:val="18"/>
          <w:u w:val="single"/>
        </w:rPr>
      </w:pPr>
      <w:r>
        <w:rPr>
          <w:rFonts w:ascii="Arial" w:hAnsi="Arial"/>
          <w:b/>
          <w:color w:val="000000"/>
          <w:sz w:val="18"/>
          <w:u w:val="single"/>
        </w:rPr>
        <w:t>First Quarter 2024 Compared to First Quarter 2023</w:t>
      </w:r>
    </w:p>
    <w:p>
      <w:pPr>
        <w:pStyle w:val="TextBody"/>
        <w:bidi w:val="0"/>
        <w:spacing w:before="160" w:after="283"/>
        <w:jc w:val="center"/>
        <w:rPr/>
      </w:pPr>
      <w:r>
        <w:rPr/>
        <w:t> </w:t>
      </w:r>
    </w:p>
    <w:tbl>
      <w:tblPr>
        <w:tblW w:w="7684" w:type="dxa"/>
        <w:jc w:val="left"/>
        <w:tblInd w:w="0" w:type="dxa"/>
        <w:tblLayout w:type="fixed"/>
        <w:tblCellMar>
          <w:top w:w="28" w:type="dxa"/>
          <w:left w:w="28" w:type="dxa"/>
          <w:bottom w:w="28" w:type="dxa"/>
          <w:right w:w="28" w:type="dxa"/>
        </w:tblCellMar>
      </w:tblPr>
      <w:tblGrid>
        <w:gridCol w:w="3066"/>
        <w:gridCol w:w="235"/>
        <w:gridCol w:w="636"/>
        <w:gridCol w:w="166"/>
        <w:gridCol w:w="146"/>
        <w:gridCol w:w="211"/>
        <w:gridCol w:w="571"/>
        <w:gridCol w:w="166"/>
        <w:gridCol w:w="146"/>
        <w:gridCol w:w="230"/>
        <w:gridCol w:w="626"/>
        <w:gridCol w:w="166"/>
        <w:gridCol w:w="146"/>
        <w:gridCol w:w="211"/>
        <w:gridCol w:w="571"/>
        <w:gridCol w:w="391"/>
      </w:tblGrid>
      <w:tr>
        <w:trPr/>
        <w:tc>
          <w:tcPr>
            <w:tcW w:w="30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4" w:type="dxa"/>
            <w:gridSpan w:val="10"/>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39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First Quarter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Income</w:t>
            </w:r>
          </w:p>
        </w:tc>
        <w:tc>
          <w:tcPr>
            <w:tcW w:w="391" w:type="dxa"/>
            <w:tcBorders/>
            <w:shd w:fill="FFFFFF" w:val="cle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Before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Before</w:t>
            </w:r>
          </w:p>
        </w:tc>
        <w:tc>
          <w:tcPr>
            <w:tcW w:w="391" w:type="dxa"/>
            <w:tcBorders/>
            <w:shd w:fill="FFFFFF" w:val="clear"/>
            <w:vAlign w:val="center"/>
          </w:tcPr>
          <w:p>
            <w:pPr>
              <w:pStyle w:val="TableContents"/>
              <w:bidi w:val="0"/>
              <w:spacing w:before="0" w:after="283"/>
              <w:jc w:val="center"/>
              <w:rPr/>
            </w:pPr>
            <w:r>
              <w:rPr/>
              <w:t> </w:t>
            </w:r>
          </w:p>
        </w:tc>
      </w:tr>
      <w:tr>
        <w:trPr/>
        <w:tc>
          <w:tcPr>
            <w:tcW w:w="306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Taxes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Digital &amp; Integration</w:t>
            </w:r>
          </w:p>
        </w:tc>
        <w:tc>
          <w:tcPr>
            <w:tcW w:w="235"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39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Reservoir Performance</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242</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Well Construction</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672</w:t>
            </w:r>
          </w:p>
        </w:tc>
        <w:tc>
          <w:tcPr>
            <w:tcW w:w="391" w:type="dxa"/>
            <w:tcBorders/>
            <w:shd w:fill="CFF0FC" w:val="clear"/>
            <w:vAlign w:val="center"/>
          </w:tcPr>
          <w:p>
            <w:pPr>
              <w:pStyle w:val="TableContents"/>
              <w:bidi w:val="0"/>
              <w:spacing w:before="0" w:after="283"/>
              <w:jc w:val="left"/>
              <w:rPr/>
            </w:pPr>
            <w:r>
              <w:rPr/>
              <w:t> </w:t>
            </w:r>
          </w:p>
        </w:tc>
      </w:tr>
      <w:tr>
        <w:trPr/>
        <w:tc>
          <w:tcPr>
            <w:tcW w:w="30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Production Systems</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Eliminations &amp; other</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(157</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Pretax segment operating income</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1,391</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Corporate &amp; other </w:t>
            </w:r>
            <w:r>
              <w:rPr>
                <w:rFonts w:ascii="Arial" w:hAnsi="Arial"/>
                <w:color w:val="000000"/>
                <w:sz w:val="12"/>
              </w:rPr>
              <w:t>(1)</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(191</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income </w:t>
            </w:r>
            <w:r>
              <w:rPr>
                <w:rFonts w:ascii="Arial" w:hAnsi="Arial"/>
                <w:color w:val="000000"/>
                <w:sz w:val="12"/>
              </w:rPr>
              <w:t>(2)</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91" w:type="dxa"/>
            <w:tcBorders/>
            <w:shd w:fill="FFFFFF" w:val="cle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Interest expense </w:t>
            </w:r>
            <w:r>
              <w:rPr>
                <w:rFonts w:ascii="Arial" w:hAnsi="Arial"/>
                <w:color w:val="000000"/>
                <w:sz w:val="12"/>
              </w:rPr>
              <w:t>(3)</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(110</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66" w:type="dxa"/>
            <w:tcBorders/>
            <w:shd w:fill="FFFFFF" w:val="clear"/>
            <w:vAlign w:val="center"/>
          </w:tcPr>
          <w:p>
            <w:pPr>
              <w:pStyle w:val="TableContents"/>
              <w:bidi w:val="0"/>
              <w:spacing w:before="0" w:after="283"/>
              <w:jc w:val="left"/>
              <w:rPr>
                <w:rFonts w:ascii="Times New Roman" w:hAnsi="Times New Roman"/>
                <w:sz w:val="18"/>
              </w:rPr>
            </w:pPr>
            <w:r>
              <w:rPr>
                <w:rFonts w:ascii="Arial" w:hAnsi="Arial"/>
                <w:color w:val="000000"/>
                <w:sz w:val="18"/>
              </w:rPr>
              <w:t>Charges and credits</w:t>
            </w:r>
            <w:r>
              <w:rPr>
                <w:rFonts w:ascii="Times New Roman" w:hAnsi="Times New Roman"/>
                <w:color w:val="000000"/>
                <w:sz w:val="18"/>
              </w:rPr>
              <w:t> </w:t>
            </w:r>
            <w:r>
              <w:rPr>
                <w:rFonts w:ascii="Arial" w:hAnsi="Arial"/>
                <w:color w:val="000000"/>
                <w:sz w:val="12"/>
              </w:rPr>
              <w:t>(4)</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CFF0FC"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 xml:space="preserve">Comprised principally of certain corporate expenses not allocated to the segments, stock-based compensation costs, amortization expense associated with certain intangible assets, certain centrally managed initiatives and other nonoperating items.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Interest income excludes amounts that are included in the segments’ income ($4 million in 2024; $- million in 2023).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Interest expense excludes amounts that are included in the segments’ income ($3 million in 2024; $3 million in 2023).</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pPr>
      <w:r>
        <w:rPr>
          <w:rFonts w:ascii="Arial" w:hAnsi="Arial"/>
          <w:color w:val="000000"/>
          <w:sz w:val="16"/>
        </w:rPr>
        <w:t xml:space="preserve">Charges and credits are described in detail in Note 2 to the </w:t>
      </w:r>
      <w:r>
        <w:rPr>
          <w:rFonts w:ascii="Arial" w:hAnsi="Arial"/>
          <w:i/>
          <w:color w:val="000000"/>
          <w:sz w:val="16"/>
        </w:rPr>
        <w:t>Consolidated Financial Statements.</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First-quarter 2024 revenue of $8.7 billion increased 13% year on year. Approximately half of the year-on-year revenue increase came from the acquisition of the Aker subsea business in the fourth quarter of 2023.</w:t>
      </w:r>
    </w:p>
    <w:p>
      <w:pPr>
        <w:pStyle w:val="TextBody"/>
        <w:bidi w:val="0"/>
        <w:jc w:val="both"/>
        <w:rPr>
          <w:rFonts w:ascii="Times New Roman" w:hAnsi="Times New Roman"/>
          <w:sz w:val="20"/>
        </w:rPr>
      </w:pPr>
      <w:r>
        <w:rPr>
          <w:rFonts w:ascii="Arial" w:hAnsi="Arial"/>
          <w:color w:val="000000"/>
          <w:sz w:val="18"/>
        </w:rPr>
        <w:t>International revenue grew by 18% year on year, compensating for a softer North American market where revenue declined by 6%. Excluding the contribution of the acquired Aker subsea business, international revenue grew by 10%.</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During the first quarter of 2024, SLB continued to benefit from its favorable exposure to the international markets, with year-on-year growth of 29% in the Middle East &amp; Asia, in addition to growth of 18% in Europe &amp; Africa.</w:t>
      </w:r>
    </w:p>
    <w:p>
      <w:pPr>
        <w:pStyle w:val="TextBody"/>
        <w:bidi w:val="0"/>
        <w:jc w:val="both"/>
        <w:rPr>
          <w:rFonts w:ascii="Times New Roman" w:hAnsi="Times New Roman"/>
          <w:sz w:val="20"/>
        </w:rPr>
      </w:pPr>
      <w:r>
        <w:rPr>
          <w:rFonts w:ascii="Arial" w:hAnsi="Arial"/>
          <w:color w:val="000000"/>
          <w:sz w:val="18"/>
        </w:rPr>
        <w:t>SLB’s Core divisions—consisting of Reservoir Performance, Well Construction, and Production Systems—achieved revenue growth of 13% year on year and expanded pretax segment operating margin by more than 200 bps. This growth was supported by investments in long-cycle developments and production capacity expansions, particularly in the Middle East &amp; Asia and Latin America.</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8"/>
        </w:rPr>
      </w:pPr>
      <w:r>
        <w:rPr>
          <w:rFonts w:ascii="Arial" w:hAnsi="Arial"/>
          <w:b/>
          <w:color w:val="000000"/>
          <w:sz w:val="18"/>
        </w:rPr>
        <w:t>Digital &amp; Integration</w:t>
      </w:r>
    </w:p>
    <w:p>
      <w:pPr>
        <w:pStyle w:val="TextBody"/>
        <w:bidi w:val="0"/>
        <w:spacing w:before="120" w:after="283"/>
        <w:jc w:val="both"/>
        <w:rPr>
          <w:rFonts w:ascii="Times New Roman" w:hAnsi="Times New Roman"/>
          <w:sz w:val="20"/>
        </w:rPr>
      </w:pPr>
      <w:r>
        <w:rPr>
          <w:rFonts w:ascii="Arial" w:hAnsi="Arial"/>
          <w:color w:val="000000"/>
          <w:sz w:val="18"/>
        </w:rPr>
        <w:t>Digital &amp; Integration revenue of $953 million increased 7% year on year as a result of growth in digital sales in the international markets while APS revenue was flat year on year.</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Digital &amp; Integration pretax operating margin of 27% contracted 300 bps year on year due to the effects of higher APS amortization expense and lower gas prices.</w:t>
      </w:r>
    </w:p>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8"/>
        </w:rPr>
      </w:pPr>
      <w:r>
        <w:rPr>
          <w:rFonts w:ascii="Arial" w:hAnsi="Arial"/>
          <w:b/>
          <w:color w:val="000000"/>
          <w:sz w:val="18"/>
        </w:rPr>
        <w:t>Reservoir Performance</w:t>
      </w:r>
    </w:p>
    <w:p>
      <w:pPr>
        <w:pStyle w:val="TextBody"/>
        <w:bidi w:val="0"/>
        <w:spacing w:before="120" w:after="283"/>
        <w:jc w:val="both"/>
        <w:rPr>
          <w:rFonts w:ascii="Times New Roman" w:hAnsi="Times New Roman"/>
          <w:sz w:val="20"/>
        </w:rPr>
      </w:pPr>
      <w:r>
        <w:rPr>
          <w:rFonts w:ascii="Arial" w:hAnsi="Arial"/>
          <w:color w:val="000000"/>
          <w:sz w:val="18"/>
        </w:rPr>
        <w:t>Reservoir Performance revenue of $1.7 billion grew 15% year on year due to increased stimulation, evaluation, and intervention services across all areas on land and offshore and from both exploration and production activity. More than 70% of the revenue growth was recorded in the Middle East &amp; Asia.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8"/>
        </w:rPr>
        <w:t>Reservoir Performance pretax operating margin of 20% expanded 356 bps year on year with profitability improving internationally driven by higher activity and improved pricing from increased technology intensity in evaluation and stimulation.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8"/>
        </w:rPr>
      </w:pPr>
      <w:r>
        <w:rPr>
          <w:rFonts w:ascii="Arial" w:hAnsi="Arial"/>
          <w:b/>
          <w:color w:val="000000"/>
          <w:sz w:val="18"/>
        </w:rPr>
        <w:t>Well Construction</w:t>
      </w:r>
    </w:p>
    <w:p>
      <w:pPr>
        <w:pStyle w:val="TextBody"/>
        <w:bidi w:val="0"/>
        <w:spacing w:before="120" w:after="283"/>
        <w:jc w:val="both"/>
        <w:rPr>
          <w:rFonts w:ascii="Arial" w:hAnsi="Arial"/>
          <w:color w:val="000000"/>
          <w:sz w:val="18"/>
        </w:rPr>
      </w:pPr>
      <w:r>
        <w:rPr>
          <w:rFonts w:ascii="Arial" w:hAnsi="Arial"/>
          <w:color w:val="000000"/>
          <w:sz w:val="18"/>
        </w:rPr>
        <w:t>Well Construction revenue of $3.4 billion increased 3% year on year driven by strong international activity, primarily in the Middle East &amp; Asia.</w:t>
      </w:r>
    </w:p>
    <w:p>
      <w:pPr>
        <w:pStyle w:val="TextBody"/>
        <w:bidi w:val="0"/>
        <w:jc w:val="both"/>
        <w:rPr>
          <w:rFonts w:ascii="Times New Roman" w:hAnsi="Times New Roman"/>
          <w:sz w:val="20"/>
        </w:rPr>
      </w:pPr>
      <w:r>
        <w:rPr>
          <w:rFonts w:ascii="Arial" w:hAnsi="Arial"/>
          <w:color w:val="000000"/>
          <w:sz w:val="18"/>
        </w:rPr>
        <w:t>Well Construction pretax operating margin of 20% was essentially flat year on year.</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8"/>
        </w:rPr>
      </w:pPr>
      <w:r>
        <w:rPr>
          <w:rFonts w:ascii="Arial" w:hAnsi="Arial"/>
          <w:b/>
          <w:color w:val="000000"/>
          <w:sz w:val="18"/>
        </w:rPr>
        <w:t>Production Systems</w:t>
      </w:r>
    </w:p>
    <w:p>
      <w:pPr>
        <w:pStyle w:val="TextBody"/>
        <w:bidi w:val="0"/>
        <w:spacing w:before="120" w:after="283"/>
        <w:jc w:val="both"/>
        <w:rPr>
          <w:rFonts w:ascii="Arial" w:hAnsi="Arial"/>
          <w:color w:val="000000"/>
          <w:sz w:val="18"/>
        </w:rPr>
      </w:pPr>
      <w:r>
        <w:rPr>
          <w:rFonts w:ascii="Arial" w:hAnsi="Arial"/>
          <w:color w:val="000000"/>
          <w:sz w:val="18"/>
        </w:rPr>
        <w:t>Production Systems revenue of $2.8 billion increased 28% year on year, mainly due to the acquisition of the Aker subsea business. Excluding the effects of the Aker subsea acquisition, revenue grew 6% year on year driven by double-digit international sales. Organic year-on-year growth was led by strong international sales of completions, surface production systems, and artificial lift.</w:t>
      </w:r>
    </w:p>
    <w:p>
      <w:pPr>
        <w:pStyle w:val="TextBody"/>
        <w:bidi w:val="0"/>
        <w:jc w:val="both"/>
        <w:rPr>
          <w:rFonts w:ascii="Arial" w:hAnsi="Arial"/>
          <w:color w:val="000000"/>
          <w:sz w:val="18"/>
        </w:rPr>
      </w:pPr>
      <w:r>
        <w:rPr>
          <w:rFonts w:ascii="Arial" w:hAnsi="Arial"/>
          <w:color w:val="000000"/>
          <w:sz w:val="18"/>
        </w:rPr>
        <w:t>Production Systems pretax operating margin expanded 490 bps year on year driven by a favorable activity mix, execution efficiency, and the conversion of improved-priced backlog.</w:t>
      </w:r>
    </w:p>
    <w:p>
      <w:pPr>
        <w:pStyle w:val="TextBody"/>
        <w:bidi w:val="0"/>
        <w:spacing w:before="240" w:after="283"/>
        <w:jc w:val="both"/>
        <w:rPr>
          <w:rFonts w:ascii="Arial" w:hAnsi="Arial"/>
          <w:b/>
          <w:i/>
          <w:color w:val="000000"/>
          <w:sz w:val="18"/>
          <w:u w:val="single"/>
        </w:rPr>
      </w:pPr>
      <w:r>
        <w:rPr>
          <w:rFonts w:ascii="Arial" w:hAnsi="Arial"/>
          <w:b/>
          <w:i/>
          <w:color w:val="000000"/>
          <w:sz w:val="18"/>
          <w:u w:val="single"/>
        </w:rPr>
        <w:t>Interest and Other Income</w:t>
      </w:r>
    </w:p>
    <w:p>
      <w:pPr>
        <w:pStyle w:val="TextBody"/>
        <w:bidi w:val="0"/>
        <w:spacing w:before="120" w:after="283"/>
        <w:jc w:val="both"/>
        <w:rPr>
          <w:rFonts w:ascii="Times New Roman" w:hAnsi="Times New Roman"/>
          <w:sz w:val="20"/>
        </w:rPr>
      </w:pPr>
      <w:r>
        <w:rPr>
          <w:rFonts w:ascii="Arial" w:hAnsi="Arial"/>
          <w:i/>
          <w:color w:val="000000"/>
          <w:sz w:val="18"/>
        </w:rPr>
        <w:t>Interest &amp; other income</w:t>
      </w:r>
      <w:r>
        <w:rPr>
          <w:rFonts w:ascii="Times New Roman" w:hAnsi="Times New Roman"/>
          <w:color w:val="000000"/>
          <w:sz w:val="20"/>
        </w:rPr>
        <w:t xml:space="preserve"> </w:t>
      </w:r>
      <w:r>
        <w:rPr>
          <w:rFonts w:ascii="Arial" w:hAnsi="Arial"/>
          <w:color w:val="000000"/>
          <w:sz w:val="18"/>
        </w:rPr>
        <w:t>consisted of the following:</w:t>
      </w:r>
    </w:p>
    <w:p>
      <w:pPr>
        <w:pStyle w:val="TextBody"/>
        <w:bidi w:val="0"/>
        <w:jc w:val="left"/>
        <w:rPr/>
      </w:pPr>
      <w:r>
        <w:rPr/>
        <w:t> </w:t>
      </w:r>
    </w:p>
    <w:tbl>
      <w:tblPr>
        <w:tblW w:w="4808" w:type="dxa"/>
        <w:jc w:val="left"/>
        <w:tblInd w:w="0" w:type="dxa"/>
        <w:tblLayout w:type="fixed"/>
        <w:tblCellMar>
          <w:top w:w="28" w:type="dxa"/>
          <w:left w:w="28" w:type="dxa"/>
          <w:bottom w:w="28" w:type="dxa"/>
          <w:right w:w="28" w:type="dxa"/>
        </w:tblCellMar>
      </w:tblPr>
      <w:tblGrid>
        <w:gridCol w:w="3271"/>
        <w:gridCol w:w="211"/>
        <w:gridCol w:w="316"/>
        <w:gridCol w:w="146"/>
        <w:gridCol w:w="146"/>
        <w:gridCol w:w="211"/>
        <w:gridCol w:w="316"/>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17" w:type="dxa"/>
            <w:gridSpan w:val="7"/>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191" w:type="dxa"/>
            <w:tcBorders/>
            <w:shd w:fill="FFFFFF" w:val="clear"/>
            <w:vAlign w:val="center"/>
          </w:tcPr>
          <w:p>
            <w:pPr>
              <w:pStyle w:val="TableContents"/>
              <w:bidi w:val="0"/>
              <w:spacing w:before="0" w:after="283"/>
              <w:jc w:val="right"/>
              <w:rPr/>
            </w:pPr>
            <w:r>
              <w:rPr/>
              <w:t> </w:t>
            </w:r>
          </w:p>
        </w:tc>
      </w:tr>
      <w:tr>
        <w:trPr/>
        <w:tc>
          <w:tcPr>
            <w:tcW w:w="3271"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right"/>
              <w:rPr/>
            </w:pPr>
            <w:r>
              <w:rPr/>
              <w:t> </w:t>
            </w:r>
          </w:p>
        </w:tc>
        <w:tc>
          <w:tcPr>
            <w:tcW w:w="1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Earnings of equity method investments</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1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sale of Liberty shares</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Arial" w:hAnsi="Arial"/>
          <w:b/>
          <w:i/>
          <w:color w:val="000000"/>
          <w:sz w:val="18"/>
          <w:u w:val="single"/>
        </w:rPr>
      </w:pPr>
      <w:r>
        <w:rPr>
          <w:rFonts w:ascii="Arial" w:hAnsi="Arial"/>
          <w:b/>
          <w:i/>
          <w:color w:val="000000"/>
          <w:sz w:val="18"/>
          <w:u w:val="single"/>
        </w:rPr>
        <w:t>Other</w:t>
      </w:r>
    </w:p>
    <w:p>
      <w:pPr>
        <w:pStyle w:val="TextBody"/>
        <w:bidi w:val="0"/>
        <w:spacing w:before="120" w:after="283"/>
        <w:jc w:val="both"/>
        <w:rPr>
          <w:rFonts w:ascii="Times New Roman" w:hAnsi="Times New Roman"/>
          <w:sz w:val="20"/>
        </w:rPr>
      </w:pPr>
      <w:r>
        <w:rPr>
          <w:rFonts w:ascii="Arial" w:hAnsi="Arial"/>
          <w:i/>
          <w:color w:val="000000"/>
          <w:sz w:val="18"/>
        </w:rPr>
        <w:t xml:space="preserve">Research &amp; engineering </w:t>
      </w:r>
      <w:r>
        <w:rPr>
          <w:rFonts w:ascii="Arial" w:hAnsi="Arial"/>
          <w:color w:val="000000"/>
          <w:sz w:val="18"/>
        </w:rPr>
        <w:t>and</w:t>
      </w:r>
      <w:r>
        <w:rPr>
          <w:rFonts w:ascii="Times New Roman" w:hAnsi="Times New Roman"/>
          <w:color w:val="000000"/>
          <w:sz w:val="20"/>
        </w:rPr>
        <w:t xml:space="preserve"> </w:t>
      </w:r>
      <w:r>
        <w:rPr>
          <w:rFonts w:ascii="Arial" w:hAnsi="Arial"/>
          <w:i/>
          <w:color w:val="000000"/>
          <w:sz w:val="18"/>
        </w:rPr>
        <w:t>General &amp; administrative</w:t>
      </w:r>
      <w:r>
        <w:rPr>
          <w:rFonts w:ascii="Times New Roman" w:hAnsi="Times New Roman"/>
          <w:color w:val="000000"/>
          <w:sz w:val="20"/>
        </w:rPr>
        <w:t xml:space="preserve"> </w:t>
      </w:r>
      <w:r>
        <w:rPr>
          <w:rFonts w:ascii="Arial" w:hAnsi="Arial"/>
          <w:color w:val="000000"/>
          <w:sz w:val="18"/>
        </w:rPr>
        <w:t xml:space="preserve">expenses, as a percentage of </w:t>
      </w:r>
      <w:r>
        <w:rPr>
          <w:rFonts w:ascii="Arial" w:hAnsi="Arial"/>
          <w:i/>
          <w:color w:val="000000"/>
          <w:sz w:val="18"/>
        </w:rPr>
        <w:t>Revenue</w:t>
      </w:r>
      <w:r>
        <w:rPr>
          <w:rFonts w:ascii="Arial" w:hAnsi="Arial"/>
          <w:color w:val="000000"/>
          <w:sz w:val="18"/>
        </w:rPr>
        <w:t>, for the first quarter ended March 31, 2024 and 2023 were as follows:</w:t>
      </w:r>
      <w:r>
        <w:rPr>
          <w:rFonts w:ascii="Times New Roman" w:hAnsi="Times New Roman"/>
          <w:color w:val="000000"/>
          <w:sz w:val="20"/>
        </w:rPr>
        <w:t xml:space="preserve"> </w:t>
      </w:r>
    </w:p>
    <w:p>
      <w:pPr>
        <w:pStyle w:val="TextBody"/>
        <w:bidi w:val="0"/>
        <w:jc w:val="left"/>
        <w:rPr/>
      </w:pPr>
      <w:r>
        <w:rPr/>
        <w:t> </w:t>
      </w:r>
    </w:p>
    <w:tbl>
      <w:tblPr>
        <w:tblW w:w="3916" w:type="dxa"/>
        <w:jc w:val="left"/>
        <w:tblInd w:w="0" w:type="dxa"/>
        <w:tblLayout w:type="fixed"/>
        <w:tblCellMar>
          <w:top w:w="28" w:type="dxa"/>
          <w:left w:w="28" w:type="dxa"/>
          <w:bottom w:w="28" w:type="dxa"/>
          <w:right w:w="28" w:type="dxa"/>
        </w:tblCellMar>
      </w:tblPr>
      <w:tblGrid>
        <w:gridCol w:w="2131"/>
        <w:gridCol w:w="151"/>
        <w:gridCol w:w="375"/>
        <w:gridCol w:w="271"/>
        <w:gridCol w:w="146"/>
        <w:gridCol w:w="151"/>
        <w:gridCol w:w="375"/>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9" w:type="dxa"/>
            <w:gridSpan w:val="6"/>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First Quarter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Research &amp; engineering</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2.1</w:t>
            </w:r>
          </w:p>
        </w:tc>
        <w:tc>
          <w:tcPr>
            <w:tcW w:w="27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3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General &amp; administrative</w:t>
            </w:r>
          </w:p>
        </w:tc>
        <w:tc>
          <w:tcPr>
            <w:tcW w:w="15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w:t>
            </w:r>
          </w:p>
        </w:tc>
        <w:tc>
          <w:tcPr>
            <w:tcW w:w="27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3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The effective tax rate was 19% for both the first quarter of 2024 and 2023.</w:t>
      </w:r>
    </w:p>
    <w:p>
      <w:pPr>
        <w:pStyle w:val="TextBody"/>
        <w:bidi w:val="0"/>
        <w:spacing w:before="240" w:after="283"/>
        <w:jc w:val="both"/>
        <w:rPr>
          <w:rFonts w:ascii="Arial" w:hAnsi="Arial"/>
          <w:b/>
          <w:i/>
          <w:color w:val="000000"/>
          <w:sz w:val="18"/>
          <w:u w:val="single"/>
        </w:rPr>
      </w:pPr>
      <w:r>
        <w:rPr>
          <w:rFonts w:ascii="Arial" w:hAnsi="Arial"/>
          <w:b/>
          <w:i/>
          <w:color w:val="000000"/>
          <w:sz w:val="18"/>
          <w:u w:val="single"/>
        </w:rPr>
        <w:t>Charges and Credits</w:t>
      </w:r>
    </w:p>
    <w:p>
      <w:pPr>
        <w:pStyle w:val="TextBody"/>
        <w:bidi w:val="0"/>
        <w:spacing w:before="120" w:after="283"/>
        <w:jc w:val="both"/>
        <w:rPr>
          <w:rFonts w:ascii="Arial" w:hAnsi="Arial"/>
          <w:color w:val="000000"/>
          <w:sz w:val="18"/>
        </w:rPr>
      </w:pPr>
      <w:r>
        <w:rPr>
          <w:rFonts w:ascii="Arial" w:hAnsi="Arial"/>
          <w:color w:val="000000"/>
          <w:sz w:val="18"/>
        </w:rPr>
        <w:t>SLB recorded charges and credits during the first quarters of 2024 and 2023. These charges and credits, which are summarized below, are more fully described in Note 2 to the Consolidated Financial Statements.</w:t>
      </w:r>
    </w:p>
    <w:p>
      <w:pPr>
        <w:pStyle w:val="TextBody"/>
        <w:bidi w:val="0"/>
        <w:spacing w:before="120" w:after="283"/>
        <w:jc w:val="both"/>
        <w:rPr>
          <w:rFonts w:ascii="Arial" w:hAnsi="Arial"/>
          <w:b/>
          <w:color w:val="000000"/>
          <w:sz w:val="18"/>
        </w:rPr>
      </w:pPr>
      <w:r>
        <w:rPr>
          <w:rFonts w:ascii="Arial" w:hAnsi="Arial"/>
          <w:b/>
          <w:color w:val="000000"/>
          <w:sz w:val="18"/>
        </w:rPr>
        <w:t>2024:</w:t>
      </w:r>
    </w:p>
    <w:p>
      <w:pPr>
        <w:pStyle w:val="TextBody"/>
        <w:bidi w:val="0"/>
        <w:jc w:val="both"/>
        <w:rPr/>
      </w:pPr>
      <w:r>
        <w:rPr/>
        <w:t> </w:t>
      </w:r>
    </w:p>
    <w:tbl>
      <w:tblPr>
        <w:tblW w:w="7591" w:type="dxa"/>
        <w:jc w:val="left"/>
        <w:tblInd w:w="0" w:type="dxa"/>
        <w:tblLayout w:type="fixed"/>
        <w:tblCellMar>
          <w:top w:w="28" w:type="dxa"/>
          <w:left w:w="28" w:type="dxa"/>
          <w:bottom w:w="28" w:type="dxa"/>
          <w:right w:w="28" w:type="dxa"/>
        </w:tblCellMar>
      </w:tblPr>
      <w:tblGrid>
        <w:gridCol w:w="2181"/>
        <w:gridCol w:w="515"/>
        <w:gridCol w:w="775"/>
        <w:gridCol w:w="146"/>
        <w:gridCol w:w="146"/>
        <w:gridCol w:w="510"/>
        <w:gridCol w:w="510"/>
        <w:gridCol w:w="146"/>
        <w:gridCol w:w="146"/>
        <w:gridCol w:w="653"/>
        <w:gridCol w:w="653"/>
        <w:gridCol w:w="146"/>
        <w:gridCol w:w="146"/>
        <w:gridCol w:w="211"/>
        <w:gridCol w:w="316"/>
        <w:gridCol w:w="391"/>
      </w:tblGrid>
      <w:tr>
        <w:trPr/>
        <w:tc>
          <w:tcPr>
            <w:tcW w:w="218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vAlign w:val="center"/>
          </w:tcPr>
          <w:p>
            <w:pPr>
              <w:pStyle w:val="TableContents"/>
              <w:bidi w:val="0"/>
              <w:spacing w:before="0" w:after="283"/>
              <w:jc w:val="left"/>
              <w:rPr/>
            </w:pPr>
            <w:r>
              <w:rPr/>
              <w:t> </w:t>
            </w:r>
          </w:p>
        </w:tc>
        <w:tc>
          <w:tcPr>
            <w:tcW w:w="5019" w:type="dxa"/>
            <w:gridSpan w:val="14"/>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391" w:type="dxa"/>
            <w:tcBorders/>
            <w:shd w:fill="FFFFFF" w:val="clear"/>
            <w:vAlign w:val="center"/>
          </w:tcPr>
          <w:p>
            <w:pPr>
              <w:pStyle w:val="TableContents"/>
              <w:bidi w:val="0"/>
              <w:spacing w:before="0" w:after="283"/>
              <w:jc w:val="righ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Pretax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Merger and integration</w:t>
            </w:r>
          </w:p>
        </w:tc>
        <w:tc>
          <w:tcPr>
            <w:tcW w:w="5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8"/>
        </w:rPr>
      </w:pPr>
      <w:r>
        <w:rPr>
          <w:rFonts w:ascii="Arial" w:hAnsi="Arial"/>
          <w:b/>
          <w:color w:val="000000"/>
          <w:sz w:val="18"/>
        </w:rPr>
        <w:t>2023:</w:t>
      </w:r>
    </w:p>
    <w:tbl>
      <w:tblPr>
        <w:tblW w:w="6493" w:type="dxa"/>
        <w:jc w:val="left"/>
        <w:tblInd w:w="0" w:type="dxa"/>
        <w:tblLayout w:type="fixed"/>
        <w:tblCellMar>
          <w:top w:w="28" w:type="dxa"/>
          <w:left w:w="28" w:type="dxa"/>
          <w:bottom w:w="28" w:type="dxa"/>
          <w:right w:w="28" w:type="dxa"/>
        </w:tblCellMar>
      </w:tblPr>
      <w:tblGrid>
        <w:gridCol w:w="2651"/>
        <w:gridCol w:w="419"/>
        <w:gridCol w:w="751"/>
        <w:gridCol w:w="166"/>
        <w:gridCol w:w="146"/>
        <w:gridCol w:w="511"/>
        <w:gridCol w:w="659"/>
        <w:gridCol w:w="166"/>
        <w:gridCol w:w="146"/>
        <w:gridCol w:w="211"/>
        <w:gridCol w:w="376"/>
        <w:gridCol w:w="291"/>
      </w:tblGrid>
      <w:tr>
        <w:trPr/>
        <w:tc>
          <w:tcPr>
            <w:tcW w:w="2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vAlign w:val="center"/>
          </w:tcPr>
          <w:p>
            <w:pPr>
              <w:pStyle w:val="TableContents"/>
              <w:bidi w:val="0"/>
              <w:spacing w:before="0" w:after="283"/>
              <w:jc w:val="left"/>
              <w:rPr/>
            </w:pPr>
            <w:r>
              <w:rPr/>
              <w:t> </w:t>
            </w:r>
          </w:p>
        </w:tc>
        <w:tc>
          <w:tcPr>
            <w:tcW w:w="3551" w:type="dxa"/>
            <w:gridSpan w:val="10"/>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291" w:type="dxa"/>
            <w:tcBorders/>
            <w:shd w:fill="FFFFFF" w:val="clear"/>
            <w:vAlign w:val="center"/>
          </w:tcPr>
          <w:p>
            <w:pPr>
              <w:pStyle w:val="TableContents"/>
              <w:bidi w:val="0"/>
              <w:spacing w:before="0" w:after="283"/>
              <w:jc w:val="right"/>
              <w:rPr/>
            </w:pPr>
            <w:r>
              <w:rPr/>
              <w:t> </w:t>
            </w:r>
          </w:p>
        </w:tc>
      </w:tr>
      <w:tr>
        <w:trPr/>
        <w:tc>
          <w:tcPr>
            <w:tcW w:w="2651"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651"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651"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Pretax Credit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Tax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5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Gain on sale of Liberty shares</w:t>
            </w:r>
          </w:p>
        </w:tc>
        <w:tc>
          <w:tcPr>
            <w:tcW w:w="41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40" w:after="283"/>
        <w:jc w:val="both"/>
        <w:rPr>
          <w:rFonts w:ascii="Arial" w:hAnsi="Arial"/>
          <w:b/>
          <w:i/>
          <w:color w:val="000000"/>
          <w:sz w:val="18"/>
          <w:u w:val="single"/>
        </w:rPr>
      </w:pPr>
      <w:r>
        <w:rPr>
          <w:rFonts w:ascii="Arial" w:hAnsi="Arial"/>
          <w:b/>
          <w:i/>
          <w:color w:val="000000"/>
          <w:sz w:val="18"/>
          <w:u w:val="single"/>
        </w:rPr>
        <w:t>Liquidity and Capital Resources</w:t>
      </w:r>
    </w:p>
    <w:p>
      <w:pPr>
        <w:pStyle w:val="TextBody"/>
        <w:bidi w:val="0"/>
        <w:spacing w:before="120" w:after="283"/>
        <w:jc w:val="both"/>
        <w:rPr>
          <w:rFonts w:ascii="Times New Roman" w:hAnsi="Times New Roman"/>
          <w:sz w:val="20"/>
        </w:rPr>
      </w:pPr>
      <w:r>
        <w:rPr>
          <w:rFonts w:ascii="Arial" w:hAnsi="Arial"/>
          <w:color w:val="000000"/>
          <w:sz w:val="18"/>
        </w:rPr>
        <w:t>Details of the components of liquidity as well as changes in liquidity are as follows:</w:t>
      </w:r>
      <w:r>
        <w:rPr>
          <w:rFonts w:ascii="Times New Roman" w:hAnsi="Times New Roman"/>
          <w:color w:val="000000"/>
          <w:sz w:val="20"/>
        </w:rPr>
        <w:t xml:space="preserve"> </w:t>
      </w:r>
    </w:p>
    <w:p>
      <w:pPr>
        <w:pStyle w:val="TextBody"/>
        <w:bidi w:val="0"/>
        <w:jc w:val="both"/>
        <w:rPr/>
      </w:pPr>
      <w:r>
        <w:rPr/>
        <w:t> </w:t>
      </w:r>
    </w:p>
    <w:tbl>
      <w:tblPr>
        <w:tblW w:w="8627" w:type="dxa"/>
        <w:jc w:val="left"/>
        <w:tblInd w:w="0" w:type="dxa"/>
        <w:tblLayout w:type="fixed"/>
        <w:tblCellMar>
          <w:top w:w="28" w:type="dxa"/>
          <w:left w:w="28" w:type="dxa"/>
          <w:bottom w:w="28" w:type="dxa"/>
          <w:right w:w="28" w:type="dxa"/>
        </w:tblCellMar>
      </w:tblPr>
      <w:tblGrid>
        <w:gridCol w:w="4951"/>
        <w:gridCol w:w="211"/>
        <w:gridCol w:w="736"/>
        <w:gridCol w:w="166"/>
        <w:gridCol w:w="146"/>
        <w:gridCol w:w="211"/>
        <w:gridCol w:w="736"/>
        <w:gridCol w:w="166"/>
        <w:gridCol w:w="146"/>
        <w:gridCol w:w="211"/>
        <w:gridCol w:w="736"/>
        <w:gridCol w:w="211"/>
      </w:tblGrid>
      <w:tr>
        <w:trPr/>
        <w:tc>
          <w:tcPr>
            <w:tcW w:w="4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3465" w:type="dxa"/>
            <w:gridSpan w:val="10"/>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w:t>
            </w:r>
          </w:p>
        </w:tc>
        <w:tc>
          <w:tcPr>
            <w:tcW w:w="211" w:type="dxa"/>
            <w:tcBorders/>
            <w:shd w:fill="FFFFFF" w:val="clear"/>
            <w:vAlign w:val="center"/>
          </w:tcPr>
          <w:p>
            <w:pPr>
              <w:pStyle w:val="TableContents"/>
              <w:bidi w:val="0"/>
              <w:spacing w:before="0" w:after="283"/>
              <w:jc w:val="right"/>
              <w:rPr/>
            </w:pPr>
            <w:r>
              <w:rPr/>
              <w:t> </w:t>
            </w:r>
          </w:p>
        </w:tc>
      </w:tr>
      <w:tr>
        <w:trPr/>
        <w:tc>
          <w:tcPr>
            <w:tcW w:w="4951"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Mar.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Mar.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Dec. 31,</w:t>
            </w:r>
          </w:p>
        </w:tc>
        <w:tc>
          <w:tcPr>
            <w:tcW w:w="211" w:type="dxa"/>
            <w:tcBorders/>
            <w:shd w:fill="FFFFFF" w:val="clear"/>
            <w:vAlign w:val="center"/>
          </w:tcPr>
          <w:p>
            <w:pPr>
              <w:pStyle w:val="TableContents"/>
              <w:bidi w:val="0"/>
              <w:spacing w:before="0" w:after="283"/>
              <w:jc w:val="center"/>
              <w:rPr/>
            </w:pPr>
            <w:r>
              <w:rPr/>
              <w:t> </w:t>
            </w:r>
          </w:p>
        </w:tc>
      </w:tr>
      <w:tr>
        <w:trPr/>
        <w:tc>
          <w:tcPr>
            <w:tcW w:w="495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Components of Liquidity:</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w:t>
            </w:r>
          </w:p>
        </w:tc>
        <w:tc>
          <w:tcPr>
            <w:tcW w:w="21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211" w:type="dxa"/>
            <w:tcBorders/>
            <w:shd w:fill="CFF0FC"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211" w:type="dxa"/>
            <w:tcBorders/>
            <w:shd w:fill="FFFFFF" w:val="clear"/>
            <w:vAlign w:val="center"/>
          </w:tcPr>
          <w:p>
            <w:pPr>
              <w:pStyle w:val="TableContents"/>
              <w:bidi w:val="0"/>
              <w:spacing w:before="0" w:after="283"/>
              <w:jc w:val="left"/>
              <w:rPr/>
            </w:pPr>
            <w:r>
              <w:rPr/>
              <w:t> </w:t>
            </w:r>
          </w:p>
        </w:tc>
      </w:tr>
      <w:tr>
        <w:trPr/>
        <w:tc>
          <w:tcPr>
            <w:tcW w:w="49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borrowings and current portion of long-term debt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(1,430</w:t>
            </w:r>
          </w:p>
        </w:tc>
        <w:tc>
          <w:tcPr>
            <w:tcW w:w="16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(2,140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(1,123</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51"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Net debt </w:t>
            </w:r>
            <w:r>
              <w:rPr>
                <w:rFonts w:ascii="Arial" w:hAnsi="Arial"/>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pPr>
      <w:r>
        <w:rPr/>
        <w:t> </w:t>
      </w:r>
    </w:p>
    <w:tbl>
      <w:tblPr>
        <w:tblW w:w="9031" w:type="dxa"/>
        <w:jc w:val="left"/>
        <w:tblInd w:w="0" w:type="dxa"/>
        <w:tblLayout w:type="fixed"/>
        <w:tblCellMar>
          <w:top w:w="28" w:type="dxa"/>
          <w:left w:w="28" w:type="dxa"/>
          <w:bottom w:w="28" w:type="dxa"/>
          <w:right w:w="28" w:type="dxa"/>
        </w:tblCellMar>
      </w:tblPr>
      <w:tblGrid>
        <w:gridCol w:w="6241"/>
        <w:gridCol w:w="259"/>
        <w:gridCol w:w="775"/>
        <w:gridCol w:w="203"/>
        <w:gridCol w:w="179"/>
        <w:gridCol w:w="259"/>
        <w:gridCol w:w="904"/>
        <w:gridCol w:w="211"/>
      </w:tblGrid>
      <w:tr>
        <w:trPr/>
        <w:tc>
          <w:tcPr>
            <w:tcW w:w="62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Changes in Liquidity:</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righ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59"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1,098</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Charges and credits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25</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Depreciation and amortization </w:t>
            </w:r>
            <w:r>
              <w:rPr>
                <w:rFonts w:ascii="Arial" w:hAnsi="Arial"/>
                <w:color w:val="000000"/>
                <w:sz w:val="12"/>
              </w:rPr>
              <w:t>(2)</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600</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563</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Earnings of equity method investments, less dividends received</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(16</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taxes</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(30</w:t>
            </w:r>
          </w:p>
        </w:tc>
        <w:tc>
          <w:tcPr>
            <w:tcW w:w="20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100</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Increase in working capital</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(1,486</w:t>
            </w:r>
          </w:p>
        </w:tc>
        <w:tc>
          <w:tcPr>
            <w:tcW w:w="20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(1,300</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 from operations</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327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Capital expenditures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(399</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(410</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APS investments</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(121</w:t>
            </w:r>
          </w:p>
        </w:tc>
        <w:tc>
          <w:tcPr>
            <w:tcW w:w="20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Exploration data costs capitalized</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Times New Roman" w:hAnsi="Times New Roman"/>
                <w:sz w:val="18"/>
              </w:rPr>
            </w:pPr>
            <w:r>
              <w:rPr>
                <w:rFonts w:ascii="Arial" w:hAnsi="Arial"/>
                <w:b/>
                <w:color w:val="000000"/>
                <w:sz w:val="18"/>
              </w:rPr>
              <w:t xml:space="preserve">Free cash flow </w:t>
            </w:r>
            <w:r>
              <w:rPr>
                <w:rFonts w:ascii="Arial" w:hAnsi="Arial"/>
                <w:b/>
                <w:color w:val="000000"/>
                <w:sz w:val="12"/>
              </w:rPr>
              <w:t>(3)</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(222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Dividends paid</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(357</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 repurchase program</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(270</w:t>
            </w:r>
          </w:p>
        </w:tc>
        <w:tc>
          <w:tcPr>
            <w:tcW w:w="20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employee stock plans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100</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15</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Taxes paid on net settled stock-based compensation awards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(78</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Business acquisitions and investments, net of cash acquired</w:t>
            </w:r>
          </w:p>
        </w:tc>
        <w:tc>
          <w:tcPr>
            <w:tcW w:w="259"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w:t>
            </w:r>
          </w:p>
        </w:tc>
        <w:tc>
          <w:tcPr>
            <w:tcW w:w="20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 of Liberty shares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Increase in net debt before impact of changes in foreign exchange rates</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(799</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(902</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Impact of changes in foreign exchange rates on net debt</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96</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Increase in net debt</w:t>
            </w:r>
          </w:p>
        </w:tc>
        <w:tc>
          <w:tcPr>
            <w:tcW w:w="2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(703</w:t>
            </w:r>
          </w:p>
        </w:tc>
        <w:tc>
          <w:tcPr>
            <w:tcW w:w="20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Net debt, beginning of period</w:t>
            </w:r>
            <w:r>
              <w:rPr>
                <w:rFonts w:ascii="Times New Roman" w:hAnsi="Times New Roman"/>
                <w:color w:val="000000"/>
                <w:sz w:val="18"/>
              </w:rPr>
              <w:t> </w:t>
            </w:r>
            <w:r>
              <w:rPr>
                <w:rFonts w:ascii="Arial" w:hAnsi="Arial"/>
                <w:color w:val="000000"/>
                <w:sz w:val="12"/>
              </w:rPr>
              <w:t>(1)</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(7,976</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41" w:type="dxa"/>
            <w:tcBorders/>
            <w:shd w:fill="FFFFFF" w:val="clear"/>
            <w:vAlign w:val="center"/>
          </w:tcPr>
          <w:p>
            <w:pPr>
              <w:pStyle w:val="TableContents"/>
              <w:bidi w:val="0"/>
              <w:spacing w:before="0" w:after="283"/>
              <w:jc w:val="left"/>
              <w:rPr>
                <w:rFonts w:ascii="Times New Roman" w:hAnsi="Times New Roman"/>
                <w:sz w:val="18"/>
              </w:rPr>
            </w:pPr>
            <w:r>
              <w:rPr>
                <w:rFonts w:ascii="Arial" w:hAnsi="Arial"/>
                <w:b/>
                <w:color w:val="000000"/>
                <w:sz w:val="18"/>
              </w:rPr>
              <w:t xml:space="preserve">Net debt, end of period </w:t>
            </w:r>
            <w:r>
              <w:rPr>
                <w:rFonts w:ascii="Arial" w:hAnsi="Arial"/>
                <w:b/>
                <w:color w:val="000000"/>
                <w:sz w:val="12"/>
              </w:rPr>
              <w:t>(1)</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(8,679</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color w:val="000000"/>
        </w:rPr>
      </w:pPr>
      <w:r>
        <w:rPr>
          <w:color w:val="000000"/>
        </w:rPr>
        <w:t>“</w:t>
      </w:r>
      <w:r>
        <w:rPr>
          <w:rFonts w:ascii="Arial" w:hAnsi="Arial"/>
          <w:color w:val="000000"/>
          <w:sz w:val="16"/>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pPr>
      <w:r>
        <w:rPr>
          <w:rFonts w:ascii="Arial" w:hAnsi="Arial"/>
          <w:color w:val="000000"/>
          <w:sz w:val="16"/>
        </w:rPr>
        <w:t>Includes depreciation of fixed assets and amortization of intangible assets, exploration data costs, and APS investments.</w:t>
      </w:r>
      <w:r>
        <w:rPr>
          <w:color w:val="000000"/>
        </w:rPr>
        <w:t xml:space="preserve">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color w:val="000000"/>
        </w:rPr>
      </w:pPr>
      <w:r>
        <w:rPr>
          <w:color w:val="000000"/>
        </w:rPr>
        <w:t>“</w:t>
      </w:r>
      <w:r>
        <w:rPr>
          <w:rFonts w:ascii="Arial" w:hAnsi="Arial"/>
          <w:color w:val="000000"/>
          <w:sz w:val="16"/>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Key liquidity events during the first three months of 2024 and 2023 included:</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Capital investments (consisting of capital expenditures, APS investments and exploration data capitalized) were $0.5 billion during the first three months of 2024 compared to $0.6 billion during the first three months of 2023. Capital investments for the full year 2024 are expected to be approximately $2.6 billion as compared to $2.6 billion for the full year 2023.</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 January 2024, SLB announced a 10% increase to its quarterly cash dividend from $0.25 per share of outstanding common stock to $0.275 per share, beginning with the dividend payable in April 2024. Dividends paid during the first quarters of 2024 and 2023 were $357 million and $249 million,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 xml:space="preserve">As of March 31, 2024, SLB had cumulatively repurchased approximately $2.0 billion of SLB common stock under its $10 billion share repurchase program. </w:t>
      </w:r>
    </w:p>
    <w:p>
      <w:pPr>
        <w:pStyle w:val="TextBody"/>
        <w:bidi w:val="0"/>
        <w:spacing w:before="120" w:after="283"/>
        <w:jc w:val="both"/>
        <w:rPr>
          <w:rFonts w:ascii="Arial" w:hAnsi="Arial"/>
          <w:color w:val="000000"/>
          <w:sz w:val="18"/>
        </w:rPr>
      </w:pPr>
      <w:r>
        <w:rPr>
          <w:rFonts w:ascii="Arial" w:hAnsi="Arial"/>
          <w:color w:val="000000"/>
          <w:sz w:val="18"/>
        </w:rPr>
        <w:t>The following table summarizes the activity under the share repurchase program:</w:t>
      </w:r>
    </w:p>
    <w:p>
      <w:pPr>
        <w:pStyle w:val="TextBody"/>
        <w:bidi w:val="0"/>
        <w:jc w:val="both"/>
        <w:rPr/>
      </w:pPr>
      <w:r>
        <w:rPr/>
        <w:t> </w:t>
      </w:r>
    </w:p>
    <w:tbl>
      <w:tblPr>
        <w:tblW w:w="7593" w:type="dxa"/>
        <w:jc w:val="left"/>
        <w:tblInd w:w="0" w:type="dxa"/>
        <w:tblLayout w:type="fixed"/>
        <w:tblCellMar>
          <w:top w:w="28" w:type="dxa"/>
          <w:left w:w="28" w:type="dxa"/>
          <w:bottom w:w="28" w:type="dxa"/>
          <w:right w:w="28" w:type="dxa"/>
        </w:tblCellMar>
      </w:tblPr>
      <w:tblGrid>
        <w:gridCol w:w="3226"/>
        <w:gridCol w:w="412"/>
        <w:gridCol w:w="630"/>
        <w:gridCol w:w="146"/>
        <w:gridCol w:w="146"/>
        <w:gridCol w:w="353"/>
        <w:gridCol w:w="877"/>
        <w:gridCol w:w="146"/>
        <w:gridCol w:w="146"/>
        <w:gridCol w:w="354"/>
        <w:gridCol w:w="96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02" w:type="dxa"/>
            <w:gridSpan w:val="11"/>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millions, except per share amounts)</w:t>
            </w:r>
          </w:p>
        </w:tc>
        <w:tc>
          <w:tcPr>
            <w:tcW w:w="191" w:type="dxa"/>
            <w:tcBorders/>
            <w:shd w:fill="FFFFFF" w:val="clear"/>
            <w:vAlign w:val="center"/>
          </w:tcPr>
          <w:p>
            <w:pPr>
              <w:pStyle w:val="TableContents"/>
              <w:bidi w:val="0"/>
              <w:spacing w:before="0" w:after="283"/>
              <w:jc w:val="right"/>
              <w:rPr/>
            </w:pPr>
            <w:r>
              <w:rPr/>
              <w:t> </w:t>
            </w:r>
          </w:p>
        </w:tc>
      </w:tr>
      <w:tr>
        <w:trPr/>
        <w:tc>
          <w:tcPr>
            <w:tcW w:w="322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cost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price</w:t>
            </w:r>
          </w:p>
        </w:tc>
        <w:tc>
          <w:tcPr>
            <w:tcW w:w="191" w:type="dxa"/>
            <w:tcBorders/>
            <w:shd w:fill="FFFFFF" w:val="cle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of 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of 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paid per</w:t>
            </w:r>
          </w:p>
        </w:tc>
        <w:tc>
          <w:tcPr>
            <w:tcW w:w="191" w:type="dxa"/>
            <w:tcBorders/>
            <w:shd w:fill="FFFFFF" w:val="cle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March 31, 2024</w:t>
            </w:r>
          </w:p>
        </w:tc>
        <w:tc>
          <w:tcPr>
            <w:tcW w:w="41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30"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5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66" w:type="dxa"/>
            <w:tcBorders/>
            <w:shd w:fill="CFF0FC" w:val="clear"/>
            <w:vAlign w:val="center"/>
          </w:tcPr>
          <w:p>
            <w:pPr>
              <w:pStyle w:val="TableContents"/>
              <w:bidi w:val="0"/>
              <w:spacing w:before="0" w:after="283"/>
              <w:jc w:val="right"/>
              <w:rPr>
                <w:rFonts w:ascii="Arial" w:hAnsi="Arial"/>
                <w:b/>
                <w:color w:val="000000"/>
                <w:sz w:val="18"/>
              </w:rPr>
            </w:pPr>
            <w:r>
              <w:rPr>
                <w:rFonts w:ascii="Arial" w:hAnsi="Arial"/>
                <w:b/>
                <w:color w:val="000000"/>
                <w:sz w:val="18"/>
              </w:rPr>
              <w:t>50.13</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Three months ended March 31, 2023</w:t>
            </w:r>
          </w:p>
        </w:tc>
        <w:tc>
          <w:tcPr>
            <w:tcW w:w="4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During the first quarter of 2023, SLB sold all of its remaining approximately 9 million shares in Liberty and received proceeds of $137 million.</w:t>
      </w:r>
    </w:p>
    <w:p>
      <w:pPr>
        <w:pStyle w:val="TextBody"/>
        <w:bidi w:val="0"/>
        <w:spacing w:before="180" w:after="283"/>
        <w:jc w:val="both"/>
        <w:rPr>
          <w:rFonts w:ascii="Times New Roman" w:hAnsi="Times New Roman"/>
          <w:sz w:val="20"/>
        </w:rPr>
      </w:pPr>
      <w:r>
        <w:rPr>
          <w:rFonts w:ascii="Arial" w:hAnsi="Arial"/>
          <w:color w:val="000000"/>
          <w:sz w:val="18"/>
        </w:rPr>
        <w:t>In April 2024, SLB announced that it is raising its 2024 target for total returns of capital to shareholders (consisting of dividends and share repurchases) from $2.5 billion to $3 billion. The targeted $0.5 billion increase will be in the form of additional share repurchases. SLB also set its target for total returns of capital to shareholders in 2025 at $4 billion.</w:t>
      </w:r>
      <w:r>
        <w:rPr>
          <w:rFonts w:ascii="Times New Roman" w:hAnsi="Times New Roman"/>
          <w:color w:val="000000"/>
          <w:sz w:val="20"/>
        </w:rPr>
        <w:t xml:space="preserve"> </w:t>
      </w:r>
    </w:p>
    <w:p>
      <w:pPr>
        <w:pStyle w:val="TextBody"/>
        <w:bidi w:val="0"/>
        <w:spacing w:before="180" w:after="283"/>
        <w:jc w:val="both"/>
        <w:rPr>
          <w:rFonts w:ascii="Arial" w:hAnsi="Arial"/>
          <w:color w:val="000000"/>
          <w:sz w:val="18"/>
        </w:rPr>
      </w:pPr>
      <w:r>
        <w:rPr>
          <w:rFonts w:ascii="Arial" w:hAnsi="Arial"/>
          <w:color w:val="000000"/>
          <w:sz w:val="18"/>
        </w:rPr>
        <w:t>As of March 31, 2024, SLB had $3.5 billion of cash and short-term investments on hand and committed debt facility agreements with commercial banks aggregating $5.0 billion, $4.7 billion of which was available and unused. SLB believes these amounts are sufficient to meet future business requirements for at least the next 12 months and beyond.</w:t>
      </w:r>
    </w:p>
    <w:p>
      <w:pPr>
        <w:pStyle w:val="TextBody"/>
        <w:bidi w:val="0"/>
        <w:spacing w:before="180" w:after="283"/>
        <w:jc w:val="both"/>
        <w:rPr>
          <w:rFonts w:ascii="Times New Roman" w:hAnsi="Times New Roman"/>
          <w:sz w:val="20"/>
        </w:rPr>
      </w:pPr>
      <w:r>
        <w:rPr>
          <w:rFonts w:ascii="Arial" w:hAnsi="Arial"/>
          <w:color w:val="000000"/>
          <w:sz w:val="18"/>
        </w:rPr>
        <w:t xml:space="preserve">Borrowings under the commercial paper programs at March 31, 2024 were $345 million all of which were classified in </w:t>
      </w:r>
      <w:r>
        <w:rPr>
          <w:rFonts w:ascii="Arial" w:hAnsi="Arial"/>
          <w:i/>
          <w:color w:val="000000"/>
          <w:sz w:val="18"/>
        </w:rPr>
        <w:t>Short-term borrowings and current portion of long-term debt</w:t>
      </w:r>
      <w:r>
        <w:rPr>
          <w:rFonts w:ascii="Times New Roman" w:hAnsi="Times New Roman"/>
          <w:color w:val="000000"/>
          <w:sz w:val="20"/>
        </w:rPr>
        <w:t xml:space="preserve"> </w:t>
      </w:r>
      <w:r>
        <w:rPr>
          <w:rFonts w:ascii="Arial" w:hAnsi="Arial"/>
          <w:color w:val="000000"/>
          <w:sz w:val="18"/>
        </w:rPr>
        <w:t>in the Consolidated Balance Sheet. There were no borrowings under the commercial paper programs at December 31, 2023.</w:t>
      </w:r>
      <w:r>
        <w:rPr>
          <w:rFonts w:ascii="Times New Roman" w:hAnsi="Times New Roman"/>
          <w:color w:val="000000"/>
          <w:sz w:val="20"/>
        </w:rPr>
        <w:t xml:space="preserve"> </w:t>
      </w:r>
    </w:p>
    <w:p>
      <w:pPr>
        <w:pStyle w:val="TextBody"/>
        <w:bidi w:val="0"/>
        <w:spacing w:before="180" w:after="283"/>
        <w:jc w:val="both"/>
        <w:rPr>
          <w:rFonts w:ascii="Arial" w:hAnsi="Arial"/>
          <w:color w:val="000000"/>
          <w:sz w:val="18"/>
        </w:rPr>
      </w:pPr>
      <w:r>
        <w:rPr>
          <w:rFonts w:ascii="Arial" w:hAnsi="Arial"/>
          <w:color w:val="000000"/>
          <w:sz w:val="18"/>
        </w:rPr>
        <w:t>SLB has a global footprint in more than 100 countries. As of March 31, 2024, only four of those countries individually accounted for greater than 5% of SLB’s net receivable balance. Only one of these countries, Mexico, represented greater than 10% of such receivables. As of March 31, 2024, Mexico represented 12% of SLB's net accounts receivable balance. SLB’s receivables from its primary customer in Mexico are not in dispute and SLB has not historically had any material write-offs due to uncollectible accounts receivable relating to this customer.</w:t>
      </w:r>
    </w:p>
    <w:p>
      <w:pPr>
        <w:pStyle w:val="TextBody"/>
        <w:bidi w:val="0"/>
        <w:spacing w:before="240" w:after="283"/>
        <w:jc w:val="both"/>
        <w:rPr>
          <w:rFonts w:ascii="Arial" w:hAnsi="Arial"/>
          <w:b/>
          <w:color w:val="000000"/>
          <w:sz w:val="18"/>
        </w:rPr>
      </w:pPr>
      <w:r>
        <w:rPr>
          <w:rFonts w:ascii="Arial" w:hAnsi="Arial"/>
          <w:b/>
          <w:color w:val="000000"/>
          <w:sz w:val="18"/>
        </w:rPr>
        <w:t>FORWARD-LOOKING STATEMENTS</w:t>
      </w:r>
    </w:p>
    <w:p>
      <w:pPr>
        <w:pStyle w:val="TextBody"/>
        <w:bidi w:val="0"/>
        <w:jc w:val="both"/>
        <w:rPr>
          <w:rFonts w:ascii="Times New Roman" w:hAnsi="Times New Roman"/>
          <w:sz w:val="20"/>
        </w:rPr>
      </w:pPr>
      <w:r>
        <w:rPr>
          <w:rFonts w:ascii="Arial" w:hAnsi="Arial"/>
          <w:color w:val="000000"/>
          <w:sz w:val="18"/>
        </w:rPr>
        <w:t>This first-quarter 2024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This Form 10-Q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as well as the risk factors discussed in SLB’s and ChampionX’s most recent Forms 10-K, 10-Q, and 8-K filed with or furnished to the SEC.</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April 24, 2024, and SLB disclaims any intention or obligation to update publicly or revise such statements, whether as a result of new information, future events or otherwise.</w:t>
      </w:r>
    </w:p>
    <w:p>
      <w:pPr>
        <w:pStyle w:val="TextBody"/>
        <w:bidi w:val="0"/>
        <w:spacing w:before="240" w:after="283"/>
        <w:jc w:val="left"/>
        <w:rPr>
          <w:rFonts w:ascii="Times New Roman" w:hAnsi="Times New Roman"/>
          <w:sz w:val="20"/>
        </w:rPr>
      </w:pPr>
      <w:bookmarkStart w:id="6" w:name="item_3_quantitative_qualitative_disclosu"/>
      <w:bookmarkEnd w:id="6"/>
      <w:r>
        <w:rPr>
          <w:rFonts w:ascii="Arial" w:hAnsi="Arial"/>
          <w:b/>
          <w:color w:val="000000"/>
          <w:sz w:val="18"/>
          <w:u w:val="single"/>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For quantitative and qualitative disclosures about market risk affecting SLB, see Item 7A, “Quantitative and Qualitative Disclosures about Market Risk,” of the SLB Annual Report on Form 10-K for the fiscal year ended December 31, 2023. SLB’s exposure to market risk has not changed materially since December 31, 2023.</w:t>
      </w:r>
    </w:p>
    <w:p>
      <w:pPr>
        <w:pStyle w:val="TextBody"/>
        <w:bidi w:val="0"/>
        <w:spacing w:before="240" w:after="283"/>
        <w:jc w:val="left"/>
        <w:rPr>
          <w:rFonts w:ascii="Times New Roman" w:hAnsi="Times New Roman"/>
          <w:sz w:val="20"/>
        </w:rPr>
      </w:pPr>
      <w:bookmarkStart w:id="7" w:name="item_4_controls_and_procedures"/>
      <w:bookmarkEnd w:id="7"/>
      <w:r>
        <w:rPr>
          <w:rFonts w:ascii="Arial" w:hAnsi="Arial"/>
          <w:b/>
          <w:color w:val="000000"/>
          <w:sz w:val="18"/>
          <w:u w:val="single"/>
        </w:rPr>
        <w:t>Item 4. Controls and Procedures.</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u w:val="single"/>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bookmarkStart w:id="8" w:name="item_1_legal_proceedings"/>
      <w:bookmarkEnd w:id="8"/>
      <w:r>
        <w:rPr>
          <w:rFonts w:ascii="Arial" w:hAnsi="Arial"/>
          <w:b/>
          <w:color w:val="000000"/>
          <w:sz w:val="18"/>
          <w:u w:val="single"/>
        </w:rPr>
        <w:t>Item 1. Legal Proceedings.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The information with respect to this Item 1 is set forth under Note 9—Contingencies, in the accompanying Consolidated Financial Statements.</w:t>
      </w:r>
    </w:p>
    <w:p>
      <w:pPr>
        <w:pStyle w:val="TextBody"/>
        <w:bidi w:val="0"/>
        <w:spacing w:before="240" w:after="283"/>
        <w:jc w:val="both"/>
        <w:rPr>
          <w:rFonts w:ascii="Times New Roman" w:hAnsi="Times New Roman"/>
          <w:sz w:val="20"/>
        </w:rPr>
      </w:pPr>
      <w:bookmarkStart w:id="9" w:name="item_1a_risk_factors"/>
      <w:bookmarkEnd w:id="9"/>
      <w:r>
        <w:rPr>
          <w:rFonts w:ascii="Arial" w:hAnsi="Arial"/>
          <w:b/>
          <w:color w:val="000000"/>
          <w:sz w:val="18"/>
          <w:u w:val="single"/>
        </w:rPr>
        <w:t>Item 1A. Risk Factors.</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As of the date of this filing, there have been no material changes from the risk factors disclosed in Part 1, Item 1A, of SLB’s Annual Report on Form 10-K for the fiscal year ended December 31, 2023, except as follows:</w:t>
      </w:r>
    </w:p>
    <w:p>
      <w:pPr>
        <w:pStyle w:val="TextBody"/>
        <w:bidi w:val="0"/>
        <w:jc w:val="both"/>
        <w:rPr/>
      </w:pPr>
      <w:r>
        <w:rPr/>
        <w:t> </w:t>
      </w:r>
    </w:p>
    <w:p>
      <w:pPr>
        <w:pStyle w:val="TextBody"/>
        <w:bidi w:val="0"/>
        <w:jc w:val="both"/>
        <w:rPr>
          <w:rFonts w:ascii="Arial" w:hAnsi="Arial"/>
          <w:b/>
          <w:i/>
          <w:color w:val="000000"/>
          <w:sz w:val="18"/>
        </w:rPr>
      </w:pPr>
      <w:r>
        <w:rPr>
          <w:rFonts w:ascii="Arial" w:hAnsi="Arial"/>
          <w:b/>
          <w:i/>
          <w:color w:val="000000"/>
          <w:sz w:val="18"/>
        </w:rPr>
        <w:t>We may be unable to complete the proposed acquisition of ChampionX.</w:t>
      </w:r>
    </w:p>
    <w:p>
      <w:pPr>
        <w:pStyle w:val="TextBody"/>
        <w:bidi w:val="0"/>
        <w:spacing w:before="120" w:after="283"/>
        <w:jc w:val="both"/>
        <w:rPr>
          <w:rFonts w:ascii="Arial" w:hAnsi="Arial"/>
          <w:color w:val="000000"/>
          <w:sz w:val="18"/>
        </w:rPr>
      </w:pPr>
      <w:r>
        <w:rPr>
          <w:rFonts w:ascii="Arial" w:hAnsi="Arial"/>
          <w:color w:val="000000"/>
          <w:sz w:val="18"/>
        </w:rPr>
        <w:t>We or ChampionX may terminate the merger agreement between the parties (the “merger agreement”) in certain circumstances as described in our Current Report on Form 8-K filed with the SEC on April 2, 2024. If the proposed acquisition is not completed for any reason, including as a result of failure to obtain required regulatory approvals or if the ChampionX stockholders fail to approve the acquisition, the market price of our common stock may be adversely affected; we may experience negative reactions from the financial markets, customers, suppliers and other constituencies; we will be required to pay certain costs relating to the acquisition; and SLB may be required to pay a termination fee under certain circumstances set forth in the merger agreement.</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18"/>
        </w:rPr>
        <w:t>We may fail to realize the anticipated benefits of the proposed acquisition of ChampionX.</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If the acquisition is completed, the success of the acquisition will depend on, among other things, our ability to combine our business with that of ChampionX in a manner that facilitates growth opportunities and realizes anticipated synergies. If we are not able to successfully achieve these objectives, the anticipated benefits of the acquisition may not be realized fully, or at all, or may take longer to realize than expected.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0" w:name="item_2_unregistered_sales_equity_securit"/>
      <w:bookmarkEnd w:id="10"/>
      <w:r>
        <w:rPr>
          <w:rFonts w:ascii="Arial" w:hAnsi="Arial"/>
          <w:b/>
          <w:color w:val="000000"/>
          <w:sz w:val="18"/>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u w:val="single"/>
        </w:rPr>
        <w:t>Unregistered Sales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None.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u w:val="single"/>
        </w:rPr>
        <w:t>Issuer Repurchases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On January 21, 2016, the SLB Board of Directors approved a $10 billion share repurchase program for SLB common stock. As of March 31, 2024, SLB had repurchased $2.0 billion of SLB common stock under this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SLB's common stock repurchase activity for the three months ended March 31, 2024 was as follows:</w:t>
      </w:r>
    </w:p>
    <w:tbl>
      <w:tblPr>
        <w:tblW w:w="8028" w:type="dxa"/>
        <w:jc w:val="left"/>
        <w:tblInd w:w="0" w:type="dxa"/>
        <w:tblLayout w:type="fixed"/>
        <w:tblCellMar>
          <w:top w:w="28" w:type="dxa"/>
          <w:left w:w="28" w:type="dxa"/>
          <w:bottom w:w="28" w:type="dxa"/>
          <w:right w:w="28" w:type="dxa"/>
        </w:tblCellMar>
      </w:tblPr>
      <w:tblGrid>
        <w:gridCol w:w="1321"/>
        <w:gridCol w:w="199"/>
        <w:gridCol w:w="986"/>
        <w:gridCol w:w="146"/>
        <w:gridCol w:w="146"/>
        <w:gridCol w:w="347"/>
        <w:gridCol w:w="943"/>
        <w:gridCol w:w="146"/>
        <w:gridCol w:w="146"/>
        <w:gridCol w:w="299"/>
        <w:gridCol w:w="1486"/>
        <w:gridCol w:w="146"/>
        <w:gridCol w:w="146"/>
        <w:gridCol w:w="255"/>
        <w:gridCol w:w="1125"/>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sz w:val="4"/>
                <w:szCs w:val="4"/>
              </w:rPr>
            </w:pPr>
            <w:r>
              <w:rPr>
                <w:sz w:val="4"/>
                <w:szCs w:val="4"/>
              </w:rPr>
            </w:r>
          </w:p>
        </w:tc>
        <w:tc>
          <w:tcPr>
            <w:tcW w:w="6516" w:type="dxa"/>
            <w:gridSpan w:val="14"/>
            <w:tcBorders/>
            <w:shd w:fill="FFFFFF" w:val="clear"/>
            <w:vAlign w:val="center"/>
          </w:tcPr>
          <w:p>
            <w:pPr>
              <w:pStyle w:val="TableContents"/>
              <w:bidi w:val="0"/>
              <w:spacing w:before="0" w:after="283"/>
              <w:jc w:val="right"/>
              <w:rPr>
                <w:rFonts w:ascii="Arial" w:hAnsi="Arial"/>
                <w:i/>
                <w:color w:val="000000"/>
                <w:sz w:val="16"/>
              </w:rPr>
            </w:pPr>
            <w:r>
              <w:rPr>
                <w:rFonts w:ascii="Arial" w:hAnsi="Arial"/>
                <w:i/>
                <w:color w:val="000000"/>
                <w:sz w:val="16"/>
              </w:rPr>
              <w:t>(Stated in thousands, except per share amounts)</w:t>
            </w:r>
          </w:p>
        </w:tc>
        <w:tc>
          <w:tcPr>
            <w:tcW w:w="191" w:type="dxa"/>
            <w:tcBorders/>
            <w:shd w:fill="FFFFFF" w:val="clear"/>
            <w:vAlign w:val="center"/>
          </w:tcPr>
          <w:p>
            <w:pPr>
              <w:pStyle w:val="TableContents"/>
              <w:bidi w:val="0"/>
              <w:spacing w:before="0" w:after="283"/>
              <w:jc w:val="righ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 number</w:t>
              <w:br/>
              <w:t>of shares</w:t>
              <w:br/>
              <w:t>purchased as</w:t>
              <w:br/>
              <w:t>part of publicly</w:t>
              <w:br/>
              <w:t xml:space="preserve">announced plans or </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Maximum</w:t>
              <w:br/>
              <w:t>value of shares</w:t>
              <w:br/>
              <w:t>that may yet be</w:t>
              <w:br/>
              <w:t>purchased</w:t>
              <w:br/>
              <w:t>under the plans</w:t>
              <w:br/>
              <w:t>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January 2024</w:t>
            </w:r>
          </w:p>
        </w:tc>
        <w:tc>
          <w:tcPr>
            <w:tcW w:w="19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4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9" w:type="dxa"/>
            <w:tcBorders/>
            <w:shd w:fill="CFF0FC" w:val="clear"/>
            <w:vAlign w:val="center"/>
          </w:tcPr>
          <w:p>
            <w:pPr>
              <w:pStyle w:val="TableContents"/>
              <w:bidi w:val="0"/>
              <w:spacing w:before="0" w:after="283"/>
              <w:jc w:val="left"/>
              <w:rPr/>
            </w:pPr>
            <w:r>
              <w:rPr/>
              <w:t> </w:t>
            </w:r>
          </w:p>
        </w:tc>
        <w:tc>
          <w:tcPr>
            <w:tcW w:w="148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8,205,969</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February 2024</w:t>
            </w:r>
          </w:p>
        </w:tc>
        <w:tc>
          <w:tcPr>
            <w:tcW w:w="19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8,100,861</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March 2024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8,008,018</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bookmarkStart w:id="11" w:name="item_3_defaults_upon_senior_securities"/>
      <w:bookmarkEnd w:id="11"/>
      <w:r>
        <w:rPr>
          <w:rFonts w:ascii="Arial" w:hAnsi="Arial"/>
          <w:b/>
          <w:color w:val="000000"/>
          <w:sz w:val="18"/>
          <w:u w:val="single"/>
        </w:rPr>
        <w:t>Item 3. Defaults Upon Senior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None</w:t>
      </w:r>
      <w:r>
        <w:rPr>
          <w:rFonts w:ascii="Arial" w:hAnsi="Arial"/>
          <w:b/>
          <w:color w:val="000000"/>
          <w:sz w:val="18"/>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2" w:name="item_4_mine_safety_disclosures"/>
      <w:bookmarkEnd w:id="12"/>
      <w:r>
        <w:rPr>
          <w:rFonts w:ascii="Arial" w:hAnsi="Arial"/>
          <w:b/>
          <w:color w:val="000000"/>
          <w:sz w:val="18"/>
          <w:u w:val="single"/>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3" w:name="item_5_other_information"/>
      <w:bookmarkEnd w:id="13"/>
      <w:r>
        <w:rPr>
          <w:rFonts w:ascii="Arial" w:hAnsi="Arial"/>
          <w:b/>
          <w:color w:val="000000"/>
          <w:sz w:val="18"/>
          <w:u w:val="single"/>
        </w:rPr>
        <w:t>Item 5. Other Information.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18"/>
        </w:rPr>
      </w:pPr>
      <w:r>
        <w:rPr>
          <w:rFonts w:ascii="Arial" w:hAnsi="Arial"/>
          <w:color w:val="000000"/>
          <w:sz w:val="18"/>
        </w:rPr>
        <w:t>In 2013, SLB completed the wind down of its service operations in Iran. Prior to this, certain non-US subsidiaries provided oilfield services to the National Iranian Oil Company and certain of its affiliates (“NIOC”).</w:t>
      </w:r>
    </w:p>
    <w:p>
      <w:pPr>
        <w:pStyle w:val="TextBody"/>
        <w:bidi w:val="0"/>
        <w:jc w:val="both"/>
        <w:rPr>
          <w:rFonts w:ascii="Arial" w:hAnsi="Arial"/>
          <w:color w:val="000000"/>
          <w:sz w:val="18"/>
        </w:rPr>
      </w:pPr>
      <w:r>
        <w:rPr>
          <w:rFonts w:ascii="Arial" w:hAnsi="Arial"/>
          <w:color w:val="000000"/>
          <w:sz w:val="18"/>
        </w:rPr>
        <w:t>SLB’s residual transactions or dealings with the government of Iran during the first quarter of 2024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6_exhibits"/>
      <w:bookmarkEnd w:id="14"/>
      <w:r>
        <w:rPr>
          <w:rFonts w:ascii="Arial" w:hAnsi="Arial"/>
          <w:b/>
          <w:color w:val="000000"/>
          <w:sz w:val="18"/>
          <w:u w:val="single"/>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10205" w:type="dxa"/>
            <w:tcBorders/>
            <w:vAlign w:val="center"/>
          </w:tcPr>
          <w:p>
            <w:pPr>
              <w:pStyle w:val="TableContents"/>
              <w:bidi w:val="0"/>
              <w:spacing w:before="0" w:after="283"/>
              <w:ind w:left="0" w:right="0" w:firstLine="490"/>
              <w:jc w:val="both"/>
              <w:rPr/>
            </w:pPr>
            <w:r>
              <w:rPr>
                <w:rFonts w:ascii="Arial" w:hAnsi="Arial"/>
                <w:color w:val="000000"/>
                <w:sz w:val="18"/>
              </w:rPr>
              <w:t>*** Exhibit 2—</w:t>
            </w:r>
            <w:hyperlink r:id="rId3">
              <w:r>
                <w:rPr>
                  <w:rStyle w:val="InternetLink"/>
                  <w:rFonts w:ascii="Arial" w:hAnsi="Arial"/>
                  <w:color w:val="0000FF"/>
                  <w:sz w:val="18"/>
                  <w:u w:val="single"/>
                </w:rPr>
                <w:t>Agreement and Plan of Merger among Schlumberger Limited, Sodium Holdco, Inc., Sodium Merger Sub, Inc., and ChampionX Corporation, dated April 2, 2024 (incorporated by reference to Exhibit 2 to SLB’s Current Report on Form 8-K/A filed on April 2, 2024).</w:t>
              </w:r>
            </w:hyperlink>
          </w:p>
        </w:tc>
      </w:tr>
      <w:tr>
        <w:trPr/>
        <w:tc>
          <w:tcPr>
            <w:tcW w:w="10205" w:type="dxa"/>
            <w:tcBorders/>
            <w:vAlign w:val="center"/>
          </w:tcPr>
          <w:p>
            <w:pPr>
              <w:pStyle w:val="TableContents"/>
              <w:bidi w:val="0"/>
              <w:ind w:left="490" w:right="0" w:firstLine="490"/>
              <w:jc w:val="both"/>
              <w:rPr/>
            </w:pPr>
            <w:r>
              <w:rPr/>
              <w:t> </w:t>
            </w:r>
          </w:p>
          <w:p>
            <w:pPr>
              <w:pStyle w:val="TableContents"/>
              <w:bidi w:val="0"/>
              <w:spacing w:before="0" w:after="283"/>
              <w:ind w:left="0" w:right="0" w:firstLine="490"/>
              <w:jc w:val="both"/>
              <w:rPr/>
            </w:pPr>
            <w:r>
              <w:rPr>
                <w:rFonts w:ascii="Arial" w:hAnsi="Arial"/>
                <w:color w:val="000000"/>
                <w:sz w:val="18"/>
              </w:rPr>
              <w:t>Exhibit 3.1—</w:t>
            </w:r>
            <w:hyperlink r:id="rId4">
              <w:r>
                <w:rPr>
                  <w:rStyle w:val="InternetLink"/>
                  <w:rFonts w:ascii="Arial" w:hAnsi="Arial"/>
                  <w:color w:val="0000FF"/>
                  <w:sz w:val="18"/>
                  <w:u w:val="single"/>
                </w:rPr>
                <w:t>Articles of Incorporation of Schlumberger Limited (Schlumberger N.V.) (incorporated by reference to Exhibit 3.1 to SLB’s Current Report on Form 8-K filed on April 6, 2016)</w:t>
              </w:r>
            </w:hyperlink>
          </w:p>
        </w:tc>
      </w:tr>
      <w:tr>
        <w:trPr/>
        <w:tc>
          <w:tcPr>
            <w:tcW w:w="10205" w:type="dxa"/>
            <w:tcBorders/>
            <w:vAlign w:val="center"/>
          </w:tcPr>
          <w:p>
            <w:pPr>
              <w:pStyle w:val="TableContents"/>
              <w:bidi w:val="0"/>
              <w:spacing w:before="0" w:after="283"/>
              <w:ind w:left="0" w:right="0" w:firstLine="490"/>
              <w:jc w:val="both"/>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Exhibit 3.2—</w:t>
            </w:r>
            <w:hyperlink r:id="rId5">
              <w:r>
                <w:rPr>
                  <w:rStyle w:val="InternetLink"/>
                  <w:rFonts w:ascii="Arial" w:hAnsi="Arial"/>
                  <w:color w:val="0000FF"/>
                  <w:sz w:val="18"/>
                  <w:u w:val="single"/>
                </w:rPr>
                <w:t>Amended and Restated By-Laws of Schlumberger Limited (Schlumberger N.V.) (incorporated by reference to Exhibit 3 to SLB’s Current Report on Form 8-K filed on April 21, 2023)</w:t>
              </w:r>
            </w:hyperlink>
            <w:hyperlink r:id="rId6">
              <w:r>
                <w:rPr>
                  <w:rStyle w:val="InternetLink"/>
                  <w:rFonts w:ascii="Times New Roman" w:hAnsi="Times New Roman"/>
                  <w:color w:val="0000FF"/>
                  <w:sz w:val="18"/>
                </w:rPr>
                <w:t xml:space="preserve"> </w:t>
              </w:r>
            </w:hyperlink>
          </w:p>
        </w:tc>
      </w:tr>
      <w:tr>
        <w:trPr/>
        <w:tc>
          <w:tcPr>
            <w:tcW w:w="10205" w:type="dxa"/>
            <w:tcBorders/>
            <w:vAlign w:val="center"/>
          </w:tcPr>
          <w:p>
            <w:pPr>
              <w:pStyle w:val="TableContents"/>
              <w:bidi w:val="0"/>
              <w:spacing w:before="0" w:after="283"/>
              <w:ind w:left="0" w:right="0" w:firstLine="490"/>
              <w:jc w:val="both"/>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22—</w:t>
            </w:r>
            <w:hyperlink w:anchor="slb-ex22.htm">
              <w:r>
                <w:rPr>
                  <w:rStyle w:val="InternetLink"/>
                  <w:rFonts w:ascii="Arial" w:hAnsi="Arial"/>
                  <w:color w:val="0000FF"/>
                  <w:sz w:val="18"/>
                  <w:u w:val="single"/>
                </w:rPr>
                <w:t>Issuers of Registered Guaranteed Debt Securities</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31.1—</w:t>
            </w:r>
            <w:hyperlink w:anchor="slb-ex31_1.htm">
              <w:r>
                <w:rPr>
                  <w:rStyle w:val="InternetLink"/>
                  <w:rFonts w:ascii="Arial" w:hAnsi="Arial"/>
                  <w:color w:val="0000FF"/>
                  <w:sz w:val="18"/>
                  <w:u w:val="single"/>
                </w:rPr>
                <w:t>Certification of Chief Executive Officer pursuant to Rule 13a-14(a) of the Securities Exchange Act of 1934, as amended, as adopted pursuant to Section 302 of the Sarbanes-Oxley Act of 2002</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31.2—</w:t>
            </w:r>
            <w:hyperlink w:anchor="slb-ex31_2.htm">
              <w:r>
                <w:rPr>
                  <w:rStyle w:val="InternetLink"/>
                  <w:rFonts w:ascii="Arial" w:hAnsi="Arial"/>
                  <w:color w:val="0000FF"/>
                  <w:sz w:val="18"/>
                  <w:u w:val="single"/>
                </w:rPr>
                <w:t>Certification of Chief Financial Officer pursuant to Rule 13a-14(a) of the Securities Exchange Act of 1934, as amended, as adopted pursuant to Section 302 of the Sarbanes-Oxley Act of 2002</w:t>
              </w:r>
            </w:hyperlink>
            <w:hyperlink w:anchor="slb-ex31_2.htm">
              <w:r>
                <w:rPr>
                  <w:rStyle w:val="InternetLink"/>
                  <w:rFonts w:ascii="Times New Roman" w:hAnsi="Times New Roman"/>
                  <w:color w:val="0000FF"/>
                  <w:sz w:val="18"/>
                </w:rPr>
                <w:t xml:space="preserve"> </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32.1—</w:t>
            </w:r>
            <w:hyperlink w:anchor="slb-ex32_1.htm">
              <w:r>
                <w:rPr>
                  <w:rStyle w:val="InternetLink"/>
                  <w:rFonts w:ascii="Arial" w:hAnsi="Arial"/>
                  <w:color w:val="0000FF"/>
                  <w:sz w:val="18"/>
                  <w:u w:val="single"/>
                </w:rPr>
                <w:t>Certification of Chief Executive Officer pursuant to 18 U.S.C. Section 1350, as adopted pursuant to Section 906 of the Sarbanes-Oxley Act of 2002</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32.2—</w:t>
            </w:r>
            <w:hyperlink w:anchor="slb-ex32_2.htm">
              <w:r>
                <w:rPr>
                  <w:rStyle w:val="InternetLink"/>
                  <w:rFonts w:ascii="Arial" w:hAnsi="Arial"/>
                  <w:color w:val="0000FF"/>
                  <w:sz w:val="18"/>
                  <w:u w:val="single"/>
                </w:rPr>
                <w:t>Certification of Chief Financial Officer pursuant to 18 U.S.C. Section 1350, as adopted pursuant to Section 906 of the Sarbanes-Oxley Act of 2002</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pPr>
            <w:r>
              <w:rPr>
                <w:rFonts w:ascii="Arial" w:hAnsi="Arial"/>
                <w:color w:val="000000"/>
                <w:sz w:val="18"/>
              </w:rPr>
              <w:t>* Exhibit 95—</w:t>
            </w:r>
            <w:hyperlink w:anchor="slb-ex95.htm">
              <w:r>
                <w:rPr>
                  <w:rStyle w:val="InternetLink"/>
                  <w:rFonts w:ascii="Arial" w:hAnsi="Arial"/>
                  <w:color w:val="0000FF"/>
                  <w:sz w:val="18"/>
                  <w:u w:val="single"/>
                </w:rPr>
                <w:t>Mine Safety Disclosures</w:t>
              </w:r>
            </w:hyperlink>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Times New Roman" w:hAnsi="Times New Roman"/>
                <w:sz w:val="18"/>
              </w:rPr>
            </w:pPr>
            <w:r>
              <w:rPr>
                <w:rFonts w:ascii="Arial" w:hAnsi="Arial"/>
                <w:color w:val="000000"/>
                <w:sz w:val="18"/>
              </w:rPr>
              <w:t>* Exhibit 101.INS—Inline XBRL Instance Document – the instance document does not appear in the Interactive Data File because XBRL tags are embedded within the Inline XBRL document</w:t>
            </w:r>
            <w:r>
              <w:rPr>
                <w:rFonts w:ascii="Times New Roman" w:hAnsi="Times New Roman"/>
                <w:color w:val="000000"/>
                <w:sz w:val="18"/>
              </w:rPr>
              <w:t xml:space="preserve"> </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101.SCH—Inline XBRL Taxonomy Extension Schema Document</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101.CAL—Inline XBRL Taxonomy Extension Calculation Linkbase Document</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101.DEF—Inline XBRL Taxonomy Extension Definition Linkbase Document</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101.LAB—Inline XBRL Taxonomy Extension Label Linkbase Document</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101.PRE—Inline XBRL Taxonomy Extension Presentation Linkbase Document</w:t>
            </w:r>
          </w:p>
        </w:tc>
      </w:tr>
      <w:tr>
        <w:trPr/>
        <w:tc>
          <w:tcPr>
            <w:tcW w:w="10205" w:type="dxa"/>
            <w:tcBorders/>
            <w:vAlign w:val="center"/>
          </w:tcPr>
          <w:p>
            <w:pPr>
              <w:pStyle w:val="TableContents"/>
              <w:bidi w:val="0"/>
              <w:spacing w:before="0" w:after="283"/>
              <w:ind w:left="0" w:right="0" w:firstLine="490"/>
              <w:jc w:val="left"/>
              <w:rPr/>
            </w:pPr>
            <w:r>
              <w:rPr/>
              <w:t> </w:t>
            </w:r>
          </w:p>
        </w:tc>
      </w:tr>
      <w:tr>
        <w:trPr/>
        <w:tc>
          <w:tcPr>
            <w:tcW w:w="10205" w:type="dxa"/>
            <w:tcBorders/>
            <w:vAlign w:val="center"/>
          </w:tcPr>
          <w:p>
            <w:pPr>
              <w:pStyle w:val="TableContents"/>
              <w:bidi w:val="0"/>
              <w:spacing w:before="0" w:after="283"/>
              <w:ind w:left="490" w:right="0" w:firstLine="490"/>
              <w:jc w:val="both"/>
              <w:rPr>
                <w:rFonts w:ascii="Arial" w:hAnsi="Arial"/>
                <w:color w:val="000000"/>
                <w:sz w:val="18"/>
              </w:rPr>
            </w:pPr>
            <w:r>
              <w:rPr>
                <w:rFonts w:ascii="Arial" w:hAnsi="Arial"/>
                <w:color w:val="000000"/>
                <w:sz w:val="18"/>
              </w:rPr>
              <w:t>* Exhibit 104—Cover Page Interactive Data File (embedded within the Inline XBRL document)</w:t>
            </w:r>
          </w:p>
        </w:tc>
      </w:tr>
    </w:tbl>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 Filed with this Form 10-Q.</w:t>
      </w:r>
    </w:p>
    <w:p>
      <w:pPr>
        <w:pStyle w:val="TextBody"/>
        <w:bidi w:val="0"/>
        <w:spacing w:before="120" w:after="283"/>
        <w:jc w:val="both"/>
        <w:rPr>
          <w:rFonts w:ascii="Arial" w:hAnsi="Arial"/>
          <w:color w:val="000000"/>
          <w:sz w:val="18"/>
        </w:rPr>
      </w:pPr>
      <w:r>
        <w:rPr>
          <w:rFonts w:ascii="Arial" w:hAnsi="Arial"/>
          <w:color w:val="000000"/>
          <w:sz w:val="18"/>
        </w:rPr>
        <w:t>** Furnished with this Form 10-Q.</w:t>
      </w:r>
    </w:p>
    <w:p>
      <w:pPr>
        <w:pStyle w:val="TextBody"/>
        <w:bidi w:val="0"/>
        <w:spacing w:before="120" w:after="283"/>
        <w:jc w:val="both"/>
        <w:rPr>
          <w:rFonts w:ascii="Times New Roman" w:hAnsi="Times New Roman"/>
          <w:sz w:val="20"/>
        </w:rPr>
      </w:pPr>
      <w:r>
        <w:rPr>
          <w:rFonts w:ascii="Arial" w:hAnsi="Arial"/>
          <w:color w:val="000000"/>
          <w:sz w:val="18"/>
        </w:rPr>
        <w:t>*** Certain of the exhibits and schedules to this exhibit have been omitted in accordance with Regulation S-K Item 601(b)(2). SLB</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agrees to furnish supplementally a copy of all omitted exhibits and schedules to the SEC upon its request.</w:t>
      </w:r>
    </w:p>
    <w:p>
      <w:pPr>
        <w:pStyle w:val="TextBody"/>
        <w:bidi w:val="0"/>
        <w:spacing w:before="120" w:after="283"/>
        <w:jc w:val="both"/>
        <w:rPr>
          <w:rFonts w:ascii="Arial" w:hAnsi="Arial"/>
          <w:color w:val="000000"/>
          <w:sz w:val="18"/>
        </w:rPr>
      </w:pPr>
      <w:r>
        <w:rPr>
          <w:rFonts w:ascii="Arial" w:hAnsi="Arial"/>
          <w:color w:val="000000"/>
          <w:sz w:val="18"/>
        </w:rPr>
        <w:t>(+) Management contracts or compensatory plans or arrangements.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18"/>
        </w:rPr>
      </w:pPr>
      <w:bookmarkStart w:id="15" w:name="signatures"/>
      <w:bookmarkEnd w:id="15"/>
      <w:r>
        <w:rPr>
          <w:rFonts w:ascii="Arial" w:hAnsi="Arial"/>
          <w:color w:val="000000"/>
          <w:sz w:val="18"/>
        </w:rPr>
        <w:t>SIGNATURE</w:t>
      </w:r>
    </w:p>
    <w:p>
      <w:pPr>
        <w:pStyle w:val="TextBody"/>
        <w:bidi w:val="0"/>
        <w:spacing w:before="240" w:after="283"/>
        <w:jc w:val="both"/>
        <w:rPr>
          <w:rFonts w:ascii="Times New Roman" w:hAnsi="Times New Roman"/>
          <w:sz w:val="20"/>
        </w:rPr>
      </w:pPr>
      <w:r>
        <w:rPr>
          <w:rFonts w:ascii="Arial" w:hAnsi="Arial"/>
          <w:color w:val="000000"/>
          <w:sz w:val="18"/>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556"/>
        <w:gridCol w:w="1246"/>
        <w:gridCol w:w="614"/>
        <w:gridCol w:w="489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ind w:left="0" w:right="0" w:firstLine="528"/>
              <w:jc w:val="left"/>
              <w:rPr>
                <w:sz w:val="4"/>
                <w:szCs w:val="4"/>
              </w:rPr>
            </w:pPr>
            <w:r>
              <w:rPr>
                <w:sz w:val="4"/>
                <w:szCs w:val="4"/>
              </w:rPr>
            </w:r>
          </w:p>
        </w:tc>
        <w:tc>
          <w:tcPr>
            <w:tcW w:w="4891" w:type="dxa"/>
            <w:tcBorders/>
            <w:vAlign w:val="center"/>
          </w:tcPr>
          <w:p>
            <w:pPr>
              <w:pStyle w:val="TableContents"/>
              <w:pBdr/>
              <w:bidi w:val="0"/>
              <w:spacing w:before="0" w:after="283"/>
              <w:ind w:left="0" w:right="0" w:hanging="528"/>
              <w:jc w:val="left"/>
              <w:rPr>
                <w:rFonts w:ascii="Times New Roman" w:hAnsi="Times New Roman"/>
                <w:sz w:val="18"/>
              </w:rPr>
            </w:pPr>
            <w:r>
              <w:rPr>
                <w:rFonts w:ascii="Arial" w:hAnsi="Arial"/>
                <w:color w:val="000000"/>
                <w:sz w:val="18"/>
              </w:rPr>
              <w:t>SCHLUMBERGER LIMITED</w:t>
            </w:r>
            <w:r>
              <w:rPr>
                <w:rFonts w:ascii="Times New Roman" w:hAnsi="Times New Roman"/>
                <w:color w:val="000000"/>
                <w:sz w:val="18"/>
              </w:rPr>
              <w:t xml:space="preserve"> </w:t>
            </w:r>
          </w:p>
        </w:tc>
      </w:tr>
      <w:tr>
        <w:trPr/>
        <w:tc>
          <w:tcPr>
            <w:tcW w:w="55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4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April 24, 2024</w:t>
            </w:r>
          </w:p>
        </w:tc>
        <w:tc>
          <w:tcPr>
            <w:tcW w:w="614" w:type="dxa"/>
            <w:tcBorders/>
            <w:vAlign w:val="center"/>
          </w:tcPr>
          <w:p>
            <w:pPr>
              <w:pStyle w:val="TableContents"/>
              <w:bidi w:val="0"/>
              <w:spacing w:before="0" w:after="283"/>
              <w:jc w:val="left"/>
              <w:rPr/>
            </w:pPr>
            <w:r>
              <w:rPr/>
              <w:t> </w:t>
            </w:r>
          </w:p>
        </w:tc>
        <w:tc>
          <w:tcPr>
            <w:tcW w:w="4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Howard Guild</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rFonts w:ascii="Arial" w:hAnsi="Arial"/>
                <w:b/>
                <w:color w:val="000000"/>
                <w:sz w:val="18"/>
              </w:rPr>
            </w:pPr>
            <w:r>
              <w:rPr>
                <w:rFonts w:ascii="Arial" w:hAnsi="Arial"/>
                <w:b/>
                <w:color w:val="000000"/>
                <w:sz w:val="18"/>
              </w:rPr>
              <w:t>Howard Guild</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rFonts w:ascii="Arial" w:hAnsi="Arial"/>
                <w:b/>
                <w:color w:val="000000"/>
                <w:sz w:val="18"/>
              </w:rPr>
            </w:pPr>
            <w:r>
              <w:rPr>
                <w:rFonts w:ascii="Arial" w:hAnsi="Arial"/>
                <w:b/>
                <w:color w:val="000000"/>
                <w:sz w:val="18"/>
              </w:rPr>
              <w:t>Chief Accounting Officer and Duly Authorized Signatory</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bookmarkStart w:id="16" w:name="slb-ex22.htm"/>
      <w:bookmarkStart w:id="17" w:name="ksslbex22"/>
      <w:bookmarkEnd w:id="16"/>
      <w:bookmarkEnd w:id="17"/>
      <w:r>
        <w:rPr/>
        <w:t> </w:t>
      </w:r>
      <w:r>
        <w:br w:type="page"/>
      </w:r>
    </w:p>
    <w:p>
      <w:pPr>
        <w:pStyle w:val="TextBody"/>
        <w:bidi w:val="0"/>
        <w:jc w:val="right"/>
        <w:rPr>
          <w:rFonts w:ascii="Arial" w:hAnsi="Arial"/>
          <w:b/>
          <w:color w:val="000000"/>
          <w:sz w:val="18"/>
          <w:u w:val="single"/>
        </w:rPr>
      </w:pPr>
      <w:r>
        <w:rPr>
          <w:rFonts w:ascii="Arial" w:hAnsi="Arial"/>
          <w:b/>
          <w:color w:val="000000"/>
          <w:sz w:val="18"/>
          <w:u w:val="single"/>
        </w:rPr>
        <w:t>Exhibit 22</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u w:val="single"/>
        </w:rPr>
        <w:t>Issuers of Registered Guaranteed Debt Securities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As of March 31, 2024, (i) SISA was the issuer of its 4.500% Senior Notes due 2028, 2.650% Senior Notes due 2030, and 4.850% Senior Notes due 2033 (together, the “SISA Notes”), and (ii) SFCL was the issuer of its 1.400% Senior Notes due 2025 (the “SFCL Notes”). The Guarantor fully and unconditionally guarantees the SISA Notes and the SFCL Notes on a senior unsecured basis.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slb-ex31_1.htm"/>
      <w:bookmarkStart w:id="19" w:name="ksslbex31_1"/>
      <w:bookmarkEnd w:id="18"/>
      <w:bookmarkEnd w:id="19"/>
      <w:r>
        <w:rPr/>
        <w:t> </w:t>
      </w:r>
      <w:r>
        <w:br w:type="page"/>
      </w:r>
    </w:p>
    <w:p>
      <w:pPr>
        <w:pStyle w:val="TextBody"/>
        <w:bidi w:val="0"/>
        <w:spacing w:before="240" w:after="283"/>
        <w:jc w:val="right"/>
        <w:rPr>
          <w:rFonts w:ascii="Times New Roman" w:hAnsi="Times New Roman"/>
          <w:sz w:val="20"/>
        </w:rPr>
      </w:pPr>
      <w:r>
        <w:rPr>
          <w:rFonts w:ascii="Arial" w:hAnsi="Arial"/>
          <w:b/>
          <w:color w:val="000000"/>
          <w:sz w:val="18"/>
          <w:u w:val="single"/>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18"/>
          <w:u w:val="single"/>
        </w:rPr>
        <w:t>CERTIFICATION OF CHIEF EXECUTIVE OFFICER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I, Olivier Le Peuch, certify that: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1. I have reviewed this Quarterly Report on Form 10-Q of Schlumberger N.V. (Schlumberger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3737" w:type="dxa"/>
        <w:jc w:val="left"/>
        <w:tblInd w:w="0" w:type="dxa"/>
        <w:tblLayout w:type="fixed"/>
        <w:tblCellMar>
          <w:top w:w="28" w:type="dxa"/>
          <w:left w:w="28" w:type="dxa"/>
          <w:bottom w:w="28" w:type="dxa"/>
          <w:right w:w="28" w:type="dxa"/>
        </w:tblCellMar>
      </w:tblPr>
      <w:tblGrid>
        <w:gridCol w:w="1741"/>
        <w:gridCol w:w="1996"/>
      </w:tblGrid>
      <w:tr>
        <w:trPr/>
        <w:tc>
          <w:tcPr>
            <w:tcW w:w="174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April 24, 2024</w:t>
            </w:r>
          </w:p>
        </w:tc>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Olivier Le Peuch</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Olivier Le Peuch</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slb-ex31_2.htm"/>
      <w:bookmarkStart w:id="21" w:name="ksslbex31_2"/>
      <w:bookmarkEnd w:id="20"/>
      <w:bookmarkEnd w:id="21"/>
      <w:r>
        <w:rPr/>
        <w:t> </w:t>
      </w:r>
      <w:r>
        <w:br w:type="page"/>
      </w:r>
    </w:p>
    <w:p>
      <w:pPr>
        <w:pStyle w:val="TextBody"/>
        <w:bidi w:val="0"/>
        <w:spacing w:before="240" w:after="283"/>
        <w:jc w:val="right"/>
        <w:rPr>
          <w:rFonts w:ascii="Times New Roman" w:hAnsi="Times New Roman"/>
          <w:sz w:val="20"/>
        </w:rPr>
      </w:pPr>
      <w:r>
        <w:rPr>
          <w:rFonts w:ascii="Arial" w:hAnsi="Arial"/>
          <w:b/>
          <w:color w:val="000000"/>
          <w:sz w:val="18"/>
          <w:u w:val="single"/>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18"/>
          <w:u w:val="single"/>
        </w:rPr>
        <w:t>CERTIFICATION OF CHIEF FINANCIAL OFFICER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I, Stephane Biguet, certify that: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1. I have reviewed this Quarterly Report on Form 10-Q of Schlumberger N.V. (Schlumberger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122" w:type="dxa"/>
        <w:jc w:val="left"/>
        <w:tblInd w:w="0" w:type="dxa"/>
        <w:tblLayout w:type="fixed"/>
        <w:tblCellMar>
          <w:top w:w="28" w:type="dxa"/>
          <w:left w:w="28" w:type="dxa"/>
          <w:bottom w:w="28" w:type="dxa"/>
          <w:right w:w="28" w:type="dxa"/>
        </w:tblCellMar>
      </w:tblPr>
      <w:tblGrid>
        <w:gridCol w:w="1741"/>
        <w:gridCol w:w="4381"/>
      </w:tblGrid>
      <w:tr>
        <w:trPr/>
        <w:tc>
          <w:tcPr>
            <w:tcW w:w="1741"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April 24, 2024</w:t>
            </w:r>
          </w:p>
        </w:tc>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Stephane Biguet</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Stephane Biguet</w:t>
            </w:r>
          </w:p>
        </w:tc>
      </w:tr>
      <w:tr>
        <w:trPr/>
        <w:tc>
          <w:tcPr>
            <w:tcW w:w="174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Executive Vice President and Chief Financial Officer</w:t>
            </w:r>
          </w:p>
        </w:tc>
      </w:tr>
    </w:tbl>
    <w:p>
      <w:pPr>
        <w:pStyle w:val="TextBody"/>
        <w:bidi w:val="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slb-ex32_1.htm"/>
      <w:bookmarkStart w:id="23" w:name="ksslbex32_1"/>
      <w:bookmarkEnd w:id="22"/>
      <w:bookmarkEnd w:id="23"/>
      <w:r>
        <w:rPr/>
        <w:t> </w:t>
      </w:r>
      <w:r>
        <w:br w:type="page"/>
      </w:r>
    </w:p>
    <w:p>
      <w:pPr>
        <w:pStyle w:val="TextBody"/>
        <w:bidi w:val="0"/>
        <w:spacing w:before="240" w:after="283"/>
        <w:jc w:val="right"/>
        <w:rPr>
          <w:rFonts w:ascii="Times New Roman" w:hAnsi="Times New Roman"/>
          <w:sz w:val="20"/>
        </w:rPr>
      </w:pPr>
      <w:r>
        <w:rPr>
          <w:rFonts w:ascii="Arial" w:hAnsi="Arial"/>
          <w:b/>
          <w:color w:val="000000"/>
          <w:sz w:val="18"/>
          <w:u w:val="single"/>
        </w:rPr>
        <w:t>Exhibit 32.1</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color w:val="000000"/>
          <w:sz w:val="18"/>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In connection with the Quarterly Report on Form 10-Q of Schlumberger N.V. (Schlumberger Limited) (the “Company”) for the quarterly period ended March 31, 2024 as filed with the Securities and Exchange Commission on the date hereof (the “Report”), I, Olivier Le Peuch, Chief Executive Officer of the Company,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(1) The Report fully complies with the requirements of section 13(a) or 15(d) of the Securities Exchange Act of 1934, as amended (the “Exchange Act”),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tbl>
      <w:tblPr>
        <w:tblW w:w="3737" w:type="dxa"/>
        <w:jc w:val="left"/>
        <w:tblInd w:w="0" w:type="dxa"/>
        <w:tblLayout w:type="fixed"/>
        <w:tblCellMar>
          <w:top w:w="28" w:type="dxa"/>
          <w:left w:w="28" w:type="dxa"/>
          <w:bottom w:w="28" w:type="dxa"/>
          <w:right w:w="28" w:type="dxa"/>
        </w:tblCellMar>
      </w:tblPr>
      <w:tblGrid>
        <w:gridCol w:w="1741"/>
        <w:gridCol w:w="1996"/>
      </w:tblGrid>
      <w:tr>
        <w:trPr/>
        <w:tc>
          <w:tcPr>
            <w:tcW w:w="174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April 24, 2024</w:t>
            </w:r>
          </w:p>
        </w:tc>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Olivier Le Peuch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Olivier Le Peuch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18"/>
        </w:rPr>
        <w:t>A signed original of this written statement required by Section 906 has been provided to Schlumberger Limited and will be retained by Schlumberger Limited and furnished to the Securities and Exchange Commission or its staff upon request.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This certification accompanies the Report pursuant to Section 906 of the Sarbanes-Oxley Act of 2002 and shall not be deemed filed by the Company for purposes of Section 18 of the Exchange Act.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slb-ex32_2.htm"/>
      <w:bookmarkStart w:id="25" w:name="ksslbex32_2"/>
      <w:bookmarkEnd w:id="24"/>
      <w:bookmarkEnd w:id="25"/>
      <w:r>
        <w:rPr/>
        <w:t> </w:t>
      </w:r>
      <w:r>
        <w:br w:type="page"/>
      </w:r>
    </w:p>
    <w:p>
      <w:pPr>
        <w:pStyle w:val="TextBody"/>
        <w:bidi w:val="0"/>
        <w:spacing w:before="240" w:after="283"/>
        <w:jc w:val="right"/>
        <w:rPr>
          <w:rFonts w:ascii="Times New Roman" w:hAnsi="Times New Roman"/>
          <w:sz w:val="20"/>
        </w:rPr>
      </w:pPr>
      <w:r>
        <w:rPr>
          <w:rFonts w:ascii="Arial" w:hAnsi="Arial"/>
          <w:b/>
          <w:color w:val="000000"/>
          <w:sz w:val="18"/>
          <w:u w:val="single"/>
        </w:rPr>
        <w:t>Exhibit 32.2</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color w:val="000000"/>
          <w:sz w:val="18"/>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In connection with the Quarterly Report on Form 10-Q of Schlumberger N.V. (Schlumberger Limited) (the “Company”) for the quarterly period ended March 31, 2024 as filed with the Securities and Exchange Commission on the date hereof (the “Report”), I, Stephane Biguet, Executive Vice President and Chief Financial Officer of the Company,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(1) The Report fully complies with the requirements of section 13(a) or 15(d) of the Securities Exchange Act of 1934, as amended (the “Exchange Act”), 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8"/>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1741"/>
        <w:gridCol w:w="4381"/>
      </w:tblGrid>
      <w:tr>
        <w:trPr/>
        <w:tc>
          <w:tcPr>
            <w:tcW w:w="1741"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April 24, 2024</w:t>
            </w:r>
          </w:p>
        </w:tc>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Stephane Biguet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Stephane Biguet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Executive Vice President and Chief Financial Officer</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18"/>
        </w:rPr>
        <w:t>A signed original of this written statement required by Section 906 has been provided to Schlumberger Limited and will be retained by Schlumberger Limited and furnished to the Securities and Exchange Commission or its staff upon request.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This certification accompanies the Report pursuant to Section 906 of the Sarbanes-Oxley Act of 2002 and shall not be deemed filed by the Company for purposes of Section 18 of the Exchange Act.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lb-ex95.htm"/>
      <w:bookmarkStart w:id="27" w:name="ksslbex95"/>
      <w:bookmarkEnd w:id="26"/>
      <w:bookmarkEnd w:id="27"/>
      <w:r>
        <w:rPr/>
        <w:t> </w:t>
      </w:r>
      <w:r>
        <w:br w:type="page"/>
      </w:r>
    </w:p>
    <w:p>
      <w:pPr>
        <w:pStyle w:val="TextBody"/>
        <w:bidi w:val="0"/>
        <w:spacing w:before="240" w:after="283"/>
        <w:jc w:val="right"/>
        <w:rPr>
          <w:rFonts w:ascii="Times New Roman" w:hAnsi="Times New Roman"/>
          <w:sz w:val="20"/>
        </w:rPr>
      </w:pPr>
      <w:r>
        <w:rPr>
          <w:rFonts w:ascii="Arial" w:hAnsi="Arial"/>
          <w:b/>
          <w:color w:val="000000"/>
          <w:sz w:val="18"/>
          <w:u w:val="single"/>
        </w:rPr>
        <w:t>Exhibit 95</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b/>
          <w:color w:val="000000"/>
          <w:sz w:val="18"/>
        </w:rPr>
        <w:t>Mine Safety Disclosure</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18"/>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The table that follows reflects citations, orders, violations and proposed assessments issued by the Mine Safety and Health Administration (the “MSHA”) to indirect subsidiaries of SLB. The disclosure is with respect to the three months ended March 31, 2024. Due to timing and other factors, the data may not agree with the mine data retrieval system maintained by the MSHA at www.MSHA.gov.</w:t>
      </w:r>
    </w:p>
    <w:p>
      <w:pPr>
        <w:pStyle w:val="TextBody"/>
        <w:bidi w:val="0"/>
        <w:spacing w:before="240" w:after="283"/>
        <w:jc w:val="center"/>
        <w:rPr>
          <w:rFonts w:ascii="Arial" w:hAnsi="Arial"/>
          <w:b/>
          <w:color w:val="000000"/>
          <w:sz w:val="18"/>
          <w:u w:val="single"/>
        </w:rPr>
      </w:pPr>
      <w:r>
        <w:rPr>
          <w:rFonts w:ascii="Arial" w:hAnsi="Arial"/>
          <w:b/>
          <w:color w:val="000000"/>
          <w:sz w:val="18"/>
          <w:u w:val="single"/>
        </w:rPr>
        <w:t>Three Months Ended March 31, 2024</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Times New Roman" w:hAnsi="Times New Roman"/>
          <w:sz w:val="20"/>
        </w:rPr>
      </w:pPr>
      <w:r>
        <w:rPr>
          <w:rFonts w:ascii="Arial" w:hAnsi="Arial"/>
          <w:color w:val="000000"/>
          <w:sz w:val="18"/>
        </w:rPr>
        <w:t>(</w:t>
      </w:r>
      <w:r>
        <w:rPr>
          <w:rFonts w:ascii="Arial" w:hAnsi="Arial"/>
          <w:i/>
          <w:color w:val="000000"/>
          <w:sz w:val="18"/>
        </w:rPr>
        <w:t>whole dollars</w:t>
      </w:r>
      <w:r>
        <w:rPr>
          <w:rFonts w:ascii="Arial" w:hAnsi="Arial"/>
          <w:color w:val="000000"/>
          <w:sz w:val="18"/>
        </w:rPr>
        <w:t>)</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43" w:type="dxa"/>
        <w:jc w:val="left"/>
        <w:tblInd w:w="0" w:type="dxa"/>
        <w:tblLayout w:type="fixed"/>
        <w:tblCellMar>
          <w:top w:w="28" w:type="dxa"/>
          <w:left w:w="28" w:type="dxa"/>
          <w:bottom w:w="28" w:type="dxa"/>
          <w:right w:w="28" w:type="dxa"/>
        </w:tblCellMar>
      </w:tblPr>
      <w:tblGrid>
        <w:gridCol w:w="1036"/>
        <w:gridCol w:w="736"/>
        <w:gridCol w:w="646"/>
        <w:gridCol w:w="736"/>
        <w:gridCol w:w="796"/>
        <w:gridCol w:w="646"/>
        <w:gridCol w:w="1111"/>
        <w:gridCol w:w="751"/>
        <w:gridCol w:w="796"/>
        <w:gridCol w:w="796"/>
        <w:gridCol w:w="691"/>
        <w:gridCol w:w="661"/>
        <w:gridCol w:w="841"/>
      </w:tblGrid>
      <w:tr>
        <w:trPr/>
        <w:tc>
          <w:tcPr>
            <w:tcW w:w="10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color w:val="000000"/>
                <w:sz w:val="16"/>
              </w:rPr>
            </w:pPr>
            <w:r>
              <w:rPr>
                <w:rFonts w:ascii="Arial" w:hAnsi="Arial"/>
                <w:color w:val="000000"/>
                <w:sz w:val="16"/>
              </w:rPr>
              <w:t>Mine or Operating Name/ MSHA Identification Number</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color w:val="000000"/>
                <w:sz w:val="16"/>
              </w:rPr>
            </w:pPr>
            <w:r>
              <w:rPr>
                <w:rFonts w:ascii="Arial" w:hAnsi="Arial"/>
                <w:color w:val="000000"/>
                <w:sz w:val="16"/>
              </w:rPr>
              <w:t>Section 104 S&amp;S Citations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104(b)</w:t>
            </w:r>
          </w:p>
          <w:p>
            <w:pPr>
              <w:pStyle w:val="TableContents"/>
              <w:bidi w:val="0"/>
              <w:spacing w:before="0" w:after="283"/>
              <w:jc w:val="center"/>
              <w:rPr>
                <w:rFonts w:ascii="Arial" w:hAnsi="Arial"/>
                <w:color w:val="000000"/>
                <w:sz w:val="16"/>
              </w:rPr>
            </w:pPr>
            <w:r>
              <w:rPr>
                <w:rFonts w:ascii="Arial" w:hAnsi="Arial"/>
                <w:color w:val="000000"/>
                <w:sz w:val="16"/>
              </w:rPr>
              <w:t>Orders</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104(d)</w:t>
            </w:r>
          </w:p>
          <w:p>
            <w:pPr>
              <w:pStyle w:val="TableContents"/>
              <w:bidi w:val="0"/>
              <w:jc w:val="center"/>
              <w:rPr>
                <w:rFonts w:ascii="Arial" w:hAnsi="Arial"/>
                <w:color w:val="000000"/>
                <w:sz w:val="16"/>
              </w:rPr>
            </w:pPr>
            <w:r>
              <w:rPr>
                <w:rFonts w:ascii="Arial" w:hAnsi="Arial"/>
                <w:color w:val="000000"/>
                <w:sz w:val="16"/>
              </w:rPr>
              <w:t>Citations</w:t>
            </w:r>
          </w:p>
          <w:p>
            <w:pPr>
              <w:pStyle w:val="TableContents"/>
              <w:bidi w:val="0"/>
              <w:spacing w:before="0" w:after="283"/>
              <w:jc w:val="center"/>
              <w:rPr>
                <w:rFonts w:ascii="Arial" w:hAnsi="Arial"/>
                <w:color w:val="000000"/>
                <w:sz w:val="16"/>
              </w:rPr>
            </w:pPr>
            <w:r>
              <w:rPr>
                <w:rFonts w:ascii="Arial" w:hAnsi="Arial"/>
                <w:color w:val="000000"/>
                <w:sz w:val="16"/>
              </w:rPr>
              <w:t>and Orders</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110(b)(2)</w:t>
            </w:r>
          </w:p>
          <w:p>
            <w:pPr>
              <w:pStyle w:val="TableContents"/>
              <w:bidi w:val="0"/>
              <w:spacing w:before="0" w:after="283"/>
              <w:jc w:val="center"/>
              <w:rPr>
                <w:rFonts w:ascii="Arial" w:hAnsi="Arial"/>
                <w:color w:val="000000"/>
                <w:sz w:val="16"/>
              </w:rPr>
            </w:pPr>
            <w:r>
              <w:rPr>
                <w:rFonts w:ascii="Arial" w:hAnsi="Arial"/>
                <w:color w:val="000000"/>
                <w:sz w:val="16"/>
              </w:rPr>
              <w:t>Violations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107(a)</w:t>
            </w:r>
          </w:p>
          <w:p>
            <w:pPr>
              <w:pStyle w:val="TableContents"/>
              <w:bidi w:val="0"/>
              <w:spacing w:before="0" w:after="283"/>
              <w:jc w:val="center"/>
              <w:rPr>
                <w:rFonts w:ascii="Arial" w:hAnsi="Arial"/>
                <w:color w:val="000000"/>
                <w:sz w:val="16"/>
              </w:rPr>
            </w:pPr>
            <w:r>
              <w:rPr>
                <w:rFonts w:ascii="Arial" w:hAnsi="Arial"/>
                <w:color w:val="000000"/>
                <w:sz w:val="16"/>
              </w:rPr>
              <w:t>Orders</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Total Dollar</w:t>
            </w:r>
          </w:p>
          <w:p>
            <w:pPr>
              <w:pStyle w:val="TableContents"/>
              <w:bidi w:val="0"/>
              <w:jc w:val="center"/>
              <w:rPr>
                <w:rFonts w:ascii="Arial" w:hAnsi="Arial"/>
                <w:color w:val="000000"/>
                <w:sz w:val="16"/>
              </w:rPr>
            </w:pPr>
            <w:r>
              <w:rPr>
                <w:rFonts w:ascii="Arial" w:hAnsi="Arial"/>
                <w:color w:val="000000"/>
                <w:sz w:val="16"/>
              </w:rPr>
              <w:t>Value of MSHA</w:t>
            </w:r>
          </w:p>
          <w:p>
            <w:pPr>
              <w:pStyle w:val="TableContents"/>
              <w:bidi w:val="0"/>
              <w:jc w:val="center"/>
              <w:rPr>
                <w:rFonts w:ascii="Arial" w:hAnsi="Arial"/>
                <w:color w:val="000000"/>
                <w:sz w:val="16"/>
              </w:rPr>
            </w:pPr>
            <w:r>
              <w:rPr>
                <w:rFonts w:ascii="Arial" w:hAnsi="Arial"/>
                <w:color w:val="000000"/>
                <w:sz w:val="16"/>
              </w:rPr>
              <w:t>Assessments</w:t>
            </w:r>
          </w:p>
          <w:p>
            <w:pPr>
              <w:pStyle w:val="TableContents"/>
              <w:bidi w:val="0"/>
              <w:spacing w:before="0" w:after="283"/>
              <w:jc w:val="center"/>
              <w:rPr>
                <w:rFonts w:ascii="Times New Roman" w:hAnsi="Times New Roman"/>
                <w:sz w:val="16"/>
              </w:rPr>
            </w:pPr>
            <w:r>
              <w:rPr>
                <w:rFonts w:ascii="Arial" w:hAnsi="Arial"/>
                <w:color w:val="000000"/>
                <w:sz w:val="16"/>
              </w:rPr>
              <w:t xml:space="preserve">Proposed </w:t>
            </w:r>
            <w:r>
              <w:rPr>
                <w:rFonts w:ascii="Arial" w:hAnsi="Arial"/>
                <w:color w:val="000000"/>
                <w:sz w:val="11"/>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Total</w:t>
            </w:r>
          </w:p>
          <w:p>
            <w:pPr>
              <w:pStyle w:val="TableContents"/>
              <w:bidi w:val="0"/>
              <w:jc w:val="center"/>
              <w:rPr>
                <w:rFonts w:ascii="Arial" w:hAnsi="Arial"/>
                <w:color w:val="000000"/>
                <w:sz w:val="16"/>
              </w:rPr>
            </w:pPr>
            <w:r>
              <w:rPr>
                <w:rFonts w:ascii="Arial" w:hAnsi="Arial"/>
                <w:color w:val="000000"/>
                <w:sz w:val="16"/>
              </w:rPr>
              <w:t>Number</w:t>
            </w:r>
          </w:p>
          <w:p>
            <w:pPr>
              <w:pStyle w:val="TableContents"/>
              <w:bidi w:val="0"/>
              <w:jc w:val="center"/>
              <w:rPr>
                <w:rFonts w:ascii="Arial" w:hAnsi="Arial"/>
                <w:color w:val="000000"/>
                <w:sz w:val="16"/>
              </w:rPr>
            </w:pPr>
            <w:r>
              <w:rPr>
                <w:rFonts w:ascii="Arial" w:hAnsi="Arial"/>
                <w:color w:val="000000"/>
                <w:sz w:val="16"/>
              </w:rPr>
              <w:t>of Mining</w:t>
            </w:r>
          </w:p>
          <w:p>
            <w:pPr>
              <w:pStyle w:val="TableContents"/>
              <w:bidi w:val="0"/>
              <w:jc w:val="center"/>
              <w:rPr>
                <w:rFonts w:ascii="Arial" w:hAnsi="Arial"/>
                <w:color w:val="000000"/>
                <w:sz w:val="16"/>
              </w:rPr>
            </w:pPr>
            <w:r>
              <w:rPr>
                <w:rFonts w:ascii="Arial" w:hAnsi="Arial"/>
                <w:color w:val="000000"/>
                <w:sz w:val="16"/>
              </w:rPr>
              <w:t>Related</w:t>
            </w:r>
          </w:p>
          <w:p>
            <w:pPr>
              <w:pStyle w:val="TableContents"/>
              <w:bidi w:val="0"/>
              <w:spacing w:before="0" w:after="283"/>
              <w:jc w:val="center"/>
              <w:rPr>
                <w:rFonts w:ascii="Arial" w:hAnsi="Arial"/>
                <w:color w:val="000000"/>
                <w:sz w:val="16"/>
              </w:rPr>
            </w:pPr>
            <w:r>
              <w:rPr>
                <w:rFonts w:ascii="Arial" w:hAnsi="Arial"/>
                <w:color w:val="000000"/>
                <w:sz w:val="16"/>
              </w:rPr>
              <w:t>Fatalities</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Received</w:t>
            </w:r>
          </w:p>
          <w:p>
            <w:pPr>
              <w:pStyle w:val="TableContents"/>
              <w:bidi w:val="0"/>
              <w:jc w:val="center"/>
              <w:rPr>
                <w:rFonts w:ascii="Arial" w:hAnsi="Arial"/>
                <w:color w:val="000000"/>
                <w:sz w:val="16"/>
              </w:rPr>
            </w:pPr>
            <w:r>
              <w:rPr>
                <w:rFonts w:ascii="Arial" w:hAnsi="Arial"/>
                <w:color w:val="000000"/>
                <w:sz w:val="16"/>
              </w:rPr>
              <w:t>Notice of</w:t>
            </w:r>
          </w:p>
          <w:p>
            <w:pPr>
              <w:pStyle w:val="TableContents"/>
              <w:bidi w:val="0"/>
              <w:jc w:val="center"/>
              <w:rPr>
                <w:rFonts w:ascii="Arial" w:hAnsi="Arial"/>
                <w:color w:val="000000"/>
                <w:sz w:val="16"/>
              </w:rPr>
            </w:pPr>
            <w:r>
              <w:rPr>
                <w:rFonts w:ascii="Arial" w:hAnsi="Arial"/>
                <w:color w:val="000000"/>
                <w:sz w:val="16"/>
              </w:rPr>
              <w:t>Pattern of</w:t>
            </w:r>
          </w:p>
          <w:p>
            <w:pPr>
              <w:pStyle w:val="TableContents"/>
              <w:bidi w:val="0"/>
              <w:jc w:val="center"/>
              <w:rPr>
                <w:rFonts w:ascii="Arial" w:hAnsi="Arial"/>
                <w:color w:val="000000"/>
                <w:sz w:val="16"/>
              </w:rPr>
            </w:pPr>
            <w:r>
              <w:rPr>
                <w:rFonts w:ascii="Arial" w:hAnsi="Arial"/>
                <w:color w:val="000000"/>
                <w:sz w:val="16"/>
              </w:rPr>
              <w:t>Violations</w:t>
            </w:r>
          </w:p>
          <w:p>
            <w:pPr>
              <w:pStyle w:val="TableContents"/>
              <w:bidi w:val="0"/>
              <w:jc w:val="center"/>
              <w:rPr>
                <w:rFonts w:ascii="Arial" w:hAnsi="Arial"/>
                <w:color w:val="000000"/>
                <w:sz w:val="16"/>
              </w:rPr>
            </w:pPr>
            <w:r>
              <w:rPr>
                <w:rFonts w:ascii="Arial" w:hAnsi="Arial"/>
                <w:color w:val="000000"/>
                <w:sz w:val="16"/>
              </w:rPr>
              <w:t>Under</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104(e)</w:t>
            </w:r>
          </w:p>
          <w:p>
            <w:pPr>
              <w:pStyle w:val="TableContents"/>
              <w:bidi w:val="0"/>
              <w:spacing w:before="0" w:after="283"/>
              <w:jc w:val="center"/>
              <w:rPr>
                <w:rFonts w:ascii="Arial" w:hAnsi="Arial"/>
                <w:color w:val="000000"/>
                <w:sz w:val="16"/>
              </w:rPr>
            </w:pPr>
            <w:r>
              <w:rPr>
                <w:rFonts w:ascii="Arial" w:hAnsi="Arial"/>
                <w:color w:val="000000"/>
                <w:sz w:val="16"/>
              </w:rPr>
              <w:t>(yes/no)</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color w:val="000000"/>
                <w:sz w:val="16"/>
              </w:rPr>
            </w:pPr>
            <w:r>
              <w:rPr>
                <w:rFonts w:ascii="Arial" w:hAnsi="Arial"/>
                <w:color w:val="000000"/>
                <w:sz w:val="16"/>
              </w:rPr>
              <w:t>Received</w:t>
            </w:r>
          </w:p>
          <w:p>
            <w:pPr>
              <w:pStyle w:val="TableContents"/>
              <w:bidi w:val="0"/>
              <w:jc w:val="center"/>
              <w:rPr>
                <w:rFonts w:ascii="Arial" w:hAnsi="Arial"/>
                <w:color w:val="000000"/>
                <w:sz w:val="16"/>
              </w:rPr>
            </w:pPr>
            <w:r>
              <w:rPr>
                <w:rFonts w:ascii="Arial" w:hAnsi="Arial"/>
                <w:color w:val="000000"/>
                <w:sz w:val="16"/>
              </w:rPr>
              <w:t>Notice of</w:t>
            </w:r>
          </w:p>
          <w:p>
            <w:pPr>
              <w:pStyle w:val="TableContents"/>
              <w:bidi w:val="0"/>
              <w:jc w:val="center"/>
              <w:rPr>
                <w:rFonts w:ascii="Arial" w:hAnsi="Arial"/>
                <w:color w:val="000000"/>
                <w:sz w:val="16"/>
              </w:rPr>
            </w:pPr>
            <w:r>
              <w:rPr>
                <w:rFonts w:ascii="Arial" w:hAnsi="Arial"/>
                <w:color w:val="000000"/>
                <w:sz w:val="16"/>
              </w:rPr>
              <w:t>Potential to</w:t>
            </w:r>
          </w:p>
          <w:p>
            <w:pPr>
              <w:pStyle w:val="TableContents"/>
              <w:bidi w:val="0"/>
              <w:jc w:val="center"/>
              <w:rPr>
                <w:rFonts w:ascii="Arial" w:hAnsi="Arial"/>
                <w:color w:val="000000"/>
                <w:sz w:val="16"/>
              </w:rPr>
            </w:pPr>
            <w:r>
              <w:rPr>
                <w:rFonts w:ascii="Arial" w:hAnsi="Arial"/>
                <w:color w:val="000000"/>
                <w:sz w:val="16"/>
              </w:rPr>
              <w:t>Have</w:t>
            </w:r>
          </w:p>
          <w:p>
            <w:pPr>
              <w:pStyle w:val="TableContents"/>
              <w:bidi w:val="0"/>
              <w:jc w:val="center"/>
              <w:rPr>
                <w:rFonts w:ascii="Arial" w:hAnsi="Arial"/>
                <w:color w:val="000000"/>
                <w:sz w:val="16"/>
              </w:rPr>
            </w:pPr>
            <w:r>
              <w:rPr>
                <w:rFonts w:ascii="Arial" w:hAnsi="Arial"/>
                <w:color w:val="000000"/>
                <w:sz w:val="16"/>
              </w:rPr>
              <w:t>Pattern</w:t>
            </w:r>
          </w:p>
          <w:p>
            <w:pPr>
              <w:pStyle w:val="TableContents"/>
              <w:bidi w:val="0"/>
              <w:jc w:val="center"/>
              <w:rPr>
                <w:rFonts w:ascii="Arial" w:hAnsi="Arial"/>
                <w:color w:val="000000"/>
                <w:sz w:val="16"/>
              </w:rPr>
            </w:pPr>
            <w:r>
              <w:rPr>
                <w:rFonts w:ascii="Arial" w:hAnsi="Arial"/>
                <w:color w:val="000000"/>
                <w:sz w:val="16"/>
              </w:rPr>
              <w:t>Under</w:t>
            </w:r>
          </w:p>
          <w:p>
            <w:pPr>
              <w:pStyle w:val="TableContents"/>
              <w:bidi w:val="0"/>
              <w:jc w:val="center"/>
              <w:rPr>
                <w:rFonts w:ascii="Arial" w:hAnsi="Arial"/>
                <w:color w:val="000000"/>
                <w:sz w:val="16"/>
              </w:rPr>
            </w:pPr>
            <w:r>
              <w:rPr>
                <w:rFonts w:ascii="Arial" w:hAnsi="Arial"/>
                <w:color w:val="000000"/>
                <w:sz w:val="16"/>
              </w:rPr>
              <w:t>Section</w:t>
            </w:r>
          </w:p>
          <w:p>
            <w:pPr>
              <w:pStyle w:val="TableContents"/>
              <w:bidi w:val="0"/>
              <w:jc w:val="center"/>
              <w:rPr>
                <w:rFonts w:ascii="Arial" w:hAnsi="Arial"/>
                <w:color w:val="000000"/>
                <w:sz w:val="16"/>
              </w:rPr>
            </w:pPr>
            <w:r>
              <w:rPr>
                <w:rFonts w:ascii="Arial" w:hAnsi="Arial"/>
                <w:color w:val="000000"/>
                <w:sz w:val="16"/>
              </w:rPr>
              <w:t>104(e)</w:t>
            </w:r>
          </w:p>
          <w:p>
            <w:pPr>
              <w:pStyle w:val="TableContents"/>
              <w:bidi w:val="0"/>
              <w:spacing w:before="0" w:after="283"/>
              <w:jc w:val="center"/>
              <w:rPr>
                <w:rFonts w:ascii="Arial" w:hAnsi="Arial"/>
                <w:color w:val="000000"/>
                <w:sz w:val="16"/>
              </w:rPr>
            </w:pPr>
            <w:r>
              <w:rPr>
                <w:rFonts w:ascii="Arial" w:hAnsi="Arial"/>
                <w:color w:val="000000"/>
                <w:sz w:val="16"/>
              </w:rPr>
              <w:t>(yes/no)</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Legal</w:t>
            </w:r>
          </w:p>
          <w:p>
            <w:pPr>
              <w:pStyle w:val="TableContents"/>
              <w:bidi w:val="0"/>
              <w:jc w:val="center"/>
              <w:rPr>
                <w:rFonts w:ascii="Arial" w:hAnsi="Arial"/>
                <w:color w:val="000000"/>
                <w:sz w:val="16"/>
              </w:rPr>
            </w:pPr>
            <w:r>
              <w:rPr>
                <w:rFonts w:ascii="Arial" w:hAnsi="Arial"/>
                <w:color w:val="000000"/>
                <w:sz w:val="16"/>
              </w:rPr>
              <w:t>Actions</w:t>
            </w:r>
          </w:p>
          <w:p>
            <w:pPr>
              <w:pStyle w:val="TableContents"/>
              <w:bidi w:val="0"/>
              <w:jc w:val="center"/>
              <w:rPr>
                <w:rFonts w:ascii="Arial" w:hAnsi="Arial"/>
                <w:color w:val="000000"/>
                <w:sz w:val="16"/>
              </w:rPr>
            </w:pPr>
            <w:r>
              <w:rPr>
                <w:rFonts w:ascii="Arial" w:hAnsi="Arial"/>
                <w:color w:val="000000"/>
                <w:sz w:val="16"/>
              </w:rPr>
              <w:t>Pending as</w:t>
            </w:r>
          </w:p>
          <w:p>
            <w:pPr>
              <w:pStyle w:val="TableContents"/>
              <w:bidi w:val="0"/>
              <w:jc w:val="center"/>
              <w:rPr>
                <w:rFonts w:ascii="Arial" w:hAnsi="Arial"/>
                <w:color w:val="000000"/>
                <w:sz w:val="16"/>
              </w:rPr>
            </w:pPr>
            <w:r>
              <w:rPr>
                <w:rFonts w:ascii="Arial" w:hAnsi="Arial"/>
                <w:color w:val="000000"/>
                <w:sz w:val="16"/>
              </w:rPr>
              <w:t>of Last Day</w:t>
            </w:r>
          </w:p>
          <w:p>
            <w:pPr>
              <w:pStyle w:val="TableContents"/>
              <w:bidi w:val="0"/>
              <w:spacing w:before="0" w:after="283"/>
              <w:jc w:val="center"/>
              <w:rPr>
                <w:rFonts w:ascii="Arial" w:hAnsi="Arial"/>
                <w:color w:val="000000"/>
                <w:sz w:val="16"/>
              </w:rPr>
            </w:pPr>
            <w:r>
              <w:rPr>
                <w:rFonts w:ascii="Arial" w:hAnsi="Arial"/>
                <w:color w:val="000000"/>
                <w:sz w:val="16"/>
              </w:rPr>
              <w:t>of Period</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Legal Actions</w:t>
            </w:r>
          </w:p>
          <w:p>
            <w:pPr>
              <w:pStyle w:val="TableContents"/>
              <w:bidi w:val="0"/>
              <w:jc w:val="center"/>
              <w:rPr>
                <w:rFonts w:ascii="Arial" w:hAnsi="Arial"/>
                <w:color w:val="000000"/>
                <w:sz w:val="16"/>
              </w:rPr>
            </w:pPr>
            <w:r>
              <w:rPr>
                <w:rFonts w:ascii="Arial" w:hAnsi="Arial"/>
                <w:color w:val="000000"/>
                <w:sz w:val="16"/>
              </w:rPr>
              <w:t>Initiated</w:t>
            </w:r>
          </w:p>
          <w:p>
            <w:pPr>
              <w:pStyle w:val="TableContents"/>
              <w:bidi w:val="0"/>
              <w:spacing w:before="0" w:after="283"/>
              <w:jc w:val="center"/>
              <w:rPr>
                <w:rFonts w:ascii="Arial" w:hAnsi="Arial"/>
                <w:color w:val="000000"/>
                <w:sz w:val="16"/>
              </w:rPr>
            </w:pPr>
            <w:r>
              <w:rPr>
                <w:rFonts w:ascii="Arial" w:hAnsi="Arial"/>
                <w:color w:val="000000"/>
                <w:sz w:val="16"/>
              </w:rPr>
              <w:t>During Period</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000000"/>
                <w:sz w:val="16"/>
              </w:rPr>
            </w:pPr>
            <w:r>
              <w:rPr>
                <w:rFonts w:ascii="Arial" w:hAnsi="Arial"/>
                <w:color w:val="000000"/>
                <w:sz w:val="16"/>
              </w:rPr>
              <w:t>Legal Actions</w:t>
            </w:r>
          </w:p>
          <w:p>
            <w:pPr>
              <w:pStyle w:val="TableContents"/>
              <w:bidi w:val="0"/>
              <w:jc w:val="center"/>
              <w:rPr>
                <w:rFonts w:ascii="Arial" w:hAnsi="Arial"/>
                <w:color w:val="000000"/>
                <w:sz w:val="16"/>
              </w:rPr>
            </w:pPr>
            <w:r>
              <w:rPr>
                <w:rFonts w:ascii="Arial" w:hAnsi="Arial"/>
                <w:color w:val="000000"/>
                <w:sz w:val="16"/>
              </w:rPr>
              <w:t>Resolved</w:t>
            </w:r>
          </w:p>
          <w:p>
            <w:pPr>
              <w:pStyle w:val="TableContents"/>
              <w:bidi w:val="0"/>
              <w:jc w:val="center"/>
              <w:rPr>
                <w:rFonts w:ascii="Arial" w:hAnsi="Arial"/>
                <w:color w:val="000000"/>
                <w:sz w:val="16"/>
              </w:rPr>
            </w:pPr>
            <w:r>
              <w:rPr>
                <w:rFonts w:ascii="Arial" w:hAnsi="Arial"/>
                <w:color w:val="000000"/>
                <w:sz w:val="16"/>
              </w:rPr>
              <w:t>During</w:t>
            </w:r>
          </w:p>
          <w:p>
            <w:pPr>
              <w:pStyle w:val="TableContents"/>
              <w:bidi w:val="0"/>
              <w:spacing w:before="0" w:after="283"/>
              <w:jc w:val="center"/>
              <w:rPr>
                <w:rFonts w:ascii="Arial" w:hAnsi="Arial"/>
                <w:color w:val="000000"/>
                <w:sz w:val="16"/>
              </w:rPr>
            </w:pPr>
            <w:r>
              <w:rPr>
                <w:rFonts w:ascii="Arial" w:hAnsi="Arial"/>
                <w:color w:val="000000"/>
                <w:sz w:val="16"/>
              </w:rPr>
              <w:t>Period</w:t>
            </w:r>
          </w:p>
        </w:tc>
      </w:tr>
      <w:tr>
        <w:trPr/>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Amelia Barite Plant/1600825</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751"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841" w:type="dxa"/>
            <w:tcBorders/>
            <w:shd w:fill="FFFFFF" w:val="clear"/>
            <w:vAlign w:val="center"/>
          </w:tcPr>
          <w:p>
            <w:pPr>
              <w:pStyle w:val="TableContents"/>
              <w:bidi w:val="0"/>
              <w:spacing w:before="0" w:after="283"/>
              <w:jc w:val="center"/>
              <w:rPr>
                <w:color w:val="000000"/>
              </w:rPr>
            </w:pPr>
            <w:r>
              <w:rPr>
                <w:color w:val="000000"/>
              </w:rPr>
              <w:t>─</w:t>
            </w:r>
          </w:p>
        </w:tc>
      </w:tr>
      <w:tr>
        <w:trPr/>
        <w:tc>
          <w:tcPr>
            <w:tcW w:w="1036"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Battle Mountain Grinding Plant/2600828</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751"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841" w:type="dxa"/>
            <w:tcBorders/>
            <w:shd w:fill="FFFFFF" w:val="clear"/>
            <w:vAlign w:val="center"/>
          </w:tcPr>
          <w:p>
            <w:pPr>
              <w:pStyle w:val="TableContents"/>
              <w:bidi w:val="0"/>
              <w:spacing w:before="0" w:after="283"/>
              <w:jc w:val="center"/>
              <w:rPr>
                <w:color w:val="000000"/>
              </w:rPr>
            </w:pPr>
            <w:r>
              <w:rPr>
                <w:color w:val="000000"/>
              </w:rPr>
              <w:t>─</w:t>
            </w:r>
          </w:p>
        </w:tc>
      </w:tr>
      <w:tr>
        <w:trPr/>
        <w:tc>
          <w:tcPr>
            <w:tcW w:w="1036"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Greystone Mine/2600411</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751"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841" w:type="dxa"/>
            <w:tcBorders/>
            <w:shd w:fill="FFFFFF" w:val="clear"/>
            <w:vAlign w:val="center"/>
          </w:tcPr>
          <w:p>
            <w:pPr>
              <w:pStyle w:val="TableContents"/>
              <w:bidi w:val="0"/>
              <w:spacing w:before="0" w:after="283"/>
              <w:jc w:val="center"/>
              <w:rPr>
                <w:color w:val="000000"/>
              </w:rPr>
            </w:pPr>
            <w:r>
              <w:rPr>
                <w:color w:val="000000"/>
              </w:rPr>
              <w:t>─</w:t>
            </w:r>
          </w:p>
        </w:tc>
      </w:tr>
      <w:tr>
        <w:trPr/>
        <w:tc>
          <w:tcPr>
            <w:tcW w:w="1036"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Mountain Springs Beneficiation Plant/2601390</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color w:val="000000"/>
              </w:rPr>
            </w:pPr>
            <w:r>
              <w:rPr>
                <w:color w:val="000000"/>
              </w:rPr>
              <w:t>─</w:t>
            </w:r>
          </w:p>
        </w:tc>
        <w:tc>
          <w:tcPr>
            <w:tcW w:w="646" w:type="dxa"/>
            <w:tcBorders/>
            <w:shd w:fill="FFFFFF" w:val="clear"/>
            <w:vAlign w:val="center"/>
          </w:tcPr>
          <w:p>
            <w:pPr>
              <w:pStyle w:val="TableContents"/>
              <w:bidi w:val="0"/>
              <w:spacing w:before="0" w:after="283"/>
              <w:jc w:val="center"/>
              <w:rPr>
                <w:color w:val="000000"/>
              </w:rPr>
            </w:pPr>
            <w:r>
              <w:rPr>
                <w:color w:val="000000"/>
              </w:rPr>
              <w:t>─</w:t>
            </w:r>
          </w:p>
        </w:tc>
        <w:tc>
          <w:tcPr>
            <w:tcW w:w="1111" w:type="dxa"/>
            <w:tcBorders/>
            <w:shd w:fill="FFFFFF" w:val="clear"/>
            <w:vAlign w:val="center"/>
          </w:tcPr>
          <w:p>
            <w:pPr>
              <w:pStyle w:val="TableContents"/>
              <w:bidi w:val="0"/>
              <w:spacing w:before="0" w:after="283"/>
              <w:jc w:val="center"/>
              <w:rPr/>
            </w:pPr>
            <w:r>
              <w:rPr>
                <w:color w:val="000000"/>
              </w:rPr>
              <w:t>─</w:t>
            </w:r>
            <w:r>
              <w:rPr>
                <w:rFonts w:ascii="Arial" w:hAnsi="Arial"/>
                <w:color w:val="000000"/>
                <w:sz w:val="11"/>
              </w:rPr>
              <w:t>(2)</w:t>
            </w:r>
          </w:p>
        </w:tc>
        <w:tc>
          <w:tcPr>
            <w:tcW w:w="751" w:type="dxa"/>
            <w:tcBorders/>
            <w:shd w:fill="FFFFFF" w:val="clear"/>
            <w:vAlign w:val="center"/>
          </w:tcPr>
          <w:p>
            <w:pPr>
              <w:pStyle w:val="TableContents"/>
              <w:bidi w:val="0"/>
              <w:spacing w:before="0" w:after="283"/>
              <w:jc w:val="center"/>
              <w:rPr>
                <w:color w:val="000000"/>
              </w:rPr>
            </w:pPr>
            <w:r>
              <w:rPr>
                <w:color w:val="000000"/>
              </w:rPr>
              <w:t>─</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796" w:type="dxa"/>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N</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84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jc w:val="center"/>
        <w:rPr/>
      </w:pPr>
      <w:r>
        <w:rPr/>
        <w:t> </w:t>
      </w:r>
    </w:p>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Amounts included are the total dollar value of proposed assessments received from MSHA on or before March 31, 2024, regardless of whether the assessment has been challenged or appealed, for citations and orders occurring during the quarter ended March 31, 2024.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pStyle w:val="TextBody"/>
        <w:bidi w:val="0"/>
        <w:spacing w:before="120" w:after="283"/>
        <w:jc w:val="left"/>
        <w:rPr>
          <w:rFonts w:ascii="Arial" w:hAnsi="Arial"/>
          <w:color w:val="000000"/>
          <w:sz w:val="16"/>
        </w:rPr>
      </w:pPr>
      <w:r>
        <w:rPr>
          <w:rFonts w:ascii="Arial" w:hAnsi="Arial"/>
          <w:color w:val="000000"/>
          <w:sz w:val="16"/>
        </w:rPr>
        <w:t>(2)</w:t>
      </w:r>
    </w:p>
    <w:p>
      <w:pPr>
        <w:pStyle w:val="TextBody"/>
        <w:bidi w:val="0"/>
        <w:spacing w:before="120" w:after="283"/>
        <w:jc w:val="left"/>
        <w:rPr>
          <w:rFonts w:ascii="Arial" w:hAnsi="Arial"/>
          <w:color w:val="000000"/>
          <w:sz w:val="16"/>
        </w:rPr>
      </w:pPr>
      <w:r>
        <w:rPr>
          <w:rFonts w:ascii="Arial" w:hAnsi="Arial"/>
          <w:color w:val="000000"/>
          <w:sz w:val="16"/>
        </w:rPr>
        <w:t>As of March 31, 2024, MSHA had not yet proposed an assessment for one non-S&amp;S citation at Mountain Springs Beneficiation Plant/2601390.</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7347/000119312524085160/d735749dex2.htm" TargetMode="External"/><Relationship Id="rId4" Type="http://schemas.openxmlformats.org/officeDocument/2006/relationships/hyperlink" Target="https://www.sec.gov/Archives/edgar/data/87347/000119312516532046/d176097dex31.htm" TargetMode="External"/><Relationship Id="rId5" Type="http://schemas.openxmlformats.org/officeDocument/2006/relationships/hyperlink" Target="https://www.sec.gov/Archives/edgar/data/87347/000119312523110532/d470769dex3.htm" TargetMode="External"/><Relationship Id="rId6" Type="http://schemas.openxmlformats.org/officeDocument/2006/relationships/hyperlink" Target="https://www.sec.gov/Archives/edgar/data/87347/000119312523110532/d470769dex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11206</Words>
  <Characters>60348</Characters>
  <CharactersWithSpaces>72200</CharactersWithSpaces>
  <Paragraphs>4455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