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70"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Rowe Robert Scott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04/05/2016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260"/>
              <w:spacing w:after="0"/>
              <w:rPr>
                <w:sz w:val="20"/>
                <w:szCs w:val="20"/>
                <w:color w:val="auto"/>
              </w:rPr>
            </w:pPr>
            <w:r>
              <w:rPr>
                <w:rFonts w:ascii="Arial" w:cs="Arial" w:eastAsia="Arial" w:hAnsi="Arial"/>
                <w:sz w:val="18"/>
                <w:szCs w:val="18"/>
                <w:color w:val="0000FF"/>
              </w:rPr>
              <w:t>President, Cameron Group</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70"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40" w:type="dxa"/>
            <w:vAlign w:val="bottom"/>
          </w:tcPr>
          <w:p>
            <w:pPr>
              <w:jc w:val="right"/>
              <w:ind w:right="834"/>
              <w:spacing w:after="0"/>
              <w:rPr>
                <w:sz w:val="20"/>
                <w:szCs w:val="20"/>
                <w:color w:val="auto"/>
              </w:rPr>
            </w:pPr>
            <w:r>
              <w:rPr>
                <w:rFonts w:ascii="Arial" w:cs="Arial" w:eastAsia="Arial" w:hAnsi="Arial"/>
                <w:sz w:val="18"/>
                <w:szCs w:val="18"/>
                <w:color w:val="0000FF"/>
              </w:rPr>
              <w:t>29,308</w:t>
            </w:r>
          </w:p>
        </w:tc>
        <w:tc>
          <w:tcPr>
            <w:tcW w:w="740" w:type="dxa"/>
            <w:vAlign w:val="bottom"/>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jc w:val="right"/>
              <w:ind w:right="774"/>
              <w:spacing w:after="0"/>
              <w:rPr>
                <w:sz w:val="20"/>
                <w:szCs w:val="20"/>
                <w:color w:val="auto"/>
              </w:rPr>
            </w:pPr>
            <w:r>
              <w:rPr>
                <w:rFonts w:ascii="Arial" w:cs="Arial" w:eastAsia="Arial" w:hAnsi="Arial"/>
                <w:sz w:val="18"/>
                <w:szCs w:val="18"/>
                <w:color w:val="0000FF"/>
              </w:rPr>
              <w:t>7,587.45</w:t>
            </w:r>
          </w:p>
        </w:tc>
        <w:tc>
          <w:tcPr>
            <w:tcW w:w="740" w:type="dxa"/>
            <w:vAlign w:val="bottom"/>
          </w:tcPr>
          <w:p>
            <w:pPr>
              <w:ind w:left="52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Trust</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40" w:type="dxa"/>
            <w:vAlign w:val="bottom"/>
            <w:gridSpan w:val="6"/>
          </w:tcPr>
          <w:p>
            <w:pPr>
              <w:jc w:val="right"/>
              <w:ind w:right="67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40" w:type="dxa"/>
            <w:vAlign w:val="bottom"/>
          </w:tcPr>
          <w:p>
            <w:pPr>
              <w:spacing w:after="0"/>
              <w:rPr>
                <w:sz w:val="12"/>
                <w:szCs w:val="12"/>
                <w:color w:val="auto"/>
              </w:rPr>
            </w:pPr>
          </w:p>
        </w:tc>
        <w:tc>
          <w:tcPr>
            <w:tcW w:w="7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11/06/2012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11/06/2016</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2,329</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42.92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10/20/2013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10/20/2017</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2,134</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46.83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11/16/2014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11/16/2021</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1,783</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56.05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10/18/2015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10/18/2022</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1,631</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61.31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10/17/2016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10/17/2023</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1,151</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71.06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10/17/2016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10/17/2023</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93"/>
              </w:rPr>
              <w:t>256</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71.06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10/16/2017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10/16/2024</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93"/>
              </w:rPr>
              <w:t>772</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62.97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10/16/2017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10/16/2024</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93"/>
              </w:rPr>
              <w:t>816</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62.97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10/14/2018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10/14/2025</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93"/>
              </w:rPr>
              <w:t>214</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72.16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10/17/2023</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7"/>
              </w:rPr>
              <w:t>23,401</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71.06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10/16/2024</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7"/>
              </w:rPr>
              <w:t>30,778</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62.97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10/16/2024</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7"/>
              </w:rPr>
              <w:t>30,644</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62.97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180" w:type="dxa"/>
            <w:vAlign w:val="bottom"/>
            <w:gridSpan w:val="2"/>
          </w:tcPr>
          <w:p>
            <w:pPr>
              <w:jc w:val="center"/>
              <w:ind w:left="214"/>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10/14/2025</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107,556</w:t>
            </w:r>
          </w:p>
        </w:tc>
        <w:tc>
          <w:tcPr>
            <w:tcW w:w="880" w:type="dxa"/>
            <w:vAlign w:val="bottom"/>
          </w:tcPr>
          <w:p>
            <w:pPr>
              <w:jc w:val="right"/>
              <w:ind w:right="158"/>
              <w:spacing w:after="0"/>
              <w:rPr>
                <w:sz w:val="20"/>
                <w:szCs w:val="20"/>
                <w:color w:val="auto"/>
              </w:rPr>
            </w:pPr>
            <w:r>
              <w:rPr>
                <w:rFonts w:ascii="Arial" w:cs="Arial" w:eastAsia="Arial" w:hAnsi="Arial"/>
                <w:sz w:val="18"/>
                <w:szCs w:val="18"/>
                <w:color w:val="0000FF"/>
              </w:rPr>
              <w:t>72.16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Tax W/h Right</w:t>
            </w:r>
          </w:p>
        </w:tc>
        <w:tc>
          <w:tcPr>
            <w:tcW w:w="2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20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6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180" w:type="dxa"/>
            <w:vAlign w:val="bottom"/>
            <w:gridSpan w:val="2"/>
            <w:vMerge w:val="restart"/>
          </w:tcPr>
          <w:p>
            <w:pPr>
              <w:jc w:val="center"/>
              <w:ind w:left="214"/>
              <w:spacing w:after="0"/>
              <w:rPr>
                <w:sz w:val="20"/>
                <w:szCs w:val="20"/>
                <w:color w:val="auto"/>
              </w:rPr>
            </w:pPr>
            <w:r>
              <w:rPr>
                <w:rFonts w:ascii="Arial" w:cs="Arial" w:eastAsia="Arial" w:hAnsi="Arial"/>
                <w:sz w:val="14"/>
                <w:szCs w:val="14"/>
                <w:color w:val="0000FF"/>
                <w:w w:val="88"/>
              </w:rPr>
              <w:t>11/16/2014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11/16/2021</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7"/>
              </w:rPr>
              <w:t>17,171</w:t>
            </w:r>
          </w:p>
        </w:tc>
        <w:tc>
          <w:tcPr>
            <w:tcW w:w="880" w:type="dxa"/>
            <w:vAlign w:val="bottom"/>
            <w:vMerge w:val="restart"/>
          </w:tcPr>
          <w:p>
            <w:pPr>
              <w:jc w:val="right"/>
              <w:ind w:right="158"/>
              <w:spacing w:after="0"/>
              <w:rPr>
                <w:sz w:val="20"/>
                <w:szCs w:val="20"/>
                <w:color w:val="auto"/>
              </w:rPr>
            </w:pPr>
            <w:r>
              <w:rPr>
                <w:rFonts w:ascii="Arial" w:cs="Arial" w:eastAsia="Arial" w:hAnsi="Arial"/>
                <w:sz w:val="18"/>
                <w:szCs w:val="18"/>
                <w:color w:val="0000FF"/>
              </w:rPr>
              <w:t>56.05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1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6332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6332855"/>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54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ind w:left="60"/>
              <w:spacing w:after="0"/>
              <w:rPr>
                <w:sz w:val="20"/>
                <w:szCs w:val="20"/>
                <w:color w:val="auto"/>
              </w:rPr>
            </w:pPr>
            <w:r>
              <w:rPr>
                <w:rFonts w:ascii="Arial" w:cs="Arial" w:eastAsia="Arial" w:hAnsi="Arial"/>
                <w:sz w:val="18"/>
                <w:szCs w:val="18"/>
                <w:color w:val="0000FF"/>
                <w:w w:val="97"/>
              </w:rPr>
              <w:t>Nq Stock Option (Right to Buy) W/ Tandem</w:t>
            </w:r>
          </w:p>
        </w:tc>
        <w:tc>
          <w:tcPr>
            <w:tcW w:w="980" w:type="dxa"/>
            <w:vAlign w:val="bottom"/>
            <w:vMerge w:val="restart"/>
          </w:tcPr>
          <w:p>
            <w:pPr>
              <w:jc w:val="center"/>
              <w:ind w:left="61"/>
              <w:spacing w:after="0"/>
              <w:rPr>
                <w:sz w:val="20"/>
                <w:szCs w:val="20"/>
                <w:color w:val="auto"/>
              </w:rPr>
            </w:pPr>
            <w:r>
              <w:rPr>
                <w:rFonts w:ascii="Arial" w:cs="Arial" w:eastAsia="Arial" w:hAnsi="Arial"/>
                <w:sz w:val="14"/>
                <w:szCs w:val="14"/>
                <w:color w:val="0000FF"/>
                <w:w w:val="88"/>
              </w:rPr>
              <w:t>10/18/2015</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0000FF"/>
                <w:w w:val="88"/>
              </w:rPr>
              <w:t>10/18/2022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21,692</w:t>
            </w:r>
          </w:p>
        </w:tc>
        <w:tc>
          <w:tcPr>
            <w:tcW w:w="900" w:type="dxa"/>
            <w:vAlign w:val="bottom"/>
            <w:vMerge w:val="restart"/>
          </w:tcPr>
          <w:p>
            <w:pPr>
              <w:jc w:val="center"/>
              <w:ind w:right="75"/>
              <w:spacing w:after="0"/>
              <w:rPr>
                <w:sz w:val="20"/>
                <w:szCs w:val="20"/>
                <w:color w:val="auto"/>
              </w:rPr>
            </w:pPr>
            <w:r>
              <w:rPr>
                <w:rFonts w:ascii="Arial" w:cs="Arial" w:eastAsia="Arial" w:hAnsi="Arial"/>
                <w:sz w:val="18"/>
                <w:szCs w:val="18"/>
                <w:color w:val="0000FF"/>
                <w:w w:val="88"/>
              </w:rPr>
              <w:t>61.31</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14"/>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9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tcPr>
          <w:p>
            <w:pPr>
              <w:ind w:left="60"/>
              <w:spacing w:after="0"/>
              <w:rPr>
                <w:sz w:val="20"/>
                <w:szCs w:val="20"/>
                <w:color w:val="auto"/>
              </w:rPr>
            </w:pPr>
            <w:r>
              <w:rPr>
                <w:rFonts w:ascii="Arial" w:cs="Arial" w:eastAsia="Arial" w:hAnsi="Arial"/>
                <w:sz w:val="18"/>
                <w:szCs w:val="18"/>
                <w:color w:val="0000FF"/>
                <w:w w:val="97"/>
              </w:rPr>
              <w:t>Nq Stock Option (Right to Buy) W/ Tandem</w:t>
            </w:r>
          </w:p>
        </w:tc>
        <w:tc>
          <w:tcPr>
            <w:tcW w:w="980" w:type="dxa"/>
            <w:vAlign w:val="bottom"/>
            <w:vMerge w:val="restart"/>
          </w:tcPr>
          <w:p>
            <w:pPr>
              <w:jc w:val="center"/>
              <w:ind w:left="61"/>
              <w:spacing w:after="0"/>
              <w:rPr>
                <w:sz w:val="20"/>
                <w:szCs w:val="20"/>
                <w:color w:val="auto"/>
              </w:rPr>
            </w:pPr>
            <w:r>
              <w:rPr>
                <w:rFonts w:ascii="Arial" w:cs="Arial" w:eastAsia="Arial" w:hAnsi="Arial"/>
                <w:sz w:val="14"/>
                <w:szCs w:val="14"/>
                <w:color w:val="0000FF"/>
                <w:w w:val="88"/>
              </w:rPr>
              <w:t>10/14/2016</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0000FF"/>
                <w:w w:val="88"/>
              </w:rPr>
              <w:t>10/14/2025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19,957</w:t>
            </w:r>
          </w:p>
        </w:tc>
        <w:tc>
          <w:tcPr>
            <w:tcW w:w="900" w:type="dxa"/>
            <w:vAlign w:val="bottom"/>
            <w:vMerge w:val="restart"/>
          </w:tcPr>
          <w:p>
            <w:pPr>
              <w:jc w:val="center"/>
              <w:ind w:right="75"/>
              <w:spacing w:after="0"/>
              <w:rPr>
                <w:sz w:val="20"/>
                <w:szCs w:val="20"/>
                <w:color w:val="auto"/>
              </w:rPr>
            </w:pPr>
            <w:r>
              <w:rPr>
                <w:rFonts w:ascii="Arial" w:cs="Arial" w:eastAsia="Arial" w:hAnsi="Arial"/>
                <w:sz w:val="18"/>
                <w:szCs w:val="18"/>
                <w:color w:val="0000FF"/>
                <w:w w:val="88"/>
              </w:rPr>
              <w:t>72.16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14"/>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9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tcPr>
          <w:p>
            <w:pPr>
              <w:ind w:left="60"/>
              <w:spacing w:after="0"/>
              <w:rPr>
                <w:sz w:val="20"/>
                <w:szCs w:val="20"/>
                <w:color w:val="auto"/>
              </w:rPr>
            </w:pPr>
            <w:r>
              <w:rPr>
                <w:rFonts w:ascii="Arial" w:cs="Arial" w:eastAsia="Arial" w:hAnsi="Arial"/>
                <w:sz w:val="18"/>
                <w:szCs w:val="18"/>
                <w:color w:val="0000FF"/>
                <w:w w:val="97"/>
              </w:rPr>
              <w:t>Nq Stock Option (Right to Buy) W/ Tandem</w:t>
            </w:r>
          </w:p>
        </w:tc>
        <w:tc>
          <w:tcPr>
            <w:tcW w:w="980" w:type="dxa"/>
            <w:vAlign w:val="bottom"/>
            <w:vMerge w:val="restart"/>
          </w:tcPr>
          <w:p>
            <w:pPr>
              <w:jc w:val="center"/>
              <w:ind w:left="61"/>
              <w:spacing w:after="0"/>
              <w:rPr>
                <w:sz w:val="20"/>
                <w:szCs w:val="20"/>
                <w:color w:val="auto"/>
              </w:rPr>
            </w:pPr>
            <w:r>
              <w:rPr>
                <w:rFonts w:ascii="Arial" w:cs="Arial" w:eastAsia="Arial" w:hAnsi="Arial"/>
                <w:sz w:val="14"/>
                <w:szCs w:val="14"/>
                <w:color w:val="0000FF"/>
                <w:w w:val="88"/>
              </w:rPr>
              <w:t>10/17/2016</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0000FF"/>
                <w:w w:val="88"/>
              </w:rPr>
              <w:t>10/17/2023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4,557</w:t>
            </w:r>
          </w:p>
        </w:tc>
        <w:tc>
          <w:tcPr>
            <w:tcW w:w="900" w:type="dxa"/>
            <w:vAlign w:val="bottom"/>
            <w:vMerge w:val="restart"/>
          </w:tcPr>
          <w:p>
            <w:pPr>
              <w:jc w:val="center"/>
              <w:ind w:right="75"/>
              <w:spacing w:after="0"/>
              <w:rPr>
                <w:sz w:val="20"/>
                <w:szCs w:val="20"/>
                <w:color w:val="auto"/>
              </w:rPr>
            </w:pPr>
            <w:r>
              <w:rPr>
                <w:rFonts w:ascii="Arial" w:cs="Arial" w:eastAsia="Arial" w:hAnsi="Arial"/>
                <w:sz w:val="18"/>
                <w:szCs w:val="18"/>
                <w:color w:val="0000FF"/>
                <w:w w:val="88"/>
              </w:rPr>
              <w:t>71.06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14"/>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9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tcPr>
          <w:p>
            <w:pPr>
              <w:ind w:left="60"/>
              <w:spacing w:after="0"/>
              <w:rPr>
                <w:sz w:val="20"/>
                <w:szCs w:val="20"/>
                <w:color w:val="auto"/>
              </w:rPr>
            </w:pPr>
            <w:r>
              <w:rPr>
                <w:rFonts w:ascii="Arial" w:cs="Arial" w:eastAsia="Arial" w:hAnsi="Arial"/>
                <w:sz w:val="18"/>
                <w:szCs w:val="18"/>
                <w:color w:val="0000FF"/>
                <w:w w:val="97"/>
              </w:rPr>
              <w:t>Nq Stock Option (Right to Buy) W/ Tandem</w:t>
            </w:r>
          </w:p>
        </w:tc>
        <w:tc>
          <w:tcPr>
            <w:tcW w:w="980" w:type="dxa"/>
            <w:vAlign w:val="bottom"/>
            <w:vMerge w:val="restart"/>
          </w:tcPr>
          <w:p>
            <w:pPr>
              <w:jc w:val="center"/>
              <w:ind w:left="61"/>
              <w:spacing w:after="0"/>
              <w:rPr>
                <w:sz w:val="20"/>
                <w:szCs w:val="20"/>
                <w:color w:val="auto"/>
              </w:rPr>
            </w:pPr>
            <w:r>
              <w:rPr>
                <w:rFonts w:ascii="Arial" w:cs="Arial" w:eastAsia="Arial" w:hAnsi="Arial"/>
                <w:sz w:val="14"/>
                <w:szCs w:val="14"/>
                <w:color w:val="0000FF"/>
                <w:w w:val="88"/>
              </w:rPr>
              <w:t>10/14/2018</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0000FF"/>
                <w:w w:val="88"/>
              </w:rPr>
              <w:t>10/14/2025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1,171</w:t>
            </w:r>
          </w:p>
        </w:tc>
        <w:tc>
          <w:tcPr>
            <w:tcW w:w="900" w:type="dxa"/>
            <w:vAlign w:val="bottom"/>
            <w:vMerge w:val="restart"/>
          </w:tcPr>
          <w:p>
            <w:pPr>
              <w:jc w:val="center"/>
              <w:ind w:right="75"/>
              <w:spacing w:after="0"/>
              <w:rPr>
                <w:sz w:val="20"/>
                <w:szCs w:val="20"/>
                <w:color w:val="auto"/>
              </w:rPr>
            </w:pPr>
            <w:r>
              <w:rPr>
                <w:rFonts w:ascii="Arial" w:cs="Arial" w:eastAsia="Arial" w:hAnsi="Arial"/>
                <w:sz w:val="18"/>
                <w:szCs w:val="18"/>
                <w:color w:val="0000FF"/>
                <w:w w:val="88"/>
              </w:rPr>
              <w:t>72.16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14"/>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9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rPr>
              <w:t>(5)</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17,148</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rPr>
              <w:t>(7)</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4,636</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rPr>
              <w:t>(8)</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7,914</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rPr>
              <w:t>(9)</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93"/>
              </w:rPr>
              <w:t>616</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w w:val="91"/>
              </w:rPr>
              <w:t>(10)</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6,161</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w w:val="91"/>
              </w:rPr>
              <w:t>(11)</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1,219</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w w:val="91"/>
              </w:rPr>
              <w:t>(12)</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10,214</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w w:val="91"/>
              </w:rPr>
              <w:t>(13)</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93"/>
              </w:rPr>
              <w:t>658</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w w:val="91"/>
              </w:rPr>
              <w:t>(14)</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55,756</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80" w:type="dxa"/>
            <w:vAlign w:val="bottom"/>
            <w:vMerge w:val="restart"/>
          </w:tcPr>
          <w:p>
            <w:pPr>
              <w:jc w:val="center"/>
              <w:ind w:left="61"/>
              <w:spacing w:after="0"/>
              <w:rPr>
                <w:sz w:val="20"/>
                <w:szCs w:val="20"/>
                <w:color w:val="auto"/>
              </w:rPr>
            </w:pPr>
            <w:r>
              <w:rPr>
                <w:rFonts w:ascii="Arial" w:cs="Arial" w:eastAsia="Arial" w:hAnsi="Arial"/>
                <w:sz w:val="11"/>
                <w:szCs w:val="11"/>
                <w:color w:val="008000"/>
                <w:w w:val="91"/>
              </w:rPr>
              <w:t>(15)</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4,337</w:t>
            </w:r>
          </w:p>
        </w:tc>
        <w:tc>
          <w:tcPr>
            <w:tcW w:w="900" w:type="dxa"/>
            <w:vAlign w:val="bottom"/>
            <w:vMerge w:val="restart"/>
          </w:tcPr>
          <w:p>
            <w:pPr>
              <w:jc w:val="center"/>
              <w:ind w:right="55"/>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as follows: 9,789 on 10/17/2014; 9,788 on 10/17/2015 and 3,824 on 10/17/2016.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as follows: 11,363 on 10/16/2016 and 19,415 on 10/16/2017.</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as follows: 21,004 on 10/16/2015 and 9,640 on 10/16/2016.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as follows: 23,010 on 10/14/2016; 42,966 on 10/14/2017 and 41,580 on 10/14/2018.</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January 1, 2015 and vests 100% on December 31, 2017.</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right to receive, at settlement, one (1) share of common stock.</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October 16, 2014 and vests 43% on January 1, 2017 and 57% on January 1, 2018.</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January 1, 2014 and vests 100% on December 31, 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October 5, 2015 and vests 100% on January 1, 2017.</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October 5, 2015 and vests 100% on December 31, 2017.</w:t>
      </w:r>
    </w:p>
    <w:p>
      <w:pPr>
        <w:spacing w:after="0" w:line="41" w:lineRule="exact"/>
        <w:rPr>
          <w:rFonts w:ascii="Arial" w:cs="Arial" w:eastAsia="Arial" w:hAnsi="Arial"/>
          <w:sz w:val="14"/>
          <w:szCs w:val="14"/>
          <w:color w:val="008000"/>
        </w:rPr>
      </w:pPr>
    </w:p>
    <w:p>
      <w:pPr>
        <w:ind w:left="220" w:hanging="191"/>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 award was granted October 17, 2013 and vests 100% on January 1, 2017.</w:t>
      </w:r>
    </w:p>
    <w:p>
      <w:pPr>
        <w:spacing w:after="0" w:line="64" w:lineRule="exact"/>
        <w:rPr>
          <w:rFonts w:ascii="Arial" w:cs="Arial" w:eastAsia="Arial" w:hAnsi="Arial"/>
          <w:sz w:val="12"/>
          <w:szCs w:val="12"/>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October 14, 2015 and vests 100% on October 14, 2016.</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October 16, 2014 and vests 100% on January 1, 2017.</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October 14, 2015 and vests 20% on October 14, 2016; 40% on October 14, 2017 and 40% on October 14, 2018.</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October 5, 2015 and vests 43% on January 1, 2017 and 57% on January 1, 2018.</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/s/Lynda Quagliara Attorney-</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04/13/2016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in-Fact for Robert Scott Rowe</w:t>
            </w: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80"/>
          </w:cols>
          <w:pgMar w:left="260" w:top="188" w:right="259" w:bottom="1440" w:gutter="0" w:footer="0" w:header="0"/>
        </w:sectPr>
      </w:pPr>
    </w:p>
    <w:bookmarkStart w:id="2" w:name="page3"/>
    <w:bookmarkEnd w:id="2"/>
    <w:p>
      <w:pPr>
        <w:ind w:right="3039"/>
        <w:spacing w:after="0" w:line="270"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corporation,(the "Company"), does hereby appoint each of Saul R. Laureles and Lynda M.Quagliara, or either of them acting singly,his/her true and lawful attorney-in-fact with full power of substitution,to (a) prepare, execute in the undersigned's name and on the undersigned's behalf, and submit to the U.S. Securities and Exchange Commission (the"SEC") a Form ID, including amendments thereto, and any other documents necessary or appropriate to obtain codes, passwords and passphrases enabling the undersigned to make electronic filings with the SEC of reports required by Section 16(a) of the</w:t>
      </w:r>
    </w:p>
    <w:p>
      <w:pPr>
        <w:spacing w:after="0" w:line="18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Securities Exchange Act of 1934, as amended (the"Exchange Act"), or any rule or regulation of the SEC; and (b) execute for and on behalf of the undersigned, in the undersigned's capacity as a director or officer, or both,of the Company, Forms 3, 4 and 5 in accordance with Section 16 of the Exchange Act,as well as Forms 144, and complete and execute any amendment or amendments thereto,</w:t>
      </w:r>
    </w:p>
    <w:p>
      <w:pPr>
        <w:spacing w:after="0" w:line="7" w:lineRule="exact"/>
        <w:rPr>
          <w:sz w:val="20"/>
          <w:szCs w:val="20"/>
          <w:color w:val="auto"/>
        </w:rPr>
      </w:pPr>
    </w:p>
    <w:p>
      <w:pPr>
        <w:jc w:val="both"/>
        <w:ind w:right="3479"/>
        <w:spacing w:after="0" w:line="268" w:lineRule="auto"/>
        <w:rPr>
          <w:sz w:val="20"/>
          <w:szCs w:val="20"/>
          <w:color w:val="auto"/>
        </w:rPr>
      </w:pPr>
      <w:r>
        <w:rPr>
          <w:rFonts w:ascii="Courier New" w:cs="Courier New" w:eastAsia="Courier New" w:hAnsi="Courier New"/>
          <w:sz w:val="16"/>
          <w:szCs w:val="16"/>
          <w:color w:val="auto"/>
        </w:rPr>
        <w:t>and to file the same or cause the same to be filed with the SEC. This Power of Attorney supersedes any and all prior and existing powers of attorney signed by the undersigned with respect to the subject matter hereof, and shall remain in full force and effect until the undersigned is no longer required to file</w:t>
      </w:r>
    </w:p>
    <w:p>
      <w:pPr>
        <w:spacing w:after="0" w:line="234" w:lineRule="auto"/>
        <w:rPr>
          <w:sz w:val="20"/>
          <w:szCs w:val="20"/>
          <w:color w:val="auto"/>
        </w:rPr>
      </w:pPr>
      <w:r>
        <w:rPr>
          <w:rFonts w:ascii="Courier New" w:cs="Courier New" w:eastAsia="Courier New" w:hAnsi="Courier New"/>
          <w:sz w:val="18"/>
          <w:szCs w:val="18"/>
          <w:color w:val="auto"/>
        </w:rPr>
        <w:t>Forms 3, 4, 5 or 144 with respect to the undersigned's holdings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transactions in securities issued by the Company,unless earlier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revoked by the undersigned in a signed writing delivered to the</w:t>
      </w:r>
    </w:p>
    <w:p>
      <w:pPr>
        <w:spacing w:after="0" w:line="238" w:lineRule="auto"/>
        <w:rPr>
          <w:sz w:val="20"/>
          <w:szCs w:val="20"/>
          <w:color w:val="auto"/>
        </w:rPr>
      </w:pPr>
      <w:r>
        <w:rPr>
          <w:rFonts w:ascii="Courier New" w:cs="Courier New" w:eastAsia="Courier New" w:hAnsi="Courier New"/>
          <w:sz w:val="18"/>
          <w:szCs w:val="18"/>
          <w:color w:val="auto"/>
        </w:rPr>
        <w:t>foregoing attorneys-in-fact.</w:t>
      </w:r>
    </w:p>
    <w:p>
      <w:pPr>
        <w:spacing w:after="0"/>
        <w:rPr>
          <w:sz w:val="20"/>
          <w:szCs w:val="20"/>
          <w:color w:val="auto"/>
        </w:rPr>
      </w:pPr>
      <w:r>
        <w:rPr>
          <w:rFonts w:ascii="Courier New" w:cs="Courier New" w:eastAsia="Courier New" w:hAnsi="Courier New"/>
          <w:sz w:val="18"/>
          <w:szCs w:val="18"/>
          <w:color w:val="auto"/>
        </w:rPr>
        <w:t>Robert Scott Rowe</w:t>
      </w:r>
    </w:p>
    <w:p>
      <w:pPr>
        <w:spacing w:after="0" w:line="237" w:lineRule="auto"/>
        <w:rPr>
          <w:sz w:val="20"/>
          <w:szCs w:val="20"/>
          <w:color w:val="auto"/>
        </w:rPr>
      </w:pPr>
      <w:r>
        <w:rPr>
          <w:rFonts w:ascii="Courier New" w:cs="Courier New" w:eastAsia="Courier New" w:hAnsi="Courier New"/>
          <w:sz w:val="18"/>
          <w:szCs w:val="18"/>
          <w:color w:val="auto"/>
        </w:rPr>
        <w:t>April 9, 2016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08962"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2019-12-23T20:56:09Z</dcterms:created>
  <dcterms:modified xsi:type="dcterms:W3CDTF">2019-12-23T20:56:09Z</dcterms:modified>
</cp:coreProperties>
</file>