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44217dsd.htm"/>
      <w:bookmarkStart w:id="1" w:name="ksd944217dsd"/>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 xml:space="preserve">FORM SD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24"/>
        </w:rPr>
      </w:pPr>
      <w:r>
        <w:rPr>
          <w:rFonts w:ascii="ARIAL" w:hAnsi="ARIAL"/>
          <w:b/>
          <w:sz w:val="24"/>
        </w:rPr>
        <w:t xml:space="preserve">SPECIALIZED DISCLOSURE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48"/>
        </w:rPr>
      </w:pPr>
      <w:r>
        <w:rPr>
          <w:rFonts w:ascii="ARIAL" w:hAnsi="ARIAL"/>
          <w:b/>
          <w:sz w:val="48"/>
        </w:rPr>
        <w:t xml:space="preserve">SCHLUMBERGER N.V. </w:t>
      </w:r>
    </w:p>
    <w:p>
      <w:pPr>
        <w:pStyle w:val="TextBody"/>
        <w:bidi w:val="0"/>
        <w:spacing w:before="0" w:after="0"/>
        <w:jc w:val="center"/>
        <w:rPr>
          <w:rFonts w:ascii="ARIAL" w:hAnsi="ARIAL"/>
          <w:b/>
          <w:sz w:val="48"/>
        </w:rPr>
      </w:pPr>
      <w:r>
        <w:rPr>
          <w:rFonts w:ascii="ARIAL" w:hAnsi="ARIAL"/>
          <w:b/>
          <w:sz w:val="48"/>
        </w:rPr>
        <w:t xml:space="preserve">(SCHLUMBERGER LIMITED) </w:t>
      </w:r>
    </w:p>
    <w:p>
      <w:pPr>
        <w:pStyle w:val="TextBody"/>
        <w:bidi w:val="0"/>
        <w:spacing w:before="0" w:after="0"/>
        <w:jc w:val="center"/>
        <w:rPr>
          <w:rFonts w:ascii="ARIAL" w:hAnsi="ARIAL"/>
          <w:b/>
          <w:sz w:val="20"/>
        </w:rPr>
      </w:pPr>
      <w:r>
        <w:rPr>
          <w:rFonts w:ascii="ARIAL" w:hAnsi="ARIAL"/>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Curaçao</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1-4601</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52-0684746</w:t>
            </w:r>
          </w:p>
        </w:tc>
      </w:tr>
      <w:tr>
        <w:trPr/>
        <w:tc>
          <w:tcPr>
            <w:tcW w:w="3470" w:type="dxa"/>
            <w:tcBorders/>
          </w:tcPr>
          <w:p>
            <w:pPr>
              <w:pStyle w:val="TableContents"/>
              <w:bidi w:val="0"/>
              <w:spacing w:before="0" w:after="283"/>
              <w:jc w:val="center"/>
              <w:rPr>
                <w:b/>
              </w:rPr>
            </w:pPr>
            <w:r>
              <w:rPr>
                <w:b/>
              </w:rPr>
              <w:t>(State or other jurisdiction of</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(Commission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r>
          </w:p>
        </w:tc>
      </w:tr>
      <w:tr>
        <w:trPr/>
        <w:tc>
          <w:tcPr>
            <w:tcW w:w="3470" w:type="dxa"/>
            <w:tcBorders/>
          </w:tcPr>
          <w:p>
            <w:pPr>
              <w:pStyle w:val="TableContents"/>
              <w:bidi w:val="0"/>
              <w:spacing w:before="0" w:after="283"/>
              <w:jc w:val="center"/>
              <w:rPr>
                <w:b/>
              </w:rPr>
            </w:pPr>
            <w:r>
              <w:rPr>
                <w:b/>
              </w:rP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42 rue Saint-Dominique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Paris, France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75007</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5599 San Felipe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Houston, Texas, U.S.A.</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77056</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62 Buckingham Gate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London, United Kingdom</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SW1E 6AJ</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Parkstraat 83</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The Hague, The Netherlands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2514 JG</w:t>
            </w:r>
          </w:p>
        </w:tc>
      </w:tr>
      <w:tr>
        <w:trPr/>
        <w:tc>
          <w:tcPr>
            <w:tcW w:w="5154" w:type="dxa"/>
            <w:tcBorders/>
          </w:tcPr>
          <w:p>
            <w:pPr>
              <w:pStyle w:val="TableContents"/>
              <w:bidi w:val="0"/>
              <w:spacing w:before="0" w:after="283"/>
              <w:jc w:val="center"/>
              <w:rPr>
                <w:b/>
              </w:rPr>
            </w:pPr>
            <w:r>
              <w:rPr>
                <w:b/>
              </w:rPr>
              <w:t>(Addresses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Codes)</w:t>
            </w:r>
          </w:p>
        </w:tc>
      </w:tr>
    </w:tbl>
    <w:p>
      <w:pPr>
        <w:pStyle w:val="TextBody"/>
        <w:bidi w:val="0"/>
        <w:spacing w:before="240" w:after="0"/>
        <w:jc w:val="center"/>
        <w:rPr>
          <w:rFonts w:ascii="ARIAL" w:hAnsi="ARIAL"/>
          <w:b/>
          <w:sz w:val="20"/>
        </w:rPr>
      </w:pPr>
      <w:r>
        <w:rPr>
          <w:rFonts w:ascii="ARIAL" w:hAnsi="ARIAL"/>
          <w:b/>
          <w:sz w:val="20"/>
        </w:rPr>
        <w:t xml:space="preserve">Dianne B. Ralston </w:t>
      </w:r>
    </w:p>
    <w:p>
      <w:pPr>
        <w:pStyle w:val="TextBody"/>
        <w:bidi w:val="0"/>
        <w:spacing w:before="0" w:after="0"/>
        <w:jc w:val="center"/>
        <w:rPr>
          <w:rFonts w:ascii="ARIAL" w:hAnsi="ARIAL"/>
          <w:b/>
          <w:sz w:val="20"/>
        </w:rPr>
      </w:pPr>
      <w:r>
        <w:rPr>
          <w:rFonts w:ascii="ARIAL" w:hAnsi="ARIAL"/>
          <w:b/>
          <w:sz w:val="20"/>
        </w:rPr>
        <w:t xml:space="preserve">Chief Legal Officer and Secretary </w:t>
      </w:r>
    </w:p>
    <w:p>
      <w:pPr>
        <w:pStyle w:val="TextBody"/>
        <w:bidi w:val="0"/>
        <w:spacing w:before="0" w:after="0"/>
        <w:jc w:val="center"/>
        <w:rPr>
          <w:rFonts w:ascii="ARIAL" w:hAnsi="ARIAL"/>
          <w:b/>
          <w:sz w:val="20"/>
        </w:rPr>
      </w:pPr>
      <w:r>
        <w:rPr>
          <w:rFonts w:ascii="ARIAL" w:hAnsi="ARIAL"/>
          <w:b/>
          <w:sz w:val="20"/>
        </w:rPr>
        <w:t xml:space="preserve">(713) 513-2000 </w:t>
      </w:r>
    </w:p>
    <w:p>
      <w:pPr>
        <w:pStyle w:val="TextBody"/>
        <w:bidi w:val="0"/>
        <w:spacing w:before="0" w:after="0"/>
        <w:jc w:val="center"/>
        <w:rPr>
          <w:rFonts w:ascii="ARIAL" w:hAnsi="ARIAL"/>
          <w:b/>
          <w:sz w:val="16"/>
        </w:rPr>
      </w:pPr>
      <w:r>
        <w:rPr>
          <w:rFonts w:ascii="ARIAL" w:hAnsi="ARIAL"/>
          <w:b/>
          <w:sz w:val="16"/>
        </w:rPr>
        <w:t xml:space="preserve">(Name and telephone number, including area code, of the person to contact in connection with this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20"/>
        </w:rPr>
      </w:pPr>
      <w:r>
        <w:rPr>
          <w:rFonts w:ascii="ARIAL" w:hAnsi="ARIAL"/>
          <w:sz w:val="20"/>
        </w:rPr>
        <w:t xml:space="preserve">Check the appropriate box to indicate the rule pursuant to which this form is being filed, and provide the period to which the information in this form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Rule 13p-1 under the Securities Exchange Act (17 CFR 240.13p-1) for the reporting period from January 1, 2024 to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Rule 13q-1 under the Securities Exchange Act (17 CFR 240.13q-1) for the fiscal year ended December 31, 2024.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Section 1  Conflict Minerals Disclosure </w:t>
      </w:r>
    </w:p>
    <w:p>
      <w:pPr>
        <w:pStyle w:val="TextBody"/>
        <w:bidi w:val="0"/>
        <w:spacing w:before="120" w:after="0"/>
        <w:jc w:val="left"/>
        <w:rPr>
          <w:rFonts w:ascii="ARIAL" w:hAnsi="ARIAL"/>
          <w:b/>
          <w:sz w:val="20"/>
        </w:rPr>
      </w:pPr>
      <w:r>
        <w:rPr>
          <w:rFonts w:ascii="ARIAL" w:hAnsi="ARIAL"/>
          <w:b/>
          <w:sz w:val="20"/>
        </w:rPr>
        <w:t xml:space="preserve">Items 1.01 and 1.02 Conflict Minerals Disclosure and Report; Exhibit </w:t>
      </w:r>
    </w:p>
    <w:p>
      <w:pPr>
        <w:pStyle w:val="TextBody"/>
        <w:bidi w:val="0"/>
        <w:spacing w:before="120" w:after="0"/>
        <w:jc w:val="left"/>
        <w:rPr>
          <w:rFonts w:ascii="ARIAL" w:hAnsi="ARIAL"/>
          <w:sz w:val="20"/>
        </w:rPr>
      </w:pPr>
      <w:r>
        <w:rPr>
          <w:rFonts w:ascii="ARIAL" w:hAnsi="ARIAL"/>
          <w:sz w:val="20"/>
        </w:rPr>
        <w:t xml:space="preserve">Not applicable. </w:t>
      </w:r>
    </w:p>
    <w:p>
      <w:pPr>
        <w:pStyle w:val="TextBody"/>
        <w:bidi w:val="0"/>
        <w:spacing w:before="360" w:after="0"/>
        <w:jc w:val="left"/>
        <w:rPr>
          <w:rFonts w:ascii="ARIAL" w:hAnsi="ARIAL"/>
          <w:b/>
          <w:sz w:val="20"/>
        </w:rPr>
      </w:pPr>
      <w:r>
        <w:rPr>
          <w:rFonts w:ascii="ARIAL" w:hAnsi="ARIAL"/>
          <w:b/>
          <w:sz w:val="20"/>
        </w:rPr>
        <w:t xml:space="preserve">Section 2  Resource Extraction Issuer Disclosure </w:t>
      </w:r>
    </w:p>
    <w:p>
      <w:pPr>
        <w:pStyle w:val="TextBody"/>
        <w:bidi w:val="0"/>
        <w:spacing w:before="120" w:after="0"/>
        <w:jc w:val="left"/>
        <w:rPr>
          <w:rFonts w:ascii="ARIAL" w:hAnsi="ARIAL"/>
          <w:b/>
          <w:sz w:val="20"/>
        </w:rPr>
      </w:pPr>
      <w:r>
        <w:rPr>
          <w:rFonts w:ascii="ARIAL" w:hAnsi="ARIAL"/>
          <w:b/>
          <w:sz w:val="20"/>
        </w:rPr>
        <w:t xml:space="preserve">Item 2.01 Resource Extraction Issuer Disclosure and Report </w:t>
      </w:r>
    </w:p>
    <w:p>
      <w:pPr>
        <w:pStyle w:val="TextBody"/>
        <w:bidi w:val="0"/>
        <w:spacing w:before="120" w:after="0"/>
        <w:jc w:val="left"/>
        <w:rPr>
          <w:rFonts w:ascii="ARIAL" w:hAnsi="ARIAL"/>
          <w:i/>
          <w:sz w:val="20"/>
        </w:rPr>
      </w:pPr>
      <w:r>
        <w:rPr>
          <w:rFonts w:ascii="ARIAL" w:hAnsi="ARIAL"/>
          <w:i/>
          <w:sz w:val="20"/>
        </w:rPr>
        <w:t xml:space="preserve">Disclosure of Payments by Resource Extraction Issuer </w:t>
      </w:r>
    </w:p>
    <w:p>
      <w:pPr>
        <w:pStyle w:val="TextBody"/>
        <w:bidi w:val="0"/>
        <w:spacing w:before="120" w:after="0"/>
        <w:jc w:val="left"/>
        <w:rPr>
          <w:rFonts w:ascii="ARIAL" w:hAnsi="ARIAL"/>
          <w:sz w:val="20"/>
        </w:rPr>
      </w:pPr>
      <w:r>
        <w:rPr>
          <w:rFonts w:ascii="ARIAL" w:hAnsi="ARIAL"/>
          <w:sz w:val="20"/>
        </w:rPr>
        <w:t xml:space="preserve">The payment disclosure required by Form SD is included as Exhibit 2.01 to this Form SD. </w:t>
      </w:r>
    </w:p>
    <w:p>
      <w:pPr>
        <w:pStyle w:val="TextBody"/>
        <w:bidi w:val="0"/>
        <w:spacing w:before="360" w:after="0"/>
        <w:jc w:val="left"/>
        <w:rPr>
          <w:rFonts w:ascii="ARIAL" w:hAnsi="ARIAL"/>
          <w:b/>
          <w:sz w:val="20"/>
        </w:rPr>
      </w:pPr>
      <w:r>
        <w:rPr>
          <w:rFonts w:ascii="ARIAL" w:hAnsi="ARIAL"/>
          <w:b/>
          <w:sz w:val="20"/>
        </w:rPr>
        <w:t xml:space="preserve">Section 3  Exhibits </w:t>
      </w:r>
    </w:p>
    <w:p>
      <w:pPr>
        <w:pStyle w:val="TextBody"/>
        <w:bidi w:val="0"/>
        <w:spacing w:before="120" w:after="0"/>
        <w:jc w:val="left"/>
        <w:rPr>
          <w:rFonts w:ascii="ARIAL" w:hAnsi="ARIAL"/>
          <w:b/>
          <w:sz w:val="20"/>
        </w:rPr>
      </w:pPr>
      <w:r>
        <w:rPr>
          <w:rFonts w:ascii="ARIAL" w:hAnsi="ARIAL"/>
          <w:b/>
          <w:sz w:val="20"/>
        </w:rPr>
        <w:t xml:space="preserve">Item 3.01 Exhibits </w:t>
      </w:r>
    </w:p>
    <w:p>
      <w:pPr>
        <w:pStyle w:val="TextBody"/>
        <w:bidi w:val="0"/>
        <w:spacing w:before="120" w:after="0"/>
        <w:jc w:val="left"/>
        <w:rPr>
          <w:rFonts w:ascii="ARIAL" w:hAnsi="ARIAL"/>
          <w:sz w:val="20"/>
        </w:rPr>
      </w:pPr>
      <w:r>
        <w:rPr>
          <w:rFonts w:ascii="ARIAL" w:hAnsi="ARIAL"/>
          <w:sz w:val="20"/>
        </w:rPr>
        <w:t xml:space="preserve">Exhibit 2.01  SLB Reports on Payments to Governments for the year ended December 31, 2024. </w:t>
      </w:r>
    </w:p>
    <w:p>
      <w:pPr>
        <w:pStyle w:val="TextBody"/>
        <w:bidi w:val="0"/>
        <w:spacing w:before="240" w:after="0"/>
        <w:jc w:val="center"/>
        <w:rPr>
          <w:rFonts w:ascii="Times New Roman" w:hAnsi="Times New Roman"/>
          <w:sz w:val="20"/>
        </w:rPr>
      </w:pPr>
      <w:r>
        <w:rPr>
          <w:rFonts w:ascii="Times New Roman" w:hAnsi="Times New Roman"/>
          <w:sz w:val="20"/>
        </w:rPr>
        <w:t xml:space="preserve">* * * * *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duly authorized undersigned.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b/>
              </w:rPr>
            </w:pPr>
            <w:r>
              <w:rPr>
                <w:b/>
              </w:rPr>
              <w:t>SCHLUMBERGER LIMITED</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u w:val="single"/>
              </w:rPr>
            </w:pPr>
            <w:r>
              <w:rPr>
                <w:u w:val="single"/>
              </w:rPr>
              <w:t>/s/ Dianne Ralston            </w:t>
            </w:r>
          </w:p>
        </w:tc>
      </w:tr>
      <w:tr>
        <w:trPr/>
        <w:tc>
          <w:tcPr>
            <w:tcW w:w="10205" w:type="dxa"/>
            <w:tcBorders/>
          </w:tcPr>
          <w:p>
            <w:pPr>
              <w:pStyle w:val="TableContents"/>
              <w:bidi w:val="0"/>
              <w:spacing w:before="0" w:after="0"/>
              <w:jc w:val="left"/>
              <w:rPr>
                <w:rFonts w:ascii="ARIAL" w:hAnsi="ARIAL"/>
                <w:sz w:val="20"/>
              </w:rPr>
            </w:pPr>
            <w:r>
              <w:rPr>
                <w:rFonts w:ascii="ARIAL" w:hAnsi="ARIAL"/>
                <w:sz w:val="20"/>
              </w:rPr>
              <w:t>Dianne Ralston</w:t>
            </w:r>
          </w:p>
        </w:tc>
      </w:tr>
      <w:tr>
        <w:trPr/>
        <w:tc>
          <w:tcPr>
            <w:tcW w:w="10205" w:type="dxa"/>
            <w:tcBorders/>
          </w:tcPr>
          <w:p>
            <w:pPr>
              <w:pStyle w:val="TableContents"/>
              <w:bidi w:val="0"/>
              <w:spacing w:before="0" w:after="0"/>
              <w:jc w:val="left"/>
              <w:rPr>
                <w:rFonts w:ascii="ARIAL" w:hAnsi="ARIAL"/>
                <w:sz w:val="20"/>
              </w:rPr>
            </w:pPr>
            <w:r>
              <w:rPr>
                <w:rFonts w:ascii="ARIAL" w:hAnsi="ARIAL"/>
                <w:sz w:val="20"/>
              </w:rPr>
              <w:t>Chief Legal Officer and Secretary</w:t>
            </w:r>
          </w:p>
        </w:tc>
      </w:tr>
    </w:tbl>
    <w:p>
      <w:pPr>
        <w:pStyle w:val="TextBody"/>
        <w:bidi w:val="0"/>
        <w:spacing w:before="240" w:after="0"/>
        <w:jc w:val="left"/>
        <w:rPr>
          <w:rFonts w:ascii="ARIAL" w:hAnsi="ARIAL"/>
          <w:sz w:val="20"/>
        </w:rPr>
      </w:pPr>
      <w:r>
        <w:rPr>
          <w:rFonts w:ascii="ARIAL" w:hAnsi="ARIAL"/>
          <w:sz w:val="20"/>
        </w:rPr>
        <w:t xml:space="preserve">Date: August 18, 2025 </w:t>
      </w:r>
    </w:p>
    <w:p>
      <w:pPr>
        <w:pStyle w:val="TextBody"/>
        <w:bidi w:val="0"/>
        <w:spacing w:before="0" w:after="0"/>
        <w:jc w:val="right"/>
        <w:rPr>
          <w:rFonts w:ascii="ARIAL" w:hAnsi="ARIAL"/>
          <w:b/>
          <w:spacing w:val="0"/>
          <w:sz w:val="20"/>
        </w:rPr>
      </w:pPr>
      <w:bookmarkStart w:id="2" w:name="d944217dex201.htm"/>
      <w:bookmarkStart w:id="3" w:name="ksd944217dex201"/>
      <w:bookmarkEnd w:id="2"/>
      <w:bookmarkEnd w:id="3"/>
      <w:r>
        <w:rPr>
          <w:rFonts w:ascii="ARIAL" w:hAnsi="ARIAL"/>
          <w:b/>
          <w:spacing w:val="0"/>
          <w:sz w:val="20"/>
        </w:rPr>
        <w:t xml:space="preserve">Exhibit 2.01 </w:t>
      </w:r>
      <w:r>
        <w:br w:type="page"/>
      </w:r>
    </w:p>
    <w:p>
      <w:pPr>
        <w:pStyle w:val="TextBody"/>
        <w:bidi w:val="0"/>
        <w:spacing w:before="240" w:after="0"/>
        <w:jc w:val="left"/>
        <w:rPr>
          <w:rFonts w:ascii="ARIAL" w:hAnsi="ARIAL"/>
          <w:sz w:val="20"/>
        </w:rPr>
      </w:pPr>
      <w:r>
        <w:rPr>
          <w:rFonts w:ascii="ARIAL" w:hAnsi="ARIAL"/>
          <w:sz w:val="20"/>
        </w:rPr>
        <w:t xml:space="preserve">This report presents payments made by Schlumberger Limited and its consolidated subsidiaries (“SLB”) to the United States (U.S.) federal government and </w:t>
      </w:r>
    </w:p>
    <w:p>
      <w:pPr>
        <w:pStyle w:val="TextBody"/>
        <w:bidi w:val="0"/>
        <w:spacing w:before="240" w:after="0"/>
        <w:jc w:val="left"/>
        <w:rPr>
          <w:rFonts w:ascii="ARIAL" w:hAnsi="ARIAL"/>
          <w:spacing w:val="0"/>
          <w:sz w:val="20"/>
        </w:rPr>
      </w:pPr>
      <w:r>
        <w:rPr>
          <w:rFonts w:ascii="ARIAL" w:hAnsi="ARIAL"/>
          <w:spacing w:val="0"/>
          <w:sz w:val="20"/>
        </w:rPr>
        <w:t>non-U.S.</w:t>
      </w:r>
    </w:p>
    <w:p>
      <w:pPr>
        <w:pStyle w:val="TextBody"/>
        <w:bidi w:val="0"/>
        <w:spacing w:before="240" w:after="0"/>
        <w:jc w:val="left"/>
        <w:rPr>
          <w:rFonts w:ascii="ARIAL" w:hAnsi="ARIAL"/>
          <w:sz w:val="20"/>
        </w:rPr>
      </w:pPr>
      <w:r>
        <w:rPr>
          <w:rFonts w:ascii="ARIAL" w:hAnsi="ARIAL"/>
          <w:sz w:val="20"/>
        </w:rPr>
        <w:t xml:space="preserve">governments for the purpose of the commercial development of minerals during the fiscal year ended December 31, 2024. </w:t>
      </w:r>
    </w:p>
    <w:p>
      <w:pPr>
        <w:pStyle w:val="TextBody"/>
        <w:bidi w:val="0"/>
        <w:spacing w:before="360" w:after="0"/>
        <w:jc w:val="left"/>
        <w:rPr>
          <w:rFonts w:ascii="ARIAL" w:hAnsi="ARIAL"/>
          <w:b/>
          <w:spacing w:val="0"/>
          <w:sz w:val="20"/>
        </w:rPr>
      </w:pPr>
      <w:r>
        <w:rPr>
          <w:rFonts w:ascii="ARIAL" w:hAnsi="ARIAL"/>
          <w:b/>
          <w:spacing w:val="0"/>
          <w:sz w:val="20"/>
        </w:rPr>
        <w:t xml:space="preserve">Payments </w:t>
      </w:r>
    </w:p>
    <w:p>
      <w:pPr>
        <w:pStyle w:val="TextBody"/>
        <w:bidi w:val="0"/>
        <w:spacing w:before="120" w:after="0"/>
        <w:jc w:val="left"/>
        <w:rPr>
          <w:rFonts w:ascii="ARIAL" w:hAnsi="ARIAL"/>
          <w:sz w:val="20"/>
        </w:rPr>
      </w:pPr>
      <w:r>
        <w:rPr>
          <w:rFonts w:ascii="ARIAL" w:hAnsi="ARIAL"/>
          <w:sz w:val="20"/>
        </w:rPr>
        <w:t xml:space="preserve">Payments, net of refunds, are disclosed on a cash basis according to the year during which the payment was made (rather than on an accrual basis). Only payments of the types defined within Section 13(g) of the Securities Exchange Act of 1934, as amended, and Rule </w:t>
      </w:r>
    </w:p>
    <w:p>
      <w:pPr>
        <w:pStyle w:val="TextBody"/>
        <w:bidi w:val="0"/>
        <w:spacing w:before="120" w:after="0"/>
        <w:jc w:val="left"/>
        <w:rPr>
          <w:rFonts w:ascii="ARIAL" w:hAnsi="ARIAL"/>
          <w:spacing w:val="0"/>
          <w:sz w:val="20"/>
        </w:rPr>
      </w:pPr>
      <w:r>
        <w:rPr>
          <w:rFonts w:ascii="ARIAL" w:hAnsi="ARIAL"/>
          <w:spacing w:val="0"/>
          <w:sz w:val="20"/>
        </w:rPr>
        <w:t>13q-1</w:t>
      </w:r>
    </w:p>
    <w:p>
      <w:pPr>
        <w:pStyle w:val="TextBody"/>
        <w:bidi w:val="0"/>
        <w:spacing w:before="120" w:after="0"/>
        <w:jc w:val="left"/>
        <w:rPr>
          <w:rFonts w:ascii="ARIAL" w:hAnsi="ARIAL"/>
          <w:sz w:val="20"/>
        </w:rPr>
      </w:pPr>
      <w:r>
        <w:rPr>
          <w:rFonts w:ascii="ARIAL" w:hAnsi="ARIAL"/>
          <w:sz w:val="20"/>
        </w:rPr>
        <w:t xml:space="preserve">and Form SD promulgated thereunder (collectively, the “Rules”) and for which SLB made payments during the reporting period are presented. </w:t>
      </w:r>
    </w:p>
    <w:p>
      <w:pPr>
        <w:pStyle w:val="TextBody"/>
        <w:bidi w:val="0"/>
        <w:spacing w:before="240" w:after="0"/>
        <w:jc w:val="left"/>
        <w:rPr>
          <w:rFonts w:ascii="ARIAL" w:hAnsi="ARIAL"/>
          <w:spacing w:val="0"/>
          <w:sz w:val="20"/>
        </w:rPr>
      </w:pPr>
      <w:r>
        <w:rPr>
          <w:rFonts w:ascii="ARIAL" w:hAnsi="ARIAL"/>
          <w:spacing w:val="0"/>
          <w:sz w:val="20"/>
        </w:rPr>
        <w:t xml:space="preserve">All payments were made by the Well Construction Division, except for payments relating to the Clayton Valley project, for which payments were made by SLB New Energy, which is included in the “Other” category in SLB’s segment reporting. </w:t>
      </w:r>
    </w:p>
    <w:p>
      <w:pPr>
        <w:pStyle w:val="TextBody"/>
        <w:bidi w:val="0"/>
        <w:spacing w:before="360" w:after="0"/>
        <w:jc w:val="left"/>
        <w:rPr>
          <w:rFonts w:ascii="ARIAL" w:hAnsi="ARIAL"/>
          <w:b/>
          <w:spacing w:val="0"/>
          <w:sz w:val="20"/>
        </w:rPr>
      </w:pPr>
      <w:r>
        <w:rPr>
          <w:rFonts w:ascii="ARIAL" w:hAnsi="ARIAL"/>
          <w:b/>
          <w:spacing w:val="0"/>
          <w:sz w:val="20"/>
        </w:rPr>
        <w:t xml:space="preserve">Currency </w:t>
      </w:r>
    </w:p>
    <w:p>
      <w:pPr>
        <w:pStyle w:val="TextBody"/>
        <w:bidi w:val="0"/>
        <w:spacing w:before="120" w:after="0"/>
        <w:jc w:val="left"/>
        <w:rPr>
          <w:rFonts w:ascii="ARIAL" w:hAnsi="ARIAL"/>
          <w:spacing w:val="0"/>
          <w:sz w:val="20"/>
        </w:rPr>
      </w:pPr>
      <w:r>
        <w:rPr>
          <w:rFonts w:ascii="ARIAL" w:hAnsi="ARIAL"/>
          <w:spacing w:val="0"/>
          <w:sz w:val="20"/>
        </w:rPr>
        <w:t xml:space="preserve">All payments are reported in U.S. dollars (USD), which is SLB’s reporting currency. Payments made in other currencies have been converted into USD by converting the payment at the exchange rate existing at the time the payment was made. </w:t>
      </w:r>
    </w:p>
    <w:p>
      <w:pPr>
        <w:pStyle w:val="TextBody"/>
        <w:bidi w:val="0"/>
        <w:spacing w:before="360" w:after="0"/>
        <w:jc w:val="left"/>
        <w:rPr>
          <w:rFonts w:ascii="ARIAL" w:hAnsi="ARIAL"/>
          <w:b/>
          <w:spacing w:val="0"/>
          <w:sz w:val="20"/>
        </w:rPr>
      </w:pPr>
      <w:r>
        <w:rPr>
          <w:rFonts w:ascii="ARIAL" w:hAnsi="ARIAL"/>
          <w:b/>
          <w:spacing w:val="0"/>
          <w:sz w:val="20"/>
        </w:rPr>
        <w:t xml:space="preserve">Projects </w:t>
      </w:r>
    </w:p>
    <w:p>
      <w:pPr>
        <w:pStyle w:val="TextBody"/>
        <w:bidi w:val="0"/>
        <w:spacing w:before="120" w:after="0"/>
        <w:jc w:val="left"/>
        <w:rPr>
          <w:rFonts w:ascii="ARIAL" w:hAnsi="ARIAL"/>
          <w:spacing w:val="0"/>
          <w:sz w:val="20"/>
        </w:rPr>
      </w:pPr>
      <w:r>
        <w:rPr>
          <w:rFonts w:ascii="ARIAL" w:hAnsi="ARIAL"/>
          <w:spacing w:val="0"/>
          <w:sz w:val="20"/>
        </w:rPr>
        <w:t xml:space="preserve">Payments are grouped into projects, which, in accordance with the Rules, are defined as the combination of the (i) country and major political subnational jurisdiction where the commercial development of the resource is taking place, (ii) type of resource being commercially developed, and (iii) method of extraction. The resources being extracted are all minerals. Countries and political subnational jurisdictions are designated by ISO 3166 country and subdivision codes.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 w:hAnsi="ARIAL"/>
          <w:b/>
          <w:spacing w:val="0"/>
          <w:sz w:val="20"/>
        </w:rPr>
      </w:pPr>
      <w:r>
        <w:rPr>
          <w:rFonts w:ascii="ARIAL" w:hAnsi="ARIAL"/>
          <w:b/>
          <w:spacing w:val="0"/>
          <w:sz w:val="20"/>
        </w:rPr>
        <w:t xml:space="preserve">Year ended December 31, 2024 (USD in thousands) </w:t>
      </w:r>
    </w:p>
    <w:p>
      <w:pPr>
        <w:pStyle w:val="TextBody"/>
        <w:bidi w:val="0"/>
        <w:spacing w:before="240" w:after="0"/>
        <w:jc w:val="left"/>
        <w:rPr>
          <w:rFonts w:ascii="ARIAL" w:hAnsi="ARIAL"/>
          <w:b/>
          <w:spacing w:val="0"/>
          <w:sz w:val="20"/>
        </w:rPr>
      </w:pPr>
      <w:r>
        <w:rPr>
          <w:rFonts w:ascii="ARIAL" w:hAnsi="ARIAL"/>
          <w:b/>
          <w:spacing w:val="0"/>
          <w:sz w:val="20"/>
        </w:rPr>
        <w:t xml:space="preserve">Bolivia, Cochabamba and Oruro </w:t>
      </w:r>
    </w:p>
    <w:p>
      <w:pPr>
        <w:pStyle w:val="TextBody"/>
        <w:bidi w:val="0"/>
        <w:spacing w:before="120" w:after="0"/>
        <w:jc w:val="left"/>
        <w:rPr>
          <w:rFonts w:ascii="ARIAL" w:hAnsi="ARIAL"/>
          <w:b/>
          <w:spacing w:val="0"/>
          <w:sz w:val="20"/>
          <w:u w:val="single"/>
        </w:rPr>
      </w:pPr>
      <w:r>
        <w:rPr>
          <w:rFonts w:ascii="ARIAL" w:hAnsi="ARIAL"/>
          <w:b/>
          <w:spacing w:val="0"/>
          <w:sz w:val="20"/>
          <w:u w:val="single"/>
        </w:rPr>
        <w:t>Project Report</w:t>
      </w:r>
    </w:p>
    <w:p>
      <w:pPr>
        <w:pStyle w:val="TextBody"/>
        <w:bidi w:val="0"/>
        <w:spacing w:before="0" w:after="0"/>
        <w:jc w:val="left"/>
        <w:rPr>
          <w:spacing w:val="0"/>
        </w:rPr>
      </w:pPr>
      <w:r>
        <w:rPr>
          <w:spacing w:val="0"/>
        </w:rPr>
        <w:t> </w:t>
      </w:r>
    </w:p>
    <w:tbl>
      <w:tblPr>
        <w:tblW w:w="11560" w:type="dxa"/>
        <w:jc w:val="left"/>
        <w:tblInd w:w="0" w:type="dxa"/>
        <w:tblLayout w:type="fixed"/>
        <w:tblCellMar>
          <w:top w:w="0" w:type="dxa"/>
          <w:left w:w="0" w:type="dxa"/>
          <w:bottom w:w="0" w:type="dxa"/>
          <w:right w:w="0" w:type="dxa"/>
        </w:tblCellMar>
      </w:tblPr>
      <w:tblGrid>
        <w:gridCol w:w="770"/>
        <w:gridCol w:w="120"/>
        <w:gridCol w:w="97"/>
        <w:gridCol w:w="523"/>
        <w:gridCol w:w="60"/>
        <w:gridCol w:w="120"/>
        <w:gridCol w:w="91"/>
        <w:gridCol w:w="859"/>
        <w:gridCol w:w="60"/>
        <w:gridCol w:w="120"/>
        <w:gridCol w:w="74"/>
        <w:gridCol w:w="396"/>
        <w:gridCol w:w="60"/>
        <w:gridCol w:w="120"/>
        <w:gridCol w:w="388"/>
        <w:gridCol w:w="907"/>
        <w:gridCol w:w="60"/>
        <w:gridCol w:w="120"/>
        <w:gridCol w:w="258"/>
        <w:gridCol w:w="602"/>
        <w:gridCol w:w="60"/>
        <w:gridCol w:w="120"/>
        <w:gridCol w:w="312"/>
        <w:gridCol w:w="728"/>
        <w:gridCol w:w="60"/>
        <w:gridCol w:w="120"/>
        <w:gridCol w:w="447"/>
        <w:gridCol w:w="1043"/>
        <w:gridCol w:w="60"/>
        <w:gridCol w:w="120"/>
        <w:gridCol w:w="523"/>
        <w:gridCol w:w="1222"/>
        <w:gridCol w:w="60"/>
        <w:gridCol w:w="120"/>
        <w:gridCol w:w="140"/>
        <w:gridCol w:w="560"/>
        <w:gridCol w:w="60"/>
      </w:tblGrid>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rPr>
            </w:pPr>
            <w:r>
              <w:rPr>
                <w:b/>
              </w:rPr>
              <w:t>Taxes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rPr>
            </w:pPr>
            <w:r>
              <w:rPr>
                <w:b/>
              </w:rPr>
              <w:t>Royalties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0" w:type="dxa"/>
            <w:gridSpan w:val="2"/>
            <w:tcBorders/>
            <w:vAlign w:val="center"/>
          </w:tcPr>
          <w:p>
            <w:pPr>
              <w:pStyle w:val="TableContents"/>
              <w:bidi w:val="0"/>
              <w:spacing w:before="0" w:after="0"/>
              <w:jc w:val="center"/>
              <w:rPr>
                <w:b/>
              </w:rPr>
            </w:pPr>
            <w:r>
              <w:rPr>
                <w:b/>
              </w:rPr>
              <w:t>Fees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b/>
              </w:rPr>
            </w:pPr>
            <w:r>
              <w:rPr>
                <w:b/>
              </w:rPr>
              <w:t>Production</w:t>
              <w:br/>
              <w:t>Entitlements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rPr>
            </w:pPr>
            <w:r>
              <w:rPr>
                <w:b/>
              </w:rPr>
              <w:t>Bonuses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rPr>
            </w:pPr>
            <w:r>
              <w:rPr>
                <w:b/>
              </w:rPr>
              <w:t>Dividends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rPr>
            </w:pPr>
            <w:r>
              <w:rPr>
                <w:b/>
              </w:rPr>
              <w:t>Payments for</w:t>
              <w:br/>
              <w:t>Infrastructure</w:t>
              <w:br/>
              <w:t>Improvements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vAlign w:val="center"/>
          </w:tcPr>
          <w:p>
            <w:pPr>
              <w:pStyle w:val="TableContents"/>
              <w:bidi w:val="0"/>
              <w:spacing w:before="0" w:after="0"/>
              <w:jc w:val="center"/>
              <w:rPr>
                <w:b/>
              </w:rPr>
            </w:pPr>
            <w:r>
              <w:rPr>
                <w:b/>
              </w:rPr>
              <w:t>Community and</w:t>
              <w:br/>
              <w:t>Social</w:t>
              <w:br/>
              <w:t>Responsibility</w:t>
              <w:br/>
              <w:t>Payments</w:t>
              <w:br/>
              <w:t>Required by</w:t>
              <w:br/>
              <w:t>Law or Contract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rPr>
            </w:pPr>
            <w:r>
              <w:rPr>
                <w:b/>
              </w:rPr>
              <w:t>Total</w:t>
            </w:r>
          </w:p>
        </w:tc>
        <w:tc>
          <w:tcPr>
            <w:tcW w:w="60"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ARIAL" w:hAnsi="ARIAL"/>
                <w:spacing w:val="0"/>
                <w:sz w:val="20"/>
                <w:shd w:fill="CCEEFF" w:val="clear"/>
              </w:rPr>
            </w:pPr>
            <w:r>
              <w:rPr>
                <w:rFonts w:ascii="ARIAL" w:hAnsi="ARIAL"/>
                <w:spacing w:val="0"/>
                <w:sz w:val="20"/>
                <w:shd w:fill="CCEEFF" w:val="clear"/>
              </w:rPr>
              <w:t>Barolivia (Barite)</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191.3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right"/>
              <w:rPr/>
            </w:pPr>
            <w:r>
              <w:rPr/>
              <w:t>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right"/>
              <w:rPr>
                <w:b/>
              </w:rPr>
            </w:pPr>
            <w:r>
              <w:rPr>
                <w:b/>
              </w:rPr>
              <w:t>203.4</w:t>
            </w:r>
          </w:p>
        </w:tc>
        <w:tc>
          <w:tcPr>
            <w:tcW w:w="60" w:type="dxa"/>
            <w:tcBorders/>
            <w:shd w:fill="CCEEFF" w:val="clear"/>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rFonts w:ascii="ARIAL" w:hAnsi="ARIAL"/>
                <w:b/>
                <w:spacing w:val="0"/>
                <w:sz w:val="20"/>
              </w:rPr>
            </w:pPr>
            <w:r>
              <w:rPr>
                <w:rFonts w:ascii="ARIAL" w:hAnsi="ARIAL"/>
                <w:b/>
                <w:spacing w:val="0"/>
                <w:sz w:val="20"/>
              </w:rPr>
              <w:t>2024 Total</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0"/>
              <w:jc w:val="right"/>
              <w:rPr>
                <w:b/>
              </w:rPr>
            </w:pPr>
            <w:r>
              <w:rPr>
                <w:b/>
              </w:rPr>
              <w:t>6.2</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0"/>
              <w:jc w:val="right"/>
              <w:rPr>
                <w:b/>
              </w:rPr>
            </w:pPr>
            <w:r>
              <w:rPr>
                <w:b/>
              </w:rPr>
              <w:t>191.3</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pPr>
            <w:r>
              <w:rPr/>
              <w:t> </w:t>
            </w:r>
          </w:p>
        </w:tc>
        <w:tc>
          <w:tcPr>
            <w:tcW w:w="396" w:type="dxa"/>
            <w:tcBorders/>
            <w:vAlign w:val="center"/>
          </w:tcPr>
          <w:p>
            <w:pPr>
              <w:pStyle w:val="TableContents"/>
              <w:bidi w:val="0"/>
              <w:spacing w:before="0" w:after="0"/>
              <w:jc w:val="right"/>
              <w:rPr>
                <w:b/>
              </w:rPr>
            </w:pPr>
            <w:r>
              <w:rPr>
                <w:b/>
              </w:rPr>
              <w:t>5.9</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pPr>
            <w:r>
              <w:rPr/>
              <w:t> </w:t>
            </w:r>
          </w:p>
        </w:tc>
        <w:tc>
          <w:tcPr>
            <w:tcW w:w="602"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pPr>
            <w:r>
              <w:rPr/>
              <w:t> </w:t>
            </w:r>
          </w:p>
        </w:tc>
        <w:tc>
          <w:tcPr>
            <w:tcW w:w="728"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pPr>
            <w:r>
              <w:rPr/>
              <w:t> </w:t>
            </w:r>
          </w:p>
        </w:tc>
        <w:tc>
          <w:tcPr>
            <w:tcW w:w="1043"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0"/>
              <w:jc w:val="left"/>
              <w:rPr/>
            </w:pPr>
            <w:r>
              <w:rPr/>
              <w:t> </w:t>
            </w:r>
          </w:p>
        </w:tc>
        <w:tc>
          <w:tcPr>
            <w:tcW w:w="1222"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560" w:type="dxa"/>
            <w:tcBorders/>
            <w:vAlign w:val="center"/>
          </w:tcPr>
          <w:p>
            <w:pPr>
              <w:pStyle w:val="TableContents"/>
              <w:bidi w:val="0"/>
              <w:spacing w:before="0" w:after="0"/>
              <w:jc w:val="right"/>
              <w:rPr>
                <w:b/>
              </w:rPr>
            </w:pPr>
            <w:r>
              <w:rPr>
                <w:b/>
              </w:rPr>
              <w:t>203.4</w:t>
            </w:r>
          </w:p>
        </w:tc>
        <w:tc>
          <w:tcPr>
            <w:tcW w:w="60" w:type="dxa"/>
            <w:tcBorders/>
            <w:vAlign w:val="center"/>
          </w:tcPr>
          <w:p>
            <w:pPr>
              <w:pStyle w:val="TableContents"/>
              <w:bidi w:val="0"/>
              <w:spacing w:before="0" w:after="0"/>
              <w:jc w:val="left"/>
              <w:rPr/>
            </w:pPr>
            <w:r>
              <w:rPr/>
              <w:t> </w:t>
            </w:r>
          </w:p>
        </w:tc>
      </w:tr>
      <w:tr>
        <w:trPr/>
        <w:tc>
          <w:tcPr>
            <w:tcW w:w="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b/>
          <w:spacing w:val="0"/>
          <w:sz w:val="20"/>
          <w:u w:val="single"/>
        </w:rPr>
      </w:pPr>
      <w:r>
        <w:rPr>
          <w:rFonts w:ascii="ARIAL" w:hAnsi="ARIAL"/>
          <w:b/>
          <w:spacing w:val="0"/>
          <w:sz w:val="20"/>
          <w:u w:val="single"/>
        </w:rPr>
        <w:t>Government Report</w:t>
      </w:r>
    </w:p>
    <w:p>
      <w:pPr>
        <w:pStyle w:val="TextBody"/>
        <w:bidi w:val="0"/>
        <w:spacing w:before="0" w:after="0"/>
        <w:jc w:val="left"/>
        <w:rPr>
          <w:spacing w:val="0"/>
        </w:rPr>
      </w:pPr>
      <w:r>
        <w:rPr>
          <w:spacing w:val="0"/>
        </w:rPr>
        <w:t> </w:t>
      </w:r>
    </w:p>
    <w:tbl>
      <w:tblPr>
        <w:tblW w:w="12460" w:type="dxa"/>
        <w:jc w:val="left"/>
        <w:tblInd w:w="0" w:type="dxa"/>
        <w:tblLayout w:type="fixed"/>
        <w:tblCellMar>
          <w:top w:w="0" w:type="dxa"/>
          <w:left w:w="0" w:type="dxa"/>
          <w:bottom w:w="0" w:type="dxa"/>
          <w:right w:w="0" w:type="dxa"/>
        </w:tblCellMar>
      </w:tblPr>
      <w:tblGrid>
        <w:gridCol w:w="1670"/>
        <w:gridCol w:w="120"/>
        <w:gridCol w:w="97"/>
        <w:gridCol w:w="523"/>
        <w:gridCol w:w="60"/>
        <w:gridCol w:w="120"/>
        <w:gridCol w:w="91"/>
        <w:gridCol w:w="859"/>
        <w:gridCol w:w="60"/>
        <w:gridCol w:w="120"/>
        <w:gridCol w:w="74"/>
        <w:gridCol w:w="396"/>
        <w:gridCol w:w="60"/>
        <w:gridCol w:w="120"/>
        <w:gridCol w:w="388"/>
        <w:gridCol w:w="907"/>
        <w:gridCol w:w="60"/>
        <w:gridCol w:w="120"/>
        <w:gridCol w:w="258"/>
        <w:gridCol w:w="602"/>
        <w:gridCol w:w="60"/>
        <w:gridCol w:w="120"/>
        <w:gridCol w:w="312"/>
        <w:gridCol w:w="728"/>
        <w:gridCol w:w="60"/>
        <w:gridCol w:w="120"/>
        <w:gridCol w:w="447"/>
        <w:gridCol w:w="1043"/>
        <w:gridCol w:w="60"/>
        <w:gridCol w:w="120"/>
        <w:gridCol w:w="523"/>
        <w:gridCol w:w="1222"/>
        <w:gridCol w:w="60"/>
        <w:gridCol w:w="120"/>
        <w:gridCol w:w="140"/>
        <w:gridCol w:w="560"/>
        <w:gridCol w:w="60"/>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rPr>
            </w:pPr>
            <w:r>
              <w:rPr>
                <w:b/>
              </w:rPr>
              <w:t>Taxes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rPr>
            </w:pPr>
            <w:r>
              <w:rPr>
                <w:b/>
              </w:rPr>
              <w:t>Royalties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0" w:type="dxa"/>
            <w:gridSpan w:val="2"/>
            <w:tcBorders/>
            <w:vAlign w:val="center"/>
          </w:tcPr>
          <w:p>
            <w:pPr>
              <w:pStyle w:val="TableContents"/>
              <w:bidi w:val="0"/>
              <w:spacing w:before="0" w:after="0"/>
              <w:jc w:val="center"/>
              <w:rPr>
                <w:b/>
              </w:rPr>
            </w:pPr>
            <w:r>
              <w:rPr>
                <w:b/>
              </w:rPr>
              <w:t>Fees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b/>
              </w:rPr>
            </w:pPr>
            <w:r>
              <w:rPr>
                <w:b/>
              </w:rPr>
              <w:t>Production</w:t>
              <w:br/>
              <w:t>Entitlements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rPr>
            </w:pPr>
            <w:r>
              <w:rPr>
                <w:b/>
              </w:rPr>
              <w:t>Bonuses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rPr>
            </w:pPr>
            <w:r>
              <w:rPr>
                <w:b/>
              </w:rPr>
              <w:t>Dividends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rPr>
            </w:pPr>
            <w:r>
              <w:rPr>
                <w:b/>
              </w:rPr>
              <w:t>Payments for</w:t>
              <w:br/>
              <w:t>Infrastructure</w:t>
              <w:br/>
              <w:t>Improvements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vAlign w:val="center"/>
          </w:tcPr>
          <w:p>
            <w:pPr>
              <w:pStyle w:val="TableContents"/>
              <w:bidi w:val="0"/>
              <w:spacing w:before="0" w:after="0"/>
              <w:jc w:val="center"/>
              <w:rPr>
                <w:b/>
              </w:rPr>
            </w:pPr>
            <w:r>
              <w:rPr>
                <w:b/>
              </w:rPr>
              <w:t>Community and</w:t>
              <w:br/>
              <w:t>Social</w:t>
              <w:br/>
              <w:t>Responsibility</w:t>
              <w:br/>
              <w:t>Payments</w:t>
              <w:br/>
              <w:t>Required by</w:t>
              <w:br/>
              <w:t>Law or Contract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rPr>
            </w:pPr>
            <w:r>
              <w:rPr>
                <w:b/>
              </w:rPr>
              <w:t>Total</w:t>
            </w:r>
          </w:p>
        </w:tc>
        <w:tc>
          <w:tcPr>
            <w:tcW w:w="60"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jc w:val="left"/>
              <w:rPr>
                <w:rFonts w:ascii="ARIAL" w:hAnsi="ARIAL"/>
                <w:sz w:val="20"/>
              </w:rPr>
            </w:pPr>
            <w:r>
              <w:rPr>
                <w:rFonts w:ascii="ARIAL" w:hAnsi="ARIAL"/>
                <w:sz w:val="20"/>
              </w:rPr>
              <w:t xml:space="preserve">A.J.A.M </w:t>
            </w:r>
          </w:p>
          <w:p>
            <w:pPr>
              <w:pStyle w:val="TableContents"/>
              <w:bidi w:val="0"/>
              <w:spacing w:before="0" w:after="0"/>
              <w:jc w:val="left"/>
              <w:rPr>
                <w:rFonts w:ascii="ARIAL" w:hAnsi="ARIAL"/>
                <w:spacing w:val="0"/>
                <w:sz w:val="20"/>
                <w:shd w:fill="CCEEFF" w:val="clear"/>
              </w:rPr>
            </w:pPr>
            <w:r>
              <w:rPr>
                <w:rFonts w:ascii="ARIAL" w:hAnsi="ARIAL"/>
                <w:spacing w:val="0"/>
                <w:sz w:val="20"/>
                <w:shd w:fill="CCEEFF" w:val="clear"/>
              </w:rPr>
              <w:t>SENARECOM-SIN</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191.3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0"/>
              <w:jc w:val="left"/>
              <w:rPr/>
            </w:pPr>
            <w:r>
              <w:rPr/>
              <w:t> </w:t>
            </w:r>
          </w:p>
        </w:tc>
        <w:tc>
          <w:tcPr>
            <w:tcW w:w="1222"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right"/>
              <w:rPr>
                <w:b/>
              </w:rPr>
            </w:pPr>
            <w:r>
              <w:rPr>
                <w:b/>
              </w:rPr>
              <w:t>197.5</w:t>
            </w:r>
          </w:p>
        </w:tc>
        <w:tc>
          <w:tcPr>
            <w:tcW w:w="60" w:type="dxa"/>
            <w:tcBorders/>
            <w:shd w:fill="CCEEFF" w:val="clear"/>
            <w:vAlign w:val="center"/>
          </w:tcPr>
          <w:p>
            <w:pPr>
              <w:pStyle w:val="TableContents"/>
              <w:bidi w:val="0"/>
              <w:spacing w:before="0" w:after="0"/>
              <w:jc w:val="left"/>
              <w:rPr/>
            </w:pPr>
            <w:r>
              <w:rPr/>
              <w:t> </w:t>
            </w:r>
          </w:p>
        </w:tc>
      </w:tr>
      <w:tr>
        <w:trPr/>
        <w:tc>
          <w:tcPr>
            <w:tcW w:w="1670" w:type="dxa"/>
            <w:tcBorders/>
            <w:vAlign w:val="center"/>
          </w:tcPr>
          <w:p>
            <w:pPr>
              <w:pStyle w:val="TableContents"/>
              <w:bidi w:val="0"/>
              <w:spacing w:before="0" w:after="0"/>
              <w:jc w:val="left"/>
              <w:rPr>
                <w:rFonts w:ascii="ARIAL" w:hAnsi="ARIAL"/>
                <w:spacing w:val="0"/>
                <w:sz w:val="20"/>
              </w:rPr>
            </w:pPr>
            <w:r>
              <w:rPr>
                <w:rFonts w:ascii="ARIAL" w:hAnsi="ARIAL"/>
                <w:spacing w:val="0"/>
                <w:sz w:val="20"/>
              </w:rPr>
              <w:t>G.A.M.O.</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right"/>
              <w:rPr/>
            </w:pPr>
            <w:r>
              <w:rPr/>
              <w:t>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right"/>
              <w:rPr>
                <w:b/>
              </w:rPr>
            </w:pPr>
            <w:r>
              <w:rPr>
                <w:b/>
              </w:rPr>
              <w:t>5.9</w:t>
            </w:r>
          </w:p>
        </w:tc>
        <w:tc>
          <w:tcPr>
            <w:tcW w:w="60" w:type="dxa"/>
            <w:tcBorders/>
            <w:vAlign w:val="center"/>
          </w:tcPr>
          <w:p>
            <w:pPr>
              <w:pStyle w:val="TableContents"/>
              <w:bidi w:val="0"/>
              <w:spacing w:before="0" w:after="0"/>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jc w:val="left"/>
              <w:rPr>
                <w:rFonts w:ascii="ARIAL" w:hAnsi="ARIAL"/>
                <w:b/>
                <w:spacing w:val="0"/>
                <w:sz w:val="20"/>
                <w:shd w:fill="CCEEFF" w:val="clear"/>
              </w:rPr>
            </w:pPr>
            <w:r>
              <w:rPr>
                <w:rFonts w:ascii="ARIAL" w:hAnsi="ARIAL"/>
                <w:b/>
                <w:spacing w:val="0"/>
                <w:sz w:val="20"/>
                <w:shd w:fill="CCEEFF" w:val="clear"/>
              </w:rPr>
              <w:t>2024 Total</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0"/>
              <w:jc w:val="left"/>
              <w:rPr/>
            </w:pPr>
            <w:r>
              <w:rPr/>
              <w:t> </w:t>
            </w:r>
          </w:p>
        </w:tc>
        <w:tc>
          <w:tcPr>
            <w:tcW w:w="523" w:type="dxa"/>
            <w:tcBorders/>
            <w:shd w:fill="CCEEFF" w:val="clear"/>
            <w:vAlign w:val="center"/>
          </w:tcPr>
          <w:p>
            <w:pPr>
              <w:pStyle w:val="TableContents"/>
              <w:bidi w:val="0"/>
              <w:spacing w:before="0" w:after="0"/>
              <w:jc w:val="right"/>
              <w:rPr>
                <w:b/>
              </w:rPr>
            </w:pPr>
            <w:r>
              <w:rPr>
                <w:b/>
              </w:rPr>
              <w:t>6.2</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0"/>
              <w:jc w:val="right"/>
              <w:rPr>
                <w:b/>
              </w:rPr>
            </w:pPr>
            <w:r>
              <w:rPr>
                <w:b/>
              </w:rPr>
              <w:t>191.3</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0"/>
              <w:jc w:val="left"/>
              <w:rPr/>
            </w:pPr>
            <w:r>
              <w:rPr/>
              <w:t> </w:t>
            </w:r>
          </w:p>
        </w:tc>
        <w:tc>
          <w:tcPr>
            <w:tcW w:w="396" w:type="dxa"/>
            <w:tcBorders/>
            <w:shd w:fill="CCEEFF" w:val="clear"/>
            <w:vAlign w:val="center"/>
          </w:tcPr>
          <w:p>
            <w:pPr>
              <w:pStyle w:val="TableContents"/>
              <w:bidi w:val="0"/>
              <w:spacing w:before="0" w:after="0"/>
              <w:jc w:val="right"/>
              <w:rPr>
                <w:b/>
              </w:rPr>
            </w:pPr>
            <w:r>
              <w:rPr>
                <w:b/>
              </w:rPr>
              <w:t>5.9</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0"/>
              <w:jc w:val="left"/>
              <w:rPr/>
            </w:pPr>
            <w:r>
              <w:rPr/>
              <w:t> </w:t>
            </w:r>
          </w:p>
        </w:tc>
        <w:tc>
          <w:tcPr>
            <w:tcW w:w="602"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0"/>
              <w:jc w:val="left"/>
              <w:rPr/>
            </w:pPr>
            <w:r>
              <w:rPr/>
              <w:t> </w:t>
            </w:r>
          </w:p>
        </w:tc>
        <w:tc>
          <w:tcPr>
            <w:tcW w:w="728"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0"/>
              <w:jc w:val="left"/>
              <w:rPr/>
            </w:pPr>
            <w:r>
              <w:rPr/>
              <w:t> </w:t>
            </w:r>
          </w:p>
        </w:tc>
        <w:tc>
          <w:tcPr>
            <w:tcW w:w="1222"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560" w:type="dxa"/>
            <w:tcBorders/>
            <w:shd w:fill="CCEEFF" w:val="clear"/>
            <w:vAlign w:val="center"/>
          </w:tcPr>
          <w:p>
            <w:pPr>
              <w:pStyle w:val="TableContents"/>
              <w:bidi w:val="0"/>
              <w:spacing w:before="0" w:after="0"/>
              <w:jc w:val="right"/>
              <w:rPr>
                <w:b/>
              </w:rPr>
            </w:pPr>
            <w:r>
              <w:rPr>
                <w:b/>
              </w:rPr>
              <w:t>203.4</w:t>
            </w:r>
          </w:p>
        </w:tc>
        <w:tc>
          <w:tcPr>
            <w:tcW w:w="60" w:type="dxa"/>
            <w:tcBorders/>
            <w:shd w:fill="CCEEFF" w:val="clear"/>
            <w:vAlign w:val="center"/>
          </w:tcPr>
          <w:p>
            <w:pPr>
              <w:pStyle w:val="TableContents"/>
              <w:bidi w:val="0"/>
              <w:spacing w:before="0" w:after="0"/>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pacing w:val="0"/>
          <w:sz w:val="20"/>
        </w:rPr>
      </w:pPr>
      <w:r>
        <w:rPr>
          <w:rFonts w:ascii="ARIAL" w:hAnsi="ARIAL"/>
          <w:spacing w:val="0"/>
          <w:sz w:val="20"/>
        </w:rPr>
        <w:t>All payments made in Bolivian Boliviano.</w:t>
      </w:r>
    </w:p>
    <w:p>
      <w:pPr>
        <w:pStyle w:val="TextBody"/>
        <w:bidi w:val="0"/>
        <w:spacing w:before="240" w:after="0"/>
        <w:jc w:val="left"/>
        <w:rPr>
          <w:rFonts w:ascii="ARIAL" w:hAnsi="ARIAL"/>
          <w:spacing w:val="0"/>
          <w:sz w:val="20"/>
        </w:rPr>
      </w:pPr>
      <w:r>
        <w:rPr>
          <w:rFonts w:ascii="ARIAL" w:hAnsi="ARIAL"/>
          <w:spacing w:val="0"/>
          <w:sz w:val="20"/>
        </w:rPr>
        <w:t xml:space="preserve">The Barolivia project utilized both the open pit and underground mining methods of extraction.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 w:hAnsi="ARIAL"/>
          <w:b/>
          <w:spacing w:val="0"/>
          <w:sz w:val="20"/>
        </w:rPr>
      </w:pPr>
      <w:r>
        <w:rPr>
          <w:rFonts w:ascii="ARIAL" w:hAnsi="ARIAL"/>
          <w:b/>
          <w:spacing w:val="0"/>
          <w:sz w:val="20"/>
        </w:rPr>
        <w:t xml:space="preserve">Year ended December 31, 2024 (USD in thousands) </w:t>
      </w:r>
    </w:p>
    <w:p>
      <w:pPr>
        <w:pStyle w:val="TextBody"/>
        <w:bidi w:val="0"/>
        <w:spacing w:before="240" w:after="0"/>
        <w:jc w:val="left"/>
        <w:rPr>
          <w:rFonts w:ascii="ARIAL" w:hAnsi="ARIAL"/>
          <w:b/>
          <w:sz w:val="20"/>
          <w:u w:val="single"/>
        </w:rPr>
      </w:pPr>
      <w:r>
        <w:rPr>
          <w:rFonts w:ascii="ARIAL" w:hAnsi="ARIAL"/>
          <w:b/>
          <w:sz w:val="20"/>
          <w:u w:val="single"/>
        </w:rPr>
        <w:t xml:space="preserve">Morocco, </w:t>
      </w:r>
    </w:p>
    <w:p>
      <w:pPr>
        <w:pStyle w:val="TextBody"/>
        <w:bidi w:val="0"/>
        <w:spacing w:before="240" w:after="0"/>
        <w:jc w:val="left"/>
        <w:rPr>
          <w:rFonts w:ascii="ARIAL" w:hAnsi="ARIAL"/>
          <w:b/>
          <w:spacing w:val="0"/>
          <w:sz w:val="20"/>
          <w:u w:val="single"/>
        </w:rPr>
      </w:pPr>
      <w:r>
        <w:rPr>
          <w:rFonts w:ascii="ARIAL" w:hAnsi="ARIAL"/>
          <w:b/>
          <w:spacing w:val="0"/>
          <w:sz w:val="20"/>
          <w:u w:val="single"/>
        </w:rPr>
        <w:t>Rabat-Salé-Kénitra</w:t>
      </w:r>
    </w:p>
    <w:p>
      <w:pPr>
        <w:pStyle w:val="TextBody"/>
        <w:bidi w:val="0"/>
        <w:spacing w:before="120" w:after="0"/>
        <w:jc w:val="left"/>
        <w:rPr>
          <w:rFonts w:ascii="ARIAL" w:hAnsi="ARIAL"/>
          <w:b/>
          <w:spacing w:val="0"/>
          <w:sz w:val="20"/>
          <w:u w:val="single"/>
        </w:rPr>
      </w:pPr>
      <w:r>
        <w:rPr>
          <w:rFonts w:ascii="ARIAL" w:hAnsi="ARIAL"/>
          <w:b/>
          <w:spacing w:val="0"/>
          <w:sz w:val="20"/>
          <w:u w:val="single"/>
        </w:rPr>
        <w:t>Project Report</w:t>
      </w:r>
    </w:p>
    <w:p>
      <w:pPr>
        <w:pStyle w:val="TextBody"/>
        <w:bidi w:val="0"/>
        <w:spacing w:before="0" w:after="0"/>
        <w:jc w:val="left"/>
        <w:rPr>
          <w:spacing w:val="0"/>
        </w:rPr>
      </w:pPr>
      <w:r>
        <w:rPr>
          <w:spacing w:val="0"/>
        </w:rPr>
        <w:t> </w:t>
      </w:r>
    </w:p>
    <w:tbl>
      <w:tblPr>
        <w:tblW w:w="12160" w:type="dxa"/>
        <w:jc w:val="left"/>
        <w:tblInd w:w="0" w:type="dxa"/>
        <w:tblLayout w:type="fixed"/>
        <w:tblCellMar>
          <w:top w:w="0" w:type="dxa"/>
          <w:left w:w="0" w:type="dxa"/>
          <w:bottom w:w="0" w:type="dxa"/>
          <w:right w:w="0" w:type="dxa"/>
        </w:tblCellMar>
      </w:tblPr>
      <w:tblGrid>
        <w:gridCol w:w="1010"/>
        <w:gridCol w:w="120"/>
        <w:gridCol w:w="60"/>
        <w:gridCol w:w="740"/>
        <w:gridCol w:w="60"/>
        <w:gridCol w:w="120"/>
        <w:gridCol w:w="285"/>
        <w:gridCol w:w="665"/>
        <w:gridCol w:w="60"/>
        <w:gridCol w:w="120"/>
        <w:gridCol w:w="141"/>
        <w:gridCol w:w="329"/>
        <w:gridCol w:w="60"/>
        <w:gridCol w:w="120"/>
        <w:gridCol w:w="155"/>
        <w:gridCol w:w="1140"/>
        <w:gridCol w:w="60"/>
        <w:gridCol w:w="120"/>
        <w:gridCol w:w="258"/>
        <w:gridCol w:w="602"/>
        <w:gridCol w:w="60"/>
        <w:gridCol w:w="120"/>
        <w:gridCol w:w="78"/>
        <w:gridCol w:w="962"/>
        <w:gridCol w:w="60"/>
        <w:gridCol w:w="120"/>
        <w:gridCol w:w="447"/>
        <w:gridCol w:w="1043"/>
        <w:gridCol w:w="60"/>
        <w:gridCol w:w="120"/>
        <w:gridCol w:w="523"/>
        <w:gridCol w:w="1222"/>
        <w:gridCol w:w="60"/>
        <w:gridCol w:w="120"/>
        <w:gridCol w:w="140"/>
        <w:gridCol w:w="740"/>
        <w:gridCol w:w="60"/>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rPr>
            </w:pPr>
            <w:r>
              <w:rPr>
                <w:b/>
              </w:rPr>
              <w:t>Taxes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rPr>
            </w:pPr>
            <w:r>
              <w:rPr>
                <w:b/>
              </w:rPr>
              <w:t>Royalties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0" w:type="dxa"/>
            <w:gridSpan w:val="2"/>
            <w:tcBorders/>
            <w:vAlign w:val="center"/>
          </w:tcPr>
          <w:p>
            <w:pPr>
              <w:pStyle w:val="TableContents"/>
              <w:bidi w:val="0"/>
              <w:spacing w:before="0" w:after="0"/>
              <w:jc w:val="center"/>
              <w:rPr>
                <w:b/>
              </w:rPr>
            </w:pPr>
            <w:r>
              <w:rPr>
                <w:b/>
              </w:rPr>
              <w:t>Fees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b/>
              </w:rPr>
            </w:pPr>
            <w:r>
              <w:rPr>
                <w:b/>
              </w:rPr>
              <w:t>Production</w:t>
              <w:br/>
              <w:t>Entitlements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rPr>
            </w:pPr>
            <w:r>
              <w:rPr>
                <w:b/>
              </w:rPr>
              <w:t>Bonuses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rPr>
            </w:pPr>
            <w:r>
              <w:rPr>
                <w:b/>
              </w:rPr>
              <w:t>Dividends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rPr>
            </w:pPr>
            <w:r>
              <w:rPr>
                <w:b/>
              </w:rPr>
              <w:t>Payments for</w:t>
              <w:br/>
              <w:t>Infrastructure</w:t>
              <w:br/>
              <w:t>Improvements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vAlign w:val="center"/>
          </w:tcPr>
          <w:p>
            <w:pPr>
              <w:pStyle w:val="TableContents"/>
              <w:bidi w:val="0"/>
              <w:spacing w:before="0" w:after="0"/>
              <w:jc w:val="center"/>
              <w:rPr>
                <w:b/>
              </w:rPr>
            </w:pPr>
            <w:r>
              <w:rPr>
                <w:b/>
              </w:rPr>
              <w:t>Community and</w:t>
              <w:br/>
              <w:t>Social</w:t>
              <w:br/>
              <w:t>Responsibility</w:t>
              <w:br/>
              <w:t>Payments</w:t>
              <w:br/>
              <w:t>Required by</w:t>
              <w:br/>
              <w:t>Law or Contract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rPr>
            </w:pPr>
            <w:r>
              <w:rPr>
                <w:b/>
              </w:rPr>
              <w:t>Total</w:t>
            </w:r>
          </w:p>
        </w:tc>
        <w:tc>
          <w:tcPr>
            <w:tcW w:w="6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0"/>
              <w:jc w:val="left"/>
              <w:rPr>
                <w:rFonts w:ascii="ARIAL" w:hAnsi="ARIAL"/>
                <w:spacing w:val="0"/>
                <w:sz w:val="20"/>
                <w:shd w:fill="CCEEFF" w:val="clear"/>
              </w:rPr>
            </w:pPr>
            <w:r>
              <w:rPr>
                <w:rFonts w:ascii="ARIAL" w:hAnsi="ARIAL"/>
                <w:spacing w:val="0"/>
                <w:sz w:val="20"/>
                <w:shd w:fill="CCEEFF" w:val="clear"/>
              </w:rPr>
              <w:t>COMABAR (Barite)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1,718.1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50.5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1,810.9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right"/>
              <w:rPr>
                <w:b/>
              </w:rPr>
            </w:pPr>
            <w:r>
              <w:rPr>
                <w:b/>
              </w:rPr>
              <w:t>3,579.5</w:t>
            </w:r>
          </w:p>
        </w:tc>
        <w:tc>
          <w:tcPr>
            <w:tcW w:w="60" w:type="dxa"/>
            <w:tcBorders/>
            <w:shd w:fill="CCEEFF" w:val="clear"/>
            <w:vAlign w:val="center"/>
          </w:tcPr>
          <w:p>
            <w:pPr>
              <w:pStyle w:val="TableContents"/>
              <w:bidi w:val="0"/>
              <w:spacing w:before="0" w:after="0"/>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0"/>
              <w:jc w:val="left"/>
              <w:rPr>
                <w:rFonts w:ascii="ARIAL" w:hAnsi="ARIAL"/>
                <w:b/>
                <w:spacing w:val="0"/>
                <w:sz w:val="20"/>
              </w:rPr>
            </w:pPr>
            <w:r>
              <w:rPr>
                <w:rFonts w:ascii="ARIAL" w:hAnsi="ARIAL"/>
                <w:b/>
                <w:spacing w:val="0"/>
                <w:sz w:val="20"/>
              </w:rPr>
              <w:t>2024 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b/>
              </w:rPr>
            </w:pPr>
            <w:r>
              <w:rPr>
                <w:b/>
              </w:rPr>
              <w:t>1,718.1</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pPr>
            <w:r>
              <w:rPr/>
              <w:t> </w:t>
            </w:r>
          </w:p>
        </w:tc>
        <w:tc>
          <w:tcPr>
            <w:tcW w:w="329"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40" w:type="dxa"/>
            <w:tcBorders/>
            <w:vAlign w:val="center"/>
          </w:tcPr>
          <w:p>
            <w:pPr>
              <w:pStyle w:val="TableContents"/>
              <w:bidi w:val="0"/>
              <w:spacing w:before="0" w:after="0"/>
              <w:jc w:val="right"/>
              <w:rPr>
                <w:b/>
              </w:rPr>
            </w:pPr>
            <w:r>
              <w:rPr>
                <w:b/>
              </w:rPr>
              <w:t>50.5</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pPr>
            <w:r>
              <w:rPr/>
              <w:t> </w:t>
            </w:r>
          </w:p>
        </w:tc>
        <w:tc>
          <w:tcPr>
            <w:tcW w:w="602"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pPr>
            <w:r>
              <w:rPr/>
              <w:t> </w:t>
            </w:r>
          </w:p>
        </w:tc>
        <w:tc>
          <w:tcPr>
            <w:tcW w:w="962" w:type="dxa"/>
            <w:tcBorders/>
            <w:vAlign w:val="center"/>
          </w:tcPr>
          <w:p>
            <w:pPr>
              <w:pStyle w:val="TableContents"/>
              <w:bidi w:val="0"/>
              <w:spacing w:before="0" w:after="0"/>
              <w:jc w:val="right"/>
              <w:rPr>
                <w:b/>
              </w:rPr>
            </w:pPr>
            <w:r>
              <w:rPr>
                <w:b/>
              </w:rPr>
              <w:t>1,810.9</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pPr>
            <w:r>
              <w:rPr/>
              <w:t> </w:t>
            </w:r>
          </w:p>
        </w:tc>
        <w:tc>
          <w:tcPr>
            <w:tcW w:w="1043"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0"/>
              <w:jc w:val="left"/>
              <w:rPr/>
            </w:pPr>
            <w:r>
              <w:rPr/>
              <w:t> </w:t>
            </w:r>
          </w:p>
        </w:tc>
        <w:tc>
          <w:tcPr>
            <w:tcW w:w="1222"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740" w:type="dxa"/>
            <w:tcBorders/>
            <w:vAlign w:val="center"/>
          </w:tcPr>
          <w:p>
            <w:pPr>
              <w:pStyle w:val="TableContents"/>
              <w:bidi w:val="0"/>
              <w:spacing w:before="0" w:after="0"/>
              <w:jc w:val="right"/>
              <w:rPr>
                <w:b/>
              </w:rPr>
            </w:pPr>
            <w:r>
              <w:rPr>
                <w:b/>
              </w:rPr>
              <w:t>3,579.5</w:t>
            </w:r>
          </w:p>
        </w:tc>
        <w:tc>
          <w:tcPr>
            <w:tcW w:w="60" w:type="dxa"/>
            <w:tcBorders/>
            <w:vAlign w:val="center"/>
          </w:tcPr>
          <w:p>
            <w:pPr>
              <w:pStyle w:val="TableContents"/>
              <w:bidi w:val="0"/>
              <w:spacing w:before="0" w:after="0"/>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b/>
          <w:spacing w:val="0"/>
          <w:sz w:val="20"/>
          <w:u w:val="single"/>
        </w:rPr>
      </w:pPr>
      <w:r>
        <w:rPr>
          <w:rFonts w:ascii="ARIAL" w:hAnsi="ARIAL"/>
          <w:b/>
          <w:spacing w:val="0"/>
          <w:sz w:val="20"/>
          <w:u w:val="single"/>
        </w:rPr>
        <w:t>Government Report</w:t>
      </w:r>
    </w:p>
    <w:p>
      <w:pPr>
        <w:pStyle w:val="TextBody"/>
        <w:bidi w:val="0"/>
        <w:spacing w:before="0" w:after="0"/>
        <w:jc w:val="left"/>
        <w:rPr>
          <w:spacing w:val="0"/>
        </w:rPr>
      </w:pPr>
      <w:r>
        <w:rPr>
          <w:spacing w:val="0"/>
        </w:rPr>
        <w:t> </w:t>
      </w:r>
    </w:p>
    <w:tbl>
      <w:tblPr>
        <w:tblW w:w="12430" w:type="dxa"/>
        <w:jc w:val="left"/>
        <w:tblInd w:w="0" w:type="dxa"/>
        <w:tblLayout w:type="fixed"/>
        <w:tblCellMar>
          <w:top w:w="0" w:type="dxa"/>
          <w:left w:w="0" w:type="dxa"/>
          <w:bottom w:w="0" w:type="dxa"/>
          <w:right w:w="0" w:type="dxa"/>
        </w:tblCellMar>
      </w:tblPr>
      <w:tblGrid>
        <w:gridCol w:w="1280"/>
        <w:gridCol w:w="120"/>
        <w:gridCol w:w="60"/>
        <w:gridCol w:w="740"/>
        <w:gridCol w:w="60"/>
        <w:gridCol w:w="120"/>
        <w:gridCol w:w="285"/>
        <w:gridCol w:w="665"/>
        <w:gridCol w:w="60"/>
        <w:gridCol w:w="120"/>
        <w:gridCol w:w="141"/>
        <w:gridCol w:w="329"/>
        <w:gridCol w:w="60"/>
        <w:gridCol w:w="120"/>
        <w:gridCol w:w="155"/>
        <w:gridCol w:w="1140"/>
        <w:gridCol w:w="60"/>
        <w:gridCol w:w="120"/>
        <w:gridCol w:w="258"/>
        <w:gridCol w:w="602"/>
        <w:gridCol w:w="60"/>
        <w:gridCol w:w="120"/>
        <w:gridCol w:w="78"/>
        <w:gridCol w:w="962"/>
        <w:gridCol w:w="60"/>
        <w:gridCol w:w="120"/>
        <w:gridCol w:w="447"/>
        <w:gridCol w:w="1043"/>
        <w:gridCol w:w="60"/>
        <w:gridCol w:w="120"/>
        <w:gridCol w:w="523"/>
        <w:gridCol w:w="1222"/>
        <w:gridCol w:w="60"/>
        <w:gridCol w:w="120"/>
        <w:gridCol w:w="140"/>
        <w:gridCol w:w="740"/>
        <w:gridCol w:w="60"/>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rPr>
            </w:pPr>
            <w:r>
              <w:rPr>
                <w:b/>
              </w:rPr>
              <w:t>Taxes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rPr>
            </w:pPr>
            <w:r>
              <w:rPr>
                <w:b/>
              </w:rPr>
              <w:t>Royalties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70" w:type="dxa"/>
            <w:gridSpan w:val="2"/>
            <w:tcBorders/>
            <w:vAlign w:val="center"/>
          </w:tcPr>
          <w:p>
            <w:pPr>
              <w:pStyle w:val="TableContents"/>
              <w:bidi w:val="0"/>
              <w:spacing w:before="0" w:after="0"/>
              <w:jc w:val="center"/>
              <w:rPr>
                <w:b/>
              </w:rPr>
            </w:pPr>
            <w:r>
              <w:rPr>
                <w:b/>
              </w:rPr>
              <w:t>Fees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b/>
              </w:rPr>
            </w:pPr>
            <w:r>
              <w:rPr>
                <w:b/>
              </w:rPr>
              <w:t>Production</w:t>
              <w:br/>
              <w:t>Entitlements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rPr>
            </w:pPr>
            <w:r>
              <w:rPr>
                <w:b/>
              </w:rPr>
              <w:t>Bonuses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rPr>
            </w:pPr>
            <w:r>
              <w:rPr>
                <w:b/>
              </w:rPr>
              <w:t>Dividends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rPr>
            </w:pPr>
            <w:r>
              <w:rPr>
                <w:b/>
              </w:rPr>
              <w:t>Payments for</w:t>
              <w:br/>
              <w:t>Infrastructure</w:t>
              <w:br/>
              <w:t>Improvements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vAlign w:val="center"/>
          </w:tcPr>
          <w:p>
            <w:pPr>
              <w:pStyle w:val="TableContents"/>
              <w:bidi w:val="0"/>
              <w:spacing w:before="0" w:after="0"/>
              <w:jc w:val="center"/>
              <w:rPr>
                <w:b/>
              </w:rPr>
            </w:pPr>
            <w:r>
              <w:rPr>
                <w:b/>
              </w:rPr>
              <w:t>Community and</w:t>
              <w:br/>
              <w:t>Social</w:t>
              <w:br/>
              <w:t>Responsibility</w:t>
              <w:br/>
              <w:t>Payments</w:t>
              <w:br/>
              <w:t>Required by</w:t>
              <w:br/>
              <w:t>Law or Contract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rPr>
            </w:pPr>
            <w:r>
              <w:rPr>
                <w:b/>
              </w:rPr>
              <w:t>Total</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ARIAL" w:hAnsi="ARIAL"/>
                <w:spacing w:val="0"/>
                <w:sz w:val="20"/>
                <w:shd w:fill="CCEEFF" w:val="clear"/>
              </w:rPr>
            </w:pPr>
            <w:r>
              <w:rPr>
                <w:rFonts w:ascii="ARIAL" w:hAnsi="ARIAL"/>
                <w:spacing w:val="0"/>
                <w:sz w:val="20"/>
                <w:shd w:fill="CCEEFF" w:val="clear"/>
              </w:rPr>
              <w:t>General Tax Administration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1,718.1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50.5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right"/>
              <w:rPr>
                <w:b/>
              </w:rPr>
            </w:pPr>
            <w:r>
              <w:rPr>
                <w:b/>
              </w:rPr>
              <w:t>1,768.6</w:t>
            </w:r>
          </w:p>
        </w:tc>
        <w:tc>
          <w:tcPr>
            <w:tcW w:w="60" w:type="dxa"/>
            <w:tcBorders/>
            <w:shd w:fill="CCEEFF" w:val="clear"/>
            <w:vAlign w:val="center"/>
          </w:tcPr>
          <w:p>
            <w:pPr>
              <w:pStyle w:val="TableContents"/>
              <w:bidi w:val="0"/>
              <w:spacing w:before="0" w:after="0"/>
              <w:jc w:val="left"/>
              <w:rPr/>
            </w:pPr>
            <w:r>
              <w:rPr/>
              <w:t> </w:t>
            </w:r>
          </w:p>
        </w:tc>
      </w:tr>
      <w:tr>
        <w:trPr/>
        <w:tc>
          <w:tcPr>
            <w:tcW w:w="1280" w:type="dxa"/>
            <w:tcBorders/>
            <w:vAlign w:val="center"/>
          </w:tcPr>
          <w:p>
            <w:pPr>
              <w:pStyle w:val="TableContents"/>
              <w:bidi w:val="0"/>
              <w:spacing w:before="0" w:after="0"/>
              <w:jc w:val="left"/>
              <w:rPr>
                <w:rFonts w:ascii="ARIAL" w:hAnsi="ARIAL"/>
                <w:spacing w:val="0"/>
                <w:sz w:val="20"/>
              </w:rPr>
            </w:pPr>
            <w:r>
              <w:rPr>
                <w:rFonts w:ascii="ARIAL" w:hAnsi="ARIAL"/>
                <w:spacing w:val="0"/>
                <w:sz w:val="20"/>
              </w:rPr>
              <w:t>Office National des Hydrocarbures et des Mines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right"/>
              <w:rPr/>
            </w:pPr>
            <w:r>
              <w:rPr/>
              <w:t>1,810.9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b/>
              </w:rPr>
            </w:pPr>
            <w:r>
              <w:rPr>
                <w:b/>
              </w:rPr>
              <w:t>1,810.9</w:t>
            </w:r>
          </w:p>
        </w:tc>
        <w:tc>
          <w:tcPr>
            <w:tcW w:w="60" w:type="dxa"/>
            <w:tcBorders/>
            <w:vAlign w:val="center"/>
          </w:tcPr>
          <w:p>
            <w:pPr>
              <w:pStyle w:val="TableContents"/>
              <w:bidi w:val="0"/>
              <w:spacing w:before="0" w:after="0"/>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jc w:val="left"/>
              <w:rPr>
                <w:rFonts w:ascii="ARIAL" w:hAnsi="ARIAL"/>
                <w:b/>
                <w:spacing w:val="0"/>
                <w:sz w:val="20"/>
                <w:shd w:fill="CCEEFF" w:val="clear"/>
              </w:rPr>
            </w:pPr>
            <w:r>
              <w:rPr>
                <w:rFonts w:ascii="ARIAL" w:hAnsi="ARIAL"/>
                <w:b/>
                <w:spacing w:val="0"/>
                <w:sz w:val="20"/>
                <w:shd w:fill="CCEEFF" w:val="clear"/>
              </w:rPr>
              <w:t>2024 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right"/>
              <w:rPr>
                <w:b/>
              </w:rPr>
            </w:pPr>
            <w:r>
              <w:rPr>
                <w:b/>
              </w:rPr>
              <w:t>1,718.1</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0"/>
              <w:jc w:val="left"/>
              <w:rPr/>
            </w:pPr>
            <w:r>
              <w:rPr/>
              <w:t> </w:t>
            </w:r>
          </w:p>
        </w:tc>
        <w:tc>
          <w:tcPr>
            <w:tcW w:w="329"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0"/>
              <w:jc w:val="left"/>
              <w:rPr/>
            </w:pPr>
            <w:r>
              <w:rPr/>
              <w:t> </w:t>
            </w:r>
          </w:p>
        </w:tc>
        <w:tc>
          <w:tcPr>
            <w:tcW w:w="1140" w:type="dxa"/>
            <w:tcBorders/>
            <w:shd w:fill="CCEEFF" w:val="clear"/>
            <w:vAlign w:val="center"/>
          </w:tcPr>
          <w:p>
            <w:pPr>
              <w:pStyle w:val="TableContents"/>
              <w:bidi w:val="0"/>
              <w:spacing w:before="0" w:after="0"/>
              <w:jc w:val="right"/>
              <w:rPr>
                <w:b/>
              </w:rPr>
            </w:pPr>
            <w:r>
              <w:rPr>
                <w:b/>
              </w:rPr>
              <w:t>50.5</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0"/>
              <w:jc w:val="left"/>
              <w:rPr/>
            </w:pPr>
            <w:r>
              <w:rPr/>
              <w:t> </w:t>
            </w:r>
          </w:p>
        </w:tc>
        <w:tc>
          <w:tcPr>
            <w:tcW w:w="602"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0"/>
              <w:jc w:val="right"/>
              <w:rPr>
                <w:b/>
              </w:rPr>
            </w:pPr>
            <w:r>
              <w:rPr>
                <w:b/>
              </w:rPr>
              <w:t>1,810.9</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0"/>
              <w:jc w:val="left"/>
              <w:rPr/>
            </w:pPr>
            <w:r>
              <w:rPr/>
              <w:t> </w:t>
            </w:r>
          </w:p>
        </w:tc>
        <w:tc>
          <w:tcPr>
            <w:tcW w:w="1222"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740" w:type="dxa"/>
            <w:tcBorders/>
            <w:shd w:fill="CCEEFF" w:val="clear"/>
            <w:vAlign w:val="center"/>
          </w:tcPr>
          <w:p>
            <w:pPr>
              <w:pStyle w:val="TableContents"/>
              <w:bidi w:val="0"/>
              <w:spacing w:before="0" w:after="0"/>
              <w:jc w:val="right"/>
              <w:rPr>
                <w:b/>
              </w:rPr>
            </w:pPr>
            <w:r>
              <w:rPr>
                <w:b/>
              </w:rPr>
              <w:t>3,579.5</w:t>
            </w:r>
          </w:p>
        </w:tc>
        <w:tc>
          <w:tcPr>
            <w:tcW w:w="60" w:type="dxa"/>
            <w:tcBorders/>
            <w:shd w:fill="CCEEFF" w:val="clear"/>
            <w:vAlign w:val="center"/>
          </w:tcPr>
          <w:p>
            <w:pPr>
              <w:pStyle w:val="TableContents"/>
              <w:bidi w:val="0"/>
              <w:spacing w:before="0" w:after="0"/>
              <w:jc w:val="left"/>
              <w:rPr/>
            </w:pPr>
            <w:r>
              <w:rPr/>
              <w:t> </w:t>
            </w:r>
          </w:p>
        </w:tc>
      </w:tr>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pacing w:val="0"/>
          <w:sz w:val="20"/>
        </w:rPr>
      </w:pPr>
      <w:r>
        <w:rPr>
          <w:rFonts w:ascii="ARIAL" w:hAnsi="ARIAL"/>
          <w:spacing w:val="0"/>
          <w:sz w:val="20"/>
        </w:rPr>
        <w:t xml:space="preserve">All payments made in Moroccan Dirham. </w:t>
      </w:r>
    </w:p>
    <w:p>
      <w:pPr>
        <w:pStyle w:val="TextBody"/>
        <w:bidi w:val="0"/>
        <w:spacing w:before="240" w:after="0"/>
        <w:jc w:val="left"/>
        <w:rPr>
          <w:rFonts w:ascii="ARIAL" w:hAnsi="ARIAL"/>
          <w:spacing w:val="0"/>
          <w:sz w:val="20"/>
        </w:rPr>
      </w:pPr>
      <w:r>
        <w:rPr>
          <w:rFonts w:ascii="ARIAL" w:hAnsi="ARIAL"/>
          <w:spacing w:val="0"/>
          <w:sz w:val="20"/>
        </w:rPr>
        <w:t xml:space="preserve">The COMABAR project utilized the open pit method of extraction.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 w:hAnsi="ARIAL"/>
          <w:b/>
          <w:spacing w:val="0"/>
          <w:sz w:val="20"/>
        </w:rPr>
      </w:pPr>
      <w:r>
        <w:rPr>
          <w:rFonts w:ascii="ARIAL" w:hAnsi="ARIAL"/>
          <w:b/>
          <w:spacing w:val="0"/>
          <w:sz w:val="20"/>
        </w:rPr>
        <w:t xml:space="preserve">Year ended December 31, 2024 (USD in thousands) </w:t>
      </w:r>
    </w:p>
    <w:p>
      <w:pPr>
        <w:pStyle w:val="TextBody"/>
        <w:bidi w:val="0"/>
        <w:spacing w:before="240" w:after="0"/>
        <w:jc w:val="left"/>
        <w:rPr>
          <w:rFonts w:ascii="ARIAL" w:hAnsi="ARIAL"/>
          <w:b/>
          <w:spacing w:val="0"/>
          <w:sz w:val="20"/>
          <w:u w:val="single"/>
        </w:rPr>
      </w:pPr>
      <w:r>
        <w:rPr>
          <w:rFonts w:ascii="ARIAL" w:hAnsi="ARIAL"/>
          <w:b/>
          <w:spacing w:val="0"/>
          <w:sz w:val="20"/>
          <w:u w:val="single"/>
        </w:rPr>
        <w:t>United Kingdom, Scotland, Perth and Kinross</w:t>
      </w:r>
    </w:p>
    <w:p>
      <w:pPr>
        <w:pStyle w:val="TextBody"/>
        <w:bidi w:val="0"/>
        <w:spacing w:before="120" w:after="0"/>
        <w:jc w:val="left"/>
        <w:rPr>
          <w:rFonts w:ascii="ARIAL" w:hAnsi="ARIAL"/>
          <w:b/>
          <w:spacing w:val="0"/>
          <w:sz w:val="20"/>
        </w:rPr>
      </w:pPr>
      <w:r>
        <w:rPr>
          <w:rFonts w:ascii="ARIAL" w:hAnsi="ARIAL"/>
          <w:b/>
          <w:spacing w:val="0"/>
          <w:sz w:val="20"/>
        </w:rPr>
        <w:t xml:space="preserve">Project Report </w:t>
      </w:r>
    </w:p>
    <w:p>
      <w:pPr>
        <w:pStyle w:val="TextBody"/>
        <w:bidi w:val="0"/>
        <w:spacing w:before="0" w:after="0"/>
        <w:jc w:val="left"/>
        <w:rPr>
          <w:spacing w:val="0"/>
        </w:rPr>
      </w:pPr>
      <w:r>
        <w:rPr>
          <w:spacing w:val="0"/>
        </w:rPr>
        <w:t> </w:t>
      </w:r>
    </w:p>
    <w:tbl>
      <w:tblPr>
        <w:tblW w:w="11455" w:type="dxa"/>
        <w:jc w:val="left"/>
        <w:tblInd w:w="0" w:type="dxa"/>
        <w:tblLayout w:type="fixed"/>
        <w:tblCellMar>
          <w:top w:w="0" w:type="dxa"/>
          <w:left w:w="0" w:type="dxa"/>
          <w:bottom w:w="0" w:type="dxa"/>
          <w:right w:w="0" w:type="dxa"/>
        </w:tblCellMar>
      </w:tblPr>
      <w:tblGrid>
        <w:gridCol w:w="935"/>
        <w:gridCol w:w="120"/>
        <w:gridCol w:w="60"/>
        <w:gridCol w:w="560"/>
        <w:gridCol w:w="60"/>
        <w:gridCol w:w="120"/>
        <w:gridCol w:w="114"/>
        <w:gridCol w:w="836"/>
        <w:gridCol w:w="60"/>
        <w:gridCol w:w="120"/>
        <w:gridCol w:w="60"/>
        <w:gridCol w:w="440"/>
        <w:gridCol w:w="60"/>
        <w:gridCol w:w="120"/>
        <w:gridCol w:w="388"/>
        <w:gridCol w:w="907"/>
        <w:gridCol w:w="60"/>
        <w:gridCol w:w="120"/>
        <w:gridCol w:w="258"/>
        <w:gridCol w:w="602"/>
        <w:gridCol w:w="60"/>
        <w:gridCol w:w="120"/>
        <w:gridCol w:w="312"/>
        <w:gridCol w:w="728"/>
        <w:gridCol w:w="60"/>
        <w:gridCol w:w="120"/>
        <w:gridCol w:w="447"/>
        <w:gridCol w:w="1043"/>
        <w:gridCol w:w="60"/>
        <w:gridCol w:w="120"/>
        <w:gridCol w:w="433"/>
        <w:gridCol w:w="1012"/>
        <w:gridCol w:w="60"/>
        <w:gridCol w:w="120"/>
        <w:gridCol w:w="140"/>
        <w:gridCol w:w="560"/>
        <w:gridCol w:w="60"/>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rPr>
            </w:pPr>
            <w:r>
              <w:rPr>
                <w:b/>
              </w:rPr>
              <w:t>Taxes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rPr>
            </w:pPr>
            <w:r>
              <w:rPr>
                <w:b/>
              </w:rPr>
              <w:t>Royalties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rPr>
            </w:pPr>
            <w:r>
              <w:rPr>
                <w:b/>
              </w:rPr>
              <w:t>Fees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b/>
              </w:rPr>
            </w:pPr>
            <w:r>
              <w:rPr>
                <w:b/>
              </w:rPr>
              <w:t>Production</w:t>
              <w:br/>
              <w:t>Entitlements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rPr>
            </w:pPr>
            <w:r>
              <w:rPr>
                <w:b/>
              </w:rPr>
              <w:t>Bonuses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rPr>
            </w:pPr>
            <w:r>
              <w:rPr>
                <w:b/>
              </w:rPr>
              <w:t>Dividends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rPr>
            </w:pPr>
            <w:r>
              <w:rPr>
                <w:b/>
              </w:rPr>
              <w:t>Payments for</w:t>
              <w:br/>
              <w:t>Infrastructure</w:t>
              <w:br/>
              <w:t>Improvements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0"/>
              <w:jc w:val="center"/>
              <w:rPr>
                <w:b/>
              </w:rPr>
            </w:pPr>
            <w:r>
              <w:rPr>
                <w:b/>
              </w:rPr>
              <w:t>Community</w:t>
              <w:br/>
              <w:t>and Social</w:t>
              <w:br/>
              <w:t>Responsibility</w:t>
              <w:br/>
              <w:t>Payments</w:t>
              <w:br/>
              <w:t>Required by</w:t>
              <w:br/>
              <w:t>Law or</w:t>
              <w:br/>
              <w:t>Contract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rPr>
            </w:pPr>
            <w:r>
              <w:rPr>
                <w:b/>
              </w:rPr>
              <w:t>Total</w:t>
            </w:r>
          </w:p>
        </w:tc>
        <w:tc>
          <w:tcPr>
            <w:tcW w:w="6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ARIAL" w:hAnsi="ARIAL"/>
                <w:spacing w:val="0"/>
                <w:sz w:val="20"/>
                <w:shd w:fill="CCEEFF" w:val="clear"/>
              </w:rPr>
            </w:pPr>
            <w:r>
              <w:rPr>
                <w:rFonts w:ascii="ARIAL" w:hAnsi="ARIAL"/>
                <w:spacing w:val="0"/>
                <w:sz w:val="20"/>
                <w:shd w:fill="CCEEFF" w:val="clear"/>
              </w:rPr>
              <w:t>Foss Mine (Barite)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right"/>
              <w:rPr>
                <w:b/>
              </w:rPr>
            </w:pPr>
            <w:r>
              <w:rPr>
                <w:b/>
              </w:rPr>
              <w:t>34.2</w:t>
            </w:r>
          </w:p>
        </w:tc>
        <w:tc>
          <w:tcPr>
            <w:tcW w:w="60" w:type="dxa"/>
            <w:tcBorders/>
            <w:shd w:fill="CCEEFF" w:val="clear"/>
            <w:vAlign w:val="center"/>
          </w:tcPr>
          <w:p>
            <w:pPr>
              <w:pStyle w:val="TableContents"/>
              <w:bidi w:val="0"/>
              <w:spacing w:before="0" w:after="0"/>
              <w:jc w:val="left"/>
              <w:rPr/>
            </w:pPr>
            <w:r>
              <w:rPr/>
              <w:t> </w:t>
            </w:r>
          </w:p>
        </w:tc>
      </w:tr>
      <w:tr>
        <w:trPr/>
        <w:tc>
          <w:tcPr>
            <w:tcW w:w="935" w:type="dxa"/>
            <w:tcBorders/>
            <w:vAlign w:val="center"/>
          </w:tcPr>
          <w:p>
            <w:pPr>
              <w:pStyle w:val="TableContents"/>
              <w:bidi w:val="0"/>
              <w:spacing w:before="0" w:after="0"/>
              <w:jc w:val="left"/>
              <w:rPr>
                <w:rFonts w:ascii="ARIAL" w:hAnsi="ARIAL"/>
                <w:spacing w:val="0"/>
                <w:sz w:val="20"/>
              </w:rPr>
            </w:pPr>
            <w:r>
              <w:rPr>
                <w:rFonts w:ascii="ARIAL" w:hAnsi="ARIAL"/>
                <w:spacing w:val="0"/>
                <w:sz w:val="20"/>
              </w:rPr>
              <w:t>Duntanlich (Barite)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17.3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right"/>
              <w:rPr>
                <w:b/>
              </w:rPr>
            </w:pPr>
            <w:r>
              <w:rPr>
                <w:b/>
              </w:rPr>
              <w:t>127.7</w:t>
            </w:r>
          </w:p>
        </w:tc>
        <w:tc>
          <w:tcPr>
            <w:tcW w:w="60" w:type="dxa"/>
            <w:tcBorders/>
            <w:vAlign w:val="center"/>
          </w:tcPr>
          <w:p>
            <w:pPr>
              <w:pStyle w:val="TableContents"/>
              <w:bidi w:val="0"/>
              <w:spacing w:before="0" w:after="0"/>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0"/>
              <w:jc w:val="left"/>
              <w:rPr>
                <w:rFonts w:ascii="ARIAL" w:hAnsi="ARIAL"/>
                <w:b/>
                <w:spacing w:val="0"/>
                <w:sz w:val="20"/>
                <w:shd w:fill="CCEEFF" w:val="clear"/>
              </w:rPr>
            </w:pPr>
            <w:r>
              <w:rPr>
                <w:rFonts w:ascii="ARIAL" w:hAnsi="ARIAL"/>
                <w:b/>
                <w:spacing w:val="0"/>
                <w:sz w:val="20"/>
                <w:shd w:fill="CCEEFF" w:val="clear"/>
              </w:rPr>
              <w:t>2024 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right"/>
              <w:rPr>
                <w:b/>
              </w:rPr>
            </w:pPr>
            <w:r>
              <w:rPr>
                <w:b/>
              </w:rPr>
              <w:t>131.4</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0"/>
              <w:jc w:val="right"/>
              <w:rPr>
                <w:b/>
              </w:rPr>
            </w:pPr>
            <w:r>
              <w:rPr>
                <w:b/>
              </w:rPr>
              <w:t>17.3</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right"/>
              <w:rPr>
                <w:b/>
              </w:rPr>
            </w:pPr>
            <w:r>
              <w:rPr>
                <w:b/>
              </w:rPr>
              <w:t>13.2</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0"/>
              <w:jc w:val="left"/>
              <w:rPr/>
            </w:pPr>
            <w:r>
              <w:rPr/>
              <w:t> </w:t>
            </w:r>
          </w:p>
        </w:tc>
        <w:tc>
          <w:tcPr>
            <w:tcW w:w="602"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0"/>
              <w:jc w:val="left"/>
              <w:rPr/>
            </w:pPr>
            <w:r>
              <w:rPr/>
              <w:t> </w:t>
            </w:r>
          </w:p>
        </w:tc>
        <w:tc>
          <w:tcPr>
            <w:tcW w:w="728"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560" w:type="dxa"/>
            <w:tcBorders/>
            <w:shd w:fill="CCEEFF" w:val="clear"/>
            <w:vAlign w:val="center"/>
          </w:tcPr>
          <w:p>
            <w:pPr>
              <w:pStyle w:val="TableContents"/>
              <w:bidi w:val="0"/>
              <w:spacing w:before="0" w:after="0"/>
              <w:jc w:val="right"/>
              <w:rPr>
                <w:b/>
              </w:rPr>
            </w:pPr>
            <w:r>
              <w:rPr>
                <w:b/>
              </w:rPr>
              <w:t>161.9</w:t>
            </w:r>
          </w:p>
        </w:tc>
        <w:tc>
          <w:tcPr>
            <w:tcW w:w="60" w:type="dxa"/>
            <w:tcBorders/>
            <w:shd w:fill="CCEEFF" w:val="clear"/>
            <w:vAlign w:val="center"/>
          </w:tcPr>
          <w:p>
            <w:pPr>
              <w:pStyle w:val="TableContents"/>
              <w:bidi w:val="0"/>
              <w:spacing w:before="0" w:after="0"/>
              <w:jc w:val="left"/>
              <w:rPr/>
            </w:pPr>
            <w:r>
              <w:rPr/>
              <w:t> </w:t>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b/>
          <w:spacing w:val="0"/>
          <w:sz w:val="20"/>
          <w:u w:val="single"/>
        </w:rPr>
      </w:pPr>
      <w:r>
        <w:rPr>
          <w:rFonts w:ascii="ARIAL" w:hAnsi="ARIAL"/>
          <w:b/>
          <w:spacing w:val="0"/>
          <w:sz w:val="20"/>
          <w:u w:val="single"/>
        </w:rPr>
        <w:t>Government Report</w:t>
      </w:r>
    </w:p>
    <w:p>
      <w:pPr>
        <w:pStyle w:val="TextBody"/>
        <w:bidi w:val="0"/>
        <w:spacing w:before="0" w:after="0"/>
        <w:jc w:val="left"/>
        <w:rPr>
          <w:spacing w:val="0"/>
        </w:rPr>
      </w:pPr>
      <w:r>
        <w:rPr>
          <w:spacing w:val="0"/>
        </w:rPr>
        <w:t> </w:t>
      </w:r>
    </w:p>
    <w:tbl>
      <w:tblPr>
        <w:tblW w:w="12485" w:type="dxa"/>
        <w:jc w:val="left"/>
        <w:tblInd w:w="0" w:type="dxa"/>
        <w:tblLayout w:type="fixed"/>
        <w:tblCellMar>
          <w:top w:w="0" w:type="dxa"/>
          <w:left w:w="0" w:type="dxa"/>
          <w:bottom w:w="0" w:type="dxa"/>
          <w:right w:w="0" w:type="dxa"/>
        </w:tblCellMar>
      </w:tblPr>
      <w:tblGrid>
        <w:gridCol w:w="1835"/>
        <w:gridCol w:w="120"/>
        <w:gridCol w:w="60"/>
        <w:gridCol w:w="560"/>
        <w:gridCol w:w="155"/>
        <w:gridCol w:w="60"/>
        <w:gridCol w:w="114"/>
        <w:gridCol w:w="836"/>
        <w:gridCol w:w="60"/>
        <w:gridCol w:w="120"/>
        <w:gridCol w:w="60"/>
        <w:gridCol w:w="440"/>
        <w:gridCol w:w="60"/>
        <w:gridCol w:w="120"/>
        <w:gridCol w:w="388"/>
        <w:gridCol w:w="907"/>
        <w:gridCol w:w="60"/>
        <w:gridCol w:w="120"/>
        <w:gridCol w:w="258"/>
        <w:gridCol w:w="602"/>
        <w:gridCol w:w="60"/>
        <w:gridCol w:w="120"/>
        <w:gridCol w:w="312"/>
        <w:gridCol w:w="728"/>
        <w:gridCol w:w="60"/>
        <w:gridCol w:w="120"/>
        <w:gridCol w:w="447"/>
        <w:gridCol w:w="1043"/>
        <w:gridCol w:w="60"/>
        <w:gridCol w:w="120"/>
        <w:gridCol w:w="433"/>
        <w:gridCol w:w="1012"/>
        <w:gridCol w:w="60"/>
        <w:gridCol w:w="120"/>
        <w:gridCol w:w="140"/>
        <w:gridCol w:w="560"/>
        <w:gridCol w:w="15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rPr>
            </w:pPr>
            <w:r>
              <w:rPr>
                <w:b/>
              </w:rPr>
              <w:t>Taxes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rPr>
            </w:pPr>
            <w:r>
              <w:rPr>
                <w:b/>
              </w:rPr>
              <w:t>Royalties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rPr>
            </w:pPr>
            <w:r>
              <w:rPr>
                <w:b/>
              </w:rPr>
              <w:t>Fees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b/>
              </w:rPr>
            </w:pPr>
            <w:r>
              <w:rPr>
                <w:b/>
              </w:rPr>
              <w:t>Production</w:t>
              <w:br/>
              <w:t>Entitlements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rPr>
            </w:pPr>
            <w:r>
              <w:rPr>
                <w:b/>
              </w:rPr>
              <w:t>Bonuses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rPr>
            </w:pPr>
            <w:r>
              <w:rPr>
                <w:b/>
              </w:rPr>
              <w:t>Dividends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rPr>
            </w:pPr>
            <w:r>
              <w:rPr>
                <w:b/>
              </w:rPr>
              <w:t>Payments for</w:t>
              <w:br/>
              <w:t>Infrastructure</w:t>
              <w:br/>
              <w:t>Improvements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0"/>
              <w:jc w:val="center"/>
              <w:rPr>
                <w:b/>
              </w:rPr>
            </w:pPr>
            <w:r>
              <w:rPr>
                <w:b/>
              </w:rPr>
              <w:t>Community</w:t>
              <w:br/>
              <w:t>and Social</w:t>
              <w:br/>
              <w:t>Responsibility</w:t>
              <w:br/>
              <w:t>Payments</w:t>
              <w:br/>
              <w:t>Required by</w:t>
              <w:br/>
              <w:t>Law or</w:t>
              <w:br/>
              <w:t>Contract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rPr>
            </w:pPr>
            <w:r>
              <w:rPr>
                <w:b/>
              </w:rPr>
              <w:t>Total</w:t>
            </w:r>
          </w:p>
        </w:tc>
        <w:tc>
          <w:tcPr>
            <w:tcW w:w="15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ARIAL" w:hAnsi="ARIAL"/>
                <w:spacing w:val="0"/>
                <w:sz w:val="20"/>
                <w:shd w:fill="CCEEFF" w:val="clear"/>
              </w:rPr>
            </w:pPr>
            <w:r>
              <w:rPr>
                <w:rFonts w:ascii="ARIAL" w:hAnsi="ARIAL"/>
                <w:spacing w:val="0"/>
                <w:sz w:val="20"/>
                <w:shd w:fill="CCEEFF" w:val="clear"/>
              </w:rPr>
              <w:t>Forestry Commission of Scotland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17.3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right"/>
              <w:rPr>
                <w:b/>
              </w:rPr>
            </w:pPr>
            <w:r>
              <w:rPr>
                <w:b/>
              </w:rPr>
              <w:t>17.3</w:t>
            </w:r>
          </w:p>
        </w:tc>
        <w:tc>
          <w:tcPr>
            <w:tcW w:w="155" w:type="dxa"/>
            <w:tcBorders/>
            <w:shd w:fill="CCEEFF" w:val="clear"/>
            <w:vAlign w:val="center"/>
          </w:tcPr>
          <w:p>
            <w:pPr>
              <w:pStyle w:val="TableContents"/>
              <w:bidi w:val="0"/>
              <w:spacing w:before="0" w:after="0"/>
              <w:jc w:val="left"/>
              <w:rPr/>
            </w:pPr>
            <w:r>
              <w:rPr/>
              <w:t> </w:t>
            </w:r>
          </w:p>
        </w:tc>
      </w:tr>
      <w:tr>
        <w:trPr/>
        <w:tc>
          <w:tcPr>
            <w:tcW w:w="1835" w:type="dxa"/>
            <w:tcBorders/>
            <w:vAlign w:val="center"/>
          </w:tcPr>
          <w:p>
            <w:pPr>
              <w:pStyle w:val="TableContents"/>
              <w:bidi w:val="0"/>
              <w:spacing w:before="0" w:after="0"/>
              <w:jc w:val="left"/>
              <w:rPr>
                <w:rFonts w:ascii="ARIAL" w:hAnsi="ARIAL"/>
                <w:spacing w:val="0"/>
                <w:sz w:val="20"/>
              </w:rPr>
            </w:pPr>
            <w:r>
              <w:rPr>
                <w:rFonts w:ascii="ARIAL" w:hAnsi="ARIAL"/>
                <w:spacing w:val="0"/>
                <w:sz w:val="20"/>
              </w:rPr>
              <w:t>Scottish Environment Protection Agency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13.2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right"/>
              <w:rPr>
                <w:b/>
              </w:rPr>
            </w:pPr>
            <w:r>
              <w:rPr>
                <w:b/>
              </w:rPr>
              <w:t>13.2</w:t>
            </w:r>
          </w:p>
        </w:tc>
        <w:tc>
          <w:tcPr>
            <w:tcW w:w="155" w:type="dxa"/>
            <w:tcBorders/>
            <w:vAlign w:val="center"/>
          </w:tcPr>
          <w:p>
            <w:pPr>
              <w:pStyle w:val="TableContents"/>
              <w:bidi w:val="0"/>
              <w:spacing w:before="0" w:after="0"/>
              <w:jc w:val="left"/>
              <w:rPr/>
            </w:pPr>
            <w:r>
              <w:rPr/>
              <w:t> </w:t>
            </w:r>
          </w:p>
        </w:tc>
      </w:tr>
      <w:tr>
        <w:trPr/>
        <w:tc>
          <w:tcPr>
            <w:tcW w:w="1835" w:type="dxa"/>
            <w:tcBorders/>
            <w:shd w:fill="CCEEFF" w:val="clear"/>
            <w:vAlign w:val="center"/>
          </w:tcPr>
          <w:p>
            <w:pPr>
              <w:pStyle w:val="TableContents"/>
              <w:bidi w:val="0"/>
              <w:spacing w:before="0" w:after="0"/>
              <w:jc w:val="left"/>
              <w:rPr>
                <w:rFonts w:ascii="ARIAL" w:hAnsi="ARIAL"/>
                <w:spacing w:val="0"/>
                <w:sz w:val="20"/>
                <w:shd w:fill="CCEEFF" w:val="clear"/>
              </w:rPr>
            </w:pPr>
            <w:r>
              <w:rPr>
                <w:rFonts w:ascii="ARIAL" w:hAnsi="ARIAL"/>
                <w:spacing w:val="0"/>
                <w:sz w:val="20"/>
                <w:shd w:fill="CCEEFF" w:val="clear"/>
              </w:rPr>
              <w:t>Revenue Scotland LBTT Refund Regs of Scotland Fees &amp; Assignations for leases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right"/>
              <w:rPr>
                <w:b/>
              </w:rPr>
            </w:pPr>
            <w:r>
              <w:rPr>
                <w:b/>
              </w:rPr>
              <w:t>(1.1</w:t>
            </w:r>
          </w:p>
        </w:tc>
        <w:tc>
          <w:tcPr>
            <w:tcW w:w="155" w:type="dxa"/>
            <w:tcBorders/>
            <w:shd w:fill="CCEEFF" w:val="clear"/>
            <w:vAlign w:val="center"/>
          </w:tcPr>
          <w:p>
            <w:pPr>
              <w:pStyle w:val="TableContents"/>
              <w:bidi w:val="0"/>
              <w:spacing w:before="0" w:after="0"/>
              <w:jc w:val="left"/>
              <w:rPr>
                <w:b/>
              </w:rPr>
            </w:pPr>
            <w:r>
              <w:rPr>
                <w:b/>
              </w:rPr>
              <w:t>) </w:t>
            </w:r>
          </w:p>
        </w:tc>
      </w:tr>
      <w:tr>
        <w:trPr/>
        <w:tc>
          <w:tcPr>
            <w:tcW w:w="1835" w:type="dxa"/>
            <w:tcBorders/>
            <w:vAlign w:val="center"/>
          </w:tcPr>
          <w:p>
            <w:pPr>
              <w:pStyle w:val="TableContents"/>
              <w:bidi w:val="0"/>
              <w:spacing w:before="0" w:after="0"/>
              <w:jc w:val="left"/>
              <w:rPr>
                <w:rFonts w:ascii="ARIAL" w:hAnsi="ARIAL"/>
                <w:spacing w:val="0"/>
                <w:sz w:val="20"/>
              </w:rPr>
            </w:pPr>
            <w:r>
              <w:rPr>
                <w:rFonts w:ascii="ARIAL" w:hAnsi="ARIAL"/>
                <w:spacing w:val="0"/>
                <w:sz w:val="20"/>
              </w:rPr>
              <w:t>Perth &amp; Kinross Council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132.5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right"/>
              <w:rPr>
                <w:b/>
              </w:rPr>
            </w:pPr>
            <w:r>
              <w:rPr>
                <w:b/>
              </w:rPr>
              <w:t>132.5</w:t>
            </w:r>
          </w:p>
        </w:tc>
        <w:tc>
          <w:tcPr>
            <w:tcW w:w="155" w:type="dxa"/>
            <w:tcBorders/>
            <w:vAlign w:val="center"/>
          </w:tcPr>
          <w:p>
            <w:pPr>
              <w:pStyle w:val="TableContents"/>
              <w:bidi w:val="0"/>
              <w:spacing w:before="0" w:after="0"/>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ARIAL" w:hAnsi="ARIAL"/>
                <w:b/>
                <w:spacing w:val="0"/>
                <w:sz w:val="20"/>
                <w:shd w:fill="CCEEFF" w:val="clear"/>
              </w:rPr>
            </w:pPr>
            <w:r>
              <w:rPr>
                <w:rFonts w:ascii="ARIAL" w:hAnsi="ARIAL"/>
                <w:b/>
                <w:spacing w:val="0"/>
                <w:sz w:val="20"/>
                <w:shd w:fill="CCEEFF" w:val="clear"/>
              </w:rPr>
              <w:t>2024 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right"/>
              <w:rPr>
                <w:b/>
              </w:rPr>
            </w:pPr>
            <w:r>
              <w:rPr>
                <w:b/>
              </w:rPr>
              <w:t>131.4</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0"/>
              <w:jc w:val="right"/>
              <w:rPr>
                <w:b/>
              </w:rPr>
            </w:pPr>
            <w:r>
              <w:rPr>
                <w:b/>
              </w:rPr>
              <w:t>17.3</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right"/>
              <w:rPr>
                <w:b/>
              </w:rPr>
            </w:pPr>
            <w:r>
              <w:rPr>
                <w:b/>
              </w:rPr>
              <w:t>13.2</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0"/>
              <w:jc w:val="left"/>
              <w:rPr/>
            </w:pPr>
            <w:r>
              <w:rPr/>
              <w:t> </w:t>
            </w:r>
          </w:p>
        </w:tc>
        <w:tc>
          <w:tcPr>
            <w:tcW w:w="602"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0"/>
              <w:jc w:val="left"/>
              <w:rPr/>
            </w:pPr>
            <w:r>
              <w:rPr/>
              <w:t> </w:t>
            </w:r>
          </w:p>
        </w:tc>
        <w:tc>
          <w:tcPr>
            <w:tcW w:w="728"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0"/>
              <w:jc w:val="left"/>
              <w:rPr/>
            </w:pPr>
            <w:r>
              <w:rPr/>
              <w:t> </w:t>
            </w:r>
          </w:p>
        </w:tc>
        <w:tc>
          <w:tcPr>
            <w:tcW w:w="1012"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560" w:type="dxa"/>
            <w:tcBorders/>
            <w:shd w:fill="CCEEFF" w:val="clear"/>
            <w:vAlign w:val="center"/>
          </w:tcPr>
          <w:p>
            <w:pPr>
              <w:pStyle w:val="TableContents"/>
              <w:bidi w:val="0"/>
              <w:spacing w:before="0" w:after="0"/>
              <w:jc w:val="right"/>
              <w:rPr>
                <w:b/>
              </w:rPr>
            </w:pPr>
            <w:r>
              <w:rPr>
                <w:b/>
              </w:rPr>
              <w:t>161.9</w:t>
            </w:r>
          </w:p>
        </w:tc>
        <w:tc>
          <w:tcPr>
            <w:tcW w:w="155" w:type="dxa"/>
            <w:tcBorders/>
            <w:shd w:fill="CCEEFF" w:val="clear"/>
            <w:vAlign w:val="center"/>
          </w:tcPr>
          <w:p>
            <w:pPr>
              <w:pStyle w:val="TableContents"/>
              <w:bidi w:val="0"/>
              <w:spacing w:before="0" w:after="0"/>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pacing w:val="0"/>
          <w:sz w:val="20"/>
        </w:rPr>
      </w:pPr>
      <w:r>
        <w:rPr>
          <w:rFonts w:ascii="ARIAL" w:hAnsi="ARIAL"/>
          <w:spacing w:val="0"/>
          <w:sz w:val="20"/>
        </w:rPr>
        <w:t xml:space="preserve">All payments made in pound sterling. </w:t>
      </w:r>
    </w:p>
    <w:p>
      <w:pPr>
        <w:pStyle w:val="TextBody"/>
        <w:bidi w:val="0"/>
        <w:spacing w:before="240" w:after="0"/>
        <w:jc w:val="left"/>
        <w:rPr>
          <w:rFonts w:ascii="ARIAL" w:hAnsi="ARIAL"/>
          <w:spacing w:val="0"/>
          <w:sz w:val="20"/>
        </w:rPr>
      </w:pPr>
      <w:r>
        <w:rPr>
          <w:rFonts w:ascii="ARIAL" w:hAnsi="ARIAL"/>
          <w:spacing w:val="0"/>
          <w:sz w:val="20"/>
        </w:rPr>
        <w:t xml:space="preserve">The Foss Mine and Duntanlich projects both utilized the underground </w:t>
      </w:r>
    </w:p>
    <w:p>
      <w:pPr>
        <w:pStyle w:val="TextBody"/>
        <w:bidi w:val="0"/>
        <w:spacing w:before="240" w:after="0"/>
        <w:jc w:val="left"/>
        <w:rPr>
          <w:rFonts w:ascii="ARIAL" w:hAnsi="ARIAL"/>
          <w:spacing w:val="0"/>
          <w:sz w:val="20"/>
        </w:rPr>
      </w:pPr>
      <w:r>
        <w:rPr>
          <w:rFonts w:ascii="ARIAL" w:hAnsi="ARIAL"/>
          <w:spacing w:val="0"/>
          <w:sz w:val="20"/>
        </w:rPr>
        <w:t>mining</w:t>
      </w:r>
    </w:p>
    <w:p>
      <w:pPr>
        <w:pStyle w:val="TextBody"/>
        <w:bidi w:val="0"/>
        <w:spacing w:before="240" w:after="0"/>
        <w:jc w:val="left"/>
        <w:rPr>
          <w:rFonts w:ascii="ARIAL" w:hAnsi="ARIAL"/>
          <w:spacing w:val="0"/>
          <w:sz w:val="20"/>
        </w:rPr>
      </w:pPr>
      <w:r>
        <w:rPr>
          <w:rFonts w:ascii="ARIAL" w:hAnsi="ARIAL"/>
          <w:spacing w:val="0"/>
          <w:sz w:val="20"/>
        </w:rPr>
        <w:t xml:space="preserve">method of extraction. </w:t>
      </w:r>
    </w:p>
    <w:p>
      <w:pPr>
        <w:pStyle w:val="HorizontalLine"/>
        <w:pBdr>
          <w:bottom w:val="double" w:sz="2" w:space="0" w:color="808080"/>
        </w:pBdr>
        <w:bidi w:val="0"/>
        <w:spacing w:before="0" w:after="283"/>
        <w:jc w:val="left"/>
        <w:rPr/>
      </w:pPr>
      <w:r>
        <w:rPr/>
      </w:r>
    </w:p>
    <w:p>
      <w:pPr>
        <w:pStyle w:val="TextBody"/>
        <w:bidi w:val="0"/>
        <w:spacing w:before="0" w:after="0"/>
        <w:jc w:val="left"/>
        <w:rPr>
          <w:rFonts w:ascii="ARIAL" w:hAnsi="ARIAL"/>
          <w:b/>
          <w:spacing w:val="0"/>
          <w:sz w:val="20"/>
        </w:rPr>
      </w:pPr>
      <w:r>
        <w:rPr>
          <w:rFonts w:ascii="ARIAL" w:hAnsi="ARIAL"/>
          <w:b/>
          <w:spacing w:val="0"/>
          <w:sz w:val="20"/>
        </w:rPr>
        <w:t xml:space="preserve">Year ended December 31, 2024 (USD in thousands) </w:t>
      </w:r>
    </w:p>
    <w:p>
      <w:pPr>
        <w:pStyle w:val="TextBody"/>
        <w:bidi w:val="0"/>
        <w:spacing w:before="240" w:after="0"/>
        <w:jc w:val="left"/>
        <w:rPr>
          <w:rFonts w:ascii="ARIAL" w:hAnsi="ARIAL"/>
          <w:b/>
          <w:spacing w:val="0"/>
          <w:sz w:val="20"/>
          <w:u w:val="single"/>
        </w:rPr>
      </w:pPr>
      <w:r>
        <w:rPr>
          <w:rFonts w:ascii="ARIAL" w:hAnsi="ARIAL"/>
          <w:b/>
          <w:spacing w:val="0"/>
          <w:sz w:val="20"/>
          <w:u w:val="single"/>
        </w:rPr>
        <w:t>United States, Nevada</w:t>
      </w:r>
    </w:p>
    <w:p>
      <w:pPr>
        <w:pStyle w:val="TextBody"/>
        <w:bidi w:val="0"/>
        <w:spacing w:before="120" w:after="0"/>
        <w:jc w:val="left"/>
        <w:rPr>
          <w:rFonts w:ascii="ARIAL" w:hAnsi="ARIAL"/>
          <w:b/>
          <w:spacing w:val="0"/>
          <w:sz w:val="20"/>
          <w:u w:val="single"/>
        </w:rPr>
      </w:pPr>
      <w:r>
        <w:rPr>
          <w:rFonts w:ascii="ARIAL" w:hAnsi="ARIAL"/>
          <w:b/>
          <w:spacing w:val="0"/>
          <w:sz w:val="20"/>
          <w:u w:val="single"/>
        </w:rPr>
        <w:t>Project Report</w:t>
      </w:r>
    </w:p>
    <w:p>
      <w:pPr>
        <w:pStyle w:val="TextBody"/>
        <w:bidi w:val="0"/>
        <w:spacing w:before="0" w:after="0"/>
        <w:jc w:val="left"/>
        <w:rPr>
          <w:spacing w:val="0"/>
        </w:rPr>
      </w:pPr>
      <w:r>
        <w:rPr>
          <w:spacing w:val="0"/>
        </w:rPr>
        <w:t> </w:t>
      </w:r>
    </w:p>
    <w:tbl>
      <w:tblPr>
        <w:tblW w:w="11875" w:type="dxa"/>
        <w:jc w:val="left"/>
        <w:tblInd w:w="0" w:type="dxa"/>
        <w:tblLayout w:type="fixed"/>
        <w:tblCellMar>
          <w:top w:w="0" w:type="dxa"/>
          <w:left w:w="0" w:type="dxa"/>
          <w:bottom w:w="0" w:type="dxa"/>
          <w:right w:w="0" w:type="dxa"/>
        </w:tblCellMar>
      </w:tblPr>
      <w:tblGrid>
        <w:gridCol w:w="920"/>
        <w:gridCol w:w="120"/>
        <w:gridCol w:w="186"/>
        <w:gridCol w:w="434"/>
        <w:gridCol w:w="60"/>
        <w:gridCol w:w="120"/>
        <w:gridCol w:w="285"/>
        <w:gridCol w:w="665"/>
        <w:gridCol w:w="60"/>
        <w:gridCol w:w="120"/>
        <w:gridCol w:w="60"/>
        <w:gridCol w:w="560"/>
        <w:gridCol w:w="60"/>
        <w:gridCol w:w="60"/>
        <w:gridCol w:w="388"/>
        <w:gridCol w:w="907"/>
        <w:gridCol w:w="60"/>
        <w:gridCol w:w="120"/>
        <w:gridCol w:w="258"/>
        <w:gridCol w:w="602"/>
        <w:gridCol w:w="60"/>
        <w:gridCol w:w="120"/>
        <w:gridCol w:w="312"/>
        <w:gridCol w:w="728"/>
        <w:gridCol w:w="60"/>
        <w:gridCol w:w="120"/>
        <w:gridCol w:w="447"/>
        <w:gridCol w:w="1043"/>
        <w:gridCol w:w="60"/>
        <w:gridCol w:w="120"/>
        <w:gridCol w:w="546"/>
        <w:gridCol w:w="1274"/>
        <w:gridCol w:w="60"/>
        <w:gridCol w:w="120"/>
        <w:gridCol w:w="140"/>
        <w:gridCol w:w="560"/>
        <w:gridCol w:w="60"/>
      </w:tblGrid>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rPr>
            </w:pPr>
            <w:r>
              <w:rPr>
                <w:b/>
              </w:rPr>
              <w:t>Taxes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rPr>
            </w:pPr>
            <w:r>
              <w:rPr>
                <w:b/>
              </w:rPr>
              <w:t>Royalties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rPr>
            </w:pPr>
            <w:r>
              <w:rPr>
                <w:b/>
              </w:rPr>
              <w:t>Fees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b/>
              </w:rPr>
            </w:pPr>
            <w:r>
              <w:rPr>
                <w:b/>
              </w:rPr>
              <w:t>Production</w:t>
              <w:br/>
              <w:t>Entitlements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rPr>
            </w:pPr>
            <w:r>
              <w:rPr>
                <w:b/>
              </w:rPr>
              <w:t>Bonuses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rPr>
            </w:pPr>
            <w:r>
              <w:rPr>
                <w:b/>
              </w:rPr>
              <w:t>Dividends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rPr>
            </w:pPr>
            <w:r>
              <w:rPr>
                <w:b/>
              </w:rPr>
              <w:t>Payments for</w:t>
              <w:br/>
              <w:t>Infrastructure</w:t>
              <w:br/>
              <w:t>Improvements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vAlign w:val="center"/>
          </w:tcPr>
          <w:p>
            <w:pPr>
              <w:pStyle w:val="TableContents"/>
              <w:bidi w:val="0"/>
              <w:spacing w:before="0" w:after="0"/>
              <w:jc w:val="center"/>
              <w:rPr>
                <w:b/>
              </w:rPr>
            </w:pPr>
            <w:r>
              <w:rPr>
                <w:b/>
              </w:rPr>
              <w:t>Community and</w:t>
              <w:br/>
              <w:t>Social</w:t>
              <w:br/>
              <w:t>Responsibility</w:t>
              <w:br/>
              <w:t>Payments</w:t>
              <w:br/>
              <w:t>Required by Law</w:t>
            </w:r>
          </w:p>
          <w:p>
            <w:pPr>
              <w:pStyle w:val="TableContents"/>
              <w:bidi w:val="0"/>
              <w:spacing w:before="0" w:after="0"/>
              <w:jc w:val="center"/>
              <w:rPr/>
            </w:pPr>
            <w:r>
              <w:rPr/>
            </w:r>
          </w:p>
          <w:p>
            <w:pPr>
              <w:pStyle w:val="TableContents"/>
              <w:bidi w:val="0"/>
              <w:spacing w:before="0" w:after="0"/>
              <w:jc w:val="center"/>
              <w:rPr>
                <w:b/>
              </w:rPr>
            </w:pPr>
            <w:r>
              <w:rPr>
                <w:b/>
              </w:rPr>
              <w:t>or Contract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rPr>
            </w:pPr>
            <w:r>
              <w:rPr>
                <w:b/>
              </w:rPr>
              <w:t>Total</w:t>
            </w:r>
          </w:p>
        </w:tc>
        <w:tc>
          <w:tcPr>
            <w:tcW w:w="60"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rFonts w:ascii="ARIAL" w:hAnsi="ARIAL"/>
                <w:spacing w:val="0"/>
                <w:sz w:val="20"/>
                <w:shd w:fill="CCEEFF" w:val="clear"/>
              </w:rPr>
            </w:pPr>
            <w:r>
              <w:rPr>
                <w:rFonts w:ascii="ARIAL" w:hAnsi="ARIAL"/>
                <w:spacing w:val="0"/>
                <w:sz w:val="20"/>
                <w:shd w:fill="CCEEFF" w:val="clear"/>
              </w:rPr>
              <w:t>Big Bird (Barite)</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right"/>
              <w:rPr>
                <w:b/>
              </w:rPr>
            </w:pPr>
            <w:r>
              <w:rPr>
                <w:b/>
              </w:rPr>
              <w:t>21.8</w:t>
            </w:r>
          </w:p>
        </w:tc>
        <w:tc>
          <w:tcPr>
            <w:tcW w:w="60" w:type="dxa"/>
            <w:tcBorders/>
            <w:shd w:fill="CCEEFF" w:val="clear"/>
            <w:vAlign w:val="center"/>
          </w:tcPr>
          <w:p>
            <w:pPr>
              <w:pStyle w:val="TableContents"/>
              <w:bidi w:val="0"/>
              <w:spacing w:before="0" w:after="0"/>
              <w:jc w:val="left"/>
              <w:rPr/>
            </w:pPr>
            <w:r>
              <w:rPr/>
              <w:t> </w:t>
            </w:r>
          </w:p>
        </w:tc>
      </w:tr>
      <w:tr>
        <w:trPr/>
        <w:tc>
          <w:tcPr>
            <w:tcW w:w="920" w:type="dxa"/>
            <w:tcBorders/>
            <w:vAlign w:val="center"/>
          </w:tcPr>
          <w:p>
            <w:pPr>
              <w:pStyle w:val="TableContents"/>
              <w:bidi w:val="0"/>
              <w:spacing w:before="0" w:after="0"/>
              <w:jc w:val="left"/>
              <w:rPr>
                <w:rFonts w:ascii="ARIAL" w:hAnsi="ARIAL"/>
                <w:spacing w:val="0"/>
                <w:sz w:val="20"/>
              </w:rPr>
            </w:pPr>
            <w:r>
              <w:rPr>
                <w:rFonts w:ascii="ARIAL" w:hAnsi="ARIAL"/>
                <w:spacing w:val="0"/>
                <w:sz w:val="20"/>
              </w:rPr>
              <w:t>Greystone Mine (Barite)</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right"/>
              <w:rPr>
                <w:b/>
              </w:rPr>
            </w:pPr>
            <w:r>
              <w:rPr>
                <w:b/>
              </w:rPr>
              <w:t>9.0</w:t>
            </w:r>
          </w:p>
        </w:tc>
        <w:tc>
          <w:tcPr>
            <w:tcW w:w="60" w:type="dxa"/>
            <w:tcBorders/>
            <w:vAlign w:val="center"/>
          </w:tcPr>
          <w:p>
            <w:pPr>
              <w:pStyle w:val="TableContents"/>
              <w:bidi w:val="0"/>
              <w:spacing w:before="0" w:after="0"/>
              <w:jc w:val="left"/>
              <w:rPr/>
            </w:pPr>
            <w:r>
              <w:rPr/>
              <w:t> </w:t>
            </w:r>
          </w:p>
        </w:tc>
      </w:tr>
      <w:tr>
        <w:trPr/>
        <w:tc>
          <w:tcPr>
            <w:tcW w:w="920" w:type="dxa"/>
            <w:tcBorders/>
            <w:shd w:fill="CCEEFF" w:val="clear"/>
            <w:vAlign w:val="center"/>
          </w:tcPr>
          <w:p>
            <w:pPr>
              <w:pStyle w:val="TableContents"/>
              <w:bidi w:val="0"/>
              <w:spacing w:before="0" w:after="0"/>
              <w:jc w:val="left"/>
              <w:rPr>
                <w:rFonts w:ascii="ARIAL" w:hAnsi="ARIAL"/>
                <w:spacing w:val="0"/>
                <w:sz w:val="20"/>
                <w:shd w:fill="CCEEFF" w:val="clear"/>
              </w:rPr>
            </w:pPr>
            <w:r>
              <w:rPr>
                <w:rFonts w:ascii="ARIAL" w:hAnsi="ARIAL"/>
                <w:spacing w:val="0"/>
                <w:sz w:val="20"/>
                <w:shd w:fill="CCEEFF" w:val="clear"/>
              </w:rPr>
              <w:t>Mountain Springs (Barite)</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right"/>
              <w:rPr>
                <w:b/>
              </w:rPr>
            </w:pPr>
            <w:r>
              <w:rPr>
                <w:b/>
              </w:rPr>
              <w:t>12.4</w:t>
            </w:r>
          </w:p>
        </w:tc>
        <w:tc>
          <w:tcPr>
            <w:tcW w:w="60" w:type="dxa"/>
            <w:tcBorders/>
            <w:shd w:fill="CCEEFF" w:val="clear"/>
            <w:vAlign w:val="center"/>
          </w:tcPr>
          <w:p>
            <w:pPr>
              <w:pStyle w:val="TableContents"/>
              <w:bidi w:val="0"/>
              <w:spacing w:before="0" w:after="0"/>
              <w:jc w:val="left"/>
              <w:rPr/>
            </w:pPr>
            <w:r>
              <w:rPr/>
              <w:t> </w:t>
            </w:r>
          </w:p>
        </w:tc>
      </w:tr>
      <w:tr>
        <w:trPr/>
        <w:tc>
          <w:tcPr>
            <w:tcW w:w="920" w:type="dxa"/>
            <w:tcBorders/>
            <w:vAlign w:val="center"/>
          </w:tcPr>
          <w:p>
            <w:pPr>
              <w:pStyle w:val="TableContents"/>
              <w:bidi w:val="0"/>
              <w:spacing w:before="0" w:after="0"/>
              <w:jc w:val="left"/>
              <w:rPr>
                <w:rFonts w:ascii="ARIAL" w:hAnsi="ARIAL"/>
                <w:spacing w:val="0"/>
                <w:sz w:val="20"/>
              </w:rPr>
            </w:pPr>
            <w:r>
              <w:rPr>
                <w:rFonts w:ascii="ARIAL" w:hAnsi="ARIAL"/>
                <w:spacing w:val="0"/>
                <w:sz w:val="20"/>
              </w:rPr>
              <w:t>Clayton Valley (Lithium)</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right"/>
              <w:rPr>
                <w:b/>
              </w:rPr>
            </w:pPr>
            <w:r>
              <w:rPr>
                <w:b/>
              </w:rPr>
              <w:t>253.2</w:t>
            </w:r>
          </w:p>
        </w:tc>
        <w:tc>
          <w:tcPr>
            <w:tcW w:w="60" w:type="dxa"/>
            <w:tcBorders/>
            <w:vAlign w:val="center"/>
          </w:tcPr>
          <w:p>
            <w:pPr>
              <w:pStyle w:val="TableContents"/>
              <w:bidi w:val="0"/>
              <w:spacing w:before="0" w:after="0"/>
              <w:jc w:val="left"/>
              <w:rPr/>
            </w:pPr>
            <w:r>
              <w:rPr/>
              <w:t> </w:t>
            </w:r>
          </w:p>
        </w:tc>
      </w:tr>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rFonts w:ascii="ARIAL" w:hAnsi="ARIAL"/>
                <w:b/>
                <w:spacing w:val="0"/>
                <w:sz w:val="20"/>
                <w:shd w:fill="CCEEFF" w:val="clear"/>
              </w:rPr>
            </w:pPr>
            <w:r>
              <w:rPr>
                <w:rFonts w:ascii="ARIAL" w:hAnsi="ARIAL"/>
                <w:b/>
                <w:spacing w:val="0"/>
                <w:sz w:val="20"/>
                <w:shd w:fill="CCEEFF" w:val="clear"/>
              </w:rPr>
              <w:t>2024 Total</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right"/>
              <w:rPr>
                <w:b/>
              </w:rPr>
            </w:pPr>
            <w:r>
              <w:rPr>
                <w:b/>
              </w:rPr>
              <w:t>296.4</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0"/>
              <w:jc w:val="left"/>
              <w:rPr/>
            </w:pPr>
            <w:r>
              <w:rPr/>
              <w:t> </w:t>
            </w:r>
          </w:p>
        </w:tc>
        <w:tc>
          <w:tcPr>
            <w:tcW w:w="602"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0"/>
              <w:jc w:val="left"/>
              <w:rPr/>
            </w:pPr>
            <w:r>
              <w:rPr/>
              <w:t> </w:t>
            </w:r>
          </w:p>
        </w:tc>
        <w:tc>
          <w:tcPr>
            <w:tcW w:w="728"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0"/>
              <w:jc w:val="left"/>
              <w:rPr/>
            </w:pPr>
            <w:r>
              <w:rPr/>
              <w:t> </w:t>
            </w:r>
          </w:p>
        </w:tc>
        <w:tc>
          <w:tcPr>
            <w:tcW w:w="1274"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560" w:type="dxa"/>
            <w:tcBorders/>
            <w:shd w:fill="CCEEFF" w:val="clear"/>
            <w:vAlign w:val="center"/>
          </w:tcPr>
          <w:p>
            <w:pPr>
              <w:pStyle w:val="TableContents"/>
              <w:bidi w:val="0"/>
              <w:spacing w:before="0" w:after="0"/>
              <w:jc w:val="right"/>
              <w:rPr>
                <w:b/>
              </w:rPr>
            </w:pPr>
            <w:r>
              <w:rPr>
                <w:b/>
              </w:rPr>
              <w:t>296.4</w:t>
            </w:r>
          </w:p>
        </w:tc>
        <w:tc>
          <w:tcPr>
            <w:tcW w:w="60" w:type="dxa"/>
            <w:tcBorders/>
            <w:shd w:fill="CCEEFF" w:val="clear"/>
            <w:vAlign w:val="center"/>
          </w:tcPr>
          <w:p>
            <w:pPr>
              <w:pStyle w:val="TableContents"/>
              <w:bidi w:val="0"/>
              <w:spacing w:before="0" w:after="0"/>
              <w:jc w:val="left"/>
              <w:rPr/>
            </w:pPr>
            <w:r>
              <w:rPr/>
              <w:t> </w:t>
            </w:r>
          </w:p>
        </w:tc>
      </w:tr>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b/>
          <w:spacing w:val="0"/>
          <w:sz w:val="20"/>
          <w:u w:val="single"/>
        </w:rPr>
      </w:pPr>
      <w:r>
        <w:rPr>
          <w:rFonts w:ascii="ARIAL" w:hAnsi="ARIAL"/>
          <w:b/>
          <w:spacing w:val="0"/>
          <w:sz w:val="20"/>
          <w:u w:val="single"/>
        </w:rPr>
        <w:t>Government Report</w:t>
      </w:r>
    </w:p>
    <w:p>
      <w:pPr>
        <w:pStyle w:val="TextBody"/>
        <w:bidi w:val="0"/>
        <w:spacing w:before="0" w:after="0"/>
        <w:jc w:val="left"/>
        <w:rPr>
          <w:spacing w:val="0"/>
        </w:rPr>
      </w:pPr>
      <w:r>
        <w:rPr>
          <w:spacing w:val="0"/>
        </w:rPr>
        <w:t> </w:t>
      </w:r>
    </w:p>
    <w:tbl>
      <w:tblPr>
        <w:tblW w:w="12160" w:type="dxa"/>
        <w:jc w:val="left"/>
        <w:tblInd w:w="0" w:type="dxa"/>
        <w:tblLayout w:type="fixed"/>
        <w:tblCellMar>
          <w:top w:w="0" w:type="dxa"/>
          <w:left w:w="0" w:type="dxa"/>
          <w:bottom w:w="0" w:type="dxa"/>
          <w:right w:w="0" w:type="dxa"/>
        </w:tblCellMar>
      </w:tblPr>
      <w:tblGrid>
        <w:gridCol w:w="1145"/>
        <w:gridCol w:w="120"/>
        <w:gridCol w:w="186"/>
        <w:gridCol w:w="434"/>
        <w:gridCol w:w="60"/>
        <w:gridCol w:w="120"/>
        <w:gridCol w:w="285"/>
        <w:gridCol w:w="665"/>
        <w:gridCol w:w="60"/>
        <w:gridCol w:w="120"/>
        <w:gridCol w:w="60"/>
        <w:gridCol w:w="560"/>
        <w:gridCol w:w="60"/>
        <w:gridCol w:w="120"/>
        <w:gridCol w:w="388"/>
        <w:gridCol w:w="907"/>
        <w:gridCol w:w="60"/>
        <w:gridCol w:w="120"/>
        <w:gridCol w:w="258"/>
        <w:gridCol w:w="602"/>
        <w:gridCol w:w="60"/>
        <w:gridCol w:w="120"/>
        <w:gridCol w:w="312"/>
        <w:gridCol w:w="728"/>
        <w:gridCol w:w="60"/>
        <w:gridCol w:w="120"/>
        <w:gridCol w:w="447"/>
        <w:gridCol w:w="1043"/>
        <w:gridCol w:w="60"/>
        <w:gridCol w:w="120"/>
        <w:gridCol w:w="546"/>
        <w:gridCol w:w="1274"/>
        <w:gridCol w:w="60"/>
        <w:gridCol w:w="120"/>
        <w:gridCol w:w="140"/>
        <w:gridCol w:w="560"/>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rPr>
            </w:pPr>
            <w:r>
              <w:rPr>
                <w:b/>
              </w:rPr>
              <w:t>Taxes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rPr>
            </w:pPr>
            <w:r>
              <w:rPr>
                <w:b/>
              </w:rPr>
              <w:t>Royalties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rPr>
            </w:pPr>
            <w:r>
              <w:rPr>
                <w:b/>
              </w:rPr>
              <w:t>Fees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b/>
              </w:rPr>
            </w:pPr>
            <w:r>
              <w:rPr>
                <w:b/>
              </w:rPr>
              <w:t>Production</w:t>
              <w:br/>
              <w:t>Entitlements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rPr>
            </w:pPr>
            <w:r>
              <w:rPr>
                <w:b/>
              </w:rPr>
              <w:t>Bonuses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rPr>
            </w:pPr>
            <w:r>
              <w:rPr>
                <w:b/>
              </w:rPr>
              <w:t>Dividends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rPr>
            </w:pPr>
            <w:r>
              <w:rPr>
                <w:b/>
              </w:rPr>
              <w:t>Payments for</w:t>
              <w:br/>
              <w:t>Infrastructure</w:t>
              <w:br/>
              <w:t>Improvements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vAlign w:val="center"/>
          </w:tcPr>
          <w:p>
            <w:pPr>
              <w:pStyle w:val="TableContents"/>
              <w:bidi w:val="0"/>
              <w:spacing w:before="0" w:after="0"/>
              <w:jc w:val="center"/>
              <w:rPr>
                <w:b/>
              </w:rPr>
            </w:pPr>
            <w:r>
              <w:rPr>
                <w:b/>
              </w:rPr>
              <w:t>Community and</w:t>
              <w:br/>
              <w:t>Social</w:t>
              <w:br/>
              <w:t>Responsibility</w:t>
              <w:br/>
              <w:t>Payments</w:t>
              <w:br/>
              <w:t>Required by Law</w:t>
              <w:br/>
              <w:t>or Contract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rPr>
            </w:pPr>
            <w:r>
              <w:rPr>
                <w:b/>
              </w:rPr>
              <w:t>Total</w:t>
            </w:r>
          </w:p>
        </w:tc>
        <w:tc>
          <w:tcPr>
            <w:tcW w:w="60"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ARIAL" w:hAnsi="ARIAL"/>
                <w:spacing w:val="0"/>
                <w:sz w:val="20"/>
                <w:shd w:fill="CCEEFF" w:val="clear"/>
              </w:rPr>
            </w:pPr>
            <w:r>
              <w:rPr>
                <w:rFonts w:ascii="ARIAL" w:hAnsi="ARIAL"/>
                <w:spacing w:val="0"/>
                <w:sz w:val="20"/>
                <w:shd w:fill="CCEEFF" w:val="clear"/>
              </w:rPr>
              <w:t>Bureau of Land Management</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right"/>
              <w:rPr>
                <w:b/>
              </w:rPr>
            </w:pPr>
            <w:r>
              <w:rPr>
                <w:b/>
              </w:rPr>
              <w:t>296.4</w:t>
            </w:r>
          </w:p>
        </w:tc>
        <w:tc>
          <w:tcPr>
            <w:tcW w:w="60" w:type="dxa"/>
            <w:tcBorders/>
            <w:shd w:fill="CCEEFF" w:val="clear"/>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0"/>
              <w:jc w:val="left"/>
              <w:rPr>
                <w:rFonts w:ascii="ARIAL" w:hAnsi="ARIAL"/>
                <w:b/>
                <w:spacing w:val="0"/>
                <w:sz w:val="20"/>
              </w:rPr>
            </w:pPr>
            <w:r>
              <w:rPr>
                <w:rFonts w:ascii="ARIAL" w:hAnsi="ARIAL"/>
                <w:b/>
                <w:spacing w:val="0"/>
                <w:sz w:val="20"/>
              </w:rPr>
              <w:t>2024 Total</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right"/>
              <w:rPr>
                <w:b/>
              </w:rPr>
            </w:pPr>
            <w:r>
              <w:rPr>
                <w:b/>
              </w:rPr>
              <w:t>296.4</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pPr>
            <w:r>
              <w:rPr/>
              <w:t> </w:t>
            </w:r>
          </w:p>
        </w:tc>
        <w:tc>
          <w:tcPr>
            <w:tcW w:w="602"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pPr>
            <w:r>
              <w:rPr/>
              <w:t> </w:t>
            </w:r>
          </w:p>
        </w:tc>
        <w:tc>
          <w:tcPr>
            <w:tcW w:w="728"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pPr>
            <w:r>
              <w:rPr/>
              <w:t> </w:t>
            </w:r>
          </w:p>
        </w:tc>
        <w:tc>
          <w:tcPr>
            <w:tcW w:w="1043"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0"/>
              <w:jc w:val="left"/>
              <w:rPr/>
            </w:pPr>
            <w:r>
              <w:rPr/>
              <w:t> </w:t>
            </w:r>
          </w:p>
        </w:tc>
        <w:tc>
          <w:tcPr>
            <w:tcW w:w="1274" w:type="dxa"/>
            <w:tcBorders/>
            <w:vAlign w:val="center"/>
          </w:tcPr>
          <w:p>
            <w:pPr>
              <w:pStyle w:val="TableContents"/>
              <w:bidi w:val="0"/>
              <w:spacing w:before="0" w:after="0"/>
              <w:jc w:val="right"/>
              <w:rPr>
                <w:b/>
              </w:rPr>
            </w:pPr>
            <w:r>
              <w:rPr>
                <w:b/>
              </w:rPr>
              <w:t>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
              </w:rPr>
            </w:pPr>
            <w:r>
              <w:rPr>
                <w:b/>
              </w:rPr>
              <w:t>$</w:t>
            </w:r>
          </w:p>
        </w:tc>
        <w:tc>
          <w:tcPr>
            <w:tcW w:w="560" w:type="dxa"/>
            <w:tcBorders/>
            <w:vAlign w:val="center"/>
          </w:tcPr>
          <w:p>
            <w:pPr>
              <w:pStyle w:val="TableContents"/>
              <w:bidi w:val="0"/>
              <w:spacing w:before="0" w:after="0"/>
              <w:jc w:val="right"/>
              <w:rPr>
                <w:b/>
              </w:rPr>
            </w:pPr>
            <w:r>
              <w:rPr>
                <w:b/>
              </w:rPr>
              <w:t>296.4</w:t>
            </w:r>
          </w:p>
        </w:tc>
        <w:tc>
          <w:tcPr>
            <w:tcW w:w="60"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pacing w:val="0"/>
          <w:sz w:val="20"/>
        </w:rPr>
      </w:pPr>
      <w:r>
        <w:rPr>
          <w:rFonts w:ascii="ARIAL" w:hAnsi="ARIAL"/>
          <w:spacing w:val="0"/>
          <w:sz w:val="20"/>
        </w:rPr>
        <w:t xml:space="preserve">All payments made in USD. </w:t>
      </w:r>
    </w:p>
    <w:p>
      <w:pPr>
        <w:pStyle w:val="TextBody"/>
        <w:bidi w:val="0"/>
        <w:spacing w:before="240" w:after="0"/>
        <w:jc w:val="left"/>
        <w:rPr>
          <w:rFonts w:ascii="ARIAL" w:hAnsi="ARIAL"/>
          <w:spacing w:val="0"/>
          <w:sz w:val="20"/>
        </w:rPr>
      </w:pPr>
      <w:r>
        <w:rPr>
          <w:rFonts w:ascii="ARIAL" w:hAnsi="ARIAL"/>
          <w:spacing w:val="0"/>
          <w:sz w:val="20"/>
        </w:rPr>
        <w:t xml:space="preserve">The Big Bird, Greystone Mine, and Mountain Springs projects each utilized the open pit method of extraction. </w:t>
      </w:r>
    </w:p>
    <w:p>
      <w:pPr>
        <w:pStyle w:val="TextBody"/>
        <w:bidi w:val="0"/>
        <w:spacing w:before="240" w:after="0"/>
        <w:jc w:val="left"/>
        <w:rPr>
          <w:rFonts w:ascii="ARIAL" w:hAnsi="ARIAL"/>
          <w:spacing w:val="0"/>
          <w:sz w:val="20"/>
        </w:rPr>
      </w:pPr>
      <w:r>
        <w:rPr>
          <w:rFonts w:ascii="ARIAL" w:hAnsi="ARIAL"/>
          <w:spacing w:val="0"/>
          <w:sz w:val="20"/>
        </w:rPr>
        <w:t xml:space="preserve">The Clayton Valley project utilizes aquifers to extract </w:t>
      </w:r>
    </w:p>
    <w:p>
      <w:pPr>
        <w:pStyle w:val="TextBody"/>
        <w:bidi w:val="0"/>
        <w:spacing w:before="240" w:after="0"/>
        <w:jc w:val="left"/>
        <w:rPr>
          <w:rFonts w:ascii="ARIAL" w:hAnsi="ARIAL"/>
          <w:spacing w:val="0"/>
          <w:sz w:val="20"/>
        </w:rPr>
      </w:pPr>
      <w:r>
        <w:rPr>
          <w:rFonts w:ascii="ARIAL" w:hAnsi="ARIAL"/>
          <w:spacing w:val="0"/>
          <w:sz w:val="20"/>
        </w:rPr>
        <w:t>lithium</w:t>
      </w:r>
    </w:p>
    <w:p>
      <w:pPr>
        <w:pStyle w:val="TextBody"/>
        <w:bidi w:val="0"/>
        <w:spacing w:before="240" w:after="0"/>
        <w:jc w:val="left"/>
        <w:rPr>
          <w:rFonts w:ascii="ARIAL" w:hAnsi="ARIAL"/>
          <w:spacing w:val="0"/>
          <w:sz w:val="20"/>
        </w:rPr>
      </w:pPr>
      <w:r>
        <w:rPr>
          <w:rFonts w:ascii="ARIAL" w:hAnsi="ARIAL"/>
          <w:spacing w:val="0"/>
          <w:sz w:val="20"/>
        </w:rPr>
        <w:t xml:space="preserve">from brine. This extraction method differs from the three methods prescribed by the Rules.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 w:hAnsi="ARIAL"/>
          <w:b/>
          <w:spacing w:val="0"/>
          <w:sz w:val="20"/>
        </w:rPr>
      </w:pPr>
      <w:r>
        <w:rPr>
          <w:rFonts w:ascii="ARIAL" w:hAnsi="ARIAL"/>
          <w:b/>
          <w:spacing w:val="0"/>
          <w:sz w:val="20"/>
        </w:rPr>
        <w:t xml:space="preserve">Year ended December 31, 2024 (USD in thousands) </w:t>
      </w:r>
    </w:p>
    <w:p>
      <w:pPr>
        <w:pStyle w:val="TextBody"/>
        <w:bidi w:val="0"/>
        <w:spacing w:before="240" w:after="0"/>
        <w:jc w:val="left"/>
        <w:rPr>
          <w:rFonts w:ascii="ARIAL" w:hAnsi="ARIAL"/>
          <w:b/>
          <w:spacing w:val="0"/>
          <w:sz w:val="20"/>
          <w:u w:val="single"/>
        </w:rPr>
      </w:pPr>
      <w:r>
        <w:rPr>
          <w:rFonts w:ascii="ARIAL" w:hAnsi="ARIAL"/>
          <w:b/>
          <w:spacing w:val="0"/>
          <w:sz w:val="20"/>
          <w:u w:val="single"/>
        </w:rPr>
        <w:t>Total Government Payments</w:t>
      </w:r>
    </w:p>
    <w:p>
      <w:pPr>
        <w:pStyle w:val="TextBody"/>
        <w:bidi w:val="0"/>
        <w:spacing w:before="0" w:after="0"/>
        <w:ind w:left="0" w:right="0" w:hanging="0"/>
        <w:jc w:val="left"/>
        <w:rPr>
          <w:spacing w:val="0"/>
        </w:rPr>
      </w:pPr>
      <w:r>
        <w:rPr>
          <w:spacing w:val="0"/>
        </w:rPr>
        <w:t> </w:t>
      </w:r>
    </w:p>
    <w:tbl>
      <w:tblPr>
        <w:tblW w:w="11785" w:type="dxa"/>
        <w:jc w:val="left"/>
        <w:tblInd w:w="0" w:type="dxa"/>
        <w:tblLayout w:type="fixed"/>
        <w:tblCellMar>
          <w:top w:w="0" w:type="dxa"/>
          <w:left w:w="0" w:type="dxa"/>
          <w:bottom w:w="0" w:type="dxa"/>
          <w:right w:w="0" w:type="dxa"/>
        </w:tblCellMar>
      </w:tblPr>
      <w:tblGrid>
        <w:gridCol w:w="485"/>
        <w:gridCol w:w="120"/>
        <w:gridCol w:w="60"/>
        <w:gridCol w:w="740"/>
        <w:gridCol w:w="60"/>
        <w:gridCol w:w="120"/>
        <w:gridCol w:w="91"/>
        <w:gridCol w:w="859"/>
        <w:gridCol w:w="60"/>
        <w:gridCol w:w="120"/>
        <w:gridCol w:w="60"/>
        <w:gridCol w:w="560"/>
        <w:gridCol w:w="60"/>
        <w:gridCol w:w="120"/>
        <w:gridCol w:w="155"/>
        <w:gridCol w:w="1140"/>
        <w:gridCol w:w="60"/>
        <w:gridCol w:w="120"/>
        <w:gridCol w:w="258"/>
        <w:gridCol w:w="602"/>
        <w:gridCol w:w="60"/>
        <w:gridCol w:w="120"/>
        <w:gridCol w:w="78"/>
        <w:gridCol w:w="962"/>
        <w:gridCol w:w="60"/>
        <w:gridCol w:w="120"/>
        <w:gridCol w:w="447"/>
        <w:gridCol w:w="1043"/>
        <w:gridCol w:w="60"/>
        <w:gridCol w:w="120"/>
        <w:gridCol w:w="523"/>
        <w:gridCol w:w="1222"/>
        <w:gridCol w:w="60"/>
        <w:gridCol w:w="120"/>
        <w:gridCol w:w="140"/>
        <w:gridCol w:w="740"/>
        <w:gridCol w:w="60"/>
      </w:tblGrid>
      <w:tr>
        <w:trPr/>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4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rPr>
            </w:pPr>
            <w:r>
              <w:rPr>
                <w:b/>
              </w:rPr>
              <w:t>Taxes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rPr>
            </w:pPr>
            <w:r>
              <w:rPr>
                <w:b/>
              </w:rPr>
              <w:t>Royalties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rPr>
            </w:pPr>
            <w:r>
              <w:rPr>
                <w:b/>
              </w:rPr>
              <w:t>Fees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0"/>
              <w:jc w:val="center"/>
              <w:rPr>
                <w:b/>
              </w:rPr>
            </w:pPr>
            <w:r>
              <w:rPr>
                <w:b/>
              </w:rPr>
              <w:t>Production</w:t>
              <w:br/>
              <w:t>Entitlements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rPr>
            </w:pPr>
            <w:r>
              <w:rPr>
                <w:b/>
              </w:rPr>
              <w:t>Bonuses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rPr>
            </w:pPr>
            <w:r>
              <w:rPr>
                <w:b/>
              </w:rPr>
              <w:t>Dividends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rPr>
            </w:pPr>
            <w:r>
              <w:rPr>
                <w:b/>
              </w:rPr>
              <w:t>Payments for</w:t>
              <w:br/>
              <w:t>Infrastructure</w:t>
              <w:br/>
              <w:t>Improvements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vAlign w:val="center"/>
          </w:tcPr>
          <w:p>
            <w:pPr>
              <w:pStyle w:val="TableContents"/>
              <w:bidi w:val="0"/>
              <w:spacing w:before="0" w:after="0"/>
              <w:jc w:val="center"/>
              <w:rPr>
                <w:b/>
              </w:rPr>
            </w:pPr>
            <w:r>
              <w:rPr>
                <w:b/>
              </w:rPr>
              <w:t>Community and</w:t>
              <w:br/>
              <w:t>Social</w:t>
              <w:br/>
              <w:t>Responsibility</w:t>
              <w:br/>
              <w:t>Payments</w:t>
              <w:br/>
              <w:t>Required by</w:t>
              <w:br/>
              <w:t>Law or Contract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rPr>
            </w:pPr>
            <w:r>
              <w:rPr>
                <w:b/>
              </w:rPr>
              <w:t>Total</w:t>
            </w:r>
          </w:p>
        </w:tc>
        <w:tc>
          <w:tcPr>
            <w:tcW w:w="60" w:type="dxa"/>
            <w:tcBorders/>
            <w:vAlign w:val="center"/>
          </w:tcPr>
          <w:p>
            <w:pPr>
              <w:pStyle w:val="TableContents"/>
              <w:bidi w:val="0"/>
              <w:spacing w:before="0" w:after="283"/>
              <w:jc w:val="left"/>
              <w:rPr/>
            </w:pPr>
            <w:r>
              <w:rPr/>
              <w:t> </w:t>
            </w:r>
          </w:p>
        </w:tc>
      </w:tr>
      <w:tr>
        <w:trPr/>
        <w:tc>
          <w:tcPr>
            <w:tcW w:w="485" w:type="dxa"/>
            <w:tcBorders/>
            <w:shd w:fill="CCEEFF" w:val="clear"/>
            <w:vAlign w:val="center"/>
          </w:tcPr>
          <w:p>
            <w:pPr>
              <w:pStyle w:val="TableContents"/>
              <w:bidi w:val="0"/>
              <w:spacing w:before="0" w:after="0"/>
              <w:jc w:val="left"/>
              <w:rPr>
                <w:rFonts w:ascii="ARIAL" w:hAnsi="ARIAL"/>
                <w:b/>
                <w:spacing w:val="0"/>
                <w:sz w:val="20"/>
                <w:shd w:fill="CCEEFF" w:val="clear"/>
              </w:rPr>
            </w:pPr>
            <w:r>
              <w:rPr>
                <w:rFonts w:ascii="ARIAL" w:hAnsi="ARIAL"/>
                <w:b/>
                <w:spacing w:val="0"/>
                <w:sz w:val="20"/>
                <w:shd w:fill="CCEEFF" w:val="clear"/>
              </w:rPr>
              <w:t>2024 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right"/>
              <w:rPr>
                <w:b/>
              </w:rPr>
            </w:pPr>
            <w:r>
              <w:rPr>
                <w:b/>
              </w:rPr>
              <w:t>1,855.7</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0"/>
              <w:jc w:val="right"/>
              <w:rPr>
                <w:b/>
              </w:rPr>
            </w:pPr>
            <w:r>
              <w:rPr>
                <w:b/>
              </w:rPr>
              <w:t>208.6</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right"/>
              <w:rPr>
                <w:b/>
              </w:rPr>
            </w:pPr>
            <w:r>
              <w:rPr>
                <w:b/>
              </w:rPr>
              <w:t>315.5</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0"/>
              <w:jc w:val="left"/>
              <w:rPr/>
            </w:pPr>
            <w:r>
              <w:rPr/>
              <w:t> </w:t>
            </w:r>
          </w:p>
        </w:tc>
        <w:tc>
          <w:tcPr>
            <w:tcW w:w="1140" w:type="dxa"/>
            <w:tcBorders/>
            <w:shd w:fill="CCEEFF" w:val="clear"/>
            <w:vAlign w:val="center"/>
          </w:tcPr>
          <w:p>
            <w:pPr>
              <w:pStyle w:val="TableContents"/>
              <w:bidi w:val="0"/>
              <w:spacing w:before="0" w:after="0"/>
              <w:jc w:val="right"/>
              <w:rPr>
                <w:b/>
              </w:rPr>
            </w:pPr>
            <w:r>
              <w:rPr>
                <w:b/>
              </w:rPr>
              <w:t>50.5</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0"/>
              <w:jc w:val="left"/>
              <w:rPr/>
            </w:pPr>
            <w:r>
              <w:rPr/>
              <w:t> </w:t>
            </w:r>
          </w:p>
        </w:tc>
        <w:tc>
          <w:tcPr>
            <w:tcW w:w="602"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0"/>
              <w:jc w:val="left"/>
              <w:rPr/>
            </w:pPr>
            <w:r>
              <w:rPr/>
              <w:t> </w:t>
            </w:r>
          </w:p>
        </w:tc>
        <w:tc>
          <w:tcPr>
            <w:tcW w:w="962" w:type="dxa"/>
            <w:tcBorders/>
            <w:shd w:fill="CCEEFF" w:val="clear"/>
            <w:vAlign w:val="center"/>
          </w:tcPr>
          <w:p>
            <w:pPr>
              <w:pStyle w:val="TableContents"/>
              <w:bidi w:val="0"/>
              <w:spacing w:before="0" w:after="0"/>
              <w:jc w:val="right"/>
              <w:rPr>
                <w:b/>
              </w:rPr>
            </w:pPr>
            <w:r>
              <w:rPr>
                <w:b/>
              </w:rPr>
              <w:t>1,810.9</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0"/>
              <w:jc w:val="left"/>
              <w:rPr/>
            </w:pPr>
            <w:r>
              <w:rPr/>
              <w:t> </w:t>
            </w:r>
          </w:p>
        </w:tc>
        <w:tc>
          <w:tcPr>
            <w:tcW w:w="1222" w:type="dxa"/>
            <w:tcBorders/>
            <w:shd w:fill="CCEEFF" w:val="clear"/>
            <w:vAlign w:val="center"/>
          </w:tcPr>
          <w:p>
            <w:pPr>
              <w:pStyle w:val="TableContents"/>
              <w:bidi w:val="0"/>
              <w:spacing w:before="0" w:after="0"/>
              <w:jc w:val="right"/>
              <w:rPr>
                <w:b/>
              </w:rPr>
            </w:pPr>
            <w:r>
              <w:rPr>
                <w:b/>
              </w:rPr>
              <w:t>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b/>
              </w:rPr>
            </w:pPr>
            <w:r>
              <w:rPr>
                <w:b/>
              </w:rPr>
              <w:t>$</w:t>
            </w:r>
          </w:p>
        </w:tc>
        <w:tc>
          <w:tcPr>
            <w:tcW w:w="740" w:type="dxa"/>
            <w:tcBorders/>
            <w:shd w:fill="CCEEFF" w:val="clear"/>
            <w:vAlign w:val="center"/>
          </w:tcPr>
          <w:p>
            <w:pPr>
              <w:pStyle w:val="TableContents"/>
              <w:bidi w:val="0"/>
              <w:spacing w:before="0" w:after="0"/>
              <w:jc w:val="right"/>
              <w:rPr>
                <w:b/>
              </w:rPr>
            </w:pPr>
            <w:r>
              <w:rPr>
                <w:b/>
              </w:rPr>
              <w:t>4,241.2</w:t>
            </w:r>
          </w:p>
        </w:tc>
        <w:tc>
          <w:tcPr>
            <w:tcW w:w="60" w:type="dxa"/>
            <w:tcBorders/>
            <w:shd w:fill="CCEEFF" w:val="clear"/>
            <w:vAlign w:val="center"/>
          </w:tcPr>
          <w:p>
            <w:pPr>
              <w:pStyle w:val="TableContents"/>
              <w:bidi w:val="0"/>
              <w:spacing w:before="0" w:after="0"/>
              <w:jc w:val="left"/>
              <w:rPr/>
            </w:pPr>
            <w:r>
              <w:rPr/>
              <w:t> </w:t>
            </w:r>
          </w:p>
        </w:tc>
      </w:tr>
      <w:tr>
        <w:trPr/>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tcPr>
          <w:p>
            <w:pPr>
              <w:pStyle w:val="TableContents"/>
              <w:bidi w:val="0"/>
              <w:spacing w:before="0" w:after="283"/>
              <w:jc w:val="left"/>
              <w:rPr>
                <w:sz w:val="4"/>
                <w:szCs w:val="4"/>
              </w:rPr>
            </w:pPr>
            <w:r>
              <w:rPr>
                <w:sz w:val="4"/>
                <w:szCs w:val="4"/>
              </w:rPr>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1263</Words>
  <Characters>6586</Characters>
  <CharactersWithSpaces>9436</CharactersWithSpaces>
  <Paragraphs>1974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SD</dc:title>
</cp:coreProperties>
</file>