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9"/>
        <w:spacing w:after="0"/>
        <w:rPr>
          <w:sz w:val="20"/>
          <w:szCs w:val="20"/>
          <w:color w:val="auto"/>
        </w:rPr>
      </w:pPr>
      <w:r>
        <w:rPr>
          <w:rFonts w:ascii="Courier New" w:cs="Courier New" w:eastAsia="Courier New" w:hAnsi="Courier New"/>
          <w:sz w:val="15"/>
          <w:szCs w:val="15"/>
          <w:color w:val="auto"/>
        </w:rPr>
        <w:t>Washington, D.C. 20549</w:t>
      </w:r>
    </w:p>
    <w:p>
      <w:pPr>
        <w:ind w:left="166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10-Q</w:t>
      </w:r>
    </w:p>
    <w:p>
      <w:pPr>
        <w:ind w:left="30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359"/>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65"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pacing w:after="0"/>
        <w:rPr>
          <w:sz w:val="20"/>
          <w:szCs w:val="20"/>
          <w:color w:val="auto"/>
        </w:rPr>
      </w:pPr>
      <w:r>
        <w:rPr>
          <w:rFonts w:ascii="Courier New" w:cs="Courier New" w:eastAsia="Courier New" w:hAnsi="Courier New"/>
          <w:sz w:val="15"/>
          <w:szCs w:val="15"/>
          <w:color w:val="auto"/>
        </w:rPr>
        <w:t>SEPTEMBER 30,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ind w:left="540"/>
        <w:spacing w:after="0"/>
        <w:rPr>
          <w:sz w:val="20"/>
          <w:szCs w:val="20"/>
          <w:color w:val="auto"/>
        </w:rPr>
      </w:pPr>
      <w:r>
        <w:rPr>
          <w:rFonts w:ascii="Courier New" w:cs="Courier New" w:eastAsia="Courier New" w:hAnsi="Courier New"/>
          <w:sz w:val="15"/>
          <w:szCs w:val="15"/>
          <w:color w:val="auto"/>
        </w:rPr>
        <w:t>1-4601</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380" w:space="720"/>
            <w:col w:w="5119"/>
          </w:cols>
          <w:pgMar w:left="240" w:top="565" w:right="1440" w:bottom="1440" w:gutter="0" w:footer="0" w:header="0"/>
          <w:type w:val="continuous"/>
        </w:sectPr>
      </w:pPr>
    </w:p>
    <w:p>
      <w:pPr>
        <w:ind w:left="2720"/>
        <w:spacing w:after="0"/>
        <w:rPr>
          <w:sz w:val="20"/>
          <w:szCs w:val="20"/>
          <w:color w:val="auto"/>
        </w:rPr>
      </w:pPr>
      <w:r>
        <w:rPr>
          <w:rFonts w:ascii="Courier New" w:cs="Courier New" w:eastAsia="Courier New" w:hAnsi="Courier New"/>
          <w:sz w:val="15"/>
          <w:szCs w:val="15"/>
          <w:color w:val="auto"/>
        </w:rPr>
        <w:t>SCHLUMBERGER N.V.</w:t>
      </w:r>
    </w:p>
    <w:p>
      <w:pPr>
        <w:ind w:left="2460"/>
        <w:spacing w:after="0"/>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65" w:right="1440" w:bottom="1440"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right="1040" w:firstLine="529"/>
        <w:spacing w:after="0" w:line="237" w:lineRule="auto"/>
        <w:rPr>
          <w:sz w:val="20"/>
          <w:szCs w:val="20"/>
          <w:color w:val="auto"/>
        </w:rPr>
      </w:pPr>
      <w:r>
        <w:rPr>
          <w:rFonts w:ascii="Courier New" w:cs="Courier New" w:eastAsia="Courier New" w:hAnsi="Courier New"/>
          <w:sz w:val="15"/>
          <w:szCs w:val="15"/>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52-0684746</w:t>
      </w:r>
    </w:p>
    <w:p>
      <w:pPr>
        <w:ind w:left="2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2">
            <w:col w:w="3760" w:space="720"/>
            <w:col w:w="5739"/>
          </w:cols>
          <w:pgMar w:left="240" w:top="565" w:right="1440" w:bottom="1440" w:gutter="0" w:footer="0" w:header="0"/>
          <w:type w:val="continuous"/>
        </w:sectPr>
      </w:pPr>
    </w:p>
    <w:p>
      <w:pPr>
        <w:spacing w:after="0" w:line="140"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277 PARK AVENUE</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NEW YORK, NEW YORK, U.S.A.</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10172</w:t>
      </w:r>
    </w:p>
    <w:p>
      <w:pPr>
        <w:spacing w:after="0" w:line="180" w:lineRule="exact"/>
        <w:rPr>
          <w:sz w:val="24"/>
          <w:szCs w:val="24"/>
          <w:color w:val="auto"/>
        </w:rPr>
      </w:pPr>
    </w:p>
    <w:p>
      <w:pPr>
        <w:sectPr>
          <w:pgSz w:w="11900" w:h="16838" w:orient="portrait"/>
          <w:cols w:equalWidth="0" w:num="2">
            <w:col w:w="4300" w:space="720"/>
            <w:col w:w="5199"/>
          </w:cols>
          <w:pgMar w:left="240" w:top="56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42 RUE SAINT-DOMINIQUE</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75007</w:t>
      </w:r>
    </w:p>
    <w:p>
      <w:pPr>
        <w:spacing w:after="0" w:line="174" w:lineRule="exact"/>
        <w:rPr>
          <w:sz w:val="24"/>
          <w:szCs w:val="24"/>
          <w:color w:val="auto"/>
        </w:rPr>
      </w:pPr>
    </w:p>
    <w:p>
      <w:pPr>
        <w:sectPr>
          <w:pgSz w:w="11900" w:h="16838" w:orient="portrait"/>
          <w:cols w:equalWidth="0" w:num="2">
            <w:col w:w="4300" w:space="720"/>
            <w:col w:w="5199"/>
          </w:cols>
          <w:pgMar w:left="240" w:top="56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PARKSTRAAT 83</w:t>
      </w:r>
    </w:p>
    <w:p>
      <w:pPr>
        <w:ind w:left="440"/>
        <w:spacing w:after="0"/>
        <w:rPr>
          <w:sz w:val="20"/>
          <w:szCs w:val="20"/>
          <w:color w:val="auto"/>
        </w:rPr>
      </w:pPr>
      <w:r>
        <w:rPr>
          <w:rFonts w:ascii="Courier New" w:cs="Courier New" w:eastAsia="Courier New" w:hAnsi="Courier New"/>
          <w:sz w:val="15"/>
          <w:szCs w:val="15"/>
          <w:color w:val="auto"/>
        </w:rPr>
        <w:t>THE HAGUE,</w:t>
      </w:r>
    </w:p>
    <w:p>
      <w:pPr>
        <w:ind w:left="440"/>
        <w:spacing w:after="0"/>
        <w:rPr>
          <w:sz w:val="20"/>
          <w:szCs w:val="20"/>
          <w:color w:val="auto"/>
        </w:rPr>
      </w:pPr>
      <w:r>
        <w:rPr>
          <w:rFonts w:ascii="Courier New" w:cs="Courier New" w:eastAsia="Courier New" w:hAnsi="Courier New"/>
          <w:sz w:val="15"/>
          <w:szCs w:val="15"/>
          <w:color w:val="auto"/>
        </w:rPr>
        <w:t>THE NETHERLANDS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(Addresses of principal executive</w:t>
      </w:r>
    </w:p>
    <w:p>
      <w:pPr>
        <w:ind w:left="880"/>
        <w:spacing w:after="0"/>
        <w:rPr>
          <w:sz w:val="20"/>
          <w:szCs w:val="20"/>
          <w:color w:val="auto"/>
        </w:rPr>
      </w:pPr>
      <w:r>
        <w:rPr>
          <w:rFonts w:ascii="Courier New" w:cs="Courier New" w:eastAsia="Courier New" w:hAnsi="Courier New"/>
          <w:sz w:val="15"/>
          <w:szCs w:val="15"/>
          <w:color w:val="auto"/>
        </w:rPr>
        <w:t>offices)</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2514 JG</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Codes)</w:t>
      </w:r>
    </w:p>
    <w:p>
      <w:pPr>
        <w:spacing w:after="0" w:line="369" w:lineRule="exact"/>
        <w:rPr>
          <w:sz w:val="24"/>
          <w:szCs w:val="24"/>
          <w:color w:val="auto"/>
        </w:rPr>
      </w:pPr>
    </w:p>
    <w:p>
      <w:pPr>
        <w:sectPr>
          <w:pgSz w:w="11900" w:h="16838" w:orient="portrait"/>
          <w:cols w:equalWidth="0" w:num="2">
            <w:col w:w="4040" w:space="720"/>
            <w:col w:w="5459"/>
          </w:cols>
          <w:pgMar w:left="240" w:top="565"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344"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19"/>
          </w:cols>
          <w:pgMar w:left="240" w:top="565" w:right="1440" w:bottom="1440" w:gutter="0" w:footer="0" w:header="0"/>
          <w:type w:val="continuous"/>
        </w:sectPr>
      </w:pPr>
    </w:p>
    <w:p>
      <w:pPr>
        <w:spacing w:after="0" w:line="176" w:lineRule="exact"/>
        <w:rPr>
          <w:sz w:val="24"/>
          <w:szCs w:val="24"/>
          <w:color w:val="auto"/>
        </w:rPr>
      </w:pPr>
    </w:p>
    <w:p>
      <w:pPr>
        <w:ind w:left="17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rPr>
          <w:sz w:val="20"/>
          <w:szCs w:val="20"/>
          <w:color w:val="auto"/>
        </w:rPr>
      </w:pPr>
      <w:r>
        <w:rPr>
          <w:rFonts w:ascii="Courier New" w:cs="Courier New" w:eastAsia="Courier New" w:hAnsi="Courier New"/>
          <w:sz w:val="15"/>
          <w:szCs w:val="15"/>
          <w:color w:val="auto"/>
        </w:rPr>
        <w:t>____</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349" w:lineRule="exact"/>
        <w:rPr>
          <w:sz w:val="24"/>
          <w:szCs w:val="24"/>
          <w:color w:val="auto"/>
        </w:rPr>
      </w:pPr>
    </w:p>
    <w:p>
      <w:pPr>
        <w:sectPr>
          <w:pgSz w:w="11900" w:h="16838" w:orient="portrait"/>
          <w:cols w:equalWidth="0" w:num="3">
            <w:col w:w="2020" w:space="80"/>
            <w:col w:w="360" w:space="620"/>
            <w:col w:w="7139"/>
          </w:cols>
          <w:pgMar w:left="240" w:top="565" w:right="1440" w:bottom="1440" w:gutter="0" w:footer="0" w:header="0"/>
          <w:type w:val="continuous"/>
        </w:sectPr>
      </w:pPr>
    </w:p>
    <w:p>
      <w:pPr>
        <w:ind w:right="3539"/>
        <w:spacing w:after="0" w:line="23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565" w:right="1440" w:bottom="1440" w:gutter="0" w:footer="0" w:header="0"/>
          <w:type w:val="continuous"/>
        </w:sectPr>
      </w:pPr>
    </w:p>
    <w:p>
      <w:pPr>
        <w:spacing w:after="0" w:line="170"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Outstanding at October 31, 1999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2800" w:space="720"/>
            <w:col w:w="6699"/>
          </w:cols>
          <w:pgMar w:left="240" w:top="5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549,844,351</w:t>
      </w:r>
    </w:p>
    <w:p>
      <w:pPr>
        <w:sectPr>
          <w:pgSz w:w="11900" w:h="16838" w:orient="portrait"/>
          <w:cols w:equalWidth="0" w:num="2">
            <w:col w:w="4040" w:space="720"/>
            <w:col w:w="5459"/>
          </w:cols>
          <w:pgMar w:left="240" w:top="565" w:right="1440" w:bottom="1440" w:gutter="0" w:footer="0" w:header="0"/>
          <w:type w:val="continuous"/>
        </w:sectPr>
      </w:pPr>
    </w:p>
    <w:bookmarkStart w:id="1" w:name="page2"/>
    <w:bookmarkEnd w:id="1"/>
    <w:p>
      <w:pPr>
        <w:ind w:left="2210"/>
        <w:spacing w:after="0"/>
        <w:rPr>
          <w:sz w:val="20"/>
          <w:szCs w:val="20"/>
          <w:color w:val="auto"/>
        </w:rPr>
      </w:pPr>
      <w:r>
        <w:rPr>
          <w:rFonts w:ascii="Courier New" w:cs="Courier New" w:eastAsia="Courier New" w:hAnsi="Courier New"/>
          <w:sz w:val="15"/>
          <w:szCs w:val="15"/>
          <w:color w:val="auto"/>
        </w:rPr>
        <w:t>PART I. FINANCIAL INFORMATION</w:t>
      </w:r>
    </w:p>
    <w:p>
      <w:pPr>
        <w:ind w:left="221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Financial Statements</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SCHLUMBERGER LIMITED</w:t>
      </w:r>
    </w:p>
    <w:p>
      <w:pPr>
        <w:ind w:left="2550"/>
        <w:spacing w:after="0"/>
        <w:rPr>
          <w:sz w:val="20"/>
          <w:szCs w:val="20"/>
          <w:color w:val="auto"/>
        </w:rPr>
      </w:pPr>
      <w:r>
        <w:rPr>
          <w:rFonts w:ascii="Courier New" w:cs="Courier New" w:eastAsia="Courier New" w:hAnsi="Courier New"/>
          <w:sz w:val="15"/>
          <w:szCs w:val="15"/>
          <w:color w:val="auto"/>
        </w:rPr>
        <w:t>--------------------</w:t>
      </w:r>
    </w:p>
    <w:p>
      <w:pPr>
        <w:jc w:val="center"/>
        <w:ind w:right="4550"/>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4650"/>
        <w:spacing w:after="0" w:line="238" w:lineRule="auto"/>
        <w:rPr>
          <w:sz w:val="20"/>
          <w:szCs w:val="20"/>
          <w:color w:val="auto"/>
        </w:rPr>
      </w:pPr>
      <w:r>
        <w:rPr>
          <w:rFonts w:ascii="Courier New" w:cs="Courier New" w:eastAsia="Courier New" w:hAnsi="Courier New"/>
          <w:sz w:val="15"/>
          <w:szCs w:val="15"/>
          <w:color w:val="auto"/>
        </w:rPr>
        <w:t>and Subsidiary Companies</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CONSOLIDATED STATEMENT OF INCOME (1)</w:t>
      </w:r>
    </w:p>
    <w:p>
      <w:pPr>
        <w:ind w:left="1850"/>
        <w:spacing w:after="0"/>
        <w:rPr>
          <w:sz w:val="20"/>
          <w:szCs w:val="20"/>
          <w:color w:val="auto"/>
        </w:rPr>
      </w:pPr>
      <w:r>
        <w:rPr>
          <w:rFonts w:ascii="Courier New" w:cs="Courier New" w:eastAsia="Courier New" w:hAnsi="Courier New"/>
          <w:sz w:val="15"/>
          <w:szCs w:val="15"/>
          <w:color w:val="auto"/>
        </w:rPr>
        <w:t>--------------------------------</w:t>
      </w:r>
    </w:p>
    <w:tbl>
      <w:tblPr>
        <w:tblLayout w:type="fixed"/>
        <w:tblInd w:w="10" w:type="dxa"/>
        <w:tblCellMar>
          <w:top w:w="0" w:type="dxa"/>
          <w:left w:w="0" w:type="dxa"/>
          <w:bottom w:w="0" w:type="dxa"/>
          <w:right w:w="0" w:type="dxa"/>
        </w:tblCellMar>
      </w:tblPr>
      <w:tr>
        <w:trPr>
          <w:trHeight w:val="169"/>
        </w:trPr>
        <w:tc>
          <w:tcPr>
            <w:tcW w:w="422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9"/>
        </w:trPr>
        <w:tc>
          <w:tcPr>
            <w:tcW w:w="5760" w:type="dxa"/>
            <w:vAlign w:val="bottom"/>
            <w:gridSpan w:val="3"/>
          </w:tcPr>
          <w:p>
            <w:pPr>
              <w:ind w:left="2980"/>
              <w:spacing w:after="0"/>
              <w:rPr>
                <w:sz w:val="20"/>
                <w:szCs w:val="20"/>
                <w:color w:val="auto"/>
              </w:rPr>
            </w:pPr>
            <w:r>
              <w:rPr>
                <w:rFonts w:ascii="Courier New" w:cs="Courier New" w:eastAsia="Courier New" w:hAnsi="Courier New"/>
                <w:sz w:val="15"/>
                <w:szCs w:val="15"/>
                <w:color w:val="auto"/>
                <w:w w:val="98"/>
              </w:rPr>
              <w:t>(Stated in thousands except per</w:t>
            </w:r>
          </w:p>
        </w:tc>
        <w:tc>
          <w:tcPr>
            <w:tcW w:w="252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w w:val="99"/>
              </w:rPr>
              <w:t>share amounts)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78"/>
        </w:trPr>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3"/>
          </w:tcPr>
          <w:p>
            <w:pPr>
              <w:ind w:left="660"/>
              <w:spacing w:after="0"/>
              <w:rPr>
                <w:sz w:val="20"/>
                <w:szCs w:val="20"/>
                <w:color w:val="auto"/>
              </w:rPr>
            </w:pPr>
            <w:r>
              <w:rPr>
                <w:rFonts w:ascii="Courier New" w:cs="Courier New" w:eastAsia="Courier New" w:hAnsi="Courier New"/>
                <w:sz w:val="15"/>
                <w:szCs w:val="15"/>
                <w:color w:val="auto"/>
                <w:w w:val="97"/>
              </w:rPr>
              <w:t>Periods Ended September 30,</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7300" w:type="dxa"/>
            <w:vAlign w:val="bottom"/>
            <w:gridSpan w:val="8"/>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2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Third Quarter</w:t>
            </w:r>
          </w:p>
        </w:tc>
        <w:tc>
          <w:tcPr>
            <w:tcW w:w="520" w:type="dxa"/>
            <w:vAlign w:val="bottom"/>
          </w:tcPr>
          <w:p>
            <w:pPr>
              <w:spacing w:after="0"/>
              <w:rPr>
                <w:sz w:val="14"/>
                <w:szCs w:val="14"/>
                <w:color w:val="auto"/>
              </w:rPr>
            </w:pPr>
          </w:p>
        </w:tc>
        <w:tc>
          <w:tcPr>
            <w:tcW w:w="2720" w:type="dxa"/>
            <w:vAlign w:val="bottom"/>
            <w:gridSpan w:val="3"/>
          </w:tcPr>
          <w:p>
            <w:pPr>
              <w:jc w:val="center"/>
              <w:ind w:right="87"/>
              <w:spacing w:after="0"/>
              <w:rPr>
                <w:sz w:val="20"/>
                <w:szCs w:val="20"/>
                <w:color w:val="auto"/>
              </w:rPr>
            </w:pPr>
            <w:r>
              <w:rPr>
                <w:rFonts w:ascii="Courier New" w:cs="Courier New" w:eastAsia="Courier New" w:hAnsi="Courier New"/>
                <w:sz w:val="15"/>
                <w:szCs w:val="15"/>
                <w:color w:val="auto"/>
                <w:w w:val="96"/>
              </w:rPr>
              <w:t>Nine Months</w:t>
            </w:r>
          </w:p>
        </w:tc>
      </w:tr>
      <w:tr>
        <w:trPr>
          <w:trHeight w:val="170"/>
        </w:trPr>
        <w:tc>
          <w:tcPr>
            <w:tcW w:w="42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1"/>
              </w:rPr>
              <w: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spacing w:after="0"/>
              <w:rPr>
                <w:sz w:val="14"/>
                <w:szCs w:val="14"/>
                <w:color w:val="auto"/>
              </w:rPr>
            </w:pPr>
          </w:p>
        </w:tc>
        <w:tc>
          <w:tcPr>
            <w:tcW w:w="16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12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2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4"/>
              </w:rPr>
              <w:t>--------------------</w:t>
            </w:r>
          </w:p>
        </w:tc>
        <w:tc>
          <w:tcPr>
            <w:tcW w:w="25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2,249,315</w:t>
            </w:r>
          </w:p>
        </w:tc>
        <w:tc>
          <w:tcPr>
            <w:tcW w:w="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2,932,447</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6,730,040</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9,040,053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&amp; other income</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61,974</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48,562</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286,534</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120,989</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2,311,289</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2,981,009</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7,016,574</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9,161,042</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goods sold &amp; services</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1,744,912</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2,581,356</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5,382,887</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6,956,899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Research &amp; engineering</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134,051</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137,392</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398,565</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430,884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Marketing</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113,252</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119,966</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324,006</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349,081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99,065</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112,782</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300,904</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341,439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47,681</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41,665</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142,420</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92,854</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2,138,961</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2,993,161</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6,548,782</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8,171,157</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before taxes</w:t>
            </w: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172,328</w:t>
            </w:r>
          </w:p>
        </w:tc>
        <w:tc>
          <w:tcPr>
            <w:tcW w:w="920" w:type="dxa"/>
            <w:vAlign w:val="bottom"/>
          </w:tcPr>
          <w:p>
            <w:pPr>
              <w:spacing w:after="0"/>
              <w:rPr>
                <w:sz w:val="24"/>
                <w:szCs w:val="2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(12,152)</w:t>
            </w:r>
          </w:p>
        </w:tc>
        <w:tc>
          <w:tcPr>
            <w:tcW w:w="52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467,792</w:t>
            </w:r>
          </w:p>
        </w:tc>
        <w:tc>
          <w:tcPr>
            <w:tcW w:w="300" w:type="dxa"/>
            <w:vAlign w:val="bottom"/>
          </w:tcPr>
          <w:p>
            <w:pPr>
              <w:spacing w:after="0"/>
              <w:rPr>
                <w:sz w:val="24"/>
                <w:szCs w:val="2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989,885</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33,347</w:t>
            </w:r>
          </w:p>
        </w:tc>
        <w:tc>
          <w:tcPr>
            <w:tcW w:w="920" w:type="dxa"/>
            <w:vAlign w:val="bottom"/>
          </w:tcPr>
          <w:p>
            <w:pPr>
              <w:spacing w:after="0"/>
              <w:rPr>
                <w:sz w:val="24"/>
                <w:szCs w:val="2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17,323</w:t>
            </w:r>
          </w:p>
        </w:tc>
        <w:tc>
          <w:tcPr>
            <w:tcW w:w="52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112,357</w:t>
            </w:r>
          </w:p>
        </w:tc>
        <w:tc>
          <w:tcPr>
            <w:tcW w:w="300" w:type="dxa"/>
            <w:vAlign w:val="bottom"/>
          </w:tcPr>
          <w:p>
            <w:pPr>
              <w:spacing w:after="0"/>
              <w:rPr>
                <w:sz w:val="24"/>
                <w:szCs w:val="2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253,532</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(Loss) (1)</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138,981</w:t>
            </w:r>
          </w:p>
        </w:tc>
        <w:tc>
          <w:tcPr>
            <w:tcW w:w="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(29,475)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355,435</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736,353</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(0.05)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0.64</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(1)</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c>
          <w:tcPr>
            <w:tcW w:w="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(0.05)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0.64</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1.31</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7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548,671</w:t>
            </w:r>
          </w:p>
        </w:tc>
        <w:tc>
          <w:tcPr>
            <w:tcW w:w="920" w:type="dxa"/>
            <w:vAlign w:val="bottom"/>
          </w:tcPr>
          <w:p>
            <w:pPr>
              <w:spacing w:after="0"/>
              <w:rPr>
                <w:sz w:val="24"/>
                <w:szCs w:val="2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545,110</w:t>
            </w:r>
          </w:p>
        </w:tc>
        <w:tc>
          <w:tcPr>
            <w:tcW w:w="52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547,386</w:t>
            </w:r>
          </w:p>
        </w:tc>
        <w:tc>
          <w:tcPr>
            <w:tcW w:w="300" w:type="dxa"/>
            <w:vAlign w:val="bottom"/>
          </w:tcPr>
          <w:p>
            <w:pPr>
              <w:spacing w:after="0"/>
              <w:rPr>
                <w:sz w:val="24"/>
                <w:szCs w:val="2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543,800</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4220" w:type="dxa"/>
            <w:vAlign w:val="bottom"/>
          </w:tcPr>
          <w:p>
            <w:pPr>
              <w:ind w:left="160"/>
              <w:spacing w:after="0"/>
              <w:rPr>
                <w:sz w:val="20"/>
                <w:szCs w:val="20"/>
                <w:color w:val="auto"/>
              </w:rPr>
            </w:pPr>
            <w:r>
              <w:rPr>
                <w:rFonts w:ascii="Courier New" w:cs="Courier New" w:eastAsia="Courier New" w:hAnsi="Courier New"/>
                <w:sz w:val="15"/>
                <w:szCs w:val="15"/>
                <w:color w:val="auto"/>
              </w:rPr>
              <w:t>assuming dilution</w:t>
            </w: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565,551</w:t>
            </w:r>
          </w:p>
        </w:tc>
        <w:tc>
          <w:tcPr>
            <w:tcW w:w="920" w:type="dxa"/>
            <w:vAlign w:val="bottom"/>
          </w:tcPr>
          <w:p>
            <w:pPr>
              <w:spacing w:after="0"/>
              <w:rPr>
                <w:sz w:val="14"/>
                <w:szCs w:val="14"/>
                <w:color w:val="auto"/>
              </w:rPr>
            </w:pP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560,773</w:t>
            </w:r>
          </w:p>
        </w:tc>
        <w:tc>
          <w:tcPr>
            <w:tcW w:w="52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562,998</w:t>
            </w:r>
          </w:p>
        </w:tc>
        <w:tc>
          <w:tcPr>
            <w:tcW w:w="300" w:type="dxa"/>
            <w:vAlign w:val="bottom"/>
          </w:tcPr>
          <w:p>
            <w:pPr>
              <w:spacing w:after="0"/>
              <w:rPr>
                <w:sz w:val="14"/>
                <w:szCs w:val="14"/>
                <w:color w:val="auto"/>
              </w:rPr>
            </w:pP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563,137</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7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0.1875</w:t>
            </w:r>
          </w:p>
        </w:tc>
        <w:tc>
          <w:tcPr>
            <w:tcW w:w="92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0.1875</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0.5625</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0.5625</w:t>
            </w:r>
          </w:p>
        </w:tc>
      </w:tr>
      <w:tr>
        <w:trPr>
          <w:trHeight w:val="170"/>
        </w:trPr>
        <w:tc>
          <w:tcPr>
            <w:tcW w:w="42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270" w:right="4560" w:hanging="270"/>
        <w:spacing w:after="0" w:line="237" w:lineRule="auto"/>
        <w:tabs>
          <w:tab w:leader="none" w:pos="35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third-quarter results included an after-tax charge of $380 million ($0.68 per share-diluted). The 1999 first-quarter results included an after-tax charge of $90 million ($0.16 per share-diluted).</w:t>
      </w:r>
    </w:p>
    <w:p>
      <w:pPr>
        <w:spacing w:after="0" w:line="169" w:lineRule="exact"/>
        <w:rPr>
          <w:sz w:val="20"/>
          <w:szCs w:val="20"/>
          <w:color w:val="auto"/>
        </w:rPr>
      </w:pPr>
    </w:p>
    <w:p>
      <w:pPr>
        <w:jc w:val="center"/>
        <w:ind w:right="465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30"/>
          </w:cols>
          <w:pgMar w:left="230" w:top="622" w:right="139"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5"/>
          <w:szCs w:val="15"/>
          <w:color w:val="auto"/>
        </w:rPr>
        <w:t>SCHLUMBERGER LIMITED</w:t>
      </w:r>
    </w:p>
    <w:p>
      <w:pPr>
        <w:ind w:left="2540"/>
        <w:spacing w:after="0"/>
        <w:rPr>
          <w:sz w:val="20"/>
          <w:szCs w:val="20"/>
          <w:color w:val="auto"/>
        </w:rPr>
      </w:pPr>
      <w:r>
        <w:rPr>
          <w:rFonts w:ascii="Courier New" w:cs="Courier New" w:eastAsia="Courier New" w:hAnsi="Courier New"/>
          <w:sz w:val="15"/>
          <w:szCs w:val="15"/>
          <w:color w:val="auto"/>
        </w:rPr>
        <w:t>--------------------</w:t>
      </w:r>
    </w:p>
    <w:p>
      <w:pPr>
        <w:jc w:val="center"/>
        <w:ind w:right="327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359"/>
        <w:spacing w:after="0" w:line="238" w:lineRule="auto"/>
        <w:rPr>
          <w:sz w:val="20"/>
          <w:szCs w:val="20"/>
          <w:color w:val="auto"/>
        </w:rPr>
      </w:pPr>
      <w:r>
        <w:rPr>
          <w:rFonts w:ascii="Courier New" w:cs="Courier New" w:eastAsia="Courier New" w:hAnsi="Courier New"/>
          <w:sz w:val="15"/>
          <w:szCs w:val="15"/>
          <w:color w:val="auto"/>
        </w:rPr>
        <w:t>and Subsidiary Companies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w:t>
      </w:r>
    </w:p>
    <w:p>
      <w:pPr>
        <w:ind w:left="228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10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8"/>
        </w:trPr>
        <w:tc>
          <w:tcPr>
            <w:tcW w:w="5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6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(Dollars in thousands)</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Sept. 30,</w:t>
            </w:r>
          </w:p>
        </w:tc>
        <w:tc>
          <w:tcPr>
            <w:tcW w:w="4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4,021,531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3,956,694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510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(1999 - $103,081; 1998 - $89,556)</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2,694,001</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2,968,070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1,342,401</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1,333,131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295,665</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295,974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284,398</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251,355</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8,637,996</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8,805,224</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14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694,679</w:t>
            </w:r>
          </w:p>
        </w:tc>
        <w:tc>
          <w:tcPr>
            <w:tcW w:w="40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855,172</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114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516,189</w:t>
            </w:r>
          </w:p>
        </w:tc>
        <w:tc>
          <w:tcPr>
            <w:tcW w:w="40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84,844</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12,014,924</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11,658,743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1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(7,145,655)</w:t>
            </w:r>
          </w:p>
        </w:tc>
        <w:tc>
          <w:tcPr>
            <w:tcW w:w="4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(6,964,278)</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4,869,269</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4,694,465</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COMPANIES PURCHASED less amortization</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1,321,744</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1,302,678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TAXES ON INCOME</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208,054</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202,630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111,467</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132,916</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16,359,398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16,077,929</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510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6"/>
              </w:rPr>
              <w:t>- ----------------------------------</w:t>
            </w: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2,459,195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2,539,954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Estimated liability for taxes on income</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411,502</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480,123</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Bank loans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621,461</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708,978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Dividend payable</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103,590</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102,891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debt due within one year</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120,266</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86,722</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3,716,014</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3,918,668</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40" w:type="dxa"/>
            <w:vAlign w:val="bottom"/>
          </w:tcPr>
          <w:p>
            <w:pPr>
              <w:spacing w:after="0"/>
              <w:rPr>
                <w:sz w:val="24"/>
                <w:szCs w:val="2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3,563,146</w:t>
            </w:r>
          </w:p>
        </w:tc>
        <w:tc>
          <w:tcPr>
            <w:tcW w:w="400" w:type="dxa"/>
            <w:vAlign w:val="bottom"/>
          </w:tcPr>
          <w:p>
            <w:pPr>
              <w:spacing w:after="0"/>
              <w:rPr>
                <w:sz w:val="24"/>
                <w:szCs w:val="2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3,285,444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POSTRETIREMENT BENEFITS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452,629</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432,791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341,497</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321,951</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8,073,286</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7,958,854</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1,639,218</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1,539,408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Income retained for use in the business</w:t>
            </w: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8,929,792</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8,882,455</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11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(2,179,382)</w:t>
            </w:r>
          </w:p>
        </w:tc>
        <w:tc>
          <w:tcPr>
            <w:tcW w:w="4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(2,221,308)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Translation adjustment</w:t>
            </w:r>
          </w:p>
        </w:tc>
        <w:tc>
          <w:tcPr>
            <w:tcW w:w="1140" w:type="dxa"/>
            <w:vAlign w:val="bottom"/>
          </w:tcPr>
          <w:p>
            <w:pPr>
              <w:spacing w:after="0"/>
              <w:rPr>
                <w:sz w:val="14"/>
                <w:szCs w:val="14"/>
                <w:color w:val="auto"/>
              </w:rPr>
            </w:pPr>
          </w:p>
        </w:tc>
        <w:tc>
          <w:tcPr>
            <w:tcW w:w="15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(103,516)</w:t>
            </w:r>
          </w:p>
        </w:tc>
        <w:tc>
          <w:tcPr>
            <w:tcW w:w="4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(81,480)</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8,286,112</w:t>
            </w:r>
          </w:p>
        </w:tc>
        <w:tc>
          <w:tcPr>
            <w:tcW w:w="40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8,119,075</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16,359,398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16,077,929</w:t>
            </w:r>
          </w:p>
        </w:tc>
      </w:tr>
      <w:tr>
        <w:trPr>
          <w:trHeight w:val="170"/>
        </w:trPr>
        <w:tc>
          <w:tcPr>
            <w:tcW w:w="5100" w:type="dxa"/>
            <w:vAlign w:val="bottom"/>
          </w:tcPr>
          <w:p>
            <w:pPr>
              <w:spacing w:after="0"/>
              <w:rPr>
                <w:sz w:val="14"/>
                <w:szCs w:val="14"/>
                <w:color w:val="auto"/>
              </w:rPr>
            </w:pPr>
          </w:p>
        </w:tc>
        <w:tc>
          <w:tcPr>
            <w:tcW w:w="26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Reclassified, in part, for comparative purposes.</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ind w:left="2540"/>
        <w:spacing w:after="0"/>
        <w:rPr>
          <w:sz w:val="20"/>
          <w:szCs w:val="20"/>
          <w:color w:val="auto"/>
        </w:rPr>
      </w:pPr>
      <w:r>
        <w:rPr>
          <w:rFonts w:ascii="Courier New" w:cs="Courier New" w:eastAsia="Courier New" w:hAnsi="Courier New"/>
          <w:sz w:val="15"/>
          <w:szCs w:val="15"/>
          <w:color w:val="auto"/>
        </w:rPr>
        <w:t>SCHLUMBERGER LIMITED</w:t>
      </w:r>
    </w:p>
    <w:p>
      <w:pPr>
        <w:ind w:left="2540"/>
        <w:spacing w:after="0"/>
        <w:rPr>
          <w:sz w:val="20"/>
          <w:szCs w:val="20"/>
          <w:color w:val="auto"/>
        </w:rPr>
      </w:pPr>
      <w:r>
        <w:rPr>
          <w:rFonts w:ascii="Courier New" w:cs="Courier New" w:eastAsia="Courier New" w:hAnsi="Courier New"/>
          <w:sz w:val="15"/>
          <w:szCs w:val="15"/>
          <w:color w:val="auto"/>
        </w:rPr>
        <w:t>--------------------</w:t>
      </w:r>
    </w:p>
    <w:p>
      <w:pPr>
        <w:jc w:val="center"/>
        <w:ind w:right="327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359"/>
        <w:spacing w:after="0" w:line="238" w:lineRule="auto"/>
        <w:rPr>
          <w:sz w:val="20"/>
          <w:szCs w:val="20"/>
          <w:color w:val="auto"/>
        </w:rPr>
      </w:pPr>
      <w:r>
        <w:rPr>
          <w:rFonts w:ascii="Courier New" w:cs="Courier New" w:eastAsia="Courier New" w:hAnsi="Courier New"/>
          <w:sz w:val="15"/>
          <w:szCs w:val="15"/>
          <w:color w:val="auto"/>
        </w:rPr>
        <w:t>and Subsidiary Companies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 OF CASH FLOW</w:t>
      </w:r>
    </w:p>
    <w:p>
      <w:pPr>
        <w:ind w:left="192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2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(Dollars in thousands)</w:t>
            </w:r>
          </w:p>
        </w:tc>
      </w:tr>
      <w:tr>
        <w:trPr>
          <w:trHeight w:val="339"/>
        </w:trPr>
        <w:tc>
          <w:tcPr>
            <w:tcW w:w="20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spacing w:after="0"/>
              <w:rPr>
                <w:sz w:val="14"/>
                <w:szCs w:val="1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40" w:type="dxa"/>
            <w:vAlign w:val="bottom"/>
          </w:tcPr>
          <w:p>
            <w:pPr>
              <w:spacing w:after="0"/>
              <w:rPr>
                <w:sz w:val="14"/>
                <w:szCs w:val="14"/>
                <w:color w:val="auto"/>
              </w:rPr>
            </w:pP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140" w:type="dxa"/>
            <w:vAlign w:val="bottom"/>
          </w:tcPr>
          <w:p>
            <w:pPr>
              <w:spacing w:after="0"/>
              <w:rPr>
                <w:sz w:val="24"/>
                <w:szCs w:val="2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355,435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736,353</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First quarter 1999/third quarter 1998 charge</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90,117</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380,000</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 to reconcile net income to cash</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provided by operating activities: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848,911</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845,088</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Earnings of companies carried at equity,</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less dividends received (Dividends: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1999 - $506; 1998 - $671)</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(6,843)</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(9,150)</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37,709</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30,382</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Decrease (increase) in receivables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152,068</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(227,513)</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(Increase) in inventories</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(73,342)</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(152,842)</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(Increase) in deferred taxes on income</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(23,233)</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(14,083)</w:t>
            </w:r>
          </w:p>
        </w:tc>
      </w:tr>
      <w:tr>
        <w:trPr>
          <w:trHeight w:val="170"/>
        </w:trPr>
        <w:tc>
          <w:tcPr>
            <w:tcW w:w="52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(Decrease) in accounts payable and accrued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060" w:type="dxa"/>
            <w:vAlign w:val="bottom"/>
          </w:tcPr>
          <w:p>
            <w:pPr>
              <w:ind w:left="600"/>
              <w:spacing w:after="0"/>
              <w:rPr>
                <w:sz w:val="20"/>
                <w:szCs w:val="20"/>
                <w:color w:val="auto"/>
              </w:rPr>
            </w:pPr>
            <w:r>
              <w:rPr>
                <w:rFonts w:ascii="Courier New" w:cs="Courier New" w:eastAsia="Courier New" w:hAnsi="Courier New"/>
                <w:sz w:val="15"/>
                <w:szCs w:val="15"/>
                <w:color w:val="auto"/>
              </w:rPr>
              <w:t>liabilities</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(315,186)</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(149,981)</w:t>
            </w:r>
          </w:p>
        </w:tc>
      </w:tr>
      <w:tr>
        <w:trPr>
          <w:trHeight w:val="170"/>
        </w:trPr>
        <w:tc>
          <w:tcPr>
            <w:tcW w:w="52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(Decrease) increase in estimated liability</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for taxes on income</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(52,049)</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108,657</w:t>
            </w:r>
          </w:p>
        </w:tc>
      </w:tr>
      <w:tr>
        <w:trPr>
          <w:trHeight w:val="170"/>
        </w:trPr>
        <w:tc>
          <w:tcPr>
            <w:tcW w:w="2060" w:type="dxa"/>
            <w:vAlign w:val="bottom"/>
          </w:tcPr>
          <w:p>
            <w:pPr>
              <w:ind w:left="440"/>
              <w:spacing w:after="0"/>
              <w:rPr>
                <w:sz w:val="20"/>
                <w:szCs w:val="20"/>
                <w:color w:val="auto"/>
              </w:rPr>
            </w:pPr>
            <w:r>
              <w:rPr>
                <w:rFonts w:ascii="Courier New" w:cs="Courier New" w:eastAsia="Courier New" w:hAnsi="Courier New"/>
                <w:sz w:val="15"/>
                <w:szCs w:val="15"/>
                <w:color w:val="auto"/>
              </w:rPr>
              <w:t>Other - net</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(22,296)</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(99,355)</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991,291</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1,447,556</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Purchase of fixed assets</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(991,433)</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(1,341,785)</w:t>
            </w:r>
          </w:p>
        </w:tc>
      </w:tr>
      <w:tr>
        <w:trPr>
          <w:trHeight w:val="170"/>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w w:val="98"/>
              </w:rPr>
              <w:t>Sales/retirements of</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fixed assets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3,450</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71,863</w:t>
            </w:r>
          </w:p>
        </w:tc>
      </w:tr>
      <w:tr>
        <w:trPr>
          <w:trHeight w:val="170"/>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Decrease (increase)</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in investments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192,035</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(2,110,202)</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Sale of financial instruments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203,572</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Business acquired</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(419,338)</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(29,996)</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Increase in other assets</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(6,735)</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(40,592)</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used in investing activities</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(1,018,449)</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(3,450,712)</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(307,444)</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(286,051)</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70,765</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70,461</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exercise of stock options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70,971</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60,844</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1,110,664</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3,203,652</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Payments of principal on long-term debt</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(749,465)</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(988,453)</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decrease in short-term debt</w:t>
            </w:r>
          </w:p>
        </w:tc>
        <w:tc>
          <w:tcPr>
            <w:tcW w:w="104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(69,390)</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(71,316)</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126,101</w:t>
            </w:r>
          </w:p>
        </w:tc>
        <w:tc>
          <w:tcPr>
            <w:tcW w:w="52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1,989,137</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04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98,943</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(14,019)</w:t>
            </w:r>
          </w:p>
        </w:tc>
      </w:tr>
      <w:tr>
        <w:trPr>
          <w:trHeight w:val="339"/>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Cash, beginning of period</w:t>
            </w:r>
          </w:p>
        </w:tc>
        <w:tc>
          <w:tcPr>
            <w:tcW w:w="1040" w:type="dxa"/>
            <w:vAlign w:val="bottom"/>
          </w:tcPr>
          <w:p>
            <w:pPr>
              <w:spacing w:after="0"/>
              <w:rPr>
                <w:sz w:val="24"/>
                <w:szCs w:val="2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105,321</w:t>
            </w: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147,395</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3140" w:type="dxa"/>
            <w:vAlign w:val="bottom"/>
          </w:tcPr>
          <w:p>
            <w:pPr>
              <w:spacing w:after="0"/>
              <w:rPr>
                <w:sz w:val="14"/>
                <w:szCs w:val="14"/>
                <w:color w:val="auto"/>
              </w:rPr>
            </w:pP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204,264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133,376</w:t>
            </w:r>
          </w:p>
        </w:tc>
      </w:tr>
      <w:tr>
        <w:trPr>
          <w:trHeight w:val="170"/>
        </w:trPr>
        <w:tc>
          <w:tcPr>
            <w:tcW w:w="20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4" w:name="page5"/>
    <w:bookmarkEnd w:id="4"/>
    <w:p>
      <w:pPr>
        <w:ind w:left="2540"/>
        <w:spacing w:after="0"/>
        <w:rPr>
          <w:sz w:val="20"/>
          <w:szCs w:val="20"/>
          <w:color w:val="auto"/>
        </w:rPr>
      </w:pPr>
      <w:r>
        <w:rPr>
          <w:rFonts w:ascii="Courier New" w:cs="Courier New" w:eastAsia="Courier New" w:hAnsi="Courier New"/>
          <w:sz w:val="15"/>
          <w:szCs w:val="15"/>
          <w:color w:val="auto"/>
        </w:rPr>
        <w:t>SCHLUMBERGER LIMITED</w:t>
      </w:r>
    </w:p>
    <w:p>
      <w:pPr>
        <w:ind w:left="2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5"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and Subsidiary Companies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STOCKHOLDERS' EQUITY</w:t>
      </w:r>
    </w:p>
    <w:p>
      <w:pPr>
        <w:ind w:left="254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16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1100"/>
          </w:cols>
          <w:pgMar w:left="240" w:top="622" w:right="559" w:bottom="1440" w:gutter="0" w:footer="0" w:header="0"/>
        </w:sectPr>
      </w:pP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11" w:lineRule="exact"/>
        <w:rPr>
          <w:sz w:val="20"/>
          <w:szCs w:val="20"/>
          <w:color w:val="auto"/>
        </w:rPr>
      </w:pPr>
    </w:p>
    <w:p>
      <w:pPr>
        <w:sectPr>
          <w:pgSz w:w="11900" w:h="16838" w:orient="portrait"/>
          <w:cols w:equalWidth="0" w:num="4">
            <w:col w:w="6060" w:space="720"/>
            <w:col w:w="700" w:space="700"/>
            <w:col w:w="980" w:space="520"/>
            <w:col w:w="1420"/>
          </w:cols>
          <w:pgMar w:left="240" w:top="622" w:right="559"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100"/>
          </w:cols>
          <w:pgMar w:left="240" w:top="622" w:right="559" w:bottom="1440" w:gutter="0" w:footer="0" w:header="0"/>
          <w:type w:val="continuous"/>
        </w:sectPr>
      </w:pPr>
    </w:p>
    <w:p>
      <w:pPr>
        <w:spacing w:after="0" w:line="5" w:lineRule="exact"/>
        <w:rPr>
          <w:sz w:val="20"/>
          <w:szCs w:val="20"/>
          <w:color w:val="auto"/>
        </w:rPr>
      </w:pPr>
    </w:p>
    <w:p>
      <w:pPr>
        <w:ind w:left="3600"/>
        <w:spacing w:after="0"/>
        <w:tabs>
          <w:tab w:leader="none" w:pos="500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p>
    <w:p>
      <w:pPr>
        <w:ind w:left="3340"/>
        <w:spacing w:after="0"/>
        <w:tabs>
          <w:tab w:leader="none" w:pos="4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Adjustment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4">
            <w:col w:w="6340" w:space="180"/>
            <w:col w:w="1320" w:space="180"/>
            <w:col w:w="1400" w:space="180"/>
            <w:col w:w="1500"/>
          </w:cols>
          <w:pgMar w:left="240" w:top="622" w:right="5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$1,539,408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$(2,221,308)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$8,882,455</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(81,480)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sectPr>
          <w:pgSz w:w="11900" w:h="16838" w:orient="portrait"/>
          <w:cols w:equalWidth="0" w:num="7">
            <w:col w:w="2880" w:space="720"/>
            <w:col w:w="880" w:space="360"/>
            <w:col w:w="1220" w:space="720"/>
            <w:col w:w="880" w:space="520"/>
            <w:col w:w="1060" w:space="440"/>
            <w:col w:w="160" w:space="720"/>
            <w:col w:w="540"/>
          </w:cols>
          <w:pgMar w:left="240" w:top="62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355,435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355,435</w:t>
      </w:r>
    </w:p>
    <w:p>
      <w:pPr>
        <w:spacing w:after="0" w:line="180" w:lineRule="exact"/>
        <w:rPr>
          <w:sz w:val="20"/>
          <w:szCs w:val="20"/>
          <w:color w:val="auto"/>
        </w:rPr>
      </w:pPr>
    </w:p>
    <w:p>
      <w:pPr>
        <w:sectPr>
          <w:pgSz w:w="11900" w:h="16838" w:orient="portrait"/>
          <w:cols w:equalWidth="0" w:num="3">
            <w:col w:w="6320" w:space="720"/>
            <w:col w:w="2540" w:space="720"/>
            <w:col w:w="800"/>
          </w:cols>
          <w:pgMar w:left="240" w:top="62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(22,036)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(22,036)</w:t>
      </w:r>
    </w:p>
    <w:p>
      <w:pPr>
        <w:spacing w:after="0" w:line="180" w:lineRule="exact"/>
        <w:rPr>
          <w:sz w:val="20"/>
          <w:szCs w:val="20"/>
          <w:color w:val="auto"/>
        </w:rPr>
      </w:pPr>
    </w:p>
    <w:p>
      <w:pPr>
        <w:sectPr>
          <w:pgSz w:w="11900" w:h="16838" w:orient="portrait"/>
          <w:cols w:equalWidth="0" w:num="3">
            <w:col w:w="7820" w:space="720"/>
            <w:col w:w="1040" w:space="720"/>
            <w:col w:w="800"/>
          </w:cols>
          <w:pgMar w:left="240" w:top="62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(308,098)</w:t>
      </w:r>
    </w:p>
    <w:p>
      <w:pPr>
        <w:spacing w:after="0" w:line="180" w:lineRule="exact"/>
        <w:rPr>
          <w:sz w:val="20"/>
          <w:szCs w:val="20"/>
          <w:color w:val="auto"/>
        </w:rPr>
      </w:pPr>
    </w:p>
    <w:p>
      <w:pPr>
        <w:sectPr>
          <w:pgSz w:w="11900" w:h="16838" w:orient="portrait"/>
          <w:cols w:equalWidth="0" w:num="2">
            <w:col w:w="6240" w:space="720"/>
            <w:col w:w="4140"/>
          </w:cols>
          <w:pgMar w:left="240" w:top="62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29,045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41,926</w:t>
      </w:r>
    </w:p>
    <w:p>
      <w:pPr>
        <w:spacing w:after="0" w:line="180" w:lineRule="exact"/>
        <w:rPr>
          <w:sz w:val="20"/>
          <w:szCs w:val="20"/>
          <w:color w:val="auto"/>
        </w:rPr>
      </w:pPr>
    </w:p>
    <w:p>
      <w:pPr>
        <w:sectPr>
          <w:pgSz w:w="11900" w:h="16838" w:orient="portrait"/>
          <w:cols w:equalWidth="0" w:num="3">
            <w:col w:w="3240" w:space="720"/>
            <w:col w:w="600" w:space="720"/>
            <w:col w:w="5820"/>
          </w:cols>
          <w:pgMar w:left="240" w:top="622" w:right="55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Employee 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70,765</w:t>
      </w:r>
    </w:p>
    <w:p>
      <w:pPr>
        <w:spacing w:after="0" w:line="180" w:lineRule="exact"/>
        <w:rPr>
          <w:sz w:val="20"/>
          <w:szCs w:val="20"/>
          <w:color w:val="auto"/>
        </w:rPr>
      </w:pPr>
    </w:p>
    <w:p>
      <w:pPr>
        <w:sectPr>
          <w:pgSz w:w="11900" w:h="16838" w:orient="portrait"/>
          <w:cols w:equalWidth="0" w:num="2">
            <w:col w:w="3240" w:space="720"/>
            <w:col w:w="7140"/>
          </w:cols>
          <w:pgMar w:left="240" w:top="622" w:right="5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September 30,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$1,639,218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$(2,179,382)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$8,929,792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line="260" w:lineRule="auto"/>
        <w:rPr>
          <w:sz w:val="20"/>
          <w:szCs w:val="20"/>
          <w:color w:val="auto"/>
        </w:rPr>
      </w:pPr>
      <w:r>
        <w:rPr>
          <w:rFonts w:ascii="Courier New" w:cs="Courier New" w:eastAsia="Courier New" w:hAnsi="Courier New"/>
          <w:sz w:val="14"/>
          <w:szCs w:val="14"/>
          <w:color w:val="auto"/>
        </w:rPr>
        <w:t>---------------- $  (103,516)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333,399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7" w:lineRule="exact"/>
        <w:rPr>
          <w:sz w:val="20"/>
          <w:szCs w:val="20"/>
          <w:color w:val="auto"/>
        </w:rPr>
      </w:pPr>
    </w:p>
    <w:p>
      <w:pPr>
        <w:sectPr>
          <w:pgSz w:w="11900" w:h="16838" w:orient="portrait"/>
          <w:cols w:equalWidth="0" w:num="6">
            <w:col w:w="2620" w:space="720"/>
            <w:col w:w="1240" w:space="180"/>
            <w:col w:w="1580" w:space="180"/>
            <w:col w:w="1320" w:space="180"/>
            <w:col w:w="1400" w:space="180"/>
            <w:col w:w="1500"/>
          </w:cols>
          <w:pgMar w:left="240" w:top="622" w:right="559" w:bottom="1440" w:gutter="0" w:footer="0" w:header="0"/>
          <w:type w:val="continuous"/>
        </w:sectPr>
      </w:pPr>
    </w:p>
    <w:p>
      <w:pPr>
        <w:spacing w:after="0" w:line="132"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100"/>
          </w:cols>
          <w:pgMar w:left="240" w:top="622" w:right="559" w:bottom="1440" w:gutter="0" w:footer="0" w:header="0"/>
          <w:type w:val="continuous"/>
        </w:sectPr>
      </w:pPr>
    </w:p>
    <w:bookmarkStart w:id="5" w:name="page6"/>
    <w:bookmarkEnd w:id="5"/>
    <w:p>
      <w:pPr>
        <w:ind w:left="2540"/>
        <w:spacing w:after="0"/>
        <w:rPr>
          <w:sz w:val="20"/>
          <w:szCs w:val="20"/>
          <w:color w:val="auto"/>
        </w:rPr>
      </w:pPr>
      <w:r>
        <w:rPr>
          <w:rFonts w:ascii="Courier New" w:cs="Courier New" w:eastAsia="Courier New" w:hAnsi="Courier New"/>
          <w:sz w:val="15"/>
          <w:szCs w:val="15"/>
          <w:color w:val="auto"/>
        </w:rPr>
        <w:t>SCHLUMBERGER LIMITED</w:t>
      </w:r>
    </w:p>
    <w:p>
      <w:pPr>
        <w:ind w:left="2540"/>
        <w:spacing w:after="0"/>
        <w:rPr>
          <w:sz w:val="20"/>
          <w:szCs w:val="20"/>
          <w:color w:val="auto"/>
        </w:rPr>
      </w:pPr>
      <w:r>
        <w:rPr>
          <w:rFonts w:ascii="Courier New" w:cs="Courier New" w:eastAsia="Courier New" w:hAnsi="Courier New"/>
          <w:sz w:val="15"/>
          <w:szCs w:val="15"/>
          <w:color w:val="auto"/>
        </w:rPr>
        <w:t>--------------------</w:t>
      </w:r>
    </w:p>
    <w:p>
      <w:pPr>
        <w:jc w:val="center"/>
        <w:ind w:right="3259"/>
        <w:spacing w:after="0"/>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359"/>
        <w:spacing w:after="0" w:line="238" w:lineRule="auto"/>
        <w:rPr>
          <w:sz w:val="20"/>
          <w:szCs w:val="20"/>
          <w:color w:val="auto"/>
        </w:rPr>
      </w:pPr>
      <w:r>
        <w:rPr>
          <w:rFonts w:ascii="Courier New" w:cs="Courier New" w:eastAsia="Courier New" w:hAnsi="Courier New"/>
          <w:sz w:val="15"/>
          <w:szCs w:val="15"/>
          <w:color w:val="auto"/>
        </w:rPr>
        <w:t>and Subsidiary Companies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580"/>
        <w:spacing w:after="0"/>
        <w:rPr>
          <w:sz w:val="20"/>
          <w:szCs w:val="20"/>
          <w:color w:val="auto"/>
        </w:rPr>
      </w:pPr>
      <w:r>
        <w:rPr>
          <w:rFonts w:ascii="Courier New" w:cs="Courier New" w:eastAsia="Courier New" w:hAnsi="Courier New"/>
          <w:sz w:val="15"/>
          <w:szCs w:val="15"/>
          <w:color w:val="auto"/>
        </w:rPr>
        <w:t>------------------------------------------</w:t>
      </w:r>
    </w:p>
    <w:p>
      <w:pPr>
        <w:jc w:val="center"/>
        <w:ind w:right="325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1998 Annual Report. These policies have been consistently applied during the interim period presented in this report. The results of operations for the three and nine month periods ended September 30, 1999 are not necessarily indicative of the results of operations that may be expected for the entire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third quarter and the first nine months of 1999:</w:t>
      </w:r>
    </w:p>
    <w:p>
      <w:pPr>
        <w:spacing w:after="0" w:line="15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(Stated in thousands except per share amounts)</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Net</w:t>
      </w:r>
    </w:p>
    <w:p>
      <w:pPr>
        <w:ind w:left="1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Shares</w:t>
      </w:r>
    </w:p>
    <w:p>
      <w:pPr>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w:t>
      </w:r>
    </w:p>
    <w:p>
      <w:pPr>
        <w:spacing w:after="0"/>
        <w:rPr>
          <w:sz w:val="20"/>
          <w:szCs w:val="20"/>
          <w:color w:val="auto"/>
        </w:rPr>
      </w:pPr>
      <w:r>
        <w:rPr>
          <w:rFonts w:ascii="Courier New" w:cs="Courier New" w:eastAsia="Courier New" w:hAnsi="Courier New"/>
          <w:sz w:val="15"/>
          <w:szCs w:val="15"/>
          <w:color w:val="auto"/>
        </w:rPr>
        <w:t>Earnings</w:t>
      </w:r>
    </w:p>
    <w:p>
      <w:pPr>
        <w:spacing w:after="0"/>
        <w:rPr>
          <w:sz w:val="20"/>
          <w:szCs w:val="20"/>
          <w:color w:val="auto"/>
        </w:rPr>
      </w:pPr>
      <w:r>
        <w:rPr>
          <w:rFonts w:ascii="Courier New" w:cs="Courier New" w:eastAsia="Courier New" w:hAnsi="Courier New"/>
          <w:sz w:val="15"/>
          <w:szCs w:val="15"/>
          <w:color w:val="auto"/>
        </w:rPr>
        <w:t>per Share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1820" w:space="720"/>
            <w:col w:w="1320" w:space="280"/>
            <w:col w:w="1320" w:space="340"/>
            <w:col w:w="44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138,981</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548,671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$0.25</w:t>
      </w:r>
    </w:p>
    <w:p>
      <w:pPr>
        <w:spacing w:after="0" w:line="180" w:lineRule="exact"/>
        <w:rPr>
          <w:sz w:val="20"/>
          <w:szCs w:val="20"/>
          <w:color w:val="auto"/>
        </w:rPr>
      </w:pPr>
    </w:p>
    <w:p>
      <w:pPr>
        <w:sectPr>
          <w:pgSz w:w="11900" w:h="16838" w:orient="portrait"/>
          <w:cols w:equalWidth="0" w:num="4">
            <w:col w:w="1920" w:space="720"/>
            <w:col w:w="1220" w:space="720"/>
            <w:col w:w="940" w:space="720"/>
            <w:col w:w="39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Options</w:t>
      </w:r>
    </w:p>
    <w:p>
      <w:pPr>
        <w:ind w:left="340"/>
        <w:spacing w:after="0"/>
        <w:rPr>
          <w:sz w:val="20"/>
          <w:szCs w:val="20"/>
          <w:color w:val="auto"/>
        </w:rPr>
      </w:pPr>
      <w:r>
        <w:rPr>
          <w:rFonts w:ascii="Courier New" w:cs="Courier New" w:eastAsia="Courier New" w:hAnsi="Courier New"/>
          <w:sz w:val="15"/>
          <w:szCs w:val="15"/>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580" w:val="left"/>
        </w:tabs>
        <w:rPr>
          <w:sz w:val="20"/>
          <w:szCs w:val="20"/>
          <w:color w:val="auto"/>
        </w:rPr>
      </w:pPr>
      <w:r>
        <w:rPr>
          <w:rFonts w:ascii="Courier New" w:cs="Courier New" w:eastAsia="Courier New" w:hAnsi="Courier New"/>
          <w:sz w:val="15"/>
          <w:szCs w:val="15"/>
          <w:color w:val="auto"/>
        </w:rPr>
        <w:t>$</w:t>
        <w:tab/>
        <w:t>138,981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8,769</w:t>
      </w:r>
    </w:p>
    <w:p>
      <w:pPr>
        <w:ind w:left="720"/>
        <w:spacing w:after="0"/>
        <w:rPr>
          <w:sz w:val="20"/>
          <w:szCs w:val="20"/>
          <w:color w:val="auto"/>
        </w:rPr>
      </w:pPr>
      <w:r>
        <w:rPr>
          <w:rFonts w:ascii="Courier New" w:cs="Courier New" w:eastAsia="Courier New" w:hAnsi="Courier New"/>
          <w:sz w:val="15"/>
          <w:szCs w:val="15"/>
          <w:color w:val="auto"/>
        </w:rPr>
        <w:t>8,111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565,551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1660" w:space="720"/>
            <w:col w:w="1320" w:space="340"/>
            <w:col w:w="1240" w:space="440"/>
            <w:col w:w="4499"/>
          </w:cols>
          <w:pgMar w:left="240" w:top="622"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Net</w:t>
      </w:r>
    </w:p>
    <w:p>
      <w:pPr>
        <w:ind w:left="18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Shares</w:t>
      </w:r>
    </w:p>
    <w:p>
      <w:pPr>
        <w:spacing w:after="0"/>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w:t>
      </w:r>
    </w:p>
    <w:p>
      <w:pPr>
        <w:spacing w:after="0"/>
        <w:rPr>
          <w:sz w:val="20"/>
          <w:szCs w:val="20"/>
          <w:color w:val="auto"/>
        </w:rPr>
      </w:pPr>
      <w:r>
        <w:rPr>
          <w:rFonts w:ascii="Courier New" w:cs="Courier New" w:eastAsia="Courier New" w:hAnsi="Courier New"/>
          <w:sz w:val="15"/>
          <w:szCs w:val="15"/>
          <w:color w:val="auto"/>
        </w:rPr>
        <w:t>Earnings</w:t>
      </w:r>
    </w:p>
    <w:p>
      <w:pPr>
        <w:spacing w:after="0"/>
        <w:rPr>
          <w:sz w:val="20"/>
          <w:szCs w:val="20"/>
          <w:color w:val="auto"/>
        </w:rPr>
      </w:pPr>
      <w:r>
        <w:rPr>
          <w:rFonts w:ascii="Courier New" w:cs="Courier New" w:eastAsia="Courier New" w:hAnsi="Courier New"/>
          <w:sz w:val="15"/>
          <w:szCs w:val="15"/>
          <w:color w:val="auto"/>
        </w:rPr>
        <w:t>per Share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1820" w:space="720"/>
            <w:col w:w="1320" w:space="280"/>
            <w:col w:w="1320" w:space="340"/>
            <w:col w:w="441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355,435</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Courier New" w:cs="Courier New" w:eastAsia="Courier New" w:hAnsi="Courier New"/>
          <w:sz w:val="14"/>
          <w:szCs w:val="14"/>
          <w:color w:val="auto"/>
        </w:rPr>
        <w:t>547,386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$0.64</w:t>
      </w:r>
    </w:p>
    <w:p>
      <w:pPr>
        <w:spacing w:after="0" w:line="180" w:lineRule="exact"/>
        <w:rPr>
          <w:sz w:val="20"/>
          <w:szCs w:val="20"/>
          <w:color w:val="auto"/>
        </w:rPr>
      </w:pPr>
    </w:p>
    <w:p>
      <w:pPr>
        <w:sectPr>
          <w:pgSz w:w="11900" w:h="16838" w:orient="portrait"/>
          <w:cols w:equalWidth="0" w:num="4">
            <w:col w:w="1920" w:space="720"/>
            <w:col w:w="1220" w:space="720"/>
            <w:col w:w="940" w:space="720"/>
            <w:col w:w="39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Options</w:t>
      </w:r>
    </w:p>
    <w:p>
      <w:pPr>
        <w:ind w:left="340"/>
        <w:spacing w:after="0"/>
        <w:rPr>
          <w:sz w:val="20"/>
          <w:szCs w:val="20"/>
          <w:color w:val="auto"/>
        </w:rPr>
      </w:pPr>
      <w:r>
        <w:rPr>
          <w:rFonts w:ascii="Courier New" w:cs="Courier New" w:eastAsia="Courier New" w:hAnsi="Courier New"/>
          <w:sz w:val="15"/>
          <w:szCs w:val="15"/>
          <w:color w:val="auto"/>
        </w:rPr>
        <w:t>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tabs>
          <w:tab w:leader="none" w:pos="580" w:val="left"/>
        </w:tabs>
        <w:rPr>
          <w:sz w:val="20"/>
          <w:szCs w:val="20"/>
          <w:color w:val="auto"/>
        </w:rPr>
      </w:pPr>
      <w:r>
        <w:rPr>
          <w:rFonts w:ascii="Courier New" w:cs="Courier New" w:eastAsia="Courier New" w:hAnsi="Courier New"/>
          <w:sz w:val="15"/>
          <w:szCs w:val="15"/>
          <w:color w:val="auto"/>
        </w:rPr>
        <w:t>$</w:t>
        <w:tab/>
        <w:t>355,435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8,127</w:t>
      </w:r>
    </w:p>
    <w:p>
      <w:pPr>
        <w:ind w:left="720"/>
        <w:spacing w:after="0"/>
        <w:rPr>
          <w:sz w:val="20"/>
          <w:szCs w:val="20"/>
          <w:color w:val="auto"/>
        </w:rPr>
      </w:pPr>
      <w:r>
        <w:rPr>
          <w:rFonts w:ascii="Courier New" w:cs="Courier New" w:eastAsia="Courier New" w:hAnsi="Courier New"/>
          <w:sz w:val="15"/>
          <w:szCs w:val="15"/>
          <w:color w:val="auto"/>
        </w:rPr>
        <w:t>7,485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562,998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$0.64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1660" w:space="720"/>
            <w:col w:w="1320" w:space="340"/>
            <w:col w:w="1240" w:space="440"/>
            <w:col w:w="4499"/>
          </w:cols>
          <w:pgMar w:left="240" w:top="622" w:right="1440" w:bottom="1440" w:gutter="0" w:footer="0" w:header="0"/>
          <w:type w:val="continuous"/>
        </w:sectPr>
      </w:pPr>
    </w:p>
    <w:p>
      <w:pPr>
        <w:spacing w:after="0" w:line="1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19"/>
          </w:cols>
          <w:pgMar w:left="240" w:top="622"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CONTINGENCIES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monitoring and maintenance requirements at facilities or locations that are no longer in operation. Due to a number of uncertainties, including uncertainty of timing, future technology, regulatory changes and other factors, it is possible that the ultimate costs may exceed the amounts estimated. However, in the opinion of management, such additional costs are not expected to be material relative to consolidated liquidity, financial position or future results of operations.</w:t>
      </w:r>
    </w:p>
    <w:p>
      <w:pPr>
        <w:spacing w:after="0" w:line="18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Investments in affiliated companies include the Company's 40% investment in the MI Drilling Fluids joint venture which was completed in July 1999. The investment is $407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OFFSHORE CONTRACT DRILLING BUSINESS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July 12, 1999, Schlumberger Limited and Transocean Offshore Inc. announced the signing of definitive agreements under which the offshore contract drilling business of Schlumberger (Sedco Forex Offshore) will be spun off and promptly combined with Transocean Offshore in a merger of equals. The transaction is expected to close by December 31, 1999.</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Under the agreements, Schlumberger stockholders will own 52 percent of the fully diluted stock in the resulting company, Transocean Sedco Forex Inc. Schlumberger stockholders will receive approximately one newly issued Transocean Sedco Forex share for every five Schlumberger shares held. The fully diluted ratio of ownership in the stock of the resulting company is fixed and not subject to adjustment. The spin-off and the merger transactions are expected to be free of US federal income taxes and will be accounted for as a purchase with Sedco Forex Offshore as the accounting acquirer. The agreement has been approved by the Board of Directors of Transocean Offshore and Schlumberger, and is subject to the approval of the stockholders of both companies as well as customary closing conditions. The Companies' stockholders' meetings are scheduled for December 10, 1999. The Companies have received regulatory clearances in the U.K. and the U.S.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SEGMENT INFORMATION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(Stated in millions)</w:t>
            </w: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940" w:type="dxa"/>
            <w:vAlign w:val="bottom"/>
            <w:gridSpan w:val="17"/>
          </w:tcPr>
          <w:p>
            <w:pPr>
              <w:ind w:left="220"/>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North</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7"/>
              </w:rPr>
              <w:t>Latin</w:t>
            </w:r>
          </w:p>
        </w:tc>
        <w:tc>
          <w:tcPr>
            <w:tcW w:w="28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Europe</w:t>
            </w:r>
          </w:p>
        </w:tc>
        <w:tc>
          <w:tcPr>
            <w:tcW w:w="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1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Sedco Forex</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Elims/</w:t>
            </w:r>
          </w:p>
        </w:tc>
        <w:tc>
          <w:tcPr>
            <w:tcW w:w="9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Nine Months 1999</w:t>
            </w:r>
          </w:p>
        </w:tc>
        <w:tc>
          <w:tcPr>
            <w:tcW w:w="190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America   America</w:t>
            </w:r>
          </w:p>
        </w:tc>
        <w:tc>
          <w:tcPr>
            <w:tcW w:w="118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CIS/W. Afr.</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Eastern</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Camco</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Offshore</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5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OFS</w:t>
            </w:r>
          </w:p>
        </w:tc>
        <w:tc>
          <w:tcPr>
            <w:tcW w:w="220" w:type="dxa"/>
            <w:vAlign w:val="bottom"/>
          </w:tcPr>
          <w:p>
            <w:pPr>
              <w:spacing w:after="0"/>
              <w:rPr>
                <w:sz w:val="14"/>
                <w:szCs w:val="14"/>
                <w:color w:val="auto"/>
              </w:rPr>
            </w:pP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RMS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T&amp;T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8540" w:type="dxa"/>
            <w:vAlign w:val="bottom"/>
            <w:gridSpan w:val="16"/>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$1,038</w:t>
            </w:r>
          </w:p>
        </w:tc>
        <w:tc>
          <w:tcPr>
            <w:tcW w:w="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$616</w:t>
            </w:r>
          </w:p>
        </w:tc>
        <w:tc>
          <w:tcPr>
            <w:tcW w:w="3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1,065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1,057</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4,875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1,018</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$859</w:t>
            </w:r>
          </w:p>
        </w:tc>
      </w:tr>
      <w:tr>
        <w:trPr>
          <w:trHeight w:val="170"/>
        </w:trPr>
        <w:tc>
          <w:tcPr>
            <w:tcW w:w="2240" w:type="dxa"/>
            <w:vAlign w:val="bottom"/>
          </w:tcPr>
          <w:p>
            <w:pPr>
              <w:spacing w:after="0"/>
              <w:rPr>
                <w:sz w:val="14"/>
                <w:szCs w:val="14"/>
                <w:color w:val="auto"/>
              </w:rPr>
            </w:pPr>
          </w:p>
        </w:tc>
        <w:tc>
          <w:tcPr>
            <w:tcW w:w="8940" w:type="dxa"/>
            <w:vAlign w:val="bottom"/>
            <w:gridSpan w:val="17"/>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9</w:t>
            </w: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$ 51</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$ 21</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40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w:t>
            </w:r>
          </w:p>
        </w:tc>
        <w:tc>
          <w:tcPr>
            <w:tcW w:w="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w:t>
            </w:r>
          </w:p>
        </w:tc>
        <w:tc>
          <w:tcPr>
            <w:tcW w:w="2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940" w:type="dxa"/>
            <w:vAlign w:val="bottom"/>
            <w:gridSpan w:val="17"/>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Operating Income</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w:t>
            </w:r>
          </w:p>
        </w:tc>
        <w:tc>
          <w:tcPr>
            <w:tcW w:w="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$ 24</w:t>
            </w:r>
          </w:p>
        </w:tc>
        <w:tc>
          <w:tcPr>
            <w:tcW w:w="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w:t>
            </w:r>
          </w:p>
        </w:tc>
        <w:tc>
          <w:tcPr>
            <w:tcW w:w="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$ 21</w:t>
            </w:r>
          </w:p>
        </w:tc>
      </w:tr>
      <w:tr>
        <w:trPr>
          <w:trHeight w:val="170"/>
        </w:trPr>
        <w:tc>
          <w:tcPr>
            <w:tcW w:w="2240" w:type="dxa"/>
            <w:vAlign w:val="bottom"/>
          </w:tcPr>
          <w:p>
            <w:pPr>
              <w:spacing w:after="0"/>
              <w:rPr>
                <w:sz w:val="14"/>
                <w:szCs w:val="14"/>
                <w:color w:val="auto"/>
              </w:rPr>
            </w:pPr>
          </w:p>
        </w:tc>
        <w:tc>
          <w:tcPr>
            <w:tcW w:w="8940" w:type="dxa"/>
            <w:vAlign w:val="bottom"/>
            <w:gridSpan w:val="17"/>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First Quarter Charge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940" w:type="dxa"/>
            <w:vAlign w:val="bottom"/>
            <w:gridSpan w:val="17"/>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Elims/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Nine Months 1999</w:t>
            </w:r>
          </w:p>
        </w:tc>
        <w:tc>
          <w:tcPr>
            <w:tcW w:w="40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90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rPr>
              <w:t>Consolidated</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2680" w:type="dxa"/>
            <w:vAlign w:val="bottom"/>
            <w:gridSpan w:val="6"/>
          </w:tcPr>
          <w:p>
            <w:pPr>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$6,730</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2240" w:type="dxa"/>
            <w:vAlign w:val="bottom"/>
          </w:tcPr>
          <w:p>
            <w:pPr>
              <w:spacing w:after="0"/>
              <w:rPr>
                <w:sz w:val="14"/>
                <w:szCs w:val="14"/>
                <w:color w:val="auto"/>
              </w:rPr>
            </w:pPr>
          </w:p>
        </w:tc>
        <w:tc>
          <w:tcPr>
            <w:tcW w:w="3080" w:type="dxa"/>
            <w:vAlign w:val="bottom"/>
            <w:gridSpan w:val="7"/>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411</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080" w:type="dxa"/>
            <w:vAlign w:val="bottom"/>
            <w:gridSpan w:val="7"/>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Operating Income</w:t>
            </w: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519</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080" w:type="dxa"/>
            <w:vAlign w:val="bottom"/>
            <w:gridSpan w:val="7"/>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171</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tcPr>
          <w:p>
            <w:pPr>
              <w:jc w:val="right"/>
              <w:ind w:right="407"/>
              <w:spacing w:after="0"/>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468</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080" w:type="dxa"/>
            <w:vAlign w:val="bottom"/>
            <w:gridSpan w:val="7"/>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94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spacing w:after="0"/>
              <w:rPr>
                <w:sz w:val="14"/>
                <w:szCs w:val="14"/>
                <w:color w:val="auto"/>
              </w:rPr>
            </w:pPr>
          </w:p>
        </w:tc>
        <w:tc>
          <w:tcPr>
            <w:tcW w:w="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North</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Latin</w:t>
            </w:r>
          </w:p>
        </w:tc>
        <w:tc>
          <w:tcPr>
            <w:tcW w:w="140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Europe/</w:t>
            </w:r>
          </w:p>
        </w:tc>
        <w:tc>
          <w:tcPr>
            <w:tcW w:w="9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4"/>
                <w:szCs w:val="14"/>
                <w:color w:val="auto"/>
              </w:rPr>
            </w:pP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Sedco Forex</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Elims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Nine Months 1998</w:t>
            </w:r>
          </w:p>
        </w:tc>
        <w:tc>
          <w:tcPr>
            <w:tcW w:w="8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America</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America</w:t>
            </w: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CIS/W. Afr.</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Eastern</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Camco</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Offshore</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OFS</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RMS</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T&amp;T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8540" w:type="dxa"/>
            <w:vAlign w:val="bottom"/>
            <w:gridSpan w:val="12"/>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$884</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$1,439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1,383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$651</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$831</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$ 14</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$6,829 $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1,070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w:t>
            </w:r>
          </w:p>
        </w:tc>
      </w:tr>
      <w:tr>
        <w:trPr>
          <w:trHeight w:val="170"/>
        </w:trPr>
        <w:tc>
          <w:tcPr>
            <w:tcW w:w="2240" w:type="dxa"/>
            <w:vAlign w:val="bottom"/>
          </w:tcPr>
          <w:p>
            <w:pPr>
              <w:spacing w:after="0"/>
              <w:rPr>
                <w:sz w:val="14"/>
                <w:szCs w:val="14"/>
                <w:color w:val="auto"/>
              </w:rPr>
            </w:pPr>
          </w:p>
        </w:tc>
        <w:tc>
          <w:tcPr>
            <w:tcW w:w="894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$1,076 $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$ 47</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 Expense (2)</w:t>
            </w:r>
          </w:p>
        </w:tc>
        <w:tc>
          <w:tcPr>
            <w:tcW w:w="4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3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ind w:left="340"/>
              <w:spacing w:after="0"/>
              <w:rPr>
                <w:sz w:val="20"/>
                <w:szCs w:val="20"/>
                <w:color w:val="auto"/>
              </w:rPr>
            </w:pPr>
            <w:r>
              <w:rPr>
                <w:rFonts w:ascii="Courier New" w:cs="Courier New" w:eastAsia="Courier New" w:hAnsi="Courier New"/>
                <w:sz w:val="15"/>
                <w:szCs w:val="15"/>
                <w:color w:val="auto"/>
              </w:rPr>
              <w:t>325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r>
      <w:tr>
        <w:trPr>
          <w:trHeight w:val="170"/>
        </w:trPr>
        <w:tc>
          <w:tcPr>
            <w:tcW w:w="2240" w:type="dxa"/>
            <w:vAlign w:val="bottom"/>
          </w:tcPr>
          <w:p>
            <w:pPr>
              <w:spacing w:after="0"/>
              <w:rPr>
                <w:sz w:val="14"/>
                <w:szCs w:val="14"/>
                <w:color w:val="auto"/>
              </w:rPr>
            </w:pPr>
          </w:p>
        </w:tc>
        <w:tc>
          <w:tcPr>
            <w:tcW w:w="894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operating Income</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jc w:val="center"/>
              <w:ind w:left="46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$347</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$1,401 $</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$ 64</w:t>
            </w:r>
          </w:p>
        </w:tc>
      </w:tr>
      <w:tr>
        <w:trPr>
          <w:trHeight w:val="170"/>
        </w:trPr>
        <w:tc>
          <w:tcPr>
            <w:tcW w:w="2240" w:type="dxa"/>
            <w:vAlign w:val="bottom"/>
          </w:tcPr>
          <w:p>
            <w:pPr>
              <w:spacing w:after="0"/>
              <w:rPr>
                <w:sz w:val="14"/>
                <w:szCs w:val="14"/>
                <w:color w:val="auto"/>
              </w:rPr>
            </w:pPr>
          </w:p>
        </w:tc>
        <w:tc>
          <w:tcPr>
            <w:tcW w:w="894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(8)</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Third Quarter Charge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940" w:type="dxa"/>
            <w:vAlign w:val="bottom"/>
            <w:gridSpan w:val="13"/>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Elims/</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Nine Months 1998</w:t>
            </w:r>
          </w:p>
        </w:tc>
        <w:tc>
          <w:tcPr>
            <w:tcW w:w="400" w:type="dxa"/>
            <w:vAlign w:val="bottom"/>
          </w:tcPr>
          <w:p>
            <w:pPr>
              <w:spacing w:after="0"/>
              <w:rPr>
                <w:sz w:val="14"/>
                <w:szCs w:val="14"/>
                <w:color w:val="auto"/>
              </w:rPr>
            </w:pPr>
          </w:p>
        </w:tc>
        <w:tc>
          <w:tcPr>
            <w:tcW w:w="154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Other (3)</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w w:val="99"/>
              </w:rPr>
              <w:t>Consolidated</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29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$230</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$9,040</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2240" w:type="dxa"/>
            <w:vAlign w:val="bottom"/>
          </w:tcPr>
          <w:p>
            <w:pPr>
              <w:spacing w:after="0"/>
              <w:rPr>
                <w:sz w:val="14"/>
                <w:szCs w:val="14"/>
                <w:color w:val="auto"/>
              </w:rPr>
            </w:pPr>
          </w:p>
        </w:tc>
        <w:tc>
          <w:tcPr>
            <w:tcW w:w="3340" w:type="dxa"/>
            <w:vAlign w:val="bottom"/>
            <w:gridSpan w:val="5"/>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$1,092</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Tax Expense (2)</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w:t>
            </w:r>
          </w:p>
        </w:tc>
        <w:tc>
          <w:tcPr>
            <w:tcW w:w="70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317</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340" w:type="dxa"/>
            <w:vAlign w:val="bottom"/>
            <w:gridSpan w:val="5"/>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operating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$(94)</w:t>
            </w: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$1,409</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340" w:type="dxa"/>
            <w:vAlign w:val="bottom"/>
            <w:gridSpan w:val="5"/>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Third Quarter Charge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Pretax Income</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$990</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2"/>
              </w:rPr>
              <w:t>---------------------</w:t>
            </w:r>
          </w:p>
        </w:tc>
        <w:tc>
          <w:tcPr>
            <w:tcW w:w="1060" w:type="dxa"/>
            <w:vAlign w:val="bottom"/>
          </w:tcPr>
          <w:p>
            <w:pPr>
              <w:spacing w:after="0"/>
              <w:rPr>
                <w:sz w:val="14"/>
                <w:szCs w:val="14"/>
                <w:color w:val="auto"/>
              </w:rPr>
            </w:pPr>
          </w:p>
        </w:tc>
        <w:tc>
          <w:tcPr>
            <w:tcW w:w="14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5" w:lineRule="exact"/>
        <w:rPr>
          <w:sz w:val="20"/>
          <w:szCs w:val="20"/>
          <w:color w:val="auto"/>
        </w:rPr>
      </w:pPr>
    </w:p>
    <w:p>
      <w:pPr>
        <w:ind w:left="1400" w:right="4140" w:hanging="528"/>
        <w:spacing w:after="0" w:line="237" w:lineRule="auto"/>
        <w:tabs>
          <w:tab w:leader="none" w:pos="131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excludes a net charge of $4 million related to the first quarter charge and gain on sale of financial instruments.</w:t>
      </w:r>
    </w:p>
    <w:p>
      <w:pPr>
        <w:spacing w:after="0" w:line="5" w:lineRule="exact"/>
        <w:rPr>
          <w:rFonts w:ascii="Courier New" w:cs="Courier New" w:eastAsia="Courier New" w:hAnsi="Courier New"/>
          <w:sz w:val="15"/>
          <w:szCs w:val="15"/>
          <w:color w:val="auto"/>
        </w:rPr>
      </w:pPr>
    </w:p>
    <w:p>
      <w:pPr>
        <w:ind w:left="1400" w:right="4400" w:hanging="528"/>
        <w:spacing w:after="0" w:line="235" w:lineRule="auto"/>
        <w:tabs>
          <w:tab w:leader="none" w:pos="131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excludes a credit of $64 million related to the third quarter charge.</w:t>
      </w:r>
    </w:p>
    <w:p>
      <w:pPr>
        <w:spacing w:after="0" w:line="6" w:lineRule="exact"/>
        <w:rPr>
          <w:rFonts w:ascii="Courier New" w:cs="Courier New" w:eastAsia="Courier New" w:hAnsi="Courier New"/>
          <w:sz w:val="15"/>
          <w:szCs w:val="15"/>
          <w:color w:val="auto"/>
        </w:rPr>
      </w:pPr>
    </w:p>
    <w:p>
      <w:pPr>
        <w:ind w:left="1400" w:right="4320" w:hanging="528"/>
        <w:spacing w:after="0" w:line="235" w:lineRule="auto"/>
        <w:tabs>
          <w:tab w:leader="none" w:pos="131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Retail Petroleum Services business sold on October 1, 1998.</w:t>
      </w:r>
    </w:p>
    <w:p>
      <w:pPr>
        <w:spacing w:after="0" w:line="176" w:lineRule="exact"/>
        <w:rPr>
          <w:sz w:val="20"/>
          <w:szCs w:val="20"/>
          <w:color w:val="auto"/>
        </w:rPr>
      </w:pPr>
    </w:p>
    <w:p>
      <w:pPr>
        <w:ind w:right="4140"/>
        <w:spacing w:after="0" w:line="235" w:lineRule="auto"/>
        <w:rPr>
          <w:sz w:val="20"/>
          <w:szCs w:val="20"/>
          <w:color w:val="auto"/>
        </w:rPr>
      </w:pPr>
      <w:r>
        <w:rPr>
          <w:rFonts w:ascii="Courier New" w:cs="Courier New" w:eastAsia="Courier New" w:hAnsi="Courier New"/>
          <w:sz w:val="15"/>
          <w:szCs w:val="15"/>
          <w:color w:val="auto"/>
        </w:rPr>
        <w:t>Nonoperating expenses, such as certain intersegment charges and interest expense (except as shown above), are not included in segment operating income.</w:t>
      </w:r>
    </w:p>
    <w:p>
      <w:pPr>
        <w:sectPr>
          <w:pgSz w:w="11900" w:h="16838" w:orient="portrait"/>
          <w:cols w:equalWidth="0" w:num="1">
            <w:col w:w="11180"/>
          </w:cols>
          <w:pgMar w:left="240" w:top="961" w:right="479" w:bottom="0" w:gutter="0" w:footer="0" w:header="0"/>
        </w:sectPr>
      </w:pPr>
    </w:p>
    <w:bookmarkStart w:id="8" w:name="page9"/>
    <w:bookmarkEnd w:id="8"/>
    <w:p>
      <w:pPr>
        <w:ind w:left="21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141" w:right="1440" w:bottom="1440" w:gutter="0" w:footer="0" w:header="0"/>
        </w:sectPr>
      </w:pPr>
    </w:p>
    <w:bookmarkStart w:id="9" w:name="page10"/>
    <w:bookmarkEnd w:id="9"/>
    <w:p>
      <w:pPr>
        <w:ind w:left="10"/>
        <w:spacing w:after="0"/>
        <w:rPr>
          <w:sz w:val="20"/>
          <w:szCs w:val="20"/>
          <w:color w:val="auto"/>
        </w:rPr>
      </w:pPr>
      <w:r>
        <w:rPr>
          <w:rFonts w:ascii="Courier New" w:cs="Courier New" w:eastAsia="Courier New" w:hAnsi="Courier New"/>
          <w:sz w:val="15"/>
          <w:szCs w:val="15"/>
          <w:color w:val="auto"/>
        </w:rPr>
        <w:t>BUSINESS REVIEW</w:t>
      </w: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339"/>
        </w:trPr>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Resource</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Oilfield</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Management</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Test &amp;</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Services</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Services</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Transactions (2)</w:t>
            </w:r>
          </w:p>
        </w:tc>
        <w:tc>
          <w:tcPr>
            <w:tcW w:w="66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83"/>
              </w:rPr>
              <w: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7"/>
              </w:rPr>
              <w:t>------------------------------</w:t>
            </w:r>
          </w:p>
        </w:tc>
        <w:tc>
          <w:tcPr>
            <w:tcW w:w="282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06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 chg</w:t>
            </w:r>
          </w:p>
        </w:tc>
        <w:tc>
          <w:tcPr>
            <w:tcW w:w="44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chg</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1999</w:t>
            </w:r>
          </w:p>
        </w:tc>
        <w:tc>
          <w:tcPr>
            <w:tcW w:w="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chg</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w w:val="93"/>
              </w:rPr>
              <w:t>-----</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1,607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2,229</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332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272</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Pretax Operating</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Income (1)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167</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445</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358%</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Nine Months</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4,875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6,829</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(29)%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1,018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1,070</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859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911</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Pretax Operating</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Income (1)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1,401</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r>
    </w:tbl>
    <w:p>
      <w:pPr>
        <w:spacing w:after="0" w:line="344" w:lineRule="exact"/>
        <w:rPr>
          <w:sz w:val="20"/>
          <w:szCs w:val="20"/>
          <w:color w:val="auto"/>
        </w:rPr>
      </w:pPr>
    </w:p>
    <w:p>
      <w:pPr>
        <w:ind w:left="10" w:right="4760" w:hanging="10"/>
        <w:spacing w:after="0" w:line="237" w:lineRule="auto"/>
        <w:tabs>
          <w:tab w:leader="none" w:pos="36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excluding interest expense, interest and other income and the third quarter 1998 and first quarter 1999 charges.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results include Schlumberger Omnes, formerly</w:t>
      </w:r>
    </w:p>
    <w:p>
      <w:pPr>
        <w:spacing w:after="0" w:line="5" w:lineRule="exact"/>
        <w:rPr>
          <w:sz w:val="20"/>
          <w:szCs w:val="20"/>
          <w:color w:val="auto"/>
        </w:rPr>
      </w:pPr>
    </w:p>
    <w:p>
      <w:pPr>
        <w:ind w:left="10" w:right="4240"/>
        <w:spacing w:after="0" w:line="235" w:lineRule="auto"/>
        <w:rPr>
          <w:sz w:val="20"/>
          <w:szCs w:val="20"/>
          <w:color w:val="auto"/>
        </w:rPr>
      </w:pPr>
      <w:r>
        <w:rPr>
          <w:rFonts w:ascii="Courier New" w:cs="Courier New" w:eastAsia="Courier New" w:hAnsi="Courier New"/>
          <w:sz w:val="15"/>
          <w:szCs w:val="15"/>
          <w:color w:val="auto"/>
        </w:rPr>
        <w:t>a joint venture which was 100% acquired during the quarter, and exclude the Retail Petroleum Systems business sold on October 1, 1998.</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2: Management's Discussion and Analysis of Financial Condition and</w:t>
      </w: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w:t>
      </w:r>
    </w:p>
    <w:p>
      <w:pPr>
        <w:ind w:left="170" w:hanging="170"/>
        <w:spacing w:after="0"/>
        <w:tabs>
          <w:tab w:leader="none" w:pos="17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Third Quarter 1999 Compared to Third Quarter 1998</w:t>
      </w:r>
    </w:p>
    <w:p>
      <w:pPr>
        <w:ind w:left="133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0" w:right="4320"/>
        <w:spacing w:after="0" w:line="237" w:lineRule="auto"/>
        <w:rPr>
          <w:sz w:val="20"/>
          <w:szCs w:val="20"/>
          <w:color w:val="auto"/>
        </w:rPr>
      </w:pPr>
      <w:r>
        <w:rPr>
          <w:rFonts w:ascii="Courier New" w:cs="Courier New" w:eastAsia="Courier New" w:hAnsi="Courier New"/>
          <w:sz w:val="15"/>
          <w:szCs w:val="15"/>
          <w:color w:val="auto"/>
        </w:rPr>
        <w:t>Third quarter operating revenue of $2.25 billion was 23% below third quarter 1998. Before the 1998 third quarter charge, 1999 consolidated net income and diluted earnings per share were $139 million and $0.25, both 60% lower than the same period last year.</w:t>
      </w:r>
    </w:p>
    <w:p>
      <w:pPr>
        <w:spacing w:after="0" w:line="176" w:lineRule="exact"/>
        <w:rPr>
          <w:sz w:val="20"/>
          <w:szCs w:val="20"/>
          <w:color w:val="auto"/>
        </w:rPr>
      </w:pPr>
    </w:p>
    <w:p>
      <w:pPr>
        <w:ind w:left="10" w:right="4320"/>
        <w:spacing w:after="0" w:line="265" w:lineRule="auto"/>
        <w:rPr>
          <w:sz w:val="20"/>
          <w:szCs w:val="20"/>
          <w:color w:val="auto"/>
        </w:rPr>
      </w:pPr>
      <w:r>
        <w:rPr>
          <w:rFonts w:ascii="Courier New" w:cs="Courier New" w:eastAsia="Courier New" w:hAnsi="Courier New"/>
          <w:sz w:val="14"/>
          <w:szCs w:val="14"/>
          <w:color w:val="auto"/>
        </w:rPr>
        <w:t>Oilfield Services revenue decreased 28%, while the rig count fell 16%. Revenue fell in all the geographic regions and across all Oilfield Services activities.</w:t>
      </w:r>
    </w:p>
    <w:p>
      <w:pPr>
        <w:spacing w:after="0" w:line="158" w:lineRule="exact"/>
        <w:rPr>
          <w:sz w:val="20"/>
          <w:szCs w:val="20"/>
          <w:color w:val="auto"/>
        </w:rPr>
      </w:pPr>
    </w:p>
    <w:p>
      <w:pPr>
        <w:ind w:left="10" w:right="4240"/>
        <w:spacing w:after="0" w:line="260" w:lineRule="auto"/>
        <w:rPr>
          <w:sz w:val="20"/>
          <w:szCs w:val="20"/>
          <w:color w:val="auto"/>
        </w:rPr>
      </w:pPr>
      <w:r>
        <w:rPr>
          <w:rFonts w:ascii="Courier New" w:cs="Courier New" w:eastAsia="Courier New" w:hAnsi="Courier New"/>
          <w:sz w:val="14"/>
          <w:szCs w:val="14"/>
          <w:color w:val="auto"/>
        </w:rPr>
        <w:t>Resource Management Services revenue was down 4%. Test &amp; Transactions revenue was 10% higher than in the third quarter of 1998 (excluding Schlumberger Omnes) as Smart Cards &amp; Terminals and Automated Test Equipment (ATE) revenue increased.</w:t>
      </w:r>
    </w:p>
    <w:p>
      <w:pPr>
        <w:spacing w:after="0" w:line="3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OILFIELD SERVICES</w:t>
      </w:r>
    </w:p>
    <w:p>
      <w:pPr>
        <w:spacing w:after="0" w:line="175" w:lineRule="exact"/>
        <w:rPr>
          <w:sz w:val="20"/>
          <w:szCs w:val="20"/>
          <w:color w:val="auto"/>
        </w:rPr>
      </w:pPr>
    </w:p>
    <w:p>
      <w:pPr>
        <w:ind w:left="10" w:right="4240"/>
        <w:spacing w:after="0" w:line="238" w:lineRule="auto"/>
        <w:rPr>
          <w:sz w:val="20"/>
          <w:szCs w:val="20"/>
          <w:color w:val="auto"/>
        </w:rPr>
      </w:pPr>
      <w:r>
        <w:rPr>
          <w:rFonts w:ascii="Courier New" w:cs="Courier New" w:eastAsia="Courier New" w:hAnsi="Courier New"/>
          <w:sz w:val="15"/>
          <w:szCs w:val="15"/>
          <w:color w:val="auto"/>
        </w:rPr>
        <w:t>During the third quarter, Oilfield Services operating revenue increased 2% sequentially and declined 28% year over year. The rig count declined 16%. Pretax operating income grew 4% sequentially and fell 63% versus the third quarter of 1998. Compared with last year, revenue decreased in all major geographic regions and across all of the oilfield services, except integrated project management. Geographical comments below exclude Camco and Sedco Forex Offshore, which are reported separately.</w:t>
      </w:r>
    </w:p>
    <w:p>
      <w:pPr>
        <w:spacing w:after="0" w:line="177" w:lineRule="exact"/>
        <w:rPr>
          <w:sz w:val="20"/>
          <w:szCs w:val="20"/>
          <w:color w:val="auto"/>
        </w:rPr>
      </w:pPr>
    </w:p>
    <w:p>
      <w:pPr>
        <w:ind w:left="10" w:right="4320"/>
        <w:spacing w:after="0" w:line="235" w:lineRule="auto"/>
        <w:rPr>
          <w:sz w:val="20"/>
          <w:szCs w:val="20"/>
          <w:color w:val="auto"/>
        </w:rPr>
      </w:pPr>
      <w:r>
        <w:rPr>
          <w:rFonts w:ascii="Courier New" w:cs="Courier New" w:eastAsia="Courier New" w:hAnsi="Courier New"/>
          <w:sz w:val="15"/>
          <w:szCs w:val="15"/>
          <w:color w:val="auto"/>
        </w:rPr>
        <w:t>On July 14, 1999, Schlumberger and Smith International announced the completion of the combination of their drilling fluids operations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290"/>
          </w:cols>
          <w:pgMar w:left="230" w:top="622" w:right="379" w:bottom="1440" w:gutter="0" w:footer="0" w:header="0"/>
        </w:sectPr>
      </w:pPr>
    </w:p>
    <w:bookmarkStart w:id="10" w:name="page11"/>
    <w:bookmarkEnd w:id="10"/>
    <w:p>
      <w:pPr>
        <w:ind w:right="3359"/>
        <w:spacing w:after="0" w:line="238" w:lineRule="auto"/>
        <w:rPr>
          <w:sz w:val="20"/>
          <w:szCs w:val="20"/>
          <w:color w:val="auto"/>
        </w:rPr>
      </w:pPr>
      <w:r>
        <w:rPr>
          <w:rFonts w:ascii="Courier New" w:cs="Courier New" w:eastAsia="Courier New" w:hAnsi="Courier New"/>
          <w:sz w:val="15"/>
          <w:szCs w:val="15"/>
          <w:color w:val="auto"/>
        </w:rPr>
        <w:t>under a joint venture agreement. The joint venture is the world's largest drilling and completions fluids business. Smith contributed its M-I LLC operations, including M-I SWACO, and Schlumberger contributed its non-US drilling fluids business. In addition, Schlumberger paid cash consideration of $280 million to Smith. Smith and Schlumberger own a respective 60% and 40% interest in the combined operations, which will continue to operate under the name M-I LLC. Refer to Item 1, Part II, "Legal Proceedings", for information regarding petitions filed by the US Department of Justice alleging that the transaction violated a 1994 Consent Decree.</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November 5, 1999, Schlumberger purchased Secure Oil Tools from Stellarton Corporation of Calgary, Alberta. Secure Oil Tools is an oil and gas service company offering advanced products in the areas of enhanced production technology (primarily plunger lift), Multi Lateral Production Systems (MLPS), sand filters (MeshRite) and production and thermal tools. This acquisition will advance the long-term Schlumberger strategy to be the leading service provider in optimizing reservoir performance.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North America, quarterly revenue of $375 million increased 18% sequentially and declined 23% year over year as the rig count declined 11%. Pretax operating income tripled sequentially and decreased 13% year over year. Compared with last year, revenue declined across all oilfield services except integrated project management. Improved production from PowerJet* perforating technology has produced pricing premiums of over 20%. The combination with ClearFRAC* polymer-free fracturing fluid is having a positive impact in a market focusing on productivity of reservoirs.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use of ClearFRAC fluid helped BP Amoco in Wyoming to reduce costs and improve production. The fracturing fluid volume was greatly reduced, and the initial gas production increased 2.5 times compared to conventional systems. In Canada, the CoilFRAC* coiled tubing fracturing system was used to stimulate 27 wells, resulting in cost savings of 60% and an average production increase of 190%.</w:t>
      </w:r>
    </w:p>
    <w:p>
      <w:pPr>
        <w:spacing w:after="0" w:line="176" w:lineRule="exact"/>
        <w:rPr>
          <w:sz w:val="20"/>
          <w:szCs w:val="20"/>
          <w:color w:val="auto"/>
        </w:rPr>
      </w:pPr>
    </w:p>
    <w:p>
      <w:pPr>
        <w:ind w:right="4499"/>
        <w:spacing w:after="0" w:line="237" w:lineRule="auto"/>
        <w:rPr>
          <w:sz w:val="20"/>
          <w:szCs w:val="20"/>
          <w:color w:val="auto"/>
        </w:rPr>
      </w:pPr>
      <w:r>
        <w:rPr>
          <w:rFonts w:ascii="Courier New" w:cs="Courier New" w:eastAsia="Courier New" w:hAnsi="Courier New"/>
          <w:sz w:val="15"/>
          <w:szCs w:val="15"/>
          <w:color w:val="auto"/>
        </w:rPr>
        <w:t>Agip Petroleum Company, Inc. signed a five-year contract for PowerHouse* center-based E&amp;P data management services and Finder* data management software.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Latin America, quarterly revenue of $212 million remained flat sequentially and declined 19% year over year as the rig count declined 20%. Pretax operating income decreased 13% sequentially and declined 77% year over year. Revenue for all services in all regions declined, with the exception of 62% growth from multipurpose service vessel (MPSV) activity and 58% growth in marine third-party and nonexclusive proprietary seismic surveys in Brazil.</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PEMEX has selected Holditch-Reservoir Technologies to conduct two integrated reservoir studies of six fields to revitalize production and increase total recovery.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Quarterly revenue of $335 million decreased 2% sequentially and 34% year over year as the rig count declined 28%. Pretax operating income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grew 24% sequentially and fell 69% year over year.</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new GHOST* sensor was introduced in the North Sea. This innovative technology allows clients to directly measure the flow of gas, oil and water at any point in a producing well.</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Norway, Statoil awarded Schlumberger Scandinavia 100% of its wireline logging projects. The scope of work includes 17 installations on fixed platforms and rigs, as well as additional future installations. The initial two-year contract can be extended up to a total of six years.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North Africa, the LiteCRETE* slurry system saved our client an average of 20 hours rig time and approximately $40,000 per cementing job. During another drilling operation, a damaged well facing costly abandonment was saved with InstanSeal** lost circulation sealant, designed to stop fluid loss while drilling.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Quarterly revenue of $321 million decreased 8% sequentially and 31% year over year, while the rig count declined 22%. Pretax operating income decreased 21% sequentially and 62% year over year. Activity fell across the region, except in integrated project management, which continued to grow in Asia.</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Working closely with the client, a Schlumberger premium fracturing service team-a seamless integration of Holditch-Reservoir Technologies, wireline, data management, fluids management, and testing services-delivered customer savings of $48 million for the development of a major gas field in Egypt.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Saudi Aramco awarded Schlumberger two separate land seismic acquisition contracts with a combined duration of up to five years. The contracts will utilize the Olympus-FRS* field recording system, a fully integrated component of the Olympus* suite of seismic acquisition services, along with the new 80,000-lb. Desert Explorer* vibrator source.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Camco</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Quarterly</w:t>
            </w:r>
          </w:p>
        </w:tc>
        <w:tc>
          <w:tcPr>
            <w:tcW w:w="1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revenue of $189</w:t>
            </w:r>
          </w:p>
        </w:tc>
        <w:tc>
          <w:tcPr>
            <w:tcW w:w="4440" w:type="dxa"/>
            <w:vAlign w:val="bottom"/>
          </w:tcPr>
          <w:p>
            <w:pPr>
              <w:ind w:left="40"/>
              <w:spacing w:after="0"/>
              <w:rPr>
                <w:sz w:val="20"/>
                <w:szCs w:val="20"/>
                <w:color w:val="auto"/>
              </w:rPr>
            </w:pPr>
            <w:r>
              <w:rPr>
                <w:rFonts w:ascii="Courier New" w:cs="Courier New" w:eastAsia="Courier New" w:hAnsi="Courier New"/>
                <w:sz w:val="15"/>
                <w:szCs w:val="15"/>
                <w:color w:val="auto"/>
                <w:w w:val="97"/>
              </w:rPr>
              <w:t>million increased 7% sequentially and declined 12%</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year over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year, as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pretax</w:t>
            </w:r>
          </w:p>
        </w:tc>
        <w:tc>
          <w:tcPr>
            <w:tcW w:w="4440" w:type="dxa"/>
            <w:vAlign w:val="bottom"/>
          </w:tcPr>
          <w:p>
            <w:pPr>
              <w:ind w:left="40"/>
              <w:spacing w:after="0"/>
              <w:rPr>
                <w:sz w:val="20"/>
                <w:szCs w:val="20"/>
                <w:color w:val="auto"/>
              </w:rPr>
            </w:pPr>
            <w:r>
              <w:rPr>
                <w:rFonts w:ascii="Courier New" w:cs="Courier New" w:eastAsia="Courier New" w:hAnsi="Courier New"/>
                <w:sz w:val="15"/>
                <w:szCs w:val="15"/>
                <w:color w:val="auto"/>
              </w:rPr>
              <w:t>operating income increased 44% sequentially and</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decreased</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19% year</w:t>
            </w:r>
          </w:p>
        </w:tc>
        <w:tc>
          <w:tcPr>
            <w:tcW w:w="5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over year.</w:t>
            </w:r>
          </w:p>
        </w:tc>
      </w:tr>
    </w:tbl>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Schlumberger successfully installed remote flow-control devices in a dual-lateral well in Wytch Farm for BP Amoco. These devices allowed the client to manage the production of each lateral well from the surface without costly interventions. In addition to saving considerable future operational costs, production gains from the well were estimated at more than 500,000 barrels. To date, Schlumberger has successfully installed seven of these intelligent completions with no downhole failures.</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Working with a drilling company in Venezuela, Schlumberger established a new standard for drill bit performance, dramatically reducing costs while extending a well. The operation was conducted using a single Reed-Hycalog 8-3/8" 345GMT DuraDiamond* bit, instead of multiple conventional bits, thereby avoiding unproductive rig time.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Offshore Contract Drilling Activity</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Sedco Forex Offshore rig utilization rate was 76.4% compared with 94.2% in the third quarter of 1998. The semisubmersible utilization rate decreased from 95% to 72.2%, while the jackup utilization declined from 100% to 90%. The industry offshore rig utilization was 69% versus 88% in the third quarter last year.</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the end of September, the Sedco Forex Offshore fleet consisted of 24 semisubmersibles, 10 jackups, 2 drillships, 4 tenders, 6 swamp barges and 2 land rigs. In addition, 3 semisubmersibles and 1 jackup are under construction. Sedco Forex Offshore revenue and pretax operating income in the quarter were $165 million and $29 million, respectively, compared with $292 million and $132 million, respectively, last year.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Resource Management Services recorded a 4% decline in revenue in the third quarter compared with last year. Orders grew 2%. Pretax operating income fell 14%. On October 12, Schlumberger signed a 15-year agreement with PECO Energy of Philadelphia, Pennsylvania, whereby Resource Management Services will provide metering data and asset management services to PECO. This agreement represents the largest of its kind in the utility market.</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North America, revenue was up 2% compared with last year, while orders increased 26%. Growth in the US and Canada was mostly driven by a still-buoyant housing market and by aggressive infrastructure upgrades by utilities preparing for deregulated markets. Overall water meter sales were strong, notably for products including automatic reading and billing features. Demand was also strong for electricity meters, particularly for the state-of-the-art Centron* static meter with built-in AMR (automatic meter reading) capabilities.</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Europe, revenue decreased 7% year over year, while orders fell 9% over the same period, mostly due to declines in the German electricity and gas businesses, lower demand for electricity products and services in the UK, and continued adverse business conditions in the CIS. In France, water activity grew on firmer demand from domestic utilities, offsetting softer demand for gas products. A major energy data management system was begun for the extensive heating network in Stockholm, Sweden. Orders remained high in the electricity market in Spain, in the water market in France and in the gas market in Italy.</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South America, third-quarter revenue fell 18% compared with last year, while orders decreased 7%, reflecting continuing adverse economic conditions in Brazil.</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Asia, revenue grew 91% year over year, and orders rose 39% as a result of renewed growth in the region combined with higher export deliveries. Significant shipments included electricity meters for India, Thailand and Taiwan, and water meters for the Malaysian market.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TEST &amp; TRANSACTIONS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Test &amp; Transactions orders, including customer solutions activities, were up 41% compared with the same quarter last year and up 4% over last quarter. Revenue increased 10% compared with last year and 16% versus the second quarter of 1999. Both orders and revenue figures exclude results from Schlumberger Omnes, formerly a joint venture which was 100% acquired during the quarter.</w:t>
      </w:r>
    </w:p>
    <w:p>
      <w:pPr>
        <w:spacing w:after="0" w:line="16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Smart Cards &amp; Terminals revenue was 5% higher than last year and 6% above last quarter, while orders grew 13% versus last year and 8% over last quarter. Orders for cards were led by mobile communications SIM (subscriber identity module) cards in Asia and Europe, including the first Simera* Java***-programmable SIM cards orders in Malaysia and Taiwan.</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Asian smart card sales grew largely due to the shipment of Qianflex* smart cards for several Chinese banks. European card sales increased strongly over the same period last year due to growing demand for Simera cards. Municipalities sales also rose strongly, reflecting high activity from the Paris regional transport authority (RATP) and first deliveries for London's Docklands Light Railway (DLR) ticketing project. New York City selected Schlumberger to provide an integrated on- and off-street parking solution that features the nation's first centralized wireless communication capability.</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Automated Test Equipment (ATE) revenue rose 15% compared with the third quarter of 1998. Orders rose 212% year over year, and rose 6% sequentially. ATE experienced growth in orders across all businesses. Test Systems orders surged, reflecting strong demand for new system-on-chip (SOC) testers, as well as multiple orders for test systems for RDRAM**** and DDR (double data rate) memory devices from North America, Asia and Japan. ATE has taken an early leadership Position in RDRAM, with orders from three of the world's five leading manufacturers. The strong level of orders for SOC testers was the highest since the introduction of the initial product. In addition, Verification Systems revenue increased significantly compared with the third quarter of 1998, primarily because the front-end business in North America and Taiwan has grown over the last two quarters.</w:t>
      </w:r>
    </w:p>
    <w:p>
      <w:pPr>
        <w:spacing w:after="0" w:line="18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Leveraging ATE leadership in providing value-added business and engineering services worldwide, Schlumberger launched the industry-first Schlumberger Advanced Business Engineering Resources (SABER*) Technology Institute to serve as the premier instructional and certifying body for technical and professional semiconductor engineering and operational personnel.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Interest and other income increased $13 million from the same period last year primarily due to a $14 million increase in interest income (higher average investment balances). Excluding 1998 third-quarter charge, gross margin decreased from 27% to 22%. Research and engineering expense declined 2% from last year representing 6% of operating revenue compared with 4.7% in 1998. Marketing expense was down 6%. General expense, expressed as a percentage of operating revenue, increased from 3.8% to 4.4%. Interest expense increased $6 million due to higher debt balances relating to the financing of the Camco merger. Effective tax rate of 19% remained unchanged from last year.</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4" w:name="page15"/>
    <w:bookmarkEnd w:id="14"/>
    <w:p>
      <w:pPr>
        <w:ind w:left="960"/>
        <w:spacing w:after="0"/>
        <w:rPr>
          <w:sz w:val="20"/>
          <w:szCs w:val="20"/>
          <w:color w:val="auto"/>
        </w:rPr>
      </w:pPr>
      <w:r>
        <w:rPr>
          <w:rFonts w:ascii="Courier New" w:cs="Courier New" w:eastAsia="Courier New" w:hAnsi="Courier New"/>
          <w:sz w:val="15"/>
          <w:szCs w:val="15"/>
          <w:color w:val="auto"/>
        </w:rPr>
        <w:t>First Nine Months 1999 Compared to First Nine Months 1998</w:t>
      </w:r>
    </w:p>
    <w:p>
      <w:pPr>
        <w:ind w:left="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Revenue of $6.73 billion was 26% lower than the same period last year. Net income and diluted earnings per share were $446 million and $0.80, both 60% below the same period last year before the third-quarter 1998 and first-quarter 1999 charges.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Oilfield Services revenue decreased 29%, while the rig count fell 29%. Revenue decreased in all the geographic regions and across all Oilfield Services activities. Pretax operating income was down 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 of $1.04 billion decreased 36% compared with the first nine months of 1998, and pretax operating income was down 75%. The rig count declined 32%. All oilfield services of North America experienced weakness except integrated project management. US Land and Canada markets suffered the most declines. New technologies, such as the PS PLATFORM* production suite and PowerJet* shaped charges, which can greatly improve reservoir productivity, are having a positive impact on revenue.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Latin American revenue of $616 million was down 30% from last year. Pretax operating income decreased 83% as the rig count declined 24%. All areas experienced revenue shortfalls with Mexico &amp; Central America suffering the largest declines while Venezuela, Trinidad &amp; Tobago declined less than other areas. Contract drilling revenue was 28% ahead of last year due to ongoing deepwater contracts. Revenue from data management services were down slightly with continued clients' interest in integrated applications and solutions.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Revenue of $1.07 billion fell 26% compared with the prior year. Pretax operating income decreased 64%. Continental Europe and West &amp; South Africa were severely impacted by the activity downturn.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Revenue of $1.06 billion declined 24% from the same period last year, and pretax operating income decreased 49%. Activity was weak in all regions with the exception of integrated project management. Drilling services revenue fell 40%.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Camco</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Revenue of $554 million declined 15%, and pretax operating income decreased 39% compared with the prior year.</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Production Operators' revenue increased 23% reflecting strong demand in gas compression in the US and Latin America. Camco was awarded two large contracts by Venezuela to construct and service gas compression facilities.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Offshore Contract Drilling Activity</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Sedco Forex Offshore revenue and pretax operating income in the first nine months were $521 million and $129 million, respectively, compared with $831 million and $347 million, respectively, last year.</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Resource Management Services revenue was down 5% compared with the first nine months of 1998, due to weak market conditions in Europe and South America. Orders declined 10%. Pretax operating income included a charge of $15 million ($11 million after tax) due to the write-off of certain assets, including a provision for the divestiture of a small business.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 in North America rose 3%. Orders were down from last year, which included a large order from Illinois Power which was cancelled in November 1999. High demands for electricity and water meters are supported by a strong housing market in the US and Canada. Sales also increased in the replacement market for more advanced and high-accuracy meters. Revenue from South America dropped 25% while orders declined 18% reflecting the market uncertainty due to the budget cuts and currency devaluation in Brazil.</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Europe, revenue was down 5% partly due to a strong US dollar. Other factors include lower demand for service and maintenance revenues in the UK, declined activity in electricity and gas products in Germany and poor economic conditions in the CIS. Orders were 5% lower than last year.</w:t>
      </w:r>
    </w:p>
    <w:p>
      <w:pPr>
        <w:spacing w:after="0" w:line="176"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In Asia, revenue grew 43% reflecting an improved economy in the region and continued growth in export deliveries. Orders were up 61% from last year.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175" w:lineRule="exact"/>
        <w:rPr>
          <w:sz w:val="20"/>
          <w:szCs w:val="20"/>
          <w:color w:val="auto"/>
        </w:rPr>
      </w:pPr>
    </w:p>
    <w:p>
      <w:pPr>
        <w:ind w:right="3619"/>
        <w:spacing w:after="0" w:line="260" w:lineRule="auto"/>
        <w:rPr>
          <w:sz w:val="20"/>
          <w:szCs w:val="20"/>
          <w:color w:val="auto"/>
        </w:rPr>
      </w:pPr>
      <w:r>
        <w:rPr>
          <w:rFonts w:ascii="Courier New" w:cs="Courier New" w:eastAsia="Courier New" w:hAnsi="Courier New"/>
          <w:sz w:val="14"/>
          <w:szCs w:val="14"/>
          <w:color w:val="auto"/>
        </w:rPr>
        <w:t>Revenue was 10% below last year while pretax operating declined 68%. Orders increased 9%. The above figures exclude results from Schlumberger Omnes, formerly a joint venture which was 100% acquired in the third quarter.</w:t>
      </w:r>
    </w:p>
    <w:p>
      <w:pPr>
        <w:spacing w:after="0" w:line="16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Smart Cards &amp; Terminals revenue rose 7% over the same period last year, mainly due to higher subscriber identity module-based (SIM) card sales. Orders for cards increased year over year, with strong bookings in Europe for our recently introduced Cyberflex Simera* high-capacity, multi-application smart card. Municipalities sales rose strongly with higher shipments to local governments throughout the world.</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Revenue for ATE declined 30%. Compared to last year, orders were up 12% with growth in all major product lines. Several new products in each business segment were commercially launched. System-On-Chip (SOC) Testers, Verification Systems and Automated Systems all showed increased orders due to new product introductions. SABER (Schlumberger Advanced Business Engineering Resources), the semiconductor customer solutions business, continued to grow substantially.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INCOME STATEMENT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Interest and other income increased $166 million from the same period last year primarily due to a $103 million gain on sale of financial instruments relating to the sale of Retail Petroleum Systems, and a $64 million increase in interest income (higher average investment balances). Excluding the third-quarter 1998 and first-quarter 1999 charges, gross margin decreased from 28% to 23%. Research and engineering expense declined 8% from last year representing 5.9% of operating revenue compared with 4.8% in 1998. Marketing expense was down 7%. General expense, expressed as a percentage of operating revenue, increased from 3.8% to 4.5%. Interest expense increased $50 million due to higher debt balances relating to the financing of the Camco merger. Effective tax rate of 19% decreased three percentage points from last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1998, the Company adopted SFAS 131, "Disclosures about Segments of an Enterprise and Related Information." All prior periods have been restated. For details, see "Segment Information" on page 8 of this 10-Q report.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(FASB) issued SFAS 133, "Accounting for Derivative Instruments and Hedging Activities," which requires that the Company recognize all derivative instruments as either assets or liabilities in the statement of financial position and measure those instruments at fair value. The standard is effective in the year 2001 for the Company. Occasionally, the Company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to hedge against currency variations on firm commitments generally involving the construction of long-lived assets such as seismic vessels and drilling rigs. The Company does not anticipate that the implementation of the new standard will have a material effect on the consolidated financial position and results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"Year 2000 issue" is the inability of computers and computing technology to process the Year 2000 date change correctly.</w:t>
      </w:r>
    </w:p>
    <w:p>
      <w:pPr>
        <w:spacing w:after="0" w:line="176"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The Company recognizes that the Year 2000 issue creates a significant uncertainty to its business, and has a proactive, Company-wide Year 2000 Readiness Program (the "Program").</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part of the Program, most non-ready systems have been replaced or upgraded with new systems that will provide certain competitive benefits, as well as ensure Year 2000 readiness to minimize customer and shareholder business disruptions caused by this issue. A Company-wide task force was formed in late 1997 to provide guidance to the Company's business units and monitor progress of the Program. The Company has also consulted with and engaged various third</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17" w:name="page18"/>
    <w:bookmarkEnd w:id="17"/>
    <w:p>
      <w:pPr>
        <w:ind w:left="10" w:right="3619"/>
        <w:spacing w:after="0" w:line="235" w:lineRule="auto"/>
        <w:rPr>
          <w:sz w:val="20"/>
          <w:szCs w:val="20"/>
          <w:color w:val="auto"/>
        </w:rPr>
      </w:pPr>
      <w:r>
        <w:rPr>
          <w:rFonts w:ascii="Courier New" w:cs="Courier New" w:eastAsia="Courier New" w:hAnsi="Courier New"/>
          <w:sz w:val="15"/>
          <w:szCs w:val="15"/>
          <w:color w:val="auto"/>
        </w:rPr>
        <w:t>parties, including outside consultants and service providers, to assist the Company in its Program efforts.</w:t>
      </w:r>
    </w:p>
    <w:p>
      <w:pPr>
        <w:spacing w:after="0" w:line="176"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1994, the Company decided to upgrade its main internal business systems with Year 2000-ready programs. The planned upgrades have been completed in September 1999. Those aspects of the Company's internal business systems that were not scheduled to be covered by this upgrade effort have been separately addressed through a repair of existing legacy systems to Year 2000-ready status. These repairs have been completed.</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Due to the Company's centralized engineering/manufacturing profile, more than 80% of Year 2000 efforts affecting products and services were concentrated in our major engineering and manufacturing sites. A Year 2000 Quality Assurance Program was in place to maintain strong project discipline and to monitor and report Program issues and progress to management. The Year 2000 readiness of the Company's key products and services was completed as of the end of September 1999.</w:t>
      </w:r>
    </w:p>
    <w:p>
      <w:pPr>
        <w:spacing w:after="0" w:line="177"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The Company's field operating units have been actively involved in a Year 2000 Field Readiness program since October 1998 to cover key business applications, products and services not covered by the engineering/manufacturing efforts. This program was completed in all key respects as of the end of September 1999 and remaining issues, which are not material, will be completed in November 1999.</w:t>
      </w:r>
    </w:p>
    <w:p>
      <w:pPr>
        <w:spacing w:after="0" w:line="16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Overall, the Company has reached Year 2000 Readiness in all key areas as of September 1999 and the remaining efforts are now concentrated on setting up Year 2000 rollover teams and helpdesks which are being implemented throughout our global operations to support both our customers and any mission essential systems that will need to be live and supported over critical Year 2000 dates.</w:t>
      </w:r>
    </w:p>
    <w:p>
      <w:pPr>
        <w:spacing w:after="0" w:line="34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Program Description</w:t>
      </w:r>
    </w:p>
    <w:p>
      <w:pPr>
        <w:spacing w:after="0" w:line="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The Program used a business risk assessment and prioritization approach to produce Year 2000-ready products/services and to minimize disruptions in business operations. The Program was divided into three major readiness categories: Assets, Information Technology (IT) and Commercial. Within each category, there were two Program stages.</w:t>
      </w:r>
    </w:p>
    <w:p>
      <w:pPr>
        <w:spacing w:after="0" w:line="178" w:lineRule="exact"/>
        <w:rPr>
          <w:sz w:val="20"/>
          <w:szCs w:val="20"/>
          <w:color w:val="auto"/>
        </w:rPr>
      </w:pPr>
    </w:p>
    <w:p>
      <w:pPr>
        <w:ind w:left="350" w:right="3179" w:hanging="350"/>
        <w:spacing w:after="0" w:line="238" w:lineRule="auto"/>
        <w:tabs>
          <w:tab w:leader="none" w:pos="1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Stage I: Assessment and Preparation - this stage focused on up-front planning, data gathering and correction planning. This included raising Year 2000 awareness; carrying out a detailed business unit asset inventory; assessing the scope of the Year 2000 problem; determining appropriate corrections, testing/validation, acceptance and deployment approaches; and preparing project plans and budgets.</w:t>
      </w:r>
    </w:p>
    <w:p>
      <w:pPr>
        <w:spacing w:after="0" w:line="175"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Stage II: Repairs, Testing and Deployment - this stage focused on "fixing"</w:t>
      </w:r>
    </w:p>
    <w:p>
      <w:pPr>
        <w:spacing w:after="0" w:line="10" w:lineRule="exact"/>
        <w:rPr>
          <w:rFonts w:ascii="Courier New" w:cs="Courier New" w:eastAsia="Courier New" w:hAnsi="Courier New"/>
          <w:sz w:val="14"/>
          <w:szCs w:val="14"/>
          <w:color w:val="auto"/>
        </w:rPr>
      </w:pPr>
    </w:p>
    <w:p>
      <w:pPr>
        <w:ind w:left="35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Year 2000 problems (and testing these fixes), followed by user-acceptance, redeployment and operational validation of the fixed (i.e., repaired, replaced, etc.) systems.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Assets. This category consists of (1) products and services the Company either sells or uses to provide services to our customers, and (2) hardware and software associated with embedded computer chips that are used in the operation of our products and facilities. Stage II was completed in all material respects as of September 1999.</w:t>
      </w:r>
    </w:p>
    <w:p>
      <w:pPr>
        <w:spacing w:after="0" w:line="17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7"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Information Technology. This category deals with traditional IT infrastructure, such as business applications, computer hardware/ software, IT networks and communication equipment. The implementation of the MFG/PRO***** system is complete. The Implementation of the SAP****** system has been completed in the US and Canada. The Company also repaired associated legacy systems outside the US and Canada. This plan used independent contractors, legacy system vendors and Company employees to rewrite and test certain software modules, and was completed in September 1999. The activities associated with other systems in this IT category (computer hardware/software, IT networks and communications equipment) have also been completed.</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Commercial. This category dealt with the Company's efforts to avoid being adversely affected by Year 2000 issues from external entities (suppliers, financial institutions, service providers, etc.). Work in this category has been completed. Based on assessment of these responses the Company has developed contingency plans for those areas that pose significant risk from the Year 2000 issue; however, the Company could potentially experience disruptions to some aspects of its operations from non-compliant systems utilized by third-party entities.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Planning</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Company has reviewed the activities associated with each category and has determined which activities are at risk or have the potential to cause business disruption. Appropriate contingency plans have been implemented for each of the "at risk" activities to minimize the effect of potential Year 2000 disruption, both internally and on the Company's customers. Furthermore, a Year 2000 rollover plan has been developed for any mission essential systems that will need to be live and supported over important Year 2000 dates. As part of this plan, a Year 2000 helpdesk structure is being implemented throughout our global operations to support existing organizational structures in any potentially escalating Year 2000 issues during the millennium rollover period. This process will commence in the early hours of December 31, 1999, and continue for hours, days, or weeks as circumstances require.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Year 2000 Program funding requirements have been incorporated into the Company's capital and operating plans and are not expected to have an adverse material impact on the Company's financial condition, results of operations or liquidity. The Company estimates the cost of the Program to be in the order of $60 million (approximately $58 million spent to date), with a breakdown of costs estimated at 36% for employee resources, 24% for IT-related upgrades and repair and 39% for non-IT embedded chip technology. It should be noted that these costs do not include the normal upgrading of business systems, products and applications already defined by our business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most significant difficulty associated with predicting Year 2000 failures stems from the general uncertainty inherent in the Year 2000 issues (partially attributable to the interconnection of global businesses). Accordingly, the Company cannot fully predict its ability to resolve appropriately all Year 2000 issues that may affect its operations and business or expose it to third-party liability. The failure of systems or infrastructure outside our control or failure of the company's Year 2000 program to have detected all Year 2000 issues, could result in an interruption in, or a failure of, certain normal business activities or operations. Such failures could materially and</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9" w:name="page20"/>
    <w:bookmarkEnd w:id="19"/>
    <w:p>
      <w:pPr>
        <w:ind w:right="3179"/>
        <w:spacing w:after="0" w:line="259" w:lineRule="auto"/>
        <w:rPr>
          <w:sz w:val="20"/>
          <w:szCs w:val="20"/>
          <w:color w:val="auto"/>
        </w:rPr>
      </w:pPr>
      <w:r>
        <w:rPr>
          <w:rFonts w:ascii="Courier New" w:cs="Courier New" w:eastAsia="Courier New" w:hAnsi="Courier New"/>
          <w:sz w:val="14"/>
          <w:szCs w:val="14"/>
          <w:color w:val="auto"/>
        </w:rPr>
        <w:t>adversely affect the Company's operations, liquidity and financial condition. Because of the uncertainties described above, the Company is unable to determine whether the consequences of such Year 2000 failures, will have a material impact on the Company's results of operations, liquidity or financial condition.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that date, the conversion rates of the national currencies of the eleven member states adopting the euro were fixed irrevocably. The national currencies will initially remain in circulation as nondecimal sub-units of the euro and will be replaced by euro bills and coins by July 2002. During the transition period between January 1999 and July 2002, public and private parties may pay for goods and services using either the euro or the national currency on a "no compulsion, no prohibition" basis.</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 Euro Readiness Program has been established throughout Schlumberger to ensure that all business segments meet the euro requirements. To this effect, a Euro Steering Committee has been established and, to maintain focus on the Schlumberger euro implementation program, project teams have been set up throughout the Company. Euro implementation plans cover both phases of the euro implementation. Initially these plans will ensure that, progressively through 1999, all business units of Schlumberger will be able to transact in the euro. Thereafter, ensuring that during the transitional period all corporate, financial, commercial, employment and other documentation that refer to the participating currencies are converted to the euro in accordance with the regulatory requirements.</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the transition period conversion rates can no longer be computed directly from one participating currency to another. Instead, a triangulation algorithm will be applied which requires that national currency amounts be converted first to the euro according to the fixed conversion rates before being converted into the second national currency. This requires specific conversion modules to be included in business information systems. Furthermore, such programs will be required to provide the additional functionality needed to convert all participating currency-denominated financial data to the euro. A review of all financial information systems has commenced and their functionality for processing euro transactions is being tested.</w:t>
      </w:r>
    </w:p>
    <w:p>
      <w:pPr>
        <w:spacing w:after="0" w:line="16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Schlumberger recognizes that the euro will affect its various businesses differently. Oilfield Services operates in an essentially US dollar-denominated environment in which the introduction of the euro is expected to have limited consequences. Test &amp; Transactions will be affected in terms of the ability of products such as smart cards and terminals to process euro transactions. Resource Management Systems, which has now set up a pan-European manufacturing structure covering all European Union markets, expects to participate in the general growth generated by the euro. The increased price transparency created by the euro accompanied by deregulation and increased competition among our customers, the utilities, should also contribute to providing new Solutions opportunities in these businesses. The full assessment of the effects the euro will have on each business segment is incomplete and, hence, the Company cannot as yet make a final conclusion on the anticipated business impact the introduction of the single currency will have.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20" w:name="page21"/>
    <w:bookmarkEnd w:id="20"/>
    <w:p>
      <w:pPr>
        <w:ind w:left="10" w:right="3179"/>
        <w:spacing w:after="0" w:line="238" w:lineRule="auto"/>
        <w:rPr>
          <w:sz w:val="20"/>
          <w:szCs w:val="20"/>
          <w:color w:val="auto"/>
        </w:rPr>
      </w:pPr>
      <w:r>
        <w:rPr>
          <w:rFonts w:ascii="Courier New" w:cs="Courier New" w:eastAsia="Courier New" w:hAnsi="Courier New"/>
          <w:sz w:val="15"/>
          <w:szCs w:val="15"/>
          <w:color w:val="auto"/>
        </w:rPr>
        <w:t>Based upon results to date, the Company believes that the implementation of the euro can be performed according to the time frame defined by the European Union. The Company does not expect the total cost of addressing this issue to be material to financial condition, results of operations and liquidity. This cost estimate does not include the normal upgrading of business and financial systems that would be euro ready.</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FORWARD-LOOKING STATEMENTS</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 cautions that, except for the historical information and discussions contained herein, statements in this 10-Q report and elsewhere may constitute forward-looking statements. These include statements as to expectations, beliefs and future financial performance, such as statements regarding business prospects in the key industries in which the Company operates and growth opportunities for the Company in those industries. These statements involve a number of risks, uncertainties, assumptions and other factors that could cause actual results to differ materially from those in the forward-looking statements. Such factors include: the extent and duration of the recovery in oil prices, continuing customer commitment to certain key oilfield projects, non-cancellation of key long-term services and solutions contracts, growth in demand for RDRAM memory devices and mixed signal devices produced by the Company's test equipment customers, general economic and business conditions in key regions of the world, and changes in business strategy or development plans relating to the Company's targeted growth opportunities.</w:t>
      </w:r>
    </w:p>
    <w:p>
      <w:pPr>
        <w:spacing w:after="0" w:line="32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 does not believe it has a material exposure to market risk. The Company manages the exposure to interest rate changes by using a mix of debt maturities and variable- and fixed-rate debt together with interest rate swaps, where appropriate, to fix or lower borrowing costs. With regard to foreign currency fluctuations, the Company enters into various contracts, which change in value as foreign exchange rates change, to protect the value of external and intercompany transactions in foreign currencies. The Company does not enter into foreign currency or interest rate transactions for speculative purposes.</w:t>
      </w:r>
    </w:p>
    <w:p>
      <w:pPr>
        <w:spacing w:after="0" w:line="331" w:lineRule="exact"/>
        <w:rPr>
          <w:sz w:val="20"/>
          <w:szCs w:val="20"/>
          <w:color w:val="auto"/>
        </w:rPr>
      </w:pPr>
    </w:p>
    <w:p>
      <w:pPr>
        <w:ind w:left="610" w:hanging="610"/>
        <w:spacing w:after="0"/>
        <w:tabs>
          <w:tab w:leader="none" w:pos="6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Mark of Statoil</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Java is a registered trademark of Sun Microsystems, Inc.</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RDRAM is a registered trademark of Rambus, Inc.</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MFG/PRO is a registered trademark of QAD</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SAP is a registered trademark of SAP AG</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7" w:right="1440" w:bottom="1440" w:gutter="0" w:footer="0" w:header="0"/>
        </w:sectPr>
      </w:pPr>
    </w:p>
    <w:bookmarkStart w:id="21" w:name="page22"/>
    <w:bookmarkEnd w:id="21"/>
    <w:p>
      <w:pPr>
        <w:ind w:left="2290"/>
        <w:spacing w:after="0"/>
        <w:rPr>
          <w:sz w:val="20"/>
          <w:szCs w:val="20"/>
          <w:color w:val="auto"/>
        </w:rPr>
      </w:pPr>
      <w:r>
        <w:rPr>
          <w:rFonts w:ascii="Courier New" w:cs="Courier New" w:eastAsia="Courier New" w:hAnsi="Courier New"/>
          <w:sz w:val="15"/>
          <w:szCs w:val="15"/>
          <w:color w:val="auto"/>
        </w:rPr>
        <w:t>PART II. OTHER INFORMATION</w:t>
      </w:r>
    </w:p>
    <w:p>
      <w:pPr>
        <w:ind w:left="229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July 27, 1999, the US Department of Justice filed petitions against the Company and Smith International, Inc. with the United States District Court in Washington, DC, alleging civil and criminal contempt in connection with the completion of the MI drilling fluids joint venture transaction between the Company and Smith. The petitions allege that the transaction violated a 1994 Consent Decree entered in US v. Baroid Corporation. The Justice Department's petitions request that the Court rescind the transaction, and impose fines against the parties as the Court deems appropriate. The parties strongly believe that the transaction does not violate the Decree and are vigorously defending their position.</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6: Exhibits and Reports on Form 8-K</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Exhibits: None</w:t>
      </w:r>
    </w:p>
    <w:p>
      <w:pPr>
        <w:spacing w:after="0" w:line="169" w:lineRule="exact"/>
        <w:rPr>
          <w:sz w:val="20"/>
          <w:szCs w:val="20"/>
          <w:color w:val="auto"/>
        </w:rPr>
      </w:pPr>
    </w:p>
    <w:p>
      <w:pPr>
        <w:ind w:left="10"/>
        <w:spacing w:after="0"/>
        <w:tabs>
          <w:tab w:leader="none" w:pos="2629" w:val="left"/>
        </w:tabs>
        <w:rPr>
          <w:sz w:val="20"/>
          <w:szCs w:val="20"/>
          <w:color w:val="auto"/>
        </w:rPr>
      </w:pPr>
      <w:r>
        <w:rPr>
          <w:rFonts w:ascii="Courier New" w:cs="Courier New" w:eastAsia="Courier New" w:hAnsi="Courier New"/>
          <w:sz w:val="15"/>
          <w:szCs w:val="15"/>
          <w:color w:val="auto"/>
        </w:rPr>
        <w:t>(b) Reports on Form 8-K:</w:t>
      </w:r>
      <w:r>
        <w:rPr>
          <w:sz w:val="20"/>
          <w:szCs w:val="20"/>
          <w:color w:val="auto"/>
        </w:rPr>
        <w:tab/>
      </w:r>
      <w:r>
        <w:rPr>
          <w:rFonts w:ascii="Courier New" w:cs="Courier New" w:eastAsia="Courier New" w:hAnsi="Courier New"/>
          <w:sz w:val="14"/>
          <w:szCs w:val="14"/>
          <w:color w:val="auto"/>
        </w:rPr>
        <w:t>None</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sectPr>
      </w:pPr>
    </w:p>
    <w:bookmarkStart w:id="22" w:name="page23"/>
    <w:bookmarkEnd w:id="22"/>
    <w:p>
      <w:pPr>
        <w:ind w:left="3080"/>
        <w:spacing w:after="0"/>
        <w:rPr>
          <w:sz w:val="20"/>
          <w:szCs w:val="20"/>
          <w:color w:val="auto"/>
        </w:rPr>
      </w:pPr>
      <w:r>
        <w:rPr>
          <w:rFonts w:ascii="Courier New" w:cs="Courier New" w:eastAsia="Courier New" w:hAnsi="Courier New"/>
          <w:sz w:val="15"/>
          <w:szCs w:val="15"/>
          <w:color w:val="auto"/>
        </w:rPr>
        <w:t>SIGNATURE</w:t>
      </w:r>
    </w:p>
    <w:p>
      <w:pPr>
        <w:ind w:left="30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43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principal financial officer.</w:t>
      </w:r>
    </w:p>
    <w:p>
      <w:pPr>
        <w:spacing w:after="0" w:line="34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Schlumberger Limited</w:t>
      </w:r>
    </w:p>
    <w:p>
      <w:pPr>
        <w:jc w:val="center"/>
        <w:ind w:right="-340"/>
        <w:spacing w:after="0"/>
        <w:rPr>
          <w:sz w:val="20"/>
          <w:szCs w:val="20"/>
          <w:color w:val="auto"/>
        </w:rPr>
      </w:pPr>
      <w:r>
        <w:rPr>
          <w:rFonts w:ascii="Courier New" w:cs="Courier New" w:eastAsia="Courier New" w:hAnsi="Courier New"/>
          <w:sz w:val="15"/>
          <w:szCs w:val="15"/>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6"/>
              </w:rPr>
              <w:t>Date: November 12, 1999</w:t>
            </w: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rPr>
              <w:t>/s/ Jack Liu</w:t>
            </w:r>
          </w:p>
        </w:tc>
      </w:tr>
      <w:tr>
        <w:trPr>
          <w:trHeight w:val="170"/>
        </w:trPr>
        <w:tc>
          <w:tcPr>
            <w:tcW w:w="26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rPr>
              <w:t>Jack Liu</w:t>
            </w:r>
          </w:p>
        </w:tc>
      </w:tr>
      <w:tr>
        <w:trPr>
          <w:trHeight w:val="170"/>
        </w:trPr>
        <w:tc>
          <w:tcPr>
            <w:tcW w:w="2680" w:type="dxa"/>
            <w:vAlign w:val="bottom"/>
          </w:tcPr>
          <w:p>
            <w:pPr>
              <w:spacing w:after="0"/>
              <w:rPr>
                <w:sz w:val="14"/>
                <w:szCs w:val="14"/>
                <w:color w:val="auto"/>
              </w:rPr>
            </w:pP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rPr>
              <w:t>Executive Vice President,</w:t>
            </w:r>
          </w:p>
        </w:tc>
      </w:tr>
      <w:tr>
        <w:trPr>
          <w:trHeight w:val="170"/>
        </w:trPr>
        <w:tc>
          <w:tcPr>
            <w:tcW w:w="2680" w:type="dxa"/>
            <w:vAlign w:val="bottom"/>
          </w:tcPr>
          <w:p>
            <w:pPr>
              <w:spacing w:after="0"/>
              <w:rPr>
                <w:sz w:val="14"/>
                <w:szCs w:val="14"/>
                <w:color w:val="auto"/>
              </w:rPr>
            </w:pP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w w:val="97"/>
              </w:rPr>
              <w:t>Chief Financial Officer and</w:t>
            </w:r>
          </w:p>
        </w:tc>
      </w:tr>
      <w:tr>
        <w:trPr>
          <w:trHeight w:val="170"/>
        </w:trPr>
        <w:tc>
          <w:tcPr>
            <w:tcW w:w="2680" w:type="dxa"/>
            <w:vAlign w:val="bottom"/>
          </w:tcPr>
          <w:p>
            <w:pPr>
              <w:spacing w:after="0"/>
              <w:rPr>
                <w:sz w:val="14"/>
                <w:szCs w:val="14"/>
                <w:color w:val="auto"/>
              </w:rPr>
            </w:pPr>
          </w:p>
        </w:tc>
        <w:tc>
          <w:tcPr>
            <w:tcW w:w="4100" w:type="dxa"/>
            <w:vAlign w:val="bottom"/>
          </w:tcPr>
          <w:p>
            <w:pPr>
              <w:ind w:left="1720"/>
              <w:spacing w:after="0"/>
              <w:rPr>
                <w:sz w:val="20"/>
                <w:szCs w:val="20"/>
                <w:color w:val="auto"/>
              </w:rPr>
            </w:pPr>
            <w:r>
              <w:rPr>
                <w:rFonts w:ascii="Courier New" w:cs="Courier New" w:eastAsia="Courier New" w:hAnsi="Courier New"/>
                <w:sz w:val="15"/>
                <w:szCs w:val="15"/>
                <w:color w:val="auto"/>
              </w:rPr>
              <w:t>Chief Accounting Officer</w:t>
            </w:r>
          </w:p>
        </w:tc>
      </w:tr>
      <w:tr>
        <w:trPr>
          <w:trHeight w:val="339"/>
        </w:trPr>
        <w:tc>
          <w:tcPr>
            <w:tcW w:w="2680" w:type="dxa"/>
            <w:vAlign w:val="bottom"/>
          </w:tcPr>
          <w:p>
            <w:pPr>
              <w:spacing w:after="0"/>
              <w:rPr>
                <w:sz w:val="24"/>
                <w:szCs w:val="24"/>
                <w:color w:val="auto"/>
              </w:rPr>
            </w:pPr>
          </w:p>
        </w:tc>
        <w:tc>
          <w:tcPr>
            <w:tcW w:w="4100" w:type="dxa"/>
            <w:vAlign w:val="bottom"/>
          </w:tcPr>
          <w:p>
            <w:pPr>
              <w:ind w:left="660"/>
              <w:spacing w:after="0"/>
              <w:rPr>
                <w:sz w:val="20"/>
                <w:szCs w:val="20"/>
                <w:color w:val="auto"/>
              </w:rPr>
            </w:pPr>
            <w:r>
              <w:rPr>
                <w:rFonts w:ascii="Courier New" w:cs="Courier New" w:eastAsia="Courier New" w:hAnsi="Courier New"/>
                <w:sz w:val="15"/>
                <w:szCs w:val="15"/>
                <w:color w:val="auto"/>
              </w:rPr>
              <w:t>-22-</w:t>
            </w:r>
          </w:p>
        </w:tc>
      </w:tr>
    </w:tbl>
    <w:p>
      <w:pPr>
        <w:sectPr>
          <w:pgSz w:w="11900" w:h="16838" w:orient="portrait"/>
          <w:cols w:equalWidth="0" w:num="1">
            <w:col w:w="10219"/>
          </w:cols>
          <w:pgMar w:left="240" w:top="622" w:right="1440" w:bottom="1440"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FORM 10Q AND IS QUALIFIED IN ITS ENTIRETY BY REFERENCE TO SUCH FINANCIAL STATEMENTS.</w:t>
      </w:r>
    </w:p>
    <w:p>
      <w:pPr>
        <w:spacing w:after="0" w:line="17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260"/>
        <w:spacing w:after="0"/>
        <w:rPr>
          <w:sz w:val="20"/>
          <w:szCs w:val="20"/>
          <w:color w:val="auto"/>
        </w:rPr>
      </w:pPr>
      <w:r>
        <w:rPr>
          <w:rFonts w:ascii="Courier New" w:cs="Courier New" w:eastAsia="Courier New" w:hAnsi="Courier New"/>
          <w:sz w:val="15"/>
          <w:szCs w:val="15"/>
          <w:color w:val="auto"/>
        </w:rPr>
        <w:t>DEC-31-1999</w:t>
      </w:r>
    </w:p>
    <w:p>
      <w:pPr>
        <w:ind w:left="2520"/>
        <w:spacing w:after="0"/>
        <w:rPr>
          <w:sz w:val="20"/>
          <w:szCs w:val="20"/>
          <w:color w:val="auto"/>
        </w:rPr>
      </w:pPr>
      <w:r>
        <w:rPr>
          <w:rFonts w:ascii="Courier New" w:cs="Courier New" w:eastAsia="Courier New" w:hAnsi="Courier New"/>
          <w:sz w:val="15"/>
          <w:szCs w:val="15"/>
          <w:color w:val="auto"/>
        </w:rPr>
        <w:t>JAN-01-1999</w:t>
      </w:r>
    </w:p>
    <w:p>
      <w:pPr>
        <w:ind w:left="2700"/>
        <w:spacing w:after="0" w:line="238" w:lineRule="auto"/>
        <w:rPr>
          <w:sz w:val="20"/>
          <w:szCs w:val="20"/>
          <w:color w:val="auto"/>
        </w:rPr>
      </w:pPr>
      <w:r>
        <w:rPr>
          <w:rFonts w:ascii="Courier New" w:cs="Courier New" w:eastAsia="Courier New" w:hAnsi="Courier New"/>
          <w:sz w:val="15"/>
          <w:szCs w:val="15"/>
          <w:color w:val="auto"/>
        </w:rPr>
        <w:t>SEP-30-1999</w:t>
      </w:r>
    </w:p>
    <w:p>
      <w:pPr>
        <w:ind w:left="3400"/>
        <w:spacing w:after="0"/>
        <w:rPr>
          <w:sz w:val="20"/>
          <w:szCs w:val="20"/>
          <w:color w:val="auto"/>
        </w:rPr>
      </w:pPr>
      <w:r>
        <w:rPr>
          <w:rFonts w:ascii="Courier New" w:cs="Courier New" w:eastAsia="Courier New" w:hAnsi="Courier New"/>
          <w:sz w:val="15"/>
          <w:szCs w:val="15"/>
          <w:color w:val="auto"/>
        </w:rPr>
        <w:t>4,021,531</w:t>
      </w:r>
    </w:p>
    <w:p>
      <w:pPr>
        <w:ind w:left="3580"/>
        <w:spacing w:after="0"/>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2,694,001</w:t>
      </w:r>
    </w:p>
    <w:p>
      <w:pPr>
        <w:ind w:left="2880"/>
        <w:spacing w:after="0"/>
        <w:rPr>
          <w:sz w:val="20"/>
          <w:szCs w:val="20"/>
          <w:color w:val="auto"/>
        </w:rPr>
      </w:pPr>
      <w:r>
        <w:rPr>
          <w:rFonts w:ascii="Courier New" w:cs="Courier New" w:eastAsia="Courier New" w:hAnsi="Courier New"/>
          <w:sz w:val="15"/>
          <w:szCs w:val="15"/>
          <w:color w:val="auto"/>
        </w:rPr>
        <w:t>(103,081)</w:t>
      </w:r>
    </w:p>
    <w:p>
      <w:pPr>
        <w:ind w:left="2960"/>
        <w:spacing w:after="0"/>
        <w:rPr>
          <w:sz w:val="20"/>
          <w:szCs w:val="20"/>
          <w:color w:val="auto"/>
        </w:rPr>
      </w:pPr>
      <w:r>
        <w:rPr>
          <w:rFonts w:ascii="Courier New" w:cs="Courier New" w:eastAsia="Courier New" w:hAnsi="Courier New"/>
          <w:sz w:val="15"/>
          <w:szCs w:val="15"/>
          <w:color w:val="auto"/>
        </w:rPr>
        <w:t>1,342,401</w:t>
      </w:r>
    </w:p>
    <w:p>
      <w:pPr>
        <w:ind w:left="2520"/>
        <w:spacing w:after="0"/>
        <w:rPr>
          <w:sz w:val="20"/>
          <w:szCs w:val="20"/>
          <w:color w:val="auto"/>
        </w:rPr>
      </w:pPr>
      <w:r>
        <w:rPr>
          <w:rFonts w:ascii="Courier New" w:cs="Courier New" w:eastAsia="Courier New" w:hAnsi="Courier New"/>
          <w:sz w:val="15"/>
          <w:szCs w:val="15"/>
          <w:color w:val="auto"/>
        </w:rPr>
        <w:t>8,637,996</w:t>
      </w:r>
    </w:p>
    <w:p>
      <w:pPr>
        <w:ind w:left="3320"/>
        <w:spacing w:after="0" w:line="238" w:lineRule="auto"/>
        <w:rPr>
          <w:sz w:val="20"/>
          <w:szCs w:val="20"/>
          <w:color w:val="auto"/>
        </w:rPr>
      </w:pPr>
      <w:r>
        <w:rPr>
          <w:rFonts w:ascii="Courier New" w:cs="Courier New" w:eastAsia="Courier New" w:hAnsi="Courier New"/>
          <w:sz w:val="15"/>
          <w:szCs w:val="15"/>
          <w:color w:val="auto"/>
        </w:rPr>
        <w:t>12,014,924</w:t>
      </w:r>
    </w:p>
    <w:p>
      <w:pPr>
        <w:ind w:left="2520"/>
        <w:spacing w:after="0"/>
        <w:rPr>
          <w:sz w:val="20"/>
          <w:szCs w:val="20"/>
          <w:color w:val="auto"/>
        </w:rPr>
      </w:pPr>
      <w:r>
        <w:rPr>
          <w:rFonts w:ascii="Courier New" w:cs="Courier New" w:eastAsia="Courier New" w:hAnsi="Courier New"/>
          <w:sz w:val="15"/>
          <w:szCs w:val="15"/>
          <w:color w:val="auto"/>
        </w:rPr>
        <w:t>(7,145,655)</w:t>
      </w:r>
    </w:p>
    <w:p>
      <w:pPr>
        <w:ind w:left="2620"/>
        <w:spacing w:after="0"/>
        <w:rPr>
          <w:sz w:val="20"/>
          <w:szCs w:val="20"/>
          <w:color w:val="auto"/>
        </w:rPr>
      </w:pPr>
      <w:r>
        <w:rPr>
          <w:rFonts w:ascii="Courier New" w:cs="Courier New" w:eastAsia="Courier New" w:hAnsi="Courier New"/>
          <w:sz w:val="15"/>
          <w:szCs w:val="15"/>
          <w:color w:val="auto"/>
        </w:rPr>
        <w:t>16,359,398</w:t>
      </w:r>
    </w:p>
    <w:p>
      <w:pPr>
        <w:ind w:left="2080"/>
        <w:spacing w:after="0" w:line="238" w:lineRule="auto"/>
        <w:rPr>
          <w:sz w:val="20"/>
          <w:szCs w:val="20"/>
          <w:color w:val="auto"/>
        </w:rPr>
      </w:pPr>
      <w:r>
        <w:rPr>
          <w:rFonts w:ascii="Courier New" w:cs="Courier New" w:eastAsia="Courier New" w:hAnsi="Courier New"/>
          <w:sz w:val="15"/>
          <w:szCs w:val="15"/>
          <w:color w:val="auto"/>
        </w:rPr>
        <w:t>3,716,014</w:t>
      </w:r>
    </w:p>
    <w:p>
      <w:pPr>
        <w:ind w:left="402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1,639,218</w:t>
      </w:r>
    </w:p>
    <w:p>
      <w:pPr>
        <w:ind w:left="3060"/>
        <w:spacing w:after="0"/>
        <w:rPr>
          <w:sz w:val="20"/>
          <w:szCs w:val="20"/>
          <w:color w:val="auto"/>
        </w:rPr>
      </w:pPr>
      <w:r>
        <w:rPr>
          <w:rFonts w:ascii="Courier New" w:cs="Courier New" w:eastAsia="Courier New" w:hAnsi="Courier New"/>
          <w:sz w:val="15"/>
          <w:szCs w:val="15"/>
          <w:color w:val="auto"/>
        </w:rPr>
        <w:t>6,646,894</w:t>
      </w:r>
    </w:p>
    <w:p>
      <w:pPr>
        <w:ind w:left="1380"/>
        <w:spacing w:after="0"/>
        <w:rPr>
          <w:sz w:val="20"/>
          <w:szCs w:val="20"/>
          <w:color w:val="auto"/>
        </w:rPr>
      </w:pPr>
      <w:r>
        <w:rPr>
          <w:rFonts w:ascii="Courier New" w:cs="Courier New" w:eastAsia="Courier New" w:hAnsi="Courier New"/>
          <w:sz w:val="15"/>
          <w:szCs w:val="15"/>
          <w:color w:val="auto"/>
        </w:rPr>
        <w:t>16,359,398</w:t>
      </w:r>
    </w:p>
    <w:p>
      <w:pPr>
        <w:ind w:left="3320"/>
        <w:spacing w:after="0" w:line="238" w:lineRule="auto"/>
        <w:rPr>
          <w:sz w:val="20"/>
          <w:szCs w:val="20"/>
          <w:color w:val="auto"/>
        </w:rPr>
      </w:pPr>
      <w:r>
        <w:rPr>
          <w:rFonts w:ascii="Courier New" w:cs="Courier New" w:eastAsia="Courier New" w:hAnsi="Courier New"/>
          <w:sz w:val="15"/>
          <w:szCs w:val="15"/>
          <w:color w:val="auto"/>
        </w:rPr>
        <w:t>2,452,685</w:t>
      </w:r>
    </w:p>
    <w:p>
      <w:pPr>
        <w:ind w:left="2520"/>
        <w:spacing w:after="0"/>
        <w:rPr>
          <w:sz w:val="20"/>
          <w:szCs w:val="20"/>
          <w:color w:val="auto"/>
        </w:rPr>
      </w:pPr>
      <w:r>
        <w:rPr>
          <w:rFonts w:ascii="Courier New" w:cs="Courier New" w:eastAsia="Courier New" w:hAnsi="Courier New"/>
          <w:sz w:val="15"/>
          <w:szCs w:val="15"/>
          <w:color w:val="auto"/>
        </w:rPr>
        <w:t>6,730,040</w:t>
      </w:r>
    </w:p>
    <w:p>
      <w:pPr>
        <w:ind w:left="3500"/>
        <w:spacing w:after="0"/>
        <w:rPr>
          <w:sz w:val="20"/>
          <w:szCs w:val="20"/>
          <w:color w:val="auto"/>
        </w:rPr>
      </w:pPr>
      <w:r>
        <w:rPr>
          <w:rFonts w:ascii="Courier New" w:cs="Courier New" w:eastAsia="Courier New" w:hAnsi="Courier New"/>
          <w:sz w:val="15"/>
          <w:szCs w:val="15"/>
          <w:color w:val="auto"/>
        </w:rPr>
        <w:t>1,523,801</w:t>
      </w:r>
    </w:p>
    <w:p>
      <w:pPr>
        <w:ind w:left="2800"/>
        <w:spacing w:after="0"/>
        <w:rPr>
          <w:sz w:val="20"/>
          <w:szCs w:val="20"/>
          <w:color w:val="auto"/>
        </w:rPr>
      </w:pPr>
      <w:r>
        <w:rPr>
          <w:rFonts w:ascii="Courier New" w:cs="Courier New" w:eastAsia="Courier New" w:hAnsi="Courier New"/>
          <w:sz w:val="15"/>
          <w:szCs w:val="15"/>
          <w:color w:val="auto"/>
        </w:rPr>
        <w:t>5,382,887</w:t>
      </w:r>
    </w:p>
    <w:p>
      <w:pPr>
        <w:ind w:left="2520"/>
        <w:spacing w:after="0" w:line="238" w:lineRule="auto"/>
        <w:rPr>
          <w:sz w:val="20"/>
          <w:szCs w:val="20"/>
          <w:color w:val="auto"/>
        </w:rPr>
      </w:pPr>
      <w:r>
        <w:rPr>
          <w:rFonts w:ascii="Courier New" w:cs="Courier New" w:eastAsia="Courier New" w:hAnsi="Courier New"/>
          <w:sz w:val="15"/>
          <w:szCs w:val="15"/>
          <w:color w:val="auto"/>
        </w:rPr>
        <w:t>1,165,895</w:t>
      </w:r>
    </w:p>
    <w:p>
      <w:pPr>
        <w:ind w:left="2800"/>
        <w:spacing w:after="0"/>
        <w:rPr>
          <w:sz w:val="20"/>
          <w:szCs w:val="20"/>
          <w:color w:val="auto"/>
        </w:rPr>
      </w:pPr>
      <w:r>
        <w:rPr>
          <w:rFonts w:ascii="Courier New" w:cs="Courier New" w:eastAsia="Courier New" w:hAnsi="Courier New"/>
          <w:sz w:val="15"/>
          <w:szCs w:val="15"/>
          <w:color w:val="auto"/>
        </w:rPr>
        <w:t>37,709</w:t>
      </w:r>
    </w:p>
    <w:p>
      <w:pPr>
        <w:ind w:left="2520"/>
        <w:spacing w:after="0"/>
        <w:rPr>
          <w:sz w:val="20"/>
          <w:szCs w:val="20"/>
          <w:color w:val="auto"/>
        </w:rPr>
      </w:pPr>
      <w:r>
        <w:rPr>
          <w:rFonts w:ascii="Courier New" w:cs="Courier New" w:eastAsia="Courier New" w:hAnsi="Courier New"/>
          <w:sz w:val="15"/>
          <w:szCs w:val="15"/>
          <w:color w:val="auto"/>
        </w:rPr>
        <w:t>142,420</w:t>
      </w:r>
    </w:p>
    <w:p>
      <w:pPr>
        <w:ind w:left="2800"/>
        <w:spacing w:after="0" w:line="238" w:lineRule="auto"/>
        <w:rPr>
          <w:sz w:val="20"/>
          <w:szCs w:val="20"/>
          <w:color w:val="auto"/>
        </w:rPr>
      </w:pPr>
      <w:r>
        <w:rPr>
          <w:rFonts w:ascii="Courier New" w:cs="Courier New" w:eastAsia="Courier New" w:hAnsi="Courier New"/>
          <w:sz w:val="15"/>
          <w:szCs w:val="15"/>
          <w:color w:val="auto"/>
        </w:rPr>
        <w:t>467,792</w:t>
      </w:r>
    </w:p>
    <w:p>
      <w:pPr>
        <w:ind w:left="3060"/>
        <w:spacing w:after="0"/>
        <w:rPr>
          <w:sz w:val="20"/>
          <w:szCs w:val="20"/>
          <w:color w:val="auto"/>
        </w:rPr>
      </w:pPr>
      <w:r>
        <w:rPr>
          <w:rFonts w:ascii="Courier New" w:cs="Courier New" w:eastAsia="Courier New" w:hAnsi="Courier New"/>
          <w:sz w:val="15"/>
          <w:szCs w:val="15"/>
          <w:color w:val="auto"/>
        </w:rPr>
        <w:t>112,357</w:t>
      </w:r>
    </w:p>
    <w:p>
      <w:pPr>
        <w:ind w:left="2440"/>
        <w:spacing w:after="0"/>
        <w:rPr>
          <w:sz w:val="20"/>
          <w:szCs w:val="20"/>
          <w:color w:val="auto"/>
        </w:rPr>
      </w:pPr>
      <w:r>
        <w:rPr>
          <w:rFonts w:ascii="Courier New" w:cs="Courier New" w:eastAsia="Courier New" w:hAnsi="Courier New"/>
          <w:sz w:val="15"/>
          <w:szCs w:val="15"/>
          <w:color w:val="auto"/>
        </w:rPr>
        <w:t>355,435</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355,435</w:t>
      </w:r>
    </w:p>
    <w:p>
      <w:pPr>
        <w:ind w:left="3400"/>
        <w:spacing w:after="0" w:line="238" w:lineRule="auto"/>
        <w:rPr>
          <w:sz w:val="20"/>
          <w:szCs w:val="20"/>
          <w:color w:val="auto"/>
        </w:rPr>
      </w:pPr>
      <w:r>
        <w:rPr>
          <w:rFonts w:ascii="Courier New" w:cs="Courier New" w:eastAsia="Courier New" w:hAnsi="Courier New"/>
          <w:sz w:val="15"/>
          <w:szCs w:val="15"/>
          <w:color w:val="auto"/>
        </w:rPr>
        <w:t>0.64</w:t>
      </w:r>
    </w:p>
    <w:p>
      <w:pPr>
        <w:ind w:left="3240"/>
        <w:spacing w:after="0"/>
        <w:rPr>
          <w:sz w:val="20"/>
          <w:szCs w:val="20"/>
          <w:color w:val="auto"/>
        </w:rPr>
      </w:pPr>
      <w:r>
        <w:rPr>
          <w:rFonts w:ascii="Courier New" w:cs="Courier New" w:eastAsia="Courier New" w:hAnsi="Courier New"/>
          <w:sz w:val="15"/>
          <w:szCs w:val="15"/>
          <w:color w:val="auto"/>
        </w:rPr>
        <w:t>0.64</w:t>
      </w:r>
    </w:p>
    <w:sectPr>
      <w:pgSz w:w="11900" w:h="16838" w:orient="portrait"/>
      <w:cols w:equalWidth="0" w:num="1">
        <w:col w:w="10199"/>
      </w:cols>
      <w:pgMar w:left="2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2020-02-22T16:22:51Z</dcterms:created>
  <dcterms:modified xsi:type="dcterms:W3CDTF">2020-02-22T16:22:51Z</dcterms:modified>
</cp:coreProperties>
</file>