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jc w:val="center"/>
              <w:ind w:right="809"/>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380" w:type="dxa"/>
            <w:vAlign w:val="bottom"/>
            <w:gridSpan w:val="8"/>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gridSpan w:val="5"/>
            <w:vMerge w:val="restart"/>
          </w:tcPr>
          <w:p>
            <w:pPr>
              <w:jc w:val="center"/>
              <w:ind w:right="629"/>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8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38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8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89"/>
              </w:rPr>
              <w:t>52-0684746</w:t>
            </w:r>
          </w:p>
        </w:tc>
        <w:tc>
          <w:tcPr>
            <w:tcW w:w="1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3"/>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48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40" w:type="dxa"/>
            <w:vAlign w:val="bottom"/>
            <w:gridSpan w:val="4"/>
          </w:tcPr>
          <w:p>
            <w:pPr>
              <w:ind w:left="8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IDENT.</w:t>
            </w:r>
          </w:p>
        </w:tc>
        <w:tc>
          <w:tcPr>
            <w:tcW w:w="280" w:type="dxa"/>
            <w:vAlign w:val="bottom"/>
          </w:tcPr>
          <w:p>
            <w:pPr>
              <w:spacing w:after="0"/>
              <w:rPr>
                <w:sz w:val="11"/>
                <w:szCs w:val="11"/>
                <w:color w:val="auto"/>
              </w:rPr>
            </w:pPr>
          </w:p>
        </w:tc>
        <w:tc>
          <w:tcPr>
            <w:tcW w:w="136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Stephanie Cox</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6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40" w:type="dxa"/>
            <w:vAlign w:val="bottom"/>
          </w:tcPr>
          <w:p>
            <w:pPr>
              <w:jc w:val="right"/>
              <w:spacing w:after="0" w:line="111" w:lineRule="exact"/>
              <w:rPr>
                <w:sz w:val="20"/>
                <w:szCs w:val="20"/>
                <w:color w:val="auto"/>
              </w:rPr>
            </w:pPr>
            <w:r>
              <w:rPr>
                <w:rFonts w:ascii="Arial" w:cs="Arial" w:eastAsia="Arial" w:hAnsi="Arial"/>
                <w:sz w:val="11"/>
                <w:szCs w:val="11"/>
                <w:i w:val="1"/>
                <w:iCs w:val="1"/>
                <w:color w:val="auto"/>
                <w:w w:val="74"/>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3"/>
          </w:tcPr>
          <w:p>
            <w:pPr>
              <w:jc w:val="center"/>
              <w:ind w:left="18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4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1360" w:type="dxa"/>
            <w:vAlign w:val="bottom"/>
            <w:tcBorders>
              <w:right w:val="single" w:sz="8" w:color="auto"/>
            </w:tcBorders>
            <w:gridSpan w:val="2"/>
          </w:tcPr>
          <w:p>
            <w:pPr>
              <w:jc w:val="center"/>
              <w:ind w:left="214"/>
              <w:spacing w:after="0" w:line="100" w:lineRule="exact"/>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3"/>
          </w:tcPr>
          <w:p>
            <w:pPr>
              <w:jc w:val="center"/>
              <w:ind w:left="186"/>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3"/>
          </w:tcPr>
          <w:p>
            <w:pPr>
              <w:jc w:val="center"/>
              <w:ind w:left="186"/>
              <w:spacing w:after="0" w:line="144" w:lineRule="exact"/>
              <w:rPr>
                <w:sz w:val="20"/>
                <w:szCs w:val="20"/>
                <w:color w:val="auto"/>
              </w:rPr>
            </w:pPr>
            <w:r>
              <w:rPr>
                <w:rFonts w:ascii="Arial" w:cs="Arial" w:eastAsia="Arial" w:hAnsi="Arial"/>
                <w:sz w:val="13"/>
                <w:szCs w:val="13"/>
                <w:b w:val="1"/>
                <w:bCs w:val="1"/>
                <w:color w:val="auto"/>
                <w:w w:val="95"/>
              </w:rPr>
              <w:t>Maker</w:t>
            </w:r>
          </w:p>
        </w:tc>
        <w:tc>
          <w:tcPr>
            <w:tcW w:w="140" w:type="dxa"/>
            <w:vAlign w:val="bottom"/>
            <w:shd w:val="clear" w:color="auto" w:fill="BFBFBF"/>
          </w:tcPr>
          <w:p>
            <w:pPr>
              <w:spacing w:after="0"/>
              <w:rPr>
                <w:sz w:val="12"/>
                <w:szCs w:val="12"/>
                <w:color w:val="auto"/>
              </w:rPr>
            </w:pPr>
          </w:p>
        </w:tc>
        <w:tc>
          <w:tcPr>
            <w:tcW w:w="88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49"/>
              <w:spacing w:after="0" w:line="144" w:lineRule="exact"/>
              <w:rPr>
                <w:sz w:val="20"/>
                <w:szCs w:val="20"/>
                <w:color w:val="auto"/>
              </w:rPr>
            </w:pPr>
            <w:r>
              <w:rPr>
                <w:rFonts w:ascii="Arial" w:cs="Arial" w:eastAsia="Arial" w:hAnsi="Arial"/>
                <w:sz w:val="13"/>
                <w:szCs w:val="13"/>
                <w:b w:val="1"/>
                <w:bCs w:val="1"/>
                <w:color w:val="auto"/>
                <w:w w:val="82"/>
              </w:rPr>
              <w:t>To Be Sold</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3"/>
          </w:tcPr>
          <w:p>
            <w:pPr>
              <w:jc w:val="center"/>
              <w:ind w:left="186"/>
              <w:spacing w:after="0"/>
              <w:rPr>
                <w:sz w:val="20"/>
                <w:szCs w:val="20"/>
                <w:color w:val="auto"/>
              </w:rPr>
            </w:pPr>
            <w:r>
              <w:rPr>
                <w:rFonts w:ascii="Arial" w:cs="Arial" w:eastAsia="Arial" w:hAnsi="Arial"/>
                <w:sz w:val="13"/>
                <w:szCs w:val="13"/>
                <w:b w:val="1"/>
                <w:bCs w:val="1"/>
                <w:color w:val="auto"/>
                <w:w w:val="86"/>
              </w:rPr>
              <w:t>who is Acquiring the Securities</w:t>
            </w:r>
          </w:p>
        </w:tc>
        <w:tc>
          <w:tcPr>
            <w:tcW w:w="14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4"/>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14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1400" w:type="dxa"/>
            <w:vAlign w:val="bottom"/>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vMerge w:val="restart"/>
          </w:tcPr>
          <w:p>
            <w:pPr>
              <w:ind w:left="460"/>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$187,200.00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1,359,944,895</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restart"/>
          </w:tcPr>
          <w:p>
            <w:pPr>
              <w:jc w:val="right"/>
              <w:ind w:right="163"/>
              <w:spacing w:after="0"/>
              <w:rPr>
                <w:sz w:val="20"/>
                <w:szCs w:val="20"/>
                <w:color w:val="auto"/>
              </w:rPr>
            </w:pPr>
            <w:r>
              <w:rPr>
                <w:rFonts w:ascii="Arial" w:cs="Arial" w:eastAsia="Arial" w:hAnsi="Arial"/>
                <w:sz w:val="18"/>
                <w:szCs w:val="18"/>
                <w:color w:val="auto"/>
                <w:w w:val="92"/>
              </w:rPr>
              <w:t>3/30/2011</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Omaha, NE 68118</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3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1"/>
              </w:rPr>
              <w:t>(a) Title of the class of securities to be sold</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6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86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are to be sold</w:t>
            </w:r>
          </w:p>
        </w:tc>
        <w:tc>
          <w:tcPr>
            <w:tcW w:w="14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3/30/2011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1,950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3/30/2011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3/30/2011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/s/Stephanie Cox</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2019-12-21T02:00:25Z</dcterms:created>
  <dcterms:modified xsi:type="dcterms:W3CDTF">2019-12-21T02:00:25Z</dcterms:modified>
</cp:coreProperties>
</file>