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spacing w:after="0" w:line="31" w:lineRule="exact"/>
        <w:rPr>
          <w:sz w:val="24"/>
          <w:szCs w:val="24"/>
          <w:color w:val="auto"/>
        </w:rPr>
      </w:pP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826" w:right="1440" w:bottom="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CONFIDENTIAL, FOR USE OF THE COMMISSION ONLY (AS PERMITTED BY RULE 14A-6(E)(2))</w:t>
      </w:r>
    </w:p>
    <w:p>
      <w:pPr>
        <w:spacing w:after="0" w:line="66" w:lineRule="exact"/>
        <w:rPr>
          <w:sz w:val="24"/>
          <w:szCs w:val="24"/>
          <w:color w:val="auto"/>
        </w:rPr>
      </w:pPr>
    </w:p>
    <w:p>
      <w:pPr>
        <w:sectPr>
          <w:pgSz w:w="11900" w:h="16838" w:orient="portrait"/>
          <w:cols w:equalWidth="0" w:num="4">
            <w:col w:w="320" w:space="220"/>
            <w:col w:w="3060" w:space="720"/>
            <w:col w:w="320" w:space="220"/>
            <w:col w:w="5359"/>
          </w:cols>
          <w:pgMar w:left="240" w:top="826" w:right="1440" w:bottom="0"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6"/>
          <w:szCs w:val="16"/>
          <w:color w:val="auto"/>
        </w:rPr>
        <w:t>[X]</w:t>
        <w:tab/>
        <w:t>Definitive Proxy Statement</w:t>
      </w:r>
    </w:p>
    <w:p>
      <w:pPr>
        <w:sectPr>
          <w:pgSz w:w="11900" w:h="16838" w:orient="portrait"/>
          <w:cols w:equalWidth="0" w:num="1">
            <w:col w:w="10219"/>
          </w:cols>
          <w:pgMar w:left="240" w:top="826"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320" w:space="220"/>
            <w:col w:w="9679"/>
          </w:cols>
          <w:pgMar w:left="240" w:top="826"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Soliciting Material Pursuant to Section 240.14a-11(c) or Section 240.14a-12</w:t>
      </w:r>
    </w:p>
    <w:p>
      <w:pPr>
        <w:spacing w:after="0" w:line="200" w:lineRule="exact"/>
        <w:rPr>
          <w:sz w:val="24"/>
          <w:szCs w:val="24"/>
          <w:color w:val="auto"/>
        </w:rPr>
      </w:pPr>
    </w:p>
    <w:p>
      <w:pPr>
        <w:sectPr>
          <w:pgSz w:w="11900" w:h="16838" w:orient="portrait"/>
          <w:cols w:equalWidth="0" w:num="2">
            <w:col w:w="320" w:space="220"/>
            <w:col w:w="9679"/>
          </w:cols>
          <w:pgMar w:left="240" w:top="826" w:right="1440" w:bottom="0" w:gutter="0" w:footer="0" w:header="0"/>
          <w:type w:val="continuous"/>
        </w:sectPr>
      </w:pPr>
    </w:p>
    <w:p>
      <w:pPr>
        <w:spacing w:after="0" w:line="2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Schlumberger, Ltd.</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right="2419" w:hanging="425"/>
        <w:spacing w:after="0" w:line="344"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3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31" w:lineRule="exact"/>
        <w:rPr>
          <w:sz w:val="24"/>
          <w:szCs w:val="24"/>
          <w:color w:val="auto"/>
        </w:rPr>
      </w:pPr>
    </w:p>
    <w:p>
      <w:pPr>
        <w:ind w:left="540" w:right="1779"/>
        <w:spacing w:after="0" w:line="273"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8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 Amount Previously Paid:</w:t>
      </w:r>
    </w:p>
    <w:p>
      <w:pPr>
        <w:sectPr>
          <w:pgSz w:w="11900" w:h="16838" w:orient="portrait"/>
          <w:cols w:equalWidth="0" w:num="1">
            <w:col w:w="10219"/>
          </w:cols>
          <w:pgMar w:left="240" w:top="826"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6"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6"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3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277 Park Avenue</w:t>
      </w:r>
    </w:p>
    <w:p>
      <w:pPr>
        <w:spacing w:after="0"/>
        <w:rPr>
          <w:sz w:val="20"/>
          <w:szCs w:val="20"/>
          <w:color w:val="auto"/>
        </w:rPr>
      </w:pPr>
      <w:r>
        <w:rPr>
          <w:rFonts w:ascii="Courier New" w:cs="Courier New" w:eastAsia="Courier New" w:hAnsi="Courier New"/>
          <w:sz w:val="18"/>
          <w:szCs w:val="18"/>
          <w:color w:val="auto"/>
        </w:rPr>
        <w:t>New York, New York 10172-0266</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 rue Saint-Dominique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75007 Paris, France</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Parkstraat 83,</w:t>
      </w:r>
    </w:p>
    <w:p>
      <w:pPr>
        <w:spacing w:after="0" w:line="238" w:lineRule="auto"/>
        <w:rPr>
          <w:sz w:val="20"/>
          <w:szCs w:val="20"/>
          <w:color w:val="auto"/>
        </w:rPr>
      </w:pPr>
      <w:r>
        <w:rPr>
          <w:rFonts w:ascii="Courier New" w:cs="Courier New" w:eastAsia="Courier New" w:hAnsi="Courier New"/>
          <w:sz w:val="18"/>
          <w:szCs w:val="18"/>
          <w:color w:val="auto"/>
        </w:rPr>
        <w:t>2514 JG The Hague,</w:t>
      </w:r>
    </w:p>
    <w:p>
      <w:pPr>
        <w:spacing w:after="0"/>
        <w:rPr>
          <w:sz w:val="20"/>
          <w:szCs w:val="20"/>
          <w:color w:val="auto"/>
        </w:rPr>
      </w:pPr>
      <w:r>
        <w:rPr>
          <w:rFonts w:ascii="Courier New" w:cs="Courier New" w:eastAsia="Courier New" w:hAnsi="Courier New"/>
          <w:sz w:val="18"/>
          <w:szCs w:val="18"/>
          <w:color w:val="auto"/>
        </w:rPr>
        <w:t>The Netherlands</w:t>
      </w:r>
    </w:p>
    <w:p>
      <w:pPr>
        <w:spacing w:after="0" w:line="16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GENERAL MEETING OF STOCKHOLDERS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To Be Held April 14, 1999</w:t>
      </w:r>
    </w:p>
    <w:p>
      <w:pPr>
        <w:spacing w:after="0" w:line="201"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March 10, 1999</w:t>
      </w:r>
    </w:p>
    <w:p>
      <w:pPr>
        <w:spacing w:after="0" w:line="224" w:lineRule="exact"/>
        <w:rPr>
          <w:sz w:val="20"/>
          <w:szCs w:val="20"/>
          <w:color w:val="auto"/>
        </w:rPr>
      </w:pPr>
    </w:p>
    <w:p>
      <w:pPr>
        <w:ind w:right="2419" w:firstLine="211"/>
        <w:spacing w:after="0" w:line="274" w:lineRule="auto"/>
        <w:rPr>
          <w:sz w:val="20"/>
          <w:szCs w:val="20"/>
          <w:color w:val="auto"/>
        </w:rPr>
      </w:pPr>
      <w:r>
        <w:rPr>
          <w:rFonts w:ascii="Courier New" w:cs="Courier New" w:eastAsia="Courier New" w:hAnsi="Courier New"/>
          <w:sz w:val="18"/>
          <w:szCs w:val="18"/>
          <w:color w:val="auto"/>
        </w:rPr>
        <w:t>The Annual General Meeting of Stockholders of Schlumberger Limited (Schlumberger N.V.) will be held at the Avila Beach Hotel, Penstraat 130, Willemstad, Curacao, Netherlands Antilles, on Wednesday, April 14, 1999 at 10:30 in the morning (Curacao time), for the following purposes:</w:t>
      </w:r>
    </w:p>
    <w:p>
      <w:pPr>
        <w:spacing w:after="0" w:line="82"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12 directors.</w:t>
      </w:r>
    </w:p>
    <w:p>
      <w:pPr>
        <w:spacing w:after="0" w:line="201" w:lineRule="exact"/>
        <w:rPr>
          <w:rFonts w:ascii="Courier New" w:cs="Courier New" w:eastAsia="Courier New" w:hAnsi="Courier New"/>
          <w:sz w:val="18"/>
          <w:szCs w:val="18"/>
          <w:color w:val="auto"/>
        </w:rPr>
      </w:pPr>
    </w:p>
    <w:p>
      <w:pPr>
        <w:ind w:left="420" w:right="1999" w:hanging="412"/>
        <w:spacing w:after="0" w:line="306"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report on the course of business during the year ended December 31, 1998, to approve the Company's Consolidated Balance Sheet as at December 31, 1998, its Consolidated Statement of Income for the year ended December 31, 1998, and the declaration of dividends by the Board of Directors as reflected in the Company's 1998 Annual Report to Stockholders.</w:t>
      </w:r>
    </w:p>
    <w:p>
      <w:pPr>
        <w:spacing w:after="0" w:line="60" w:lineRule="exact"/>
        <w:rPr>
          <w:rFonts w:ascii="Courier New" w:cs="Courier New" w:eastAsia="Courier New" w:hAnsi="Courier New"/>
          <w:sz w:val="16"/>
          <w:szCs w:val="16"/>
          <w:color w:val="auto"/>
        </w:rPr>
      </w:pPr>
    </w:p>
    <w:p>
      <w:pPr>
        <w:ind w:left="420" w:right="2319" w:hanging="412"/>
        <w:spacing w:after="0" w:line="402"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appointment of PricewaterhouseCoopers LLP as independent public accountants to audit the accounts of the Company for 1999.</w:t>
      </w:r>
    </w:p>
    <w:p>
      <w:pPr>
        <w:spacing w:after="0" w:line="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Action will also be taken upon such other matters as may come properly before the Meeting.</w:t>
      </w:r>
    </w:p>
    <w:p>
      <w:pPr>
        <w:spacing w:after="0" w:line="18"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The close of business on February 24, 1999 has been fixed as the record date for the Meeting. All holders of Common Stock of record at that time are entitled to vote at the Meeting.</w:t>
      </w:r>
    </w:p>
    <w:p>
      <w:pPr>
        <w:spacing w:after="0" w:line="6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order of the Board of</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Directors,</w:t>
      </w:r>
    </w:p>
    <w:p>
      <w:pPr>
        <w:spacing w:after="0" w:line="16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JAMES L. GUNDERSON</w:t>
      </w:r>
    </w:p>
    <w:p>
      <w:pPr>
        <w:spacing w:after="0" w:line="3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893"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March 10, 1999</w:t>
      </w:r>
    </w:p>
    <w:p>
      <w:pPr>
        <w:spacing w:after="0" w:line="224" w:lineRule="exact"/>
        <w:rPr>
          <w:sz w:val="20"/>
          <w:szCs w:val="20"/>
          <w:color w:val="auto"/>
        </w:rPr>
      </w:pPr>
    </w:p>
    <w:p>
      <w:pPr>
        <w:ind w:right="1999" w:firstLine="211"/>
        <w:spacing w:after="0" w:line="287" w:lineRule="auto"/>
        <w:rPr>
          <w:sz w:val="20"/>
          <w:szCs w:val="20"/>
          <w:color w:val="auto"/>
        </w:rPr>
      </w:pPr>
      <w:r>
        <w:rPr>
          <w:rFonts w:ascii="Courier New" w:cs="Courier New" w:eastAsia="Courier New" w:hAnsi="Courier New"/>
          <w:sz w:val="16"/>
          <w:szCs w:val="16"/>
          <w:color w:val="auto"/>
        </w:rPr>
        <w:t>This statement is furnished in connection with the solicitation by the Board of Directors of Schlumberger Limited (Schlumberger N.V.) (the "Company") of proxies to be voted at the 1999 Annual General Meeting of Stockholders (the "Meeting"). The approximate mailing date of this Proxy Statement is March 10, 1999. Business at the Meeting is conducted in accordance with the procedures determined by the presiding officer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75"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Company's 1998 Annual Report to Stockholders (the "Report") has been mailed under separate cover. The Company's Consolidated Balance Sheet as at December 31, 1998, its Consolidated Statement of Income for the year ended December 31, 1998 and the supplemental financial information with respect to dividends included in the Report are incorporated by reference as part of this proxy soliciting material.</w:t>
      </w:r>
    </w:p>
    <w:p>
      <w:pPr>
        <w:spacing w:after="0" w:line="93" w:lineRule="exact"/>
        <w:rPr>
          <w:sz w:val="20"/>
          <w:szCs w:val="20"/>
          <w:color w:val="auto"/>
        </w:rPr>
      </w:pPr>
    </w:p>
    <w:p>
      <w:pPr>
        <w:ind w:right="2099" w:firstLine="211"/>
        <w:spacing w:after="0" w:line="256" w:lineRule="auto"/>
        <w:rPr>
          <w:sz w:val="20"/>
          <w:szCs w:val="20"/>
          <w:color w:val="auto"/>
        </w:rPr>
      </w:pPr>
      <w:r>
        <w:rPr>
          <w:rFonts w:ascii="Courier New" w:cs="Courier New" w:eastAsia="Courier New" w:hAnsi="Courier New"/>
          <w:sz w:val="18"/>
          <w:szCs w:val="18"/>
          <w:color w:val="auto"/>
        </w:rPr>
        <w:t>The Company will bear the cost of furnishing proxy material to all stockholders and of soliciting proxies by mail and telephone. D. F. King &amp; Co., Inc. has been retained by the Company to assist in the solicitation of proxies for a fee estimated at $9,500 plus reasonable expenses. The Company will reimburse brokerage firms, fiduciaries and custodians for their reasonable expenses in forwarding the solicitation material to the beneficial owners.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Procedure</w:t>
      </w:r>
    </w:p>
    <w:p>
      <w:pPr>
        <w:spacing w:after="0" w:line="201"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Each stockholder of record at the close of business on February 24, 1999 is entitled to one vote for each share registered in such stockholder's name. On that date there were 546,364,592 outstanding shares of Common Stock of the Company (excluding 119,338,446 shares held in treasury).</w:t>
      </w:r>
    </w:p>
    <w:p>
      <w:pPr>
        <w:spacing w:after="0" w:line="82"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w:t>
      </w:r>
    </w:p>
    <w:p>
      <w:pPr>
        <w:spacing w:after="0" w:line="90"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Shares cannot be voted at the Meeting unless the owner of record is present in person or is represented by proxy. The Company is incorporated in the Netherlands Antilles and, as required by the laws thereof and the Company's Deed of Incorporation, meetings of stockholders must be held in Curacao.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91" w:right="1440" w:bottom="1440" w:gutter="0" w:footer="0" w:header="0"/>
        </w:sectPr>
      </w:pPr>
    </w:p>
    <w:bookmarkStart w:id="4" w:name="page5"/>
    <w:bookmarkEnd w:id="4"/>
    <w:p>
      <w:pPr>
        <w:jc w:val="center"/>
        <w:ind w:right="1979"/>
        <w:spacing w:after="0"/>
        <w:rPr>
          <w:sz w:val="20"/>
          <w:szCs w:val="20"/>
          <w:color w:val="auto"/>
        </w:rPr>
      </w:pPr>
      <w:r>
        <w:rPr>
          <w:rFonts w:ascii="Courier New" w:cs="Courier New" w:eastAsia="Courier New" w:hAnsi="Courier New"/>
          <w:sz w:val="18"/>
          <w:szCs w:val="18"/>
          <w:color w:val="auto"/>
        </w:rPr>
        <w:t>1. Election of Directors</w:t>
      </w:r>
    </w:p>
    <w:p>
      <w:pPr>
        <w:spacing w:after="0" w:line="201" w:lineRule="exact"/>
        <w:rPr>
          <w:sz w:val="20"/>
          <w:szCs w:val="20"/>
          <w:color w:val="auto"/>
        </w:rPr>
      </w:pPr>
    </w:p>
    <w:p>
      <w:pPr>
        <w:ind w:right="1999" w:firstLine="211"/>
        <w:spacing w:after="0" w:line="287" w:lineRule="auto"/>
        <w:rPr>
          <w:sz w:val="20"/>
          <w:szCs w:val="20"/>
          <w:color w:val="auto"/>
        </w:rPr>
      </w:pPr>
      <w:r>
        <w:rPr>
          <w:rFonts w:ascii="Courier New" w:cs="Courier New" w:eastAsia="Courier New" w:hAnsi="Courier New"/>
          <w:sz w:val="16"/>
          <w:szCs w:val="16"/>
          <w:color w:val="auto"/>
        </w:rPr>
        <w:t>It is intended to fix the number of directors at 12 and to elect a Board of 12 directors, each to hold office until the next Annual General Meeting of Stockholders and until a director's successor is elected and qualified or until a director's death, resignation or removal. Each of the nominees is now a director and was previously elected by the stockholders. Unless instructed otherwise, the proxies will be voted for the election of the 12 nominees named below. If any nominee is unable or unwilling to serve, proxies may be voted for another person designated by the Board of Directors. The Board knows of no reason why any nominee will be unable or unwilling to serve if elected.</w:t>
      </w:r>
    </w:p>
    <w:p>
      <w:pPr>
        <w:spacing w:after="0" w:line="75" w:lineRule="exact"/>
        <w:rPr>
          <w:sz w:val="20"/>
          <w:szCs w:val="20"/>
          <w:color w:val="auto"/>
        </w:rPr>
      </w:pPr>
    </w:p>
    <w:p>
      <w:pPr>
        <w:ind w:right="2199" w:firstLine="211"/>
        <w:spacing w:after="0" w:line="347" w:lineRule="auto"/>
        <w:rPr>
          <w:sz w:val="20"/>
          <w:szCs w:val="20"/>
          <w:color w:val="auto"/>
        </w:rPr>
      </w:pPr>
      <w:r>
        <w:rPr>
          <w:rFonts w:ascii="Courier New" w:cs="Courier New" w:eastAsia="Courier New" w:hAnsi="Courier New"/>
          <w:sz w:val="18"/>
          <w:szCs w:val="18"/>
          <w:color w:val="auto"/>
        </w:rPr>
        <w:t>A majority of the votes cast is required to elect each of the nominees for director.</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Recommends a Vote FOR All Nominees.</w:t>
      </w:r>
    </w:p>
    <w:p>
      <w:pPr>
        <w:spacing w:after="0" w:line="201" w:lineRule="exact"/>
        <w:rPr>
          <w:sz w:val="20"/>
          <w:szCs w:val="20"/>
          <w:color w:val="auto"/>
        </w:rPr>
      </w:pPr>
    </w:p>
    <w:p>
      <w:pPr>
        <w:ind w:right="2199" w:firstLine="211"/>
        <w:spacing w:after="0" w:line="292" w:lineRule="auto"/>
        <w:rPr>
          <w:sz w:val="20"/>
          <w:szCs w:val="20"/>
          <w:color w:val="auto"/>
        </w:rPr>
      </w:pPr>
      <w:r>
        <w:rPr>
          <w:rFonts w:ascii="Courier New" w:cs="Courier New" w:eastAsia="Courier New" w:hAnsi="Courier New"/>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80" w:type="dxa"/>
            <w:vAlign w:val="bottom"/>
          </w:tcPr>
          <w:p>
            <w:pPr>
              <w:ind w:left="2860"/>
              <w:spacing w:after="0"/>
              <w:rPr>
                <w:sz w:val="20"/>
                <w:szCs w:val="20"/>
                <w:color w:val="auto"/>
              </w:rPr>
            </w:pPr>
            <w:r>
              <w:rPr>
                <w:rFonts w:ascii="Courier New" w:cs="Courier New" w:eastAsia="Courier New" w:hAnsi="Courier New"/>
                <w:sz w:val="18"/>
                <w:szCs w:val="18"/>
                <w:color w:val="auto"/>
              </w:rPr>
              <w:t>Nominee, Age and</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w w:val="97"/>
              </w:rPr>
              <w:t>Director</w:t>
            </w:r>
          </w:p>
        </w:tc>
        <w:tc>
          <w:tcPr>
            <w:tcW w:w="0" w:type="dxa"/>
            <w:vAlign w:val="bottom"/>
          </w:tcPr>
          <w:p>
            <w:pPr>
              <w:spacing w:after="0"/>
              <w:rPr>
                <w:sz w:val="1"/>
                <w:szCs w:val="1"/>
                <w:color w:val="auto"/>
              </w:rPr>
            </w:pPr>
          </w:p>
        </w:tc>
      </w:tr>
      <w:tr>
        <w:trPr>
          <w:trHeight w:val="203"/>
        </w:trPr>
        <w:tc>
          <w:tcPr>
            <w:tcW w:w="7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Five-Year Business Experience</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Since</w:t>
            </w:r>
          </w:p>
        </w:tc>
        <w:tc>
          <w:tcPr>
            <w:tcW w:w="0" w:type="dxa"/>
            <w:vAlign w:val="bottom"/>
          </w:tcPr>
          <w:p>
            <w:pPr>
              <w:spacing w:after="0"/>
              <w:rPr>
                <w:sz w:val="1"/>
                <w:szCs w:val="1"/>
                <w:color w:val="auto"/>
              </w:rPr>
            </w:pPr>
          </w:p>
        </w:tc>
      </w:tr>
      <w:tr>
        <w:trPr>
          <w:trHeight w:val="296"/>
        </w:trPr>
        <w:tc>
          <w:tcPr>
            <w:tcW w:w="7380" w:type="dxa"/>
            <w:vAlign w:val="bottom"/>
          </w:tcPr>
          <w:p>
            <w:pPr>
              <w:ind w:left="212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311"/>
        </w:trPr>
        <w:tc>
          <w:tcPr>
            <w:tcW w:w="7380" w:type="dxa"/>
            <w:vAlign w:val="bottom"/>
          </w:tcPr>
          <w:p>
            <w:pPr>
              <w:spacing w:after="0"/>
              <w:rPr>
                <w:sz w:val="20"/>
                <w:szCs w:val="20"/>
                <w:color w:val="auto"/>
              </w:rPr>
            </w:pPr>
            <w:r>
              <w:rPr>
                <w:rFonts w:ascii="Courier New" w:cs="Courier New" w:eastAsia="Courier New" w:hAnsi="Courier New"/>
                <w:sz w:val="18"/>
                <w:szCs w:val="18"/>
                <w:color w:val="auto"/>
                <w:w w:val="98"/>
              </w:rPr>
              <w:t>DON E. ACKERMAN, 65; Private Investor since 1991 (1).................</w:t>
            </w:r>
          </w:p>
        </w:tc>
        <w:tc>
          <w:tcPr>
            <w:tcW w:w="9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1982</w:t>
            </w:r>
          </w:p>
        </w:tc>
        <w:tc>
          <w:tcPr>
            <w:tcW w:w="0" w:type="dxa"/>
            <w:vAlign w:val="bottom"/>
          </w:tcPr>
          <w:p>
            <w:pPr>
              <w:spacing w:after="0"/>
              <w:rPr>
                <w:sz w:val="1"/>
                <w:szCs w:val="1"/>
                <w:color w:val="auto"/>
              </w:rPr>
            </w:pP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 EUAN BAIRD, 61; Chairman and Chief Executive Officer since October</w:t>
            </w: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1986</w:t>
            </w: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1986 (2)............................................................</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DEUTCH, 60; Institute Professor, Massachusetts Institute of</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Technology, Cambridge, Massachusetts since January 1997; Director of</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 Central Intelligence May 1995 to December 1996; Deputy</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Secretary of Defense April 1994 to May 1995; Under Secretary of</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Defense (Acquisition and Technology) March 1993 to 1994; Institute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Professor, Provost 1985-1990 and Dean of Science 1982-1985,</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Massachusetts Institute of Technology; Director of Schlumberger</w:t>
            </w: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1997</w:t>
            </w: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Limited, May 1987 to 1993 (3).......................................</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VICTOR E. GRIJALVA, 60; Vice Chairman since April 1998; Executive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Vice President, Oilfield Services from 1994 to April 1998; from 1992</w:t>
            </w: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1998</w:t>
            </w: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to 1994, Executive Vice President for Wireline, Testing &amp; Anadrill..</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DENYS HENDERSON, 66; Chairman, The Rank Group Plc., a diversified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leisure services concern, since March 1995; Chairman, Dalgety PLC,</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January 1997 through December 31, 1998; Chairman, Zeneca Group PLC,</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1993 to May 1995; Chairman, Imperial Chemical Industries PLC</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("ICI"), June 1993 through April 1995; Chairman and Chief Executive</w:t>
            </w: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1995</w:t>
            </w:r>
          </w:p>
        </w:tc>
        <w:tc>
          <w:tcPr>
            <w:tcW w:w="0" w:type="dxa"/>
            <w:vAlign w:val="bottom"/>
          </w:tcPr>
          <w:p>
            <w:pPr>
              <w:spacing w:after="0"/>
              <w:rPr>
                <w:sz w:val="1"/>
                <w:szCs w:val="1"/>
                <w:color w:val="auto"/>
              </w:rPr>
            </w:pPr>
          </w:p>
        </w:tc>
      </w:tr>
      <w:tr>
        <w:trPr>
          <w:trHeight w:val="296"/>
        </w:trPr>
        <w:tc>
          <w:tcPr>
            <w:tcW w:w="7380" w:type="dxa"/>
            <w:vAlign w:val="bottom"/>
          </w:tcPr>
          <w:p>
            <w:pPr>
              <w:ind w:left="120"/>
              <w:spacing w:after="0"/>
              <w:rPr>
                <w:sz w:val="20"/>
                <w:szCs w:val="20"/>
                <w:color w:val="auto"/>
              </w:rPr>
            </w:pPr>
            <w:r>
              <w:rPr>
                <w:rFonts w:ascii="Courier New" w:cs="Courier New" w:eastAsia="Courier New" w:hAnsi="Courier New"/>
                <w:sz w:val="18"/>
                <w:szCs w:val="18"/>
                <w:color w:val="auto"/>
                <w:w w:val="98"/>
              </w:rPr>
              <w:t>officer, ICI, April 1987 to June 1993, all in the United Kingdom ...</w:t>
            </w: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380" w:type="dxa"/>
            <w:vAlign w:val="bottom"/>
          </w:tcPr>
          <w:p>
            <w:pPr>
              <w:ind w:left="4120"/>
              <w:spacing w:after="0"/>
              <w:rPr>
                <w:sz w:val="20"/>
                <w:szCs w:val="20"/>
                <w:color w:val="auto"/>
              </w:rPr>
            </w:pPr>
            <w:r>
              <w:rPr>
                <w:rFonts w:ascii="Courier New" w:cs="Courier New" w:eastAsia="Courier New" w:hAnsi="Courier New"/>
                <w:sz w:val="18"/>
                <w:szCs w:val="18"/>
                <w:color w:val="auto"/>
              </w:rPr>
              <w:t>2</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80" w:type="dxa"/>
            <w:vAlign w:val="bottom"/>
          </w:tcPr>
          <w:p>
            <w:pPr>
              <w:ind w:left="2860"/>
              <w:spacing w:after="0"/>
              <w:rPr>
                <w:sz w:val="20"/>
                <w:szCs w:val="20"/>
                <w:color w:val="auto"/>
              </w:rPr>
            </w:pPr>
            <w:r>
              <w:rPr>
                <w:rFonts w:ascii="Courier New" w:cs="Courier New" w:eastAsia="Courier New" w:hAnsi="Courier New"/>
                <w:sz w:val="18"/>
                <w:szCs w:val="18"/>
                <w:color w:val="auto"/>
              </w:rPr>
              <w:t>Nominee, Age and</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w w:val="97"/>
              </w:rPr>
              <w:t>Director</w:t>
            </w:r>
          </w:p>
        </w:tc>
        <w:tc>
          <w:tcPr>
            <w:tcW w:w="0" w:type="dxa"/>
            <w:vAlign w:val="bottom"/>
          </w:tcPr>
          <w:p>
            <w:pPr>
              <w:spacing w:after="0"/>
              <w:rPr>
                <w:sz w:val="1"/>
                <w:szCs w:val="1"/>
                <w:color w:val="auto"/>
              </w:rPr>
            </w:pPr>
          </w:p>
        </w:tc>
      </w:tr>
      <w:tr>
        <w:trPr>
          <w:trHeight w:val="203"/>
        </w:trPr>
        <w:tc>
          <w:tcPr>
            <w:tcW w:w="7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Five-Year Business Experience</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Since</w:t>
            </w:r>
          </w:p>
        </w:tc>
        <w:tc>
          <w:tcPr>
            <w:tcW w:w="0" w:type="dxa"/>
            <w:vAlign w:val="bottom"/>
          </w:tcPr>
          <w:p>
            <w:pPr>
              <w:spacing w:after="0"/>
              <w:rPr>
                <w:sz w:val="1"/>
                <w:szCs w:val="1"/>
                <w:color w:val="auto"/>
              </w:rPr>
            </w:pPr>
          </w:p>
        </w:tc>
      </w:tr>
      <w:tr>
        <w:trPr>
          <w:trHeight w:val="296"/>
        </w:trPr>
        <w:tc>
          <w:tcPr>
            <w:tcW w:w="7380" w:type="dxa"/>
            <w:vAlign w:val="bottom"/>
          </w:tcPr>
          <w:p>
            <w:pPr>
              <w:ind w:left="212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311"/>
        </w:trPr>
        <w:tc>
          <w:tcPr>
            <w:tcW w:w="7380" w:type="dxa"/>
            <w:vAlign w:val="bottom"/>
          </w:tcPr>
          <w:p>
            <w:pPr>
              <w:spacing w:after="0"/>
              <w:rPr>
                <w:sz w:val="20"/>
                <w:szCs w:val="20"/>
                <w:color w:val="auto"/>
              </w:rPr>
            </w:pPr>
            <w:r>
              <w:rPr>
                <w:rFonts w:ascii="Courier New" w:cs="Courier New" w:eastAsia="Courier New" w:hAnsi="Courier New"/>
                <w:sz w:val="18"/>
                <w:szCs w:val="18"/>
                <w:color w:val="auto"/>
              </w:rPr>
              <w:t>ANDRE LEVY-LANG, 61; Chairman of the Executive Board of Paribas, an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 banking group, since May 1998; Chairman of the Board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Management of Compagnie Financiere de Paribas, an international</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banking group, from June 1990 until May 1998; Chairman of the Board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Management of Banque Paribas, a subsidiary of Compagnie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Financiere de Paribas, from 1991 until May 1998; Chairman of the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Board of Management of Compagnie Bancaire 1989 to 1993; Chairman of</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Supervisory Board of Compagnie Bancaire from 1993 until May</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1998, all in Paris. In May 1998, Compagnie Financiere de Paribas,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Banque Paribas and Compagnie Bancaire merged to become Paribas, the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entity of which he is now Chairman of the Executive Board.</w:t>
            </w: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1992</w:t>
            </w: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(4).................................................................</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T. McCORMICK, JR., 54; Chairman and Chief Executive Officer,</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CMS Energy Corp., a diversified energy company, Dearborn, Michigan</w:t>
            </w: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1990</w:t>
            </w: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(5).................................................................</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DIDIER PRIMAT, 54; President, Primwest Holding N.V., an investment</w:t>
            </w: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1988</w:t>
            </w: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management company, Curacao, N.A. (6)...............................</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NICOLAS SEYDOUX, 59; Chairman and Chief Executive Officer, Gaumont, a</w:t>
            </w: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1982</w:t>
            </w: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French film- making enterprise, Paris (6)...........................</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LINDA GILLESPIE STUNTZ, 44; Partner, law firm of Stuntz, Davis &amp;</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Staffier P.C., Washington, D.C., since February 1995; Partner, law</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firm of Van Ness Feldman, P.C., Washington, D.C. March 1993 to</w:t>
            </w: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1993</w:t>
            </w: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February 1995 (7)...................................................</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SVEN ULLRING, 63; President and Chief Executive Officer, Det Norske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Veritas which provides safety, quality and reliability services to</w:t>
            </w: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1990</w:t>
            </w: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maritime, offshore and other industries, Hovik, Norway..............</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YOSHIHIKO WAKUMOTO, 67; Adviser to Toshiba Corporation, a technology</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centered on electronics and energy, since July 1996; member</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Board of Toshiba Corporation from July 1988 to June 1996; from</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July 1992 to June 1996, Executive Vice President of Toshiba with</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responsibility for corporate planning, group companies and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information systems (1992 to 1995), and international affairs</w:t>
            </w: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1997</w:t>
            </w:r>
          </w:p>
        </w:tc>
        <w:tc>
          <w:tcPr>
            <w:tcW w:w="0" w:type="dxa"/>
            <w:vAlign w:val="bottom"/>
          </w:tcPr>
          <w:p>
            <w:pPr>
              <w:spacing w:after="0"/>
              <w:rPr>
                <w:sz w:val="1"/>
                <w:szCs w:val="1"/>
                <w:color w:val="auto"/>
              </w:rPr>
            </w:pPr>
          </w:p>
        </w:tc>
      </w:tr>
      <w:tr>
        <w:trPr>
          <w:trHeight w:val="296"/>
        </w:trPr>
        <w:tc>
          <w:tcPr>
            <w:tcW w:w="7380" w:type="dxa"/>
            <w:vAlign w:val="bottom"/>
          </w:tcPr>
          <w:p>
            <w:pPr>
              <w:ind w:left="120"/>
              <w:spacing w:after="0"/>
              <w:rPr>
                <w:sz w:val="20"/>
                <w:szCs w:val="20"/>
                <w:color w:val="auto"/>
              </w:rPr>
            </w:pPr>
            <w:r>
              <w:rPr>
                <w:rFonts w:ascii="Courier New" w:cs="Courier New" w:eastAsia="Courier New" w:hAnsi="Courier New"/>
                <w:sz w:val="18"/>
                <w:szCs w:val="18"/>
                <w:color w:val="auto"/>
                <w:w w:val="98"/>
              </w:rPr>
              <w:t>(1996), all in Tokyo (8)............................................</w:t>
            </w: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2419" w:hanging="412"/>
        <w:spacing w:after="0" w:line="273"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Ackerman is also Chairman of the Board and a member of the Audit Committee of Genicom Corporation, which is in the business of computer printers and computer related services.</w:t>
      </w:r>
    </w:p>
    <w:p>
      <w:pPr>
        <w:spacing w:after="0" w:line="82" w:lineRule="exact"/>
        <w:rPr>
          <w:rFonts w:ascii="Courier New" w:cs="Courier New" w:eastAsia="Courier New" w:hAnsi="Courier New"/>
          <w:sz w:val="18"/>
          <w:szCs w:val="18"/>
          <w:color w:val="auto"/>
        </w:rPr>
      </w:pPr>
    </w:p>
    <w:p>
      <w:pPr>
        <w:ind w:left="420" w:right="1999" w:hanging="412"/>
        <w:spacing w:after="0" w:line="34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Baird is also a director of Paribas, Paris, France. He is a trustee of Haven Capital Management Trust.</w:t>
      </w:r>
    </w:p>
    <w:p>
      <w:pPr>
        <w:spacing w:after="0" w:line="18" w:lineRule="exact"/>
        <w:rPr>
          <w:rFonts w:ascii="Courier New" w:cs="Courier New" w:eastAsia="Courier New" w:hAnsi="Courier New"/>
          <w:sz w:val="18"/>
          <w:szCs w:val="18"/>
          <w:color w:val="auto"/>
        </w:rPr>
      </w:pPr>
    </w:p>
    <w:p>
      <w:pPr>
        <w:ind w:left="420" w:right="2099" w:hanging="412"/>
        <w:spacing w:after="0" w:line="293"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Deutch is also a director of Citigroup, which is in banking and insurance; CMS Energy Corp., a diversified energy company; Cummins Engine Company, Inc., a manufacturer of diesel engines and components; ARIAD Pharmaceuticals, which is engaged in the discovery and development of novel pharmaceuticals based on signal transaction pathways and the genes that regulate them, and of Raytheon Corporation, a maker of electronics. He is also a director of the Sandia National Laboratories in New Mexico.</w:t>
      </w:r>
    </w:p>
    <w:p>
      <w:pPr>
        <w:spacing w:after="0" w:line="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094" w:right="1440" w:bottom="1440" w:gutter="0" w:footer="0" w:header="0"/>
        </w:sectPr>
      </w:pPr>
    </w:p>
    <w:bookmarkStart w:id="6" w:name="page7"/>
    <w:bookmarkEnd w:id="6"/>
    <w:p>
      <w:pPr>
        <w:ind w:left="420" w:right="2099" w:hanging="412"/>
        <w:spacing w:after="0" w:line="256"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Levy-Lang is also a director and member of the Compensation Committee of Elf-Aquitaine, a producer of oil, gas and chemicals. On January 4, 1996, Mr. Levy-Lang was notified by a French judge that he was placed under official investigation ("mise en examen") as part of an ongoing inquiry regarding irregularities uncovered in the 1991 financial statements of Ciments Francais, S.A., which was at that time a subsidiary of Compagnie Financiere de Paribas.</w:t>
      </w:r>
    </w:p>
    <w:p>
      <w:pPr>
        <w:spacing w:after="0" w:line="98" w:lineRule="exact"/>
        <w:rPr>
          <w:rFonts w:ascii="Courier New" w:cs="Courier New" w:eastAsia="Courier New" w:hAnsi="Courier New"/>
          <w:sz w:val="18"/>
          <w:szCs w:val="18"/>
          <w:color w:val="auto"/>
        </w:rPr>
      </w:pPr>
    </w:p>
    <w:p>
      <w:pPr>
        <w:ind w:left="420" w:right="1999" w:hanging="412"/>
        <w:spacing w:after="0" w:line="344" w:lineRule="auto"/>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McCormick is also a director of Bank One, Inc., a regional bank holding company, and Rockwell International Inc., a diversified producer of, among others, electronic, industrial automation and avionics products.</w:t>
      </w:r>
    </w:p>
    <w:p>
      <w:pPr>
        <w:spacing w:after="0" w:line="30"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Primat and Mr. Seydoux are cousins.</w:t>
      </w:r>
    </w:p>
    <w:p>
      <w:pPr>
        <w:spacing w:after="0" w:line="201" w:lineRule="exact"/>
        <w:rPr>
          <w:rFonts w:ascii="Courier New" w:cs="Courier New" w:eastAsia="Courier New" w:hAnsi="Courier New"/>
          <w:sz w:val="18"/>
          <w:szCs w:val="18"/>
          <w:color w:val="auto"/>
        </w:rPr>
      </w:pPr>
    </w:p>
    <w:p>
      <w:pPr>
        <w:ind w:left="420" w:right="1999" w:hanging="412"/>
        <w:spacing w:after="0" w:line="274"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Mrs. Stuntz is also a director of American Electric Power Company, Inc., an electric and power holding company, at which company she is a member of the Finance and Directors Committees and is the Chair of the Public Policy Committee.</w:t>
      </w:r>
    </w:p>
    <w:p>
      <w:pPr>
        <w:spacing w:after="0" w:line="81" w:lineRule="exact"/>
        <w:rPr>
          <w:rFonts w:ascii="Courier New" w:cs="Courier New" w:eastAsia="Courier New" w:hAnsi="Courier New"/>
          <w:sz w:val="18"/>
          <w:szCs w:val="18"/>
          <w:color w:val="auto"/>
        </w:rPr>
      </w:pPr>
    </w:p>
    <w:p>
      <w:pPr>
        <w:ind w:left="420" w:right="2619" w:hanging="412"/>
        <w:spacing w:after="0" w:line="34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Wakumoto is Vice President of The Japan Foundation and Executive Director of its Center for Global Partnerships.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Following are the shares of the Company's Common Stock beneficially owned as of January 31, 1999 by all directors and nominees, by each of the named executive officers, and by the directors and officers as a group. Except as footnoted, each named individual has sole voting and investment power over the shares listed by that individual's name. As of January 31, 1999, no nominee for director owned more than 1% of the outstanding shares of the Company's Common Stock, except Mr. Primat who owned 4.5%. All 23 directors and executive officers as a group owned 5.3% of the outstanding shares of the Company at January 31, 1999.</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0" w:type="dxa"/>
            <w:vAlign w:val="bottom"/>
          </w:tcPr>
          <w:p>
            <w:pPr>
              <w:ind w:left="420"/>
              <w:spacing w:after="0"/>
              <w:rPr>
                <w:sz w:val="20"/>
                <w:szCs w:val="20"/>
                <w:color w:val="auto"/>
              </w:rPr>
            </w:pPr>
            <w:r>
              <w:rPr>
                <w:rFonts w:ascii="Courier New" w:cs="Courier New" w:eastAsia="Courier New" w:hAnsi="Courier New"/>
                <w:sz w:val="18"/>
                <w:szCs w:val="18"/>
                <w:color w:val="auto"/>
              </w:rPr>
              <w:t>Name</w:t>
            </w:r>
          </w:p>
        </w:tc>
        <w:tc>
          <w:tcPr>
            <w:tcW w:w="1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Shares</w:t>
            </w:r>
          </w:p>
        </w:tc>
      </w:tr>
      <w:tr>
        <w:trPr>
          <w:trHeight w:val="296"/>
        </w:trPr>
        <w:tc>
          <w:tcPr>
            <w:tcW w:w="680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9"/>
              </w:rPr>
              <w:t>----------</w:t>
            </w:r>
          </w:p>
        </w:tc>
      </w:tr>
      <w:tr>
        <w:trPr>
          <w:trHeight w:val="311"/>
        </w:trPr>
        <w:tc>
          <w:tcPr>
            <w:tcW w:w="6800" w:type="dxa"/>
            <w:vAlign w:val="bottom"/>
          </w:tcPr>
          <w:p>
            <w:pPr>
              <w:spacing w:after="0"/>
              <w:rPr>
                <w:sz w:val="20"/>
                <w:szCs w:val="20"/>
                <w:color w:val="auto"/>
              </w:rPr>
            </w:pPr>
            <w:r>
              <w:rPr>
                <w:rFonts w:ascii="Courier New" w:cs="Courier New" w:eastAsia="Courier New" w:hAnsi="Courier New"/>
                <w:sz w:val="18"/>
                <w:szCs w:val="18"/>
                <w:color w:val="auto"/>
                <w:w w:val="98"/>
              </w:rPr>
              <w:t>Don E. Ackerman.................................................</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 Euan Baird...................................................</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1,941,955(1)</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John Deutch.....................................................</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3,600(2)</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Andrew Gould....................................................</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174,000(3)</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Victor E. Grijalva..............................................</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623,024(4)</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Denys Henderson.................................................</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Andre Levy-Lang.................................................</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Arthur Lindenauer...............................................</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188,091(5)</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William T. McCormick, Jr........................................</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Irwin Pfister...................................................</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160,635(6)</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Didier Primat...................................................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24,556,236(7)</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Nicolas Seydoux.................................................</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251,524(8)</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Linda Gillespie Stuntz..........................................</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5,000(9)</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Sven Ullring....................................................</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3,172</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Yoshihiko Wakumoto..............................................</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1,000</w:t>
            </w:r>
          </w:p>
        </w:tc>
      </w:tr>
      <w:tr>
        <w:trPr>
          <w:trHeight w:val="296"/>
        </w:trPr>
        <w:tc>
          <w:tcPr>
            <w:tcW w:w="6800" w:type="dxa"/>
            <w:vAlign w:val="bottom"/>
          </w:tcPr>
          <w:p>
            <w:pPr>
              <w:spacing w:after="0"/>
              <w:rPr>
                <w:sz w:val="20"/>
                <w:szCs w:val="20"/>
                <w:color w:val="auto"/>
              </w:rPr>
            </w:pPr>
            <w:r>
              <w:rPr>
                <w:rFonts w:ascii="Courier New" w:cs="Courier New" w:eastAsia="Courier New" w:hAnsi="Courier New"/>
                <w:sz w:val="18"/>
                <w:szCs w:val="18"/>
                <w:color w:val="auto"/>
                <w:w w:val="98"/>
              </w:rPr>
              <w:t>All directors and executive officers as a group (23 persons)....</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28,974,883(10)</w:t>
            </w:r>
          </w:p>
        </w:tc>
      </w:tr>
      <w:tr>
        <w:trPr>
          <w:trHeight w:val="608"/>
        </w:trPr>
        <w:tc>
          <w:tcPr>
            <w:tcW w:w="6800" w:type="dxa"/>
            <w:vAlign w:val="bottom"/>
          </w:tcPr>
          <w:p>
            <w:pPr>
              <w:ind w:left="4120"/>
              <w:spacing w:after="0"/>
              <w:rPr>
                <w:sz w:val="20"/>
                <w:szCs w:val="20"/>
                <w:color w:val="auto"/>
              </w:rPr>
            </w:pPr>
            <w:r>
              <w:rPr>
                <w:rFonts w:ascii="Courier New" w:cs="Courier New" w:eastAsia="Courier New" w:hAnsi="Courier New"/>
                <w:sz w:val="18"/>
                <w:szCs w:val="18"/>
                <w:color w:val="auto"/>
              </w:rPr>
              <w:t>4</w:t>
            </w:r>
          </w:p>
        </w:tc>
        <w:tc>
          <w:tcPr>
            <w:tcW w:w="1540" w:type="dxa"/>
            <w:vAlign w:val="bottom"/>
          </w:tcPr>
          <w:p>
            <w:pPr>
              <w:spacing w:after="0"/>
              <w:rPr>
                <w:sz w:val="24"/>
                <w:szCs w:val="24"/>
                <w:color w:val="auto"/>
              </w:rPr>
            </w:pPr>
          </w:p>
        </w:tc>
      </w:tr>
    </w:tbl>
    <w:p>
      <w:pPr>
        <w:sectPr>
          <w:pgSz w:w="11900" w:h="16838" w:orient="portrait"/>
          <w:cols w:equalWidth="0" w:num="1">
            <w:col w:w="10219"/>
          </w:cols>
          <w:pgMar w:left="240" w:top="89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999" w:hanging="412"/>
        <w:spacing w:after="0" w:line="273"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1,390,000 shares which are deemed to be beneficially owned by Mr. Baird because he has the right to acquire such shares within 60 days through the exercise of stock options.</w:t>
      </w:r>
    </w:p>
    <w:p>
      <w:pPr>
        <w:spacing w:after="0" w:line="82" w:lineRule="exact"/>
        <w:rPr>
          <w:rFonts w:ascii="Courier New" w:cs="Courier New" w:eastAsia="Courier New" w:hAnsi="Courier New"/>
          <w:sz w:val="18"/>
          <w:szCs w:val="18"/>
          <w:color w:val="auto"/>
        </w:rPr>
      </w:pPr>
    </w:p>
    <w:p>
      <w:pPr>
        <w:ind w:left="420" w:right="2199" w:hanging="412"/>
        <w:spacing w:after="0" w:line="34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 shares owned by Mr. Deutch's wife, as to which he disclaims beneficial ownership.</w:t>
      </w:r>
    </w:p>
    <w:p>
      <w:pPr>
        <w:spacing w:after="0" w:line="18" w:lineRule="exact"/>
        <w:rPr>
          <w:rFonts w:ascii="Courier New" w:cs="Courier New" w:eastAsia="Courier New" w:hAnsi="Courier New"/>
          <w:sz w:val="18"/>
          <w:szCs w:val="18"/>
          <w:color w:val="auto"/>
        </w:rPr>
      </w:pPr>
    </w:p>
    <w:p>
      <w:pPr>
        <w:ind w:left="420" w:right="2199" w:hanging="412"/>
        <w:spacing w:after="0" w:line="292"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160,000 shares which are deemed to be beneficially owned by Mr. Gould because he has the right to acquire such shares within 60 days through the exercise of stock options.</w:t>
      </w:r>
    </w:p>
    <w:p>
      <w:pPr>
        <w:spacing w:after="0" w:line="66" w:lineRule="exact"/>
        <w:rPr>
          <w:rFonts w:ascii="Courier New" w:cs="Courier New" w:eastAsia="Courier New" w:hAnsi="Courier New"/>
          <w:sz w:val="18"/>
          <w:szCs w:val="18"/>
          <w:color w:val="auto"/>
        </w:rPr>
      </w:pPr>
    </w:p>
    <w:p>
      <w:pPr>
        <w:ind w:left="420" w:right="2099" w:hanging="412"/>
        <w:spacing w:after="0" w:line="274"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 shares owned by Mr. Grijalva's daughter, as to which he disclaims beneficial ownership, and 504,000 shares which are deemed to be beneficially owned by him because he has the right to acquire such shares within 60 days through the exercise of stock options.</w:t>
      </w:r>
    </w:p>
    <w:p>
      <w:pPr>
        <w:spacing w:after="0" w:line="81" w:lineRule="exact"/>
        <w:rPr>
          <w:rFonts w:ascii="Courier New" w:cs="Courier New" w:eastAsia="Courier New" w:hAnsi="Courier New"/>
          <w:sz w:val="18"/>
          <w:szCs w:val="18"/>
          <w:color w:val="auto"/>
        </w:rPr>
      </w:pPr>
    </w:p>
    <w:p>
      <w:pPr>
        <w:ind w:left="420" w:right="2099" w:hanging="412"/>
        <w:spacing w:after="0" w:line="292"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162,000 shares which are deemed to be beneficially owned by Mr. Lindenauer because he has the right to acquire such shares within 60 days through the exercise of stock options.</w:t>
      </w:r>
    </w:p>
    <w:p>
      <w:pPr>
        <w:spacing w:after="0" w:line="66" w:lineRule="exact"/>
        <w:rPr>
          <w:rFonts w:ascii="Courier New" w:cs="Courier New" w:eastAsia="Courier New" w:hAnsi="Courier New"/>
          <w:sz w:val="18"/>
          <w:szCs w:val="18"/>
          <w:color w:val="auto"/>
        </w:rPr>
      </w:pPr>
    </w:p>
    <w:p>
      <w:pPr>
        <w:ind w:left="420" w:right="2199" w:hanging="412"/>
        <w:spacing w:after="0" w:line="292"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160,000 shares which are deemed to be beneficially owned by Mr. Pfister because he has the right to acquire such shares within 60 days through the exercise of stock options.</w:t>
      </w:r>
    </w:p>
    <w:p>
      <w:pPr>
        <w:spacing w:after="0" w:line="66" w:lineRule="exact"/>
        <w:rPr>
          <w:rFonts w:ascii="Courier New" w:cs="Courier New" w:eastAsia="Courier New" w:hAnsi="Courier New"/>
          <w:sz w:val="18"/>
          <w:szCs w:val="18"/>
          <w:color w:val="auto"/>
        </w:rPr>
      </w:pPr>
    </w:p>
    <w:p>
      <w:pPr>
        <w:ind w:left="420" w:right="2099" w:hanging="412"/>
        <w:spacing w:after="0" w:line="26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560,000 shares as to which Mr. Primat shares investment power, 13,996,136 shares held by Mr. Primat as Executor of the Estate of Francoise Primat as to which he has sole voting and investment power, and 5,000,000 shares held for account of the minor children of Mr. Primat as to which he has joint voting and investment power.</w:t>
      </w:r>
    </w:p>
    <w:p>
      <w:pPr>
        <w:spacing w:after="0" w:line="89" w:lineRule="exact"/>
        <w:rPr>
          <w:rFonts w:ascii="Courier New" w:cs="Courier New" w:eastAsia="Courier New" w:hAnsi="Courier New"/>
          <w:sz w:val="18"/>
          <w:szCs w:val="18"/>
          <w:color w:val="auto"/>
        </w:rPr>
      </w:pPr>
    </w:p>
    <w:p>
      <w:pPr>
        <w:ind w:left="420" w:right="2199" w:hanging="412"/>
        <w:spacing w:after="0" w:line="34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15,364 shares owned by Mr. Seydoux's wife as to which he shares voting and investment power.</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3,000 shares as to which Mrs. Stuntz shares voting power.</w:t>
      </w:r>
    </w:p>
    <w:p>
      <w:pPr>
        <w:spacing w:after="0" w:line="201" w:lineRule="exact"/>
        <w:rPr>
          <w:rFonts w:ascii="Courier New" w:cs="Courier New" w:eastAsia="Courier New" w:hAnsi="Courier New"/>
          <w:sz w:val="18"/>
          <w:szCs w:val="18"/>
          <w:color w:val="auto"/>
        </w:rPr>
      </w:pPr>
    </w:p>
    <w:p>
      <w:pPr>
        <w:ind w:left="540" w:right="1999" w:hanging="532"/>
        <w:spacing w:after="0" w:line="292"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3,230,126 shares which are deemed to be beneficially owned by executive officers as a group because they have the right to acquire such shares within 60 days through the exercise of stock options.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and Committees</w:t>
      </w:r>
    </w:p>
    <w:p>
      <w:pPr>
        <w:spacing w:after="0" w:line="201" w:lineRule="exact"/>
        <w:rPr>
          <w:sz w:val="20"/>
          <w:szCs w:val="20"/>
          <w:color w:val="auto"/>
        </w:rPr>
      </w:pPr>
    </w:p>
    <w:p>
      <w:pPr>
        <w:ind w:right="2839" w:firstLine="211"/>
        <w:spacing w:after="0" w:line="347" w:lineRule="auto"/>
        <w:rPr>
          <w:sz w:val="20"/>
          <w:szCs w:val="20"/>
          <w:color w:val="auto"/>
        </w:rPr>
      </w:pPr>
      <w:r>
        <w:rPr>
          <w:rFonts w:ascii="Courier New" w:cs="Courier New" w:eastAsia="Courier New" w:hAnsi="Courier New"/>
          <w:sz w:val="18"/>
          <w:szCs w:val="18"/>
          <w:color w:val="auto"/>
        </w:rPr>
        <w:t>The Company has an Audit, a Compensation, a Finance and a Nominating Committee.</w:t>
      </w:r>
    </w:p>
    <w:p>
      <w:pPr>
        <w:spacing w:after="0" w:line="18"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The Audit Committee assesses and monitors the corporate control environment and recommends for appointment by the Board of Directors subject to approval by the stockholders a firm of independent certified public accountants whose duty is to examine the consolidated financial statements of the Company. The Committee confers with the independent accountants and periodically reports to and advises the Board concerning the scope of the independent accountants' examinations and similar matters relating to the Company's accounting practices and internal accounting controls. The Committee also advises the Board concerning the fees of the independent accountants. Mr. Ullring is Chairman of the Audit Committee, and Messrs. Ackerman and Levy-Lang and Mrs. Stuntz are the other members.</w:t>
      </w:r>
    </w:p>
    <w:p>
      <w:pPr>
        <w:spacing w:after="0" w:line="104" w:lineRule="exact"/>
        <w:rPr>
          <w:sz w:val="20"/>
          <w:szCs w:val="20"/>
          <w:color w:val="auto"/>
        </w:rPr>
      </w:pPr>
    </w:p>
    <w:p>
      <w:pPr>
        <w:jc w:val="both"/>
        <w:ind w:right="2519" w:firstLine="211"/>
        <w:spacing w:after="0" w:line="292" w:lineRule="auto"/>
        <w:rPr>
          <w:sz w:val="20"/>
          <w:szCs w:val="20"/>
          <w:color w:val="auto"/>
        </w:rPr>
      </w:pPr>
      <w:r>
        <w:rPr>
          <w:rFonts w:ascii="Courier New" w:cs="Courier New" w:eastAsia="Courier New" w:hAnsi="Courier New"/>
          <w:sz w:val="18"/>
          <w:szCs w:val="18"/>
          <w:color w:val="auto"/>
        </w:rPr>
        <w:t>The Compensation Committee reviews and approves the compensation of the officers of the Company, advises on compensation and benefits matters and administers the Company's stock option</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8" w:name="page9"/>
    <w:bookmarkEnd w:id="8"/>
    <w:p>
      <w:pPr>
        <w:ind w:right="2619"/>
        <w:spacing w:after="0" w:line="402" w:lineRule="auto"/>
        <w:rPr>
          <w:sz w:val="20"/>
          <w:szCs w:val="20"/>
          <w:color w:val="auto"/>
        </w:rPr>
      </w:pPr>
      <w:r>
        <w:rPr>
          <w:rFonts w:ascii="Courier New" w:cs="Courier New" w:eastAsia="Courier New" w:hAnsi="Courier New"/>
          <w:sz w:val="16"/>
          <w:szCs w:val="16"/>
          <w:color w:val="auto"/>
        </w:rPr>
        <w:t>plans. Mr. Ackerman is Chairman of the Compensation Committee. Sir Denys Henderson and Messrs. McCormick and Seydoux are the other members.</w:t>
      </w:r>
    </w:p>
    <w:p>
      <w:pPr>
        <w:spacing w:after="0" w:line="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Finance Committee advises on various matters including dividend and financial policies, the borrowing of money, the purchase and sale of securities and the investment and reinvestment of surplus funds. The Committee periodically reviews the administration of the employee benefit plans of the Company and its subsidiaries. Messrs. Baird, Deutch, Grijalva, Levy-Lang, Primat and Wakumoto are the members of this Committee.</w:t>
      </w:r>
    </w:p>
    <w:p>
      <w:pPr>
        <w:spacing w:after="0" w:line="93"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The Nominating Committee recommends to the Board the number and names of persons to be proposed by the Board for election as directors at the annual general meetings of stockholders. Also, the Committee may recommend to the Board persons to be appointed by the Board or to be elected by the stockholders to fill any vacancies on the Board. Mr. McCormick is Chairman of this Committee, and Messrs. Baird, Seydoux and Ullring are the other members. The Nominating Committee will consider nominees recommended by stockholders. Stockholders may submit nominations to Chairman, Nominating Committee, care of the Secretary, Schlumberger Limited, 277 Park Avenue, New York, New York 10172-0266.</w:t>
      </w:r>
    </w:p>
    <w:p>
      <w:pPr>
        <w:spacing w:after="0" w:line="104" w:lineRule="exact"/>
        <w:rPr>
          <w:sz w:val="20"/>
          <w:szCs w:val="20"/>
          <w:color w:val="auto"/>
        </w:rPr>
      </w:pPr>
    </w:p>
    <w:p>
      <w:pPr>
        <w:ind w:right="2099" w:firstLine="211"/>
        <w:spacing w:after="0" w:line="306" w:lineRule="auto"/>
        <w:rPr>
          <w:sz w:val="20"/>
          <w:szCs w:val="20"/>
          <w:color w:val="auto"/>
        </w:rPr>
      </w:pPr>
      <w:r>
        <w:rPr>
          <w:rFonts w:ascii="Courier New" w:cs="Courier New" w:eastAsia="Courier New" w:hAnsi="Courier New"/>
          <w:sz w:val="16"/>
          <w:szCs w:val="16"/>
          <w:color w:val="auto"/>
        </w:rPr>
        <w:t>During 1998 the Board of Directors held four meetings. The Audit Committee met three times; the Compensation Committee met four times; the Finance Committee met twice, and the Nominating Committee met once. All present directors attended at least 75% of the aggregate of the meetings of the Board and of the Committees of the Board on which such directors served.</w:t>
      </w:r>
    </w:p>
    <w:p>
      <w:pPr>
        <w:spacing w:after="0" w:line="60"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Directors who are employees of the Company do not receive compensation for serving on the Board or Committees of the Board. Board members who are not employees receive annual fees of $40,000 each and additional annual fees of $10,000 as members of each of the Committees on which they serve, except that the Chairmen of the Audit, Compensation and Nominating Committees each receive an annual fee of $20,000, rather than the $10,000 annual fee for Committee service.</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Cash and Certain Other Compensation</w:t>
      </w:r>
    </w:p>
    <w:p>
      <w:pPr>
        <w:spacing w:after="0" w:line="20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following table shows, for the fiscal years ending December 31, 1998, 1997 and 1996, the cash compensation paid by the Company and its subsidiaries, as well as certain other compensation paid or accrued for those years, to the Chief Executive Officer and the next four most highly compensated executive officers of the Company: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580" w:type="dxa"/>
            <w:vAlign w:val="bottom"/>
          </w:tcPr>
          <w:p>
            <w:pPr>
              <w:spacing w:after="0"/>
              <w:rPr>
                <w:sz w:val="24"/>
                <w:szCs w:val="24"/>
                <w:color w:val="auto"/>
              </w:rPr>
            </w:pPr>
          </w:p>
        </w:tc>
        <w:tc>
          <w:tcPr>
            <w:tcW w:w="338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rPr>
              <w:t>SUMMARY COMPENSATION TABLE</w:t>
            </w: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Long-Term</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Awards</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gridSpan w:val="2"/>
            <w:vMerge w:val="restart"/>
          </w:tcPr>
          <w:p>
            <w:pPr>
              <w:jc w:val="right"/>
              <w:ind w:right="492"/>
              <w:spacing w:after="0"/>
              <w:rPr>
                <w:sz w:val="20"/>
                <w:szCs w:val="20"/>
                <w:color w:val="auto"/>
              </w:rPr>
            </w:pPr>
            <w:r>
              <w:rPr>
                <w:rFonts w:ascii="Courier New" w:cs="Courier New" w:eastAsia="Courier New" w:hAnsi="Courier New"/>
                <w:sz w:val="18"/>
                <w:szCs w:val="18"/>
                <w:color w:val="auto"/>
              </w:rPr>
              <w:t>Annual Compensation</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Name and</w:t>
            </w:r>
          </w:p>
        </w:tc>
        <w:tc>
          <w:tcPr>
            <w:tcW w:w="540" w:type="dxa"/>
            <w:vAlign w:val="bottom"/>
          </w:tcPr>
          <w:p>
            <w:pPr>
              <w:spacing w:after="0"/>
              <w:rPr>
                <w:sz w:val="17"/>
                <w:szCs w:val="17"/>
                <w:color w:val="auto"/>
              </w:rPr>
            </w:pPr>
          </w:p>
        </w:tc>
        <w:tc>
          <w:tcPr>
            <w:tcW w:w="2840" w:type="dxa"/>
            <w:vAlign w:val="bottom"/>
            <w:gridSpan w:val="2"/>
            <w:vMerge w:val="continue"/>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9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All Other</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2160" w:type="dxa"/>
            <w:vAlign w:val="bottom"/>
            <w:gridSpan w:val="2"/>
            <w:vMerge w:val="restart"/>
          </w:tcPr>
          <w:p>
            <w:pPr>
              <w:ind w:left="60"/>
              <w:spacing w:after="0"/>
              <w:rPr>
                <w:sz w:val="20"/>
                <w:szCs w:val="20"/>
                <w:color w:val="auto"/>
              </w:rPr>
            </w:pPr>
            <w:r>
              <w:rPr>
                <w:rFonts w:ascii="Courier New" w:cs="Courier New" w:eastAsia="Courier New" w:hAnsi="Courier New"/>
                <w:sz w:val="17"/>
                <w:szCs w:val="17"/>
                <w:color w:val="auto"/>
                <w:w w:val="72"/>
                <w:vertAlign w:val="subscript"/>
              </w:rPr>
              <w:t>Year Salary(</w:t>
            </w:r>
            <w:r>
              <w:rPr>
                <w:rFonts w:ascii="Courier New" w:cs="Courier New" w:eastAsia="Courier New" w:hAnsi="Courier New"/>
                <w:sz w:val="11"/>
                <w:szCs w:val="11"/>
                <w:color w:val="auto"/>
                <w:w w:val="72"/>
              </w:rPr>
              <w:t>--------------------------</w:t>
            </w:r>
            <w:r>
              <w:rPr>
                <w:rFonts w:ascii="Courier New" w:cs="Courier New" w:eastAsia="Courier New" w:hAnsi="Courier New"/>
                <w:sz w:val="17"/>
                <w:szCs w:val="17"/>
                <w:color w:val="auto"/>
                <w:w w:val="72"/>
                <w:vertAlign w:val="subscript"/>
              </w:rPr>
              <w:t>$)(1)</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Bonus($)(1)</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Underlying</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Principal Position</w:t>
            </w:r>
          </w:p>
        </w:tc>
        <w:tc>
          <w:tcPr>
            <w:tcW w:w="216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Options(#)</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Compensation($)(3)</w:t>
            </w:r>
          </w:p>
        </w:tc>
        <w:tc>
          <w:tcPr>
            <w:tcW w:w="0" w:type="dxa"/>
            <w:vAlign w:val="bottom"/>
          </w:tcPr>
          <w:p>
            <w:pPr>
              <w:spacing w:after="0"/>
              <w:rPr>
                <w:sz w:val="1"/>
                <w:szCs w:val="1"/>
                <w:color w:val="auto"/>
              </w:rPr>
            </w:pPr>
          </w:p>
        </w:tc>
      </w:tr>
      <w:tr>
        <w:trPr>
          <w:trHeight w:val="296"/>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6700" w:type="dxa"/>
            <w:vAlign w:val="bottom"/>
            <w:gridSpan w:val="5"/>
          </w:tcPr>
          <w:p>
            <w:pPr>
              <w:ind w:left="60"/>
              <w:spacing w:after="0"/>
              <w:rPr>
                <w:sz w:val="20"/>
                <w:szCs w:val="20"/>
                <w:color w:val="auto"/>
              </w:rPr>
            </w:pPr>
            <w:r>
              <w:rPr>
                <w:rFonts w:ascii="Courier New" w:cs="Courier New" w:eastAsia="Courier New" w:hAnsi="Courier New"/>
                <w:sz w:val="18"/>
                <w:szCs w:val="18"/>
                <w:color w:val="auto"/>
                <w:w w:val="97"/>
              </w:rPr>
              <w:t>---- ------------   ----------- ------------ ------------------</w:t>
            </w:r>
          </w:p>
        </w:tc>
        <w:tc>
          <w:tcPr>
            <w:tcW w:w="0" w:type="dxa"/>
            <w:vAlign w:val="bottom"/>
          </w:tcPr>
          <w:p>
            <w:pPr>
              <w:spacing w:after="0"/>
              <w:rPr>
                <w:sz w:val="1"/>
                <w:szCs w:val="1"/>
                <w:color w:val="auto"/>
              </w:rPr>
            </w:pPr>
          </w:p>
        </w:tc>
      </w:tr>
      <w:tr>
        <w:trPr>
          <w:trHeight w:val="311"/>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D.E. Baird..............</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1998</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1,500,000</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600,000</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270,000</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and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1,500,000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500,000</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323,000</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Chief Executive Officer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1,100,000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300,000</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231,000</w:t>
            </w:r>
          </w:p>
        </w:tc>
        <w:tc>
          <w:tcPr>
            <w:tcW w:w="0" w:type="dxa"/>
            <w:vAlign w:val="bottom"/>
          </w:tcPr>
          <w:p>
            <w:pPr>
              <w:spacing w:after="0"/>
              <w:rPr>
                <w:sz w:val="1"/>
                <w:szCs w:val="1"/>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V.E. Grijalva...........</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800,000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112,500</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Chairman</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600,000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200,000</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129,000</w:t>
            </w:r>
          </w:p>
        </w:tc>
        <w:tc>
          <w:tcPr>
            <w:tcW w:w="0" w:type="dxa"/>
            <w:vAlign w:val="bottom"/>
          </w:tcPr>
          <w:p>
            <w:pPr>
              <w:spacing w:after="0"/>
              <w:rPr>
                <w:sz w:val="1"/>
                <w:szCs w:val="1"/>
                <w:color w:val="auto"/>
              </w:rPr>
            </w:pPr>
          </w:p>
        </w:tc>
      </w:tr>
      <w:tr>
        <w:trPr>
          <w:trHeight w:val="203"/>
        </w:trPr>
        <w:tc>
          <w:tcPr>
            <w:tcW w:w="25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A. Gould................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600,000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200,000</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108,350</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499,154(2)</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152,284</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63,198</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Oilfield Services</w:t>
            </w: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Products</w:t>
            </w:r>
          </w:p>
        </w:tc>
        <w:tc>
          <w:tcPr>
            <w:tcW w:w="5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1998</w:t>
            </w:r>
          </w:p>
        </w:tc>
        <w:tc>
          <w:tcPr>
            <w:tcW w:w="16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500,000</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150,000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19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72,000</w:t>
            </w:r>
          </w:p>
        </w:tc>
        <w:tc>
          <w:tcPr>
            <w:tcW w:w="0" w:type="dxa"/>
            <w:vAlign w:val="bottom"/>
          </w:tcPr>
          <w:p>
            <w:pPr>
              <w:spacing w:after="0"/>
              <w:rPr>
                <w:sz w:val="1"/>
                <w:szCs w:val="1"/>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 Pfister..............</w:t>
            </w:r>
          </w:p>
        </w:tc>
        <w:tc>
          <w:tcPr>
            <w:tcW w:w="5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420,411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125,000</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55,112</w:t>
            </w: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Test &amp; Transactions</w:t>
            </w:r>
          </w:p>
        </w:tc>
        <w:tc>
          <w:tcPr>
            <w:tcW w:w="5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1998</w:t>
            </w:r>
          </w:p>
        </w:tc>
        <w:tc>
          <w:tcPr>
            <w:tcW w:w="16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500,000</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100,000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19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69,750</w:t>
            </w:r>
          </w:p>
        </w:tc>
        <w:tc>
          <w:tcPr>
            <w:tcW w:w="0" w:type="dxa"/>
            <w:vAlign w:val="bottom"/>
          </w:tcPr>
          <w:p>
            <w:pPr>
              <w:spacing w:after="0"/>
              <w:rPr>
                <w:sz w:val="1"/>
                <w:szCs w:val="1"/>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 Lindenauer...........</w:t>
            </w:r>
          </w:p>
        </w:tc>
        <w:tc>
          <w:tcPr>
            <w:tcW w:w="5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500,000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60,000</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96,200</w:t>
            </w: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500,000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80,000</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83,600</w:t>
            </w:r>
          </w:p>
        </w:tc>
        <w:tc>
          <w:tcPr>
            <w:tcW w:w="0" w:type="dxa"/>
            <w:vAlign w:val="bottom"/>
          </w:tcPr>
          <w:p>
            <w:pPr>
              <w:spacing w:after="0"/>
              <w:rPr>
                <w:sz w:val="1"/>
                <w:szCs w:val="1"/>
                <w:color w:val="auto"/>
              </w:rPr>
            </w:pPr>
          </w:p>
        </w:tc>
      </w:tr>
      <w:tr>
        <w:trPr>
          <w:trHeight w:val="296"/>
        </w:trPr>
        <w:tc>
          <w:tcPr>
            <w:tcW w:w="2580" w:type="dxa"/>
            <w:vAlign w:val="bottom"/>
          </w:tcPr>
          <w:p>
            <w:pPr>
              <w:ind w:left="120"/>
              <w:spacing w:after="0"/>
              <w:rPr>
                <w:sz w:val="20"/>
                <w:szCs w:val="20"/>
                <w:color w:val="auto"/>
              </w:rPr>
            </w:pPr>
            <w:r>
              <w:rPr>
                <w:rFonts w:ascii="Courier New" w:cs="Courier New" w:eastAsia="Courier New" w:hAnsi="Courier New"/>
                <w:sz w:val="18"/>
                <w:szCs w:val="18"/>
                <w:color w:val="auto"/>
              </w:rPr>
              <w:t>Finance</w:t>
            </w: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999"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 and bonus amounts include cash compensation earned and received and any amounts deferred under the Schlumberger Restoration Savings Plan ("Restoration Savings Plan").</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Gould is paid in French francs.</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1998 amounts disclosed in this column include:</w:t>
      </w:r>
    </w:p>
    <w:p>
      <w:pPr>
        <w:ind w:left="420" w:right="2739"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contributions to Schlumberger's Profit Sharing Plans. Contributions are invested, and final amounts distributed depend on investment results.</w:t>
      </w:r>
    </w:p>
    <w:p>
      <w:pPr>
        <w:spacing w:after="0" w:line="1" w:lineRule="exact"/>
        <w:rPr>
          <w:rFonts w:ascii="Courier New" w:cs="Courier New" w:eastAsia="Courier New" w:hAnsi="Courier New"/>
          <w:sz w:val="18"/>
          <w:szCs w:val="18"/>
          <w:color w:val="auto"/>
        </w:rPr>
      </w:pPr>
    </w:p>
    <w:p>
      <w:pPr>
        <w:ind w:left="420" w:right="2839"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unfunded credits to the Schlumberger Supplementary Benefit Plan.</w:t>
      </w: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unfunded matching credits to the Restoration Savings Plan.</w:t>
      </w:r>
    </w:p>
    <w:p>
      <w:pPr>
        <w:spacing w:after="0" w:line="200" w:lineRule="exact"/>
        <w:rPr>
          <w:sz w:val="20"/>
          <w:szCs w:val="20"/>
          <w:color w:val="auto"/>
        </w:rPr>
      </w:pPr>
    </w:p>
    <w:p>
      <w:pPr>
        <w:spacing w:after="0" w:line="37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 (b)($)</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(c)($)</w:t>
            </w:r>
          </w:p>
        </w:tc>
      </w:tr>
      <w:tr>
        <w:trPr>
          <w:trHeight w:val="296"/>
        </w:trPr>
        <w:tc>
          <w:tcPr>
            <w:tcW w:w="586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r>
      <w:tr>
        <w:trPr>
          <w:trHeight w:val="311"/>
        </w:trPr>
        <w:tc>
          <w:tcPr>
            <w:tcW w:w="5860" w:type="dxa"/>
            <w:vAlign w:val="bottom"/>
          </w:tcPr>
          <w:p>
            <w:pPr>
              <w:spacing w:after="0"/>
              <w:rPr>
                <w:sz w:val="20"/>
                <w:szCs w:val="20"/>
                <w:color w:val="auto"/>
              </w:rPr>
            </w:pPr>
            <w:r>
              <w:rPr>
                <w:rFonts w:ascii="Courier New" w:cs="Courier New" w:eastAsia="Courier New" w:hAnsi="Courier New"/>
                <w:sz w:val="18"/>
                <w:szCs w:val="18"/>
                <w:color w:val="auto"/>
                <w:w w:val="98"/>
              </w:rPr>
              <w:t>Mr. Baird..............................................</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14,400</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170,400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85,200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Mr. Grijalva...........................................</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14,400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65,400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32,700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Mr. Gould..............................................</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63,198</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Mr. Pfister............................................</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14,400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19,200</w:t>
            </w:r>
          </w:p>
        </w:tc>
      </w:tr>
      <w:tr>
        <w:trPr>
          <w:trHeight w:val="296"/>
        </w:trPr>
        <w:tc>
          <w:tcPr>
            <w:tcW w:w="5860" w:type="dxa"/>
            <w:vAlign w:val="bottom"/>
          </w:tcPr>
          <w:p>
            <w:pPr>
              <w:spacing w:after="0"/>
              <w:rPr>
                <w:sz w:val="20"/>
                <w:szCs w:val="20"/>
                <w:color w:val="auto"/>
              </w:rPr>
            </w:pPr>
            <w:r>
              <w:rPr>
                <w:rFonts w:ascii="Courier New" w:cs="Courier New" w:eastAsia="Courier New" w:hAnsi="Courier New"/>
                <w:sz w:val="18"/>
                <w:szCs w:val="18"/>
                <w:color w:val="auto"/>
                <w:w w:val="98"/>
              </w:rPr>
              <w:t>Mr. Lindenauer.........................................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14,400</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36,900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18,450</w:t>
            </w:r>
          </w:p>
        </w:tc>
      </w:tr>
    </w:tbl>
    <w:p>
      <w:pPr>
        <w:spacing w:after="0" w:line="311" w:lineRule="exact"/>
        <w:rPr>
          <w:sz w:val="20"/>
          <w:szCs w:val="20"/>
          <w:color w:val="auto"/>
        </w:rPr>
      </w:pPr>
    </w:p>
    <w:p>
      <w:pPr>
        <w:ind w:left="220" w:right="1999"/>
        <w:spacing w:after="0" w:line="265" w:lineRule="auto"/>
        <w:rPr>
          <w:sz w:val="20"/>
          <w:szCs w:val="20"/>
          <w:color w:val="auto"/>
        </w:rPr>
      </w:pPr>
      <w:r>
        <w:rPr>
          <w:rFonts w:ascii="Courier New" w:cs="Courier New" w:eastAsia="Courier New" w:hAnsi="Courier New"/>
          <w:sz w:val="18"/>
          <w:szCs w:val="18"/>
          <w:color w:val="auto"/>
        </w:rPr>
        <w:t>The Company's matching credits under the Restoration Savings Plan are vested one-third at three years of service, two-thirds at four years, fully at five years or at age 60 or upon death or upon change of control. The amounts credited under the Restoration Savings Plan will be paid upon termination or retirement, death, disability, or change in control.</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86"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Stock Option Grants Table</w:t>
      </w:r>
    </w:p>
    <w:p>
      <w:pPr>
        <w:spacing w:after="0" w:line="201" w:lineRule="exact"/>
        <w:rPr>
          <w:sz w:val="20"/>
          <w:szCs w:val="20"/>
          <w:color w:val="auto"/>
        </w:rPr>
      </w:pPr>
    </w:p>
    <w:p>
      <w:pPr>
        <w:ind w:right="1999" w:firstLine="211"/>
        <w:spacing w:after="0" w:line="285" w:lineRule="auto"/>
        <w:rPr>
          <w:sz w:val="20"/>
          <w:szCs w:val="20"/>
          <w:color w:val="auto"/>
        </w:rPr>
      </w:pPr>
      <w:r>
        <w:rPr>
          <w:rFonts w:ascii="Courier New" w:cs="Courier New" w:eastAsia="Courier New" w:hAnsi="Courier New"/>
          <w:sz w:val="16"/>
          <w:szCs w:val="16"/>
          <w:color w:val="auto"/>
        </w:rPr>
        <w:t>The following table sets forth certain information concerning stock options granted during 1998 by the Company to the Chief Executive Officer and the next four most highly compensated executive officers of the Company. In addition, there are shown hypothetical gains that could be realized for the respective options, based on assumed rates of annual compound stock price appreciation of 5% and 10% from the date the options are granted over the ten-year term of the options. The actual gain, if any, realized upon exercise of the options will depend upon the market price of the Company's Common Stock relative to the exercise price of the option at the time the option is exercised. There is no assurance that the amounts reflected in this table will be realized.</w:t>
      </w:r>
    </w:p>
    <w:p>
      <w:pPr>
        <w:spacing w:after="0" w:line="7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Potential Realizable</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Value at Assumed</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Annual Rates of Stock</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3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Individual Grants</w:t>
            </w:r>
          </w:p>
        </w:tc>
        <w:tc>
          <w:tcPr>
            <w:tcW w:w="1160" w:type="dxa"/>
            <w:vAlign w:val="bottom"/>
          </w:tcPr>
          <w:p>
            <w:pPr>
              <w:spacing w:after="0"/>
              <w:rPr>
                <w:sz w:val="17"/>
                <w:szCs w:val="17"/>
                <w:color w:val="auto"/>
              </w:rPr>
            </w:pPr>
          </w:p>
        </w:tc>
        <w:tc>
          <w:tcPr>
            <w:tcW w:w="2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Price Appreciation</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2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for Option Term</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164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Numberof</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 of Total</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109"/>
        </w:trPr>
        <w:tc>
          <w:tcPr>
            <w:tcW w:w="25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Options</w:t>
            </w:r>
          </w:p>
        </w:tc>
        <w:tc>
          <w:tcPr>
            <w:tcW w:w="1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Exercise</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Underlying</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Granted to</w:t>
            </w:r>
          </w:p>
        </w:tc>
        <w:tc>
          <w:tcPr>
            <w:tcW w:w="1060" w:type="dxa"/>
            <w:vAlign w:val="bottom"/>
            <w:vMerge w:val="continue"/>
          </w:tcPr>
          <w:p>
            <w:pPr>
              <w:spacing w:after="0"/>
              <w:rPr>
                <w:sz w:val="17"/>
                <w:szCs w:val="17"/>
                <w:color w:val="auto"/>
              </w:rPr>
            </w:pPr>
          </w:p>
        </w:tc>
        <w:tc>
          <w:tcPr>
            <w:tcW w:w="11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Expiration</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40" w:type="dxa"/>
            <w:vAlign w:val="bottom"/>
          </w:tcPr>
          <w:p>
            <w:pPr>
              <w:jc w:val="right"/>
              <w:ind w:right="438"/>
              <w:spacing w:after="0" w:line="203" w:lineRule="exact"/>
              <w:rPr>
                <w:sz w:val="20"/>
                <w:szCs w:val="20"/>
                <w:color w:val="auto"/>
              </w:rPr>
            </w:pPr>
            <w:r>
              <w:rPr>
                <w:rFonts w:ascii="Courier New" w:cs="Courier New" w:eastAsia="Courier New" w:hAnsi="Courier New"/>
                <w:sz w:val="18"/>
                <w:szCs w:val="18"/>
                <w:color w:val="auto"/>
              </w:rPr>
              <w:t>Options</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Employees in</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Price</w:t>
            </w:r>
          </w:p>
        </w:tc>
        <w:tc>
          <w:tcPr>
            <w:tcW w:w="1160" w:type="dxa"/>
            <w:vAlign w:val="bottom"/>
            <w:vMerge w:val="continue"/>
          </w:tcPr>
          <w:p>
            <w:pPr>
              <w:spacing w:after="0"/>
              <w:rPr>
                <w:sz w:val="17"/>
                <w:szCs w:val="17"/>
                <w:color w:val="auto"/>
              </w:rPr>
            </w:pPr>
          </w:p>
        </w:tc>
        <w:tc>
          <w:tcPr>
            <w:tcW w:w="1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25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Name</w:t>
            </w:r>
          </w:p>
        </w:tc>
        <w:tc>
          <w:tcPr>
            <w:tcW w:w="2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Granted (#)(1) Fiscal Year</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($/SH)(2)</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Date</w:t>
            </w:r>
          </w:p>
        </w:tc>
        <w:tc>
          <w:tcPr>
            <w:tcW w:w="12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continue"/>
          </w:tcPr>
          <w:p>
            <w:pPr>
              <w:spacing w:after="0"/>
              <w:rPr>
                <w:sz w:val="24"/>
                <w:szCs w:val="24"/>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580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 --------- ---------- ---------- ----------</w:t>
            </w:r>
          </w:p>
        </w:tc>
        <w:tc>
          <w:tcPr>
            <w:tcW w:w="0" w:type="dxa"/>
            <w:vAlign w:val="bottom"/>
          </w:tcPr>
          <w:p>
            <w:pPr>
              <w:spacing w:after="0"/>
              <w:rPr>
                <w:sz w:val="1"/>
                <w:szCs w:val="1"/>
                <w:color w:val="auto"/>
              </w:rPr>
            </w:pPr>
          </w:p>
        </w:tc>
      </w:tr>
      <w:tr>
        <w:trPr>
          <w:trHeight w:val="311"/>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D. E. Baird.............</w:t>
            </w:r>
          </w:p>
        </w:tc>
        <w:tc>
          <w:tcPr>
            <w:tcW w:w="1640" w:type="dxa"/>
            <w:vAlign w:val="bottom"/>
          </w:tcPr>
          <w:p>
            <w:pPr>
              <w:jc w:val="right"/>
              <w:ind w:right="438"/>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V. E. Grijalva..........</w:t>
            </w:r>
          </w:p>
        </w:tc>
        <w:tc>
          <w:tcPr>
            <w:tcW w:w="1640" w:type="dxa"/>
            <w:vAlign w:val="bottom"/>
          </w:tcPr>
          <w:p>
            <w:pPr>
              <w:jc w:val="right"/>
              <w:ind w:right="438"/>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 Gould................</w:t>
            </w:r>
          </w:p>
        </w:tc>
        <w:tc>
          <w:tcPr>
            <w:tcW w:w="1640" w:type="dxa"/>
            <w:vAlign w:val="bottom"/>
          </w:tcPr>
          <w:p>
            <w:pPr>
              <w:jc w:val="right"/>
              <w:ind w:right="438"/>
              <w:spacing w:after="0" w:line="203" w:lineRule="exact"/>
              <w:rPr>
                <w:sz w:val="20"/>
                <w:szCs w:val="20"/>
                <w:color w:val="auto"/>
              </w:rPr>
            </w:pPr>
            <w:r>
              <w:rPr>
                <w:rFonts w:ascii="Courier New" w:cs="Courier New" w:eastAsia="Courier New" w:hAnsi="Courier New"/>
                <w:sz w:val="18"/>
                <w:szCs w:val="18"/>
                <w:color w:val="auto"/>
              </w:rPr>
              <w:t>40,000</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3.04</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78.375</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4/15/2008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1,971,585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4,996,383</w:t>
            </w:r>
          </w:p>
        </w:tc>
        <w:tc>
          <w:tcPr>
            <w:tcW w:w="0" w:type="dxa"/>
            <w:vAlign w:val="bottom"/>
          </w:tcPr>
          <w:p>
            <w:pPr>
              <w:spacing w:after="0"/>
              <w:rPr>
                <w:sz w:val="1"/>
                <w:szCs w:val="1"/>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 Pfister..............</w:t>
            </w:r>
          </w:p>
        </w:tc>
        <w:tc>
          <w:tcPr>
            <w:tcW w:w="1640" w:type="dxa"/>
            <w:vAlign w:val="bottom"/>
          </w:tcPr>
          <w:p>
            <w:pPr>
              <w:jc w:val="right"/>
              <w:ind w:right="438"/>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A. Lindenauer...........</w:t>
            </w:r>
          </w:p>
        </w:tc>
        <w:tc>
          <w:tcPr>
            <w:tcW w:w="1640" w:type="dxa"/>
            <w:vAlign w:val="bottom"/>
          </w:tcPr>
          <w:p>
            <w:pPr>
              <w:jc w:val="right"/>
              <w:ind w:right="438"/>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999" w:hanging="412"/>
        <w:spacing w:after="0" w:line="250"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granted any stock appreciation rights. These options become exercisable in installments of 20% each year following the date of grant. All outstanding stock options become fully exercisable prior to any reorganization, merger or consolidation of the Company where the Company is not the surviving corporation or prior to liquidation or dissolution of the Company unless such merger, reorganization or consolidation provides for the assumption of such stock options.</w:t>
      </w:r>
    </w:p>
    <w:p>
      <w:pPr>
        <w:spacing w:after="0" w:line="101" w:lineRule="exact"/>
        <w:rPr>
          <w:rFonts w:ascii="Courier New" w:cs="Courier New" w:eastAsia="Courier New" w:hAnsi="Courier New"/>
          <w:sz w:val="18"/>
          <w:szCs w:val="18"/>
          <w:color w:val="auto"/>
        </w:rPr>
      </w:pPr>
    </w:p>
    <w:p>
      <w:pPr>
        <w:ind w:left="420" w:right="2099" w:hanging="412"/>
        <w:spacing w:after="0" w:line="265"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Stock Option Exercises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December 31, 1998 Stock Option Value Table</w:t>
      </w:r>
    </w:p>
    <w:p>
      <w:pPr>
        <w:spacing w:after="0" w:line="169"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The following table sets forth certain information concerning stock options exercised during 1998 by the Chief Executive Officer and the next four most highly compensated executive officers of the Company and the number and value of unexercised options at December 31, 1998. The Company has not granted stock appreciation rights. The values of unexercised in-the-money stock options at December 31, 1998 shown below are presented pursuant to Securities and Exchange Commission rules. The actual amount, if any, realized upon exercise of stock options will depend upon the market price of the Company's Common Stock relative to the exercise price per share of Common Stock of the stock option at the time the stock option is exercised. There is no assurance that the values of unexercised in-the-money stock options reflected in this table will be realized.</w:t>
      </w:r>
    </w:p>
    <w:p>
      <w:pPr>
        <w:spacing w:after="0" w:line="1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Aggregated Option Exercises in Last Fiscal Year</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Fiscal Year-End Option Values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Number of</w:t>
            </w:r>
          </w:p>
        </w:tc>
        <w:tc>
          <w:tcPr>
            <w:tcW w:w="16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Value of</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Securities</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Underlying</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Unexercised</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Unexercised</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the Money</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Options at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Options at</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90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w w:val="98"/>
              </w:rPr>
              <w:t>Shares Acquired</w:t>
            </w:r>
          </w:p>
        </w:tc>
        <w:tc>
          <w:tcPr>
            <w:tcW w:w="14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Value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FY-End (#)</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FY-End ($)(2)</w:t>
            </w:r>
          </w:p>
        </w:tc>
        <w:tc>
          <w:tcPr>
            <w:tcW w:w="0" w:type="dxa"/>
            <w:vAlign w:val="bottom"/>
          </w:tcPr>
          <w:p>
            <w:pPr>
              <w:spacing w:after="0"/>
              <w:rPr>
                <w:sz w:val="1"/>
                <w:szCs w:val="1"/>
                <w:color w:val="auto"/>
              </w:rPr>
            </w:pPr>
          </w:p>
        </w:tc>
      </w:tr>
      <w:tr>
        <w:trPr>
          <w:trHeight w:val="203"/>
        </w:trPr>
        <w:tc>
          <w:tcPr>
            <w:tcW w:w="196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19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Exercisable/</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Exercisable/</w:t>
            </w:r>
          </w:p>
        </w:tc>
        <w:tc>
          <w:tcPr>
            <w:tcW w:w="0" w:type="dxa"/>
            <w:vAlign w:val="bottom"/>
          </w:tcPr>
          <w:p>
            <w:pPr>
              <w:spacing w:after="0"/>
              <w:rPr>
                <w:sz w:val="1"/>
                <w:szCs w:val="1"/>
                <w:color w:val="auto"/>
              </w:rPr>
            </w:pPr>
          </w:p>
        </w:tc>
      </w:tr>
      <w:tr>
        <w:trPr>
          <w:trHeight w:val="203"/>
        </w:trPr>
        <w:tc>
          <w:tcPr>
            <w:tcW w:w="1960" w:type="dxa"/>
            <w:vAlign w:val="bottom"/>
            <w:vMerge w:val="continue"/>
          </w:tcPr>
          <w:p>
            <w:pPr>
              <w:spacing w:after="0"/>
              <w:rPr>
                <w:sz w:val="17"/>
                <w:szCs w:val="17"/>
                <w:color w:val="auto"/>
              </w:rPr>
            </w:pPr>
          </w:p>
        </w:tc>
        <w:tc>
          <w:tcPr>
            <w:tcW w:w="658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on Exercises (#) Realized ($)(1) Unexercisable Unexercisable</w:t>
            </w:r>
          </w:p>
        </w:tc>
        <w:tc>
          <w:tcPr>
            <w:tcW w:w="0" w:type="dxa"/>
            <w:vAlign w:val="bottom"/>
          </w:tcPr>
          <w:p>
            <w:pPr>
              <w:spacing w:after="0"/>
              <w:rPr>
                <w:sz w:val="1"/>
                <w:szCs w:val="1"/>
                <w:color w:val="auto"/>
              </w:rPr>
            </w:pPr>
          </w:p>
        </w:tc>
      </w:tr>
      <w:tr>
        <w:trPr>
          <w:trHeight w:val="296"/>
        </w:trPr>
        <w:tc>
          <w:tcPr>
            <w:tcW w:w="19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65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311"/>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D. E. Baird.......</w:t>
            </w:r>
          </w:p>
        </w:tc>
        <w:tc>
          <w:tcPr>
            <w:tcW w:w="19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1,310,000/</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18,914,090/</w:t>
            </w:r>
          </w:p>
        </w:tc>
        <w:tc>
          <w:tcPr>
            <w:tcW w:w="0" w:type="dxa"/>
            <w:vAlign w:val="bottom"/>
          </w:tcPr>
          <w:p>
            <w:pPr>
              <w:spacing w:after="0"/>
              <w:rPr>
                <w:sz w:val="1"/>
                <w:szCs w:val="1"/>
                <w:color w:val="auto"/>
              </w:rPr>
            </w:pPr>
          </w:p>
        </w:tc>
      </w:tr>
      <w:tr>
        <w:trPr>
          <w:trHeight w:val="203"/>
        </w:trPr>
        <w:tc>
          <w:tcPr>
            <w:tcW w:w="196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V. E. Grijalva....</w:t>
            </w:r>
          </w:p>
        </w:tc>
        <w:tc>
          <w:tcPr>
            <w:tcW w:w="190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rPr>
              <w:t>40,000</w:t>
            </w:r>
          </w:p>
        </w:tc>
        <w:tc>
          <w:tcPr>
            <w:tcW w:w="14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1,060,000</w:t>
            </w:r>
          </w:p>
        </w:tc>
        <w:tc>
          <w:tcPr>
            <w:tcW w:w="1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690,000</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4,391,810</w:t>
            </w:r>
          </w:p>
        </w:tc>
        <w:tc>
          <w:tcPr>
            <w:tcW w:w="0" w:type="dxa"/>
            <w:vAlign w:val="bottom"/>
          </w:tcPr>
          <w:p>
            <w:pPr>
              <w:spacing w:after="0"/>
              <w:rPr>
                <w:sz w:val="1"/>
                <w:szCs w:val="1"/>
                <w:color w:val="auto"/>
              </w:rPr>
            </w:pPr>
          </w:p>
        </w:tc>
      </w:tr>
      <w:tr>
        <w:trPr>
          <w:trHeight w:val="203"/>
        </w:trPr>
        <w:tc>
          <w:tcPr>
            <w:tcW w:w="19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454,000/</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6,235,278/</w:t>
            </w:r>
          </w:p>
        </w:tc>
        <w:tc>
          <w:tcPr>
            <w:tcW w:w="0" w:type="dxa"/>
            <w:vAlign w:val="bottom"/>
          </w:tcPr>
          <w:p>
            <w:pPr>
              <w:spacing w:after="0"/>
              <w:rPr>
                <w:sz w:val="1"/>
                <w:szCs w:val="1"/>
                <w:color w:val="auto"/>
              </w:rPr>
            </w:pPr>
          </w:p>
        </w:tc>
      </w:tr>
      <w:tr>
        <w:trPr>
          <w:trHeight w:val="203"/>
        </w:trPr>
        <w:tc>
          <w:tcPr>
            <w:tcW w:w="196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A. Gould..........</w:t>
            </w:r>
          </w:p>
        </w:tc>
        <w:tc>
          <w:tcPr>
            <w:tcW w:w="190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316,000</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2,214,852</w:t>
            </w:r>
          </w:p>
        </w:tc>
        <w:tc>
          <w:tcPr>
            <w:tcW w:w="0" w:type="dxa"/>
            <w:vAlign w:val="bottom"/>
          </w:tcPr>
          <w:p>
            <w:pPr>
              <w:spacing w:after="0"/>
              <w:rPr>
                <w:sz w:val="1"/>
                <w:szCs w:val="1"/>
                <w:color w:val="auto"/>
              </w:rPr>
            </w:pPr>
          </w:p>
        </w:tc>
      </w:tr>
      <w:tr>
        <w:trPr>
          <w:trHeight w:val="203"/>
        </w:trPr>
        <w:tc>
          <w:tcPr>
            <w:tcW w:w="19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148,000/</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2,054,564/</w:t>
            </w:r>
          </w:p>
        </w:tc>
        <w:tc>
          <w:tcPr>
            <w:tcW w:w="0" w:type="dxa"/>
            <w:vAlign w:val="bottom"/>
          </w:tcPr>
          <w:p>
            <w:pPr>
              <w:spacing w:after="0"/>
              <w:rPr>
                <w:sz w:val="1"/>
                <w:szCs w:val="1"/>
                <w:color w:val="auto"/>
              </w:rPr>
            </w:pPr>
          </w:p>
        </w:tc>
      </w:tr>
      <w:tr>
        <w:trPr>
          <w:trHeight w:val="203"/>
        </w:trPr>
        <w:tc>
          <w:tcPr>
            <w:tcW w:w="196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I. Pfister........</w:t>
            </w:r>
          </w:p>
        </w:tc>
        <w:tc>
          <w:tcPr>
            <w:tcW w:w="190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132,000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605,996</w:t>
            </w:r>
          </w:p>
        </w:tc>
        <w:tc>
          <w:tcPr>
            <w:tcW w:w="0" w:type="dxa"/>
            <w:vAlign w:val="bottom"/>
          </w:tcPr>
          <w:p>
            <w:pPr>
              <w:spacing w:after="0"/>
              <w:rPr>
                <w:sz w:val="1"/>
                <w:szCs w:val="1"/>
                <w:color w:val="auto"/>
              </w:rPr>
            </w:pPr>
          </w:p>
        </w:tc>
      </w:tr>
      <w:tr>
        <w:trPr>
          <w:trHeight w:val="203"/>
        </w:trPr>
        <w:tc>
          <w:tcPr>
            <w:tcW w:w="19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140,000/</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1,689,219/</w:t>
            </w:r>
          </w:p>
        </w:tc>
        <w:tc>
          <w:tcPr>
            <w:tcW w:w="0" w:type="dxa"/>
            <w:vAlign w:val="bottom"/>
          </w:tcPr>
          <w:p>
            <w:pPr>
              <w:spacing w:after="0"/>
              <w:rPr>
                <w:sz w:val="1"/>
                <w:szCs w:val="1"/>
                <w:color w:val="auto"/>
              </w:rPr>
            </w:pPr>
          </w:p>
        </w:tc>
      </w:tr>
      <w:tr>
        <w:trPr>
          <w:trHeight w:val="203"/>
        </w:trPr>
        <w:tc>
          <w:tcPr>
            <w:tcW w:w="196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A. Lindenauer.....</w:t>
            </w:r>
          </w:p>
        </w:tc>
        <w:tc>
          <w:tcPr>
            <w:tcW w:w="190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166,000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871,122</w:t>
            </w:r>
          </w:p>
        </w:tc>
        <w:tc>
          <w:tcPr>
            <w:tcW w:w="0" w:type="dxa"/>
            <w:vAlign w:val="bottom"/>
          </w:tcPr>
          <w:p>
            <w:pPr>
              <w:spacing w:after="0"/>
              <w:rPr>
                <w:sz w:val="1"/>
                <w:szCs w:val="1"/>
                <w:color w:val="auto"/>
              </w:rPr>
            </w:pPr>
          </w:p>
        </w:tc>
      </w:tr>
      <w:tr>
        <w:trPr>
          <w:trHeight w:val="203"/>
        </w:trPr>
        <w:tc>
          <w:tcPr>
            <w:tcW w:w="19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146,000/</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2,029,974/</w:t>
            </w:r>
          </w:p>
        </w:tc>
        <w:tc>
          <w:tcPr>
            <w:tcW w:w="0" w:type="dxa"/>
            <w:vAlign w:val="bottom"/>
          </w:tcPr>
          <w:p>
            <w:pPr>
              <w:spacing w:after="0"/>
              <w:rPr>
                <w:sz w:val="1"/>
                <w:szCs w:val="1"/>
                <w:color w:val="auto"/>
              </w:rPr>
            </w:pPr>
          </w:p>
        </w:tc>
      </w:tr>
      <w:tr>
        <w:trPr>
          <w:trHeight w:val="296"/>
        </w:trPr>
        <w:tc>
          <w:tcPr>
            <w:tcW w:w="1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ind w:left="620"/>
              <w:spacing w:after="0"/>
              <w:rPr>
                <w:sz w:val="20"/>
                <w:szCs w:val="20"/>
                <w:color w:val="auto"/>
              </w:rPr>
            </w:pPr>
            <w:r>
              <w:rPr>
                <w:rFonts w:ascii="Courier New" w:cs="Courier New" w:eastAsia="Courier New" w:hAnsi="Courier New"/>
                <w:sz w:val="18"/>
                <w:szCs w:val="18"/>
                <w:color w:val="auto"/>
              </w:rPr>
              <w:t>104,000</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757,496</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value of stock on date of exercise less exercise price.</w:t>
      </w:r>
    </w:p>
    <w:p>
      <w:pPr>
        <w:spacing w:after="0" w:line="169" w:lineRule="exact"/>
        <w:rPr>
          <w:rFonts w:ascii="Courier New" w:cs="Courier New" w:eastAsia="Courier New" w:hAnsi="Courier New"/>
          <w:sz w:val="18"/>
          <w:szCs w:val="18"/>
          <w:color w:val="auto"/>
        </w:rPr>
      </w:pPr>
    </w:p>
    <w:p>
      <w:pPr>
        <w:jc w:val="center"/>
        <w:ind w:left="4120" w:right="1999" w:hanging="4112"/>
        <w:spacing w:after="0" w:line="585" w:lineRule="auto"/>
        <w:tabs>
          <w:tab w:leader="none" w:pos="4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price of stock on December 31, 1998 ($46.375) less exercise price. 9</w:t>
      </w:r>
    </w:p>
    <w:p>
      <w:pPr>
        <w:sectPr>
          <w:pgSz w:w="11900" w:h="16838" w:orient="portrait"/>
          <w:cols w:equalWidth="0" w:num="1">
            <w:col w:w="10219"/>
          </w:cols>
          <w:pgMar w:left="240" w:top="69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Employment Agreement</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Effective January 1, 1999, Mr. Lindenauer assumed a new part-time position as Chairman of Schlumberger Technology Corporation, the Company's United States subsidiary. His employment agreement with the Company provides for annual compensation of $375,000 and will expire on April 30, 2002 when he will retire. Mr. Lindenauer will participate in the Company's employee benefit plans other than vacation, severance programs and the annual cash incentive awards program.</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Plans</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The Company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of these plans also permit or require contributions by employees.</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Benefits under the International Staff Pension Plans of the Company and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of its subsidiaries (the "International Plans") are based on a</w:t>
      </w:r>
    </w:p>
    <w:p>
      <w:pPr>
        <w:spacing w:after="0" w:line="238" w:lineRule="auto"/>
        <w:rPr>
          <w:sz w:val="20"/>
          <w:szCs w:val="20"/>
          <w:color w:val="auto"/>
        </w:rPr>
      </w:pPr>
      <w:r>
        <w:rPr>
          <w:rFonts w:ascii="Courier New" w:cs="Courier New" w:eastAsia="Courier New" w:hAnsi="Courier New"/>
          <w:sz w:val="18"/>
          <w:szCs w:val="18"/>
          <w:color w:val="auto"/>
        </w:rPr>
        <w:t>participant's pensionable salary (generally, base salary plus incentive) for</w:t>
      </w:r>
    </w:p>
    <w:p>
      <w:pPr>
        <w:spacing w:after="0"/>
        <w:rPr>
          <w:sz w:val="20"/>
          <w:szCs w:val="20"/>
          <w:color w:val="auto"/>
        </w:rPr>
      </w:pPr>
      <w:r>
        <w:rPr>
          <w:rFonts w:ascii="Courier New" w:cs="Courier New" w:eastAsia="Courier New" w:hAnsi="Courier New"/>
          <w:sz w:val="16"/>
          <w:szCs w:val="16"/>
          <w:color w:val="auto"/>
        </w:rPr>
        <w:t>each year in which the participant participates in the International Plans and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participant's length of service with the Company or any subsidiary. From</w:t>
      </w:r>
    </w:p>
    <w:p>
      <w:pPr>
        <w:spacing w:after="0" w:line="238" w:lineRule="auto"/>
        <w:rPr>
          <w:sz w:val="20"/>
          <w:szCs w:val="20"/>
          <w:color w:val="auto"/>
        </w:rPr>
      </w:pPr>
      <w:r>
        <w:rPr>
          <w:rFonts w:ascii="Courier New" w:cs="Courier New" w:eastAsia="Courier New" w:hAnsi="Courier New"/>
          <w:sz w:val="18"/>
          <w:szCs w:val="18"/>
          <w:color w:val="auto"/>
        </w:rPr>
        <w:t>January 1, 1993, the benefit earned is 3.2% of pensionable salary for each</w:t>
      </w:r>
    </w:p>
    <w:p>
      <w:pPr>
        <w:spacing w:after="0"/>
        <w:rPr>
          <w:sz w:val="20"/>
          <w:szCs w:val="20"/>
          <w:color w:val="auto"/>
        </w:rPr>
      </w:pPr>
      <w:r>
        <w:rPr>
          <w:rFonts w:ascii="Courier New" w:cs="Courier New" w:eastAsia="Courier New" w:hAnsi="Courier New"/>
          <w:sz w:val="16"/>
          <w:szCs w:val="16"/>
          <w:color w:val="auto"/>
        </w:rPr>
        <w:t>year of service. Benefits are payable upon normal retirement age, at or after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 55, or upon early retirement. Estimated annual benefits from the</w:t>
      </w:r>
    </w:p>
    <w:p>
      <w:pPr>
        <w:spacing w:after="0" w:line="238" w:lineRule="auto"/>
        <w:rPr>
          <w:sz w:val="20"/>
          <w:szCs w:val="20"/>
          <w:color w:val="auto"/>
        </w:rPr>
      </w:pPr>
      <w:r>
        <w:rPr>
          <w:rFonts w:ascii="Courier New" w:cs="Courier New" w:eastAsia="Courier New" w:hAnsi="Courier New"/>
          <w:sz w:val="18"/>
          <w:szCs w:val="18"/>
          <w:color w:val="auto"/>
        </w:rPr>
        <w:t>International Plans payable upon retirement are $ 33,714 for Mr. Baird;</w:t>
      </w:r>
    </w:p>
    <w:p>
      <w:pPr>
        <w:spacing w:after="0"/>
        <w:rPr>
          <w:sz w:val="20"/>
          <w:szCs w:val="20"/>
          <w:color w:val="auto"/>
        </w:rPr>
      </w:pPr>
      <w:r>
        <w:rPr>
          <w:rFonts w:ascii="Courier New" w:cs="Courier New" w:eastAsia="Courier New" w:hAnsi="Courier New"/>
          <w:sz w:val="18"/>
          <w:szCs w:val="18"/>
          <w:color w:val="auto"/>
        </w:rPr>
        <w:t>$57,139 for Mr. Grijalva; and $276,439 for Mr. Gould assuming pensionable</w:t>
      </w:r>
    </w:p>
    <w:p>
      <w:pPr>
        <w:spacing w:after="0"/>
        <w:rPr>
          <w:sz w:val="20"/>
          <w:szCs w:val="20"/>
          <w:color w:val="auto"/>
        </w:rPr>
      </w:pPr>
      <w:r>
        <w:rPr>
          <w:rFonts w:ascii="Courier New" w:cs="Courier New" w:eastAsia="Courier New" w:hAnsi="Courier New"/>
          <w:sz w:val="18"/>
          <w:szCs w:val="18"/>
          <w:color w:val="auto"/>
        </w:rPr>
        <w:t>salary continues at the December 31, 1998 level for Mr. Gould.</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Benefits under the U.S. tax qualified pension plans of the Company and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of its subsidiaries (the "U.S. plans") are based on a participant's</w:t>
      </w:r>
    </w:p>
    <w:p>
      <w:pPr>
        <w:spacing w:after="0"/>
        <w:rPr>
          <w:sz w:val="20"/>
          <w:szCs w:val="20"/>
          <w:color w:val="auto"/>
        </w:rPr>
      </w:pPr>
      <w:r>
        <w:rPr>
          <w:rFonts w:ascii="Courier New" w:cs="Courier New" w:eastAsia="Courier New" w:hAnsi="Courier New"/>
          <w:sz w:val="16"/>
          <w:szCs w:val="16"/>
          <w:color w:val="auto"/>
        </w:rPr>
        <w:t>admissible compensation (generally, base salary plus incentive) for each year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which the participant participates in the U.S. plans and the participant's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length of service with the Company or any subsidiary. From January 1, 1989,</w:t>
      </w:r>
    </w:p>
    <w:p>
      <w:pPr>
        <w:spacing w:after="0"/>
        <w:rPr>
          <w:sz w:val="20"/>
          <w:szCs w:val="20"/>
          <w:color w:val="auto"/>
        </w:rPr>
      </w:pPr>
      <w:r>
        <w:rPr>
          <w:rFonts w:ascii="Courier New" w:cs="Courier New" w:eastAsia="Courier New" w:hAnsi="Courier New"/>
          <w:sz w:val="16"/>
          <w:szCs w:val="16"/>
          <w:color w:val="auto"/>
        </w:rPr>
        <w:t>the benefit earned is 1.5% of admissible compensation for service prior to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participant's completion of 15 years of active service and 2% of admissible</w:t>
      </w:r>
    </w:p>
    <w:p>
      <w:pPr>
        <w:spacing w:after="0" w:line="238" w:lineRule="auto"/>
        <w:rPr>
          <w:sz w:val="20"/>
          <w:szCs w:val="20"/>
          <w:color w:val="auto"/>
        </w:rPr>
      </w:pPr>
      <w:r>
        <w:rPr>
          <w:rFonts w:ascii="Courier New" w:cs="Courier New" w:eastAsia="Courier New" w:hAnsi="Courier New"/>
          <w:sz w:val="18"/>
          <w:szCs w:val="18"/>
          <w:color w:val="auto"/>
        </w:rPr>
        <w:t>compensation for service after completion of 15 years of active service. The</w:t>
      </w:r>
    </w:p>
    <w:p>
      <w:pPr>
        <w:spacing w:after="0"/>
        <w:rPr>
          <w:sz w:val="20"/>
          <w:szCs w:val="20"/>
          <w:color w:val="auto"/>
        </w:rPr>
      </w:pPr>
      <w:r>
        <w:rPr>
          <w:rFonts w:ascii="Courier New" w:cs="Courier New" w:eastAsia="Courier New" w:hAnsi="Courier New"/>
          <w:sz w:val="18"/>
          <w:szCs w:val="18"/>
          <w:color w:val="auto"/>
        </w:rPr>
        <w:t>Company has adopted a supplementary benefit plan for eligible employees,</w:t>
      </w:r>
    </w:p>
    <w:p>
      <w:pPr>
        <w:spacing w:after="0" w:line="238" w:lineRule="auto"/>
        <w:rPr>
          <w:sz w:val="20"/>
          <w:szCs w:val="20"/>
          <w:color w:val="auto"/>
        </w:rPr>
      </w:pPr>
      <w:r>
        <w:rPr>
          <w:rFonts w:ascii="Courier New" w:cs="Courier New" w:eastAsia="Courier New" w:hAnsi="Courier New"/>
          <w:sz w:val="18"/>
          <w:szCs w:val="18"/>
          <w:color w:val="auto"/>
        </w:rPr>
        <w:t>including executive officers. Amounts under the supplementary plan will be</w:t>
      </w:r>
    </w:p>
    <w:p>
      <w:pPr>
        <w:spacing w:after="0"/>
        <w:rPr>
          <w:sz w:val="20"/>
          <w:szCs w:val="20"/>
          <w:color w:val="auto"/>
        </w:rPr>
      </w:pPr>
      <w:r>
        <w:rPr>
          <w:rFonts w:ascii="Courier New" w:cs="Courier New" w:eastAsia="Courier New" w:hAnsi="Courier New"/>
          <w:sz w:val="18"/>
          <w:szCs w:val="18"/>
          <w:color w:val="auto"/>
        </w:rPr>
        <w:t>accrued under an unfunded arrangement to pay each individual the additional</w:t>
      </w:r>
    </w:p>
    <w:p>
      <w:pPr>
        <w:spacing w:after="0" w:line="238" w:lineRule="auto"/>
        <w:rPr>
          <w:sz w:val="20"/>
          <w:szCs w:val="20"/>
          <w:color w:val="auto"/>
        </w:rPr>
      </w:pPr>
      <w:r>
        <w:rPr>
          <w:rFonts w:ascii="Courier New" w:cs="Courier New" w:eastAsia="Courier New" w:hAnsi="Courier New"/>
          <w:sz w:val="18"/>
          <w:szCs w:val="18"/>
          <w:color w:val="auto"/>
        </w:rPr>
        <w:t>amount which would have been payable under the U.S. plans if the amount had</w:t>
      </w:r>
    </w:p>
    <w:p>
      <w:pPr>
        <w:spacing w:after="0"/>
        <w:rPr>
          <w:sz w:val="20"/>
          <w:szCs w:val="20"/>
          <w:color w:val="auto"/>
        </w:rPr>
      </w:pPr>
      <w:r>
        <w:rPr>
          <w:rFonts w:ascii="Courier New" w:cs="Courier New" w:eastAsia="Courier New" w:hAnsi="Courier New"/>
          <w:sz w:val="18"/>
          <w:szCs w:val="18"/>
          <w:color w:val="auto"/>
        </w:rPr>
        <w:t>not been subject to limitations imposed by law on maximum annual benefit</w:t>
      </w:r>
    </w:p>
    <w:p>
      <w:pPr>
        <w:spacing w:after="0" w:line="238" w:lineRule="auto"/>
        <w:rPr>
          <w:sz w:val="20"/>
          <w:szCs w:val="20"/>
          <w:color w:val="auto"/>
        </w:rPr>
      </w:pPr>
      <w:r>
        <w:rPr>
          <w:rFonts w:ascii="Courier New" w:cs="Courier New" w:eastAsia="Courier New" w:hAnsi="Courier New"/>
          <w:sz w:val="18"/>
          <w:szCs w:val="18"/>
          <w:color w:val="auto"/>
        </w:rPr>
        <w:t>payments and on annual compensation recognized to compute plan benefits.</w:t>
      </w:r>
    </w:p>
    <w:p>
      <w:pPr>
        <w:spacing w:after="0"/>
        <w:rPr>
          <w:sz w:val="20"/>
          <w:szCs w:val="20"/>
          <w:color w:val="auto"/>
        </w:rPr>
      </w:pPr>
      <w:r>
        <w:rPr>
          <w:rFonts w:ascii="Courier New" w:cs="Courier New" w:eastAsia="Courier New" w:hAnsi="Courier New"/>
          <w:sz w:val="18"/>
          <w:szCs w:val="18"/>
          <w:color w:val="auto"/>
        </w:rPr>
        <w:t>Estimated annual benefits from the U.S. plans payable upon retirement are</w:t>
      </w:r>
    </w:p>
    <w:p>
      <w:pPr>
        <w:spacing w:after="0"/>
        <w:rPr>
          <w:sz w:val="20"/>
          <w:szCs w:val="20"/>
          <w:color w:val="auto"/>
        </w:rPr>
      </w:pPr>
      <w:r>
        <w:rPr>
          <w:rFonts w:ascii="Courier New" w:cs="Courier New" w:eastAsia="Courier New" w:hAnsi="Courier New"/>
          <w:sz w:val="16"/>
          <w:szCs w:val="16"/>
          <w:color w:val="auto"/>
        </w:rPr>
        <w:t>$16,066 for Mr. Gould, and, assuming admissible compensation continues at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 levels, estimated annual benefits payable from the U.S.</w:t>
      </w:r>
    </w:p>
    <w:p>
      <w:pPr>
        <w:spacing w:after="0"/>
        <w:rPr>
          <w:sz w:val="20"/>
          <w:szCs w:val="20"/>
          <w:color w:val="auto"/>
        </w:rPr>
      </w:pPr>
      <w:r>
        <w:rPr>
          <w:rFonts w:ascii="Courier New" w:cs="Courier New" w:eastAsia="Courier New" w:hAnsi="Courier New"/>
          <w:sz w:val="16"/>
          <w:szCs w:val="16"/>
          <w:color w:val="auto"/>
        </w:rPr>
        <w:t>plans and the supplementary benefit plan are $700,569 for Mr. Baird; $310,237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Mr. Grijalva; $188,111 for Mr. Pfister, and $232,079 for Mr. Lindenauer.</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Corporate Performance Graph</w:t>
      </w:r>
    </w:p>
    <w:p>
      <w:pPr>
        <w:spacing w:after="0" w:line="201" w:lineRule="exact"/>
        <w:rPr>
          <w:sz w:val="20"/>
          <w:szCs w:val="20"/>
          <w:color w:val="auto"/>
        </w:rPr>
      </w:pPr>
    </w:p>
    <w:p>
      <w:pPr>
        <w:ind w:right="1879" w:firstLine="211"/>
        <w:spacing w:after="0" w:line="282" w:lineRule="auto"/>
        <w:rPr>
          <w:sz w:val="20"/>
          <w:szCs w:val="20"/>
          <w:color w:val="auto"/>
        </w:rPr>
      </w:pPr>
      <w:r>
        <w:rPr>
          <w:rFonts w:ascii="Courier New" w:cs="Courier New" w:eastAsia="Courier New" w:hAnsi="Courier New"/>
          <w:sz w:val="16"/>
          <w:szCs w:val="16"/>
          <w:color w:val="auto"/>
        </w:rPr>
        <w:t>The following graph compares the yearly percentage change in the Company's cumulative total stockholder return on its Common Stock (assuming reinvestment of dividends at date of payment into Common Stock of the Company)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The Company believes that while total stockholder return is an important corporate performance indicator, it is subject to the vagaries of the market. In addition to the creation of stockholder value, the Company's executive compensation program is based on financial and strategic results, and the other factors set forth and discussed in the Compensation Committee Report on Page 12.</w:t>
      </w:r>
    </w:p>
    <w:p>
      <w:pPr>
        <w:spacing w:after="0" w:line="291" w:lineRule="exact"/>
        <w:rPr>
          <w:sz w:val="20"/>
          <w:szCs w:val="20"/>
          <w:color w:val="auto"/>
        </w:rPr>
      </w:pPr>
    </w:p>
    <w:p>
      <w:pPr>
        <w:jc w:val="center"/>
        <w:ind w:right="1879"/>
        <w:spacing w:after="0" w:line="292" w:lineRule="auto"/>
        <w:rPr>
          <w:sz w:val="20"/>
          <w:szCs w:val="20"/>
          <w:color w:val="auto"/>
        </w:rPr>
      </w:pPr>
      <w:r>
        <w:rPr>
          <w:rFonts w:ascii="Courier New" w:cs="Courier New" w:eastAsia="Courier New" w:hAnsi="Courier New"/>
          <w:sz w:val="18"/>
          <w:szCs w:val="18"/>
          <w:color w:val="auto"/>
        </w:rPr>
        <w:t>COMPARISON OF FIVE-YEAR CUMULATIVE TOTAL RETURN* AMONG SCHLUMBERGER LIMITED, S&amp;P 500 INDEX AND VALUE LINE'S OILFIELD SERVICES INDUSTRY INDEX**</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60" w:type="dxa"/>
            <w:vAlign w:val="bottom"/>
          </w:tcPr>
          <w:p>
            <w:pPr>
              <w:spacing w:after="0"/>
              <w:rPr>
                <w:sz w:val="24"/>
                <w:szCs w:val="24"/>
                <w:color w:val="auto"/>
              </w:rPr>
            </w:pPr>
          </w:p>
        </w:tc>
        <w:tc>
          <w:tcPr>
            <w:tcW w:w="642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[THE FOLLOWING DATA WAS REPRESENTED BY A LINE GRAPH]</w:t>
            </w:r>
          </w:p>
        </w:tc>
      </w:tr>
      <w:tr>
        <w:trPr>
          <w:trHeight w:val="514"/>
        </w:trPr>
        <w:tc>
          <w:tcPr>
            <w:tcW w:w="960" w:type="dxa"/>
            <w:vAlign w:val="bottom"/>
          </w:tcPr>
          <w:p>
            <w:pPr>
              <w:spacing w:after="0"/>
              <w:rPr>
                <w:sz w:val="24"/>
                <w:szCs w:val="24"/>
                <w:color w:val="auto"/>
              </w:rPr>
            </w:pP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Schlumberger</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S&amp;P 500</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Industry Peer Index</w:t>
            </w:r>
          </w:p>
        </w:tc>
      </w:tr>
      <w:tr>
        <w:trPr>
          <w:trHeight w:val="296"/>
        </w:trPr>
        <w:tc>
          <w:tcPr>
            <w:tcW w:w="960" w:type="dxa"/>
            <w:vAlign w:val="bottom"/>
          </w:tcPr>
          <w:p>
            <w:pPr>
              <w:spacing w:after="0"/>
              <w:rPr>
                <w:sz w:val="24"/>
                <w:szCs w:val="24"/>
                <w:color w:val="auto"/>
              </w:rPr>
            </w:pPr>
          </w:p>
        </w:tc>
        <w:tc>
          <w:tcPr>
            <w:tcW w:w="642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w:t>
            </w:r>
          </w:p>
        </w:tc>
      </w:tr>
      <w:tr>
        <w:trPr>
          <w:trHeight w:val="311"/>
        </w:trPr>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DOLLARS</w:t>
            </w:r>
          </w:p>
        </w:tc>
        <w:tc>
          <w:tcPr>
            <w:tcW w:w="2420" w:type="dxa"/>
            <w:vAlign w:val="bottom"/>
          </w:tcPr>
          <w:p>
            <w:pPr>
              <w:spacing w:after="0"/>
              <w:rPr>
                <w:sz w:val="24"/>
                <w:szCs w:val="24"/>
                <w:color w:val="auto"/>
              </w:rPr>
            </w:pPr>
          </w:p>
        </w:tc>
      </w:tr>
      <w:tr>
        <w:trPr>
          <w:trHeight w:val="296"/>
        </w:trPr>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2420" w:type="dxa"/>
            <w:vAlign w:val="bottom"/>
          </w:tcPr>
          <w:p>
            <w:pPr>
              <w:spacing w:after="0"/>
              <w:rPr>
                <w:sz w:val="24"/>
                <w:szCs w:val="24"/>
                <w:color w:val="auto"/>
              </w:rPr>
            </w:pPr>
          </w:p>
        </w:tc>
      </w:tr>
      <w:tr>
        <w:trPr>
          <w:trHeight w:val="405"/>
        </w:trPr>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12/93</w:t>
            </w:r>
          </w:p>
        </w:tc>
        <w:tc>
          <w:tcPr>
            <w:tcW w:w="22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100</w:t>
            </w:r>
          </w:p>
        </w:tc>
        <w:tc>
          <w:tcPr>
            <w:tcW w:w="17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100</w:t>
            </w:r>
          </w:p>
        </w:tc>
        <w:tc>
          <w:tcPr>
            <w:tcW w:w="2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100</w:t>
            </w:r>
          </w:p>
        </w:tc>
      </w:tr>
      <w:tr>
        <w:trPr>
          <w:trHeight w:val="405"/>
        </w:trPr>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12/94</w:t>
            </w:r>
          </w:p>
        </w:tc>
        <w:tc>
          <w:tcPr>
            <w:tcW w:w="22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87</w:t>
            </w:r>
          </w:p>
        </w:tc>
        <w:tc>
          <w:tcPr>
            <w:tcW w:w="17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97</w:t>
            </w:r>
          </w:p>
        </w:tc>
        <w:tc>
          <w:tcPr>
            <w:tcW w:w="2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101</w:t>
            </w:r>
          </w:p>
        </w:tc>
      </w:tr>
      <w:tr>
        <w:trPr>
          <w:trHeight w:val="405"/>
        </w:trPr>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12/95</w:t>
            </w:r>
          </w:p>
        </w:tc>
        <w:tc>
          <w:tcPr>
            <w:tcW w:w="22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123</w:t>
            </w:r>
          </w:p>
        </w:tc>
        <w:tc>
          <w:tcPr>
            <w:tcW w:w="17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139</w:t>
            </w:r>
          </w:p>
        </w:tc>
        <w:tc>
          <w:tcPr>
            <w:tcW w:w="2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159</w:t>
            </w:r>
          </w:p>
        </w:tc>
      </w:tr>
      <w:tr>
        <w:trPr>
          <w:trHeight w:val="405"/>
        </w:trPr>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12/96</w:t>
            </w:r>
          </w:p>
        </w:tc>
        <w:tc>
          <w:tcPr>
            <w:tcW w:w="22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180</w:t>
            </w:r>
          </w:p>
        </w:tc>
        <w:tc>
          <w:tcPr>
            <w:tcW w:w="17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171</w:t>
            </w:r>
          </w:p>
        </w:tc>
        <w:tc>
          <w:tcPr>
            <w:tcW w:w="2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262</w:t>
            </w:r>
          </w:p>
        </w:tc>
      </w:tr>
      <w:tr>
        <w:trPr>
          <w:trHeight w:val="405"/>
        </w:trPr>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12/97</w:t>
            </w:r>
          </w:p>
        </w:tc>
        <w:tc>
          <w:tcPr>
            <w:tcW w:w="22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293</w:t>
            </w:r>
          </w:p>
        </w:tc>
        <w:tc>
          <w:tcPr>
            <w:tcW w:w="17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229</w:t>
            </w:r>
          </w:p>
        </w:tc>
        <w:tc>
          <w:tcPr>
            <w:tcW w:w="2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394</w:t>
            </w:r>
          </w:p>
        </w:tc>
      </w:tr>
      <w:tr>
        <w:trPr>
          <w:trHeight w:val="405"/>
        </w:trPr>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12/98</w:t>
            </w:r>
          </w:p>
        </w:tc>
        <w:tc>
          <w:tcPr>
            <w:tcW w:w="22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171</w:t>
            </w:r>
          </w:p>
        </w:tc>
        <w:tc>
          <w:tcPr>
            <w:tcW w:w="17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294</w:t>
            </w:r>
          </w:p>
        </w:tc>
        <w:tc>
          <w:tcPr>
            <w:tcW w:w="2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170</w:t>
            </w:r>
          </w:p>
        </w:tc>
      </w:tr>
    </w:tbl>
    <w:p>
      <w:pPr>
        <w:spacing w:after="0" w:line="31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Assumes $100 invested on December 31, 1993 in Schlumberger Limited stock, in the S&amp;P 500 Index and in Value Line's 1998 Oilfield Services Industry Index. Reflects month-end dividend reinvestment, and annual reweighting of the Industry Peer Index portfolio.</w:t>
      </w:r>
    </w:p>
    <w:p>
      <w:pPr>
        <w:spacing w:after="0" w:line="82" w:lineRule="exact"/>
        <w:rPr>
          <w:sz w:val="20"/>
          <w:szCs w:val="20"/>
          <w:color w:val="auto"/>
        </w:rPr>
      </w:pPr>
    </w:p>
    <w:p>
      <w:pPr>
        <w:ind w:left="220" w:right="4739" w:firstLine="104"/>
        <w:spacing w:after="0" w:line="347" w:lineRule="auto"/>
        <w:tabs>
          <w:tab w:leader="none" w:pos="53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return assumes reinvestment of dividends. ** Fiscal year ending December 31.</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Compensation Committee Report on Executive Compensation</w:t>
      </w:r>
    </w:p>
    <w:p>
      <w:pPr>
        <w:spacing w:after="0" w:line="201"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The Compensation Committee of the Company's Board is comprised entirely of outside Directors who act on behalf of the Board to review and approve compensation programs applicable to executive officers. Specific awards for these officers are approved by the Committee.</w:t>
      </w:r>
    </w:p>
    <w:p>
      <w:pPr>
        <w:spacing w:after="0" w:line="82" w:lineRule="exact"/>
        <w:rPr>
          <w:sz w:val="20"/>
          <w:szCs w:val="20"/>
          <w:color w:val="auto"/>
        </w:rPr>
      </w:pPr>
    </w:p>
    <w:p>
      <w:pPr>
        <w:ind w:right="2739" w:firstLine="211"/>
        <w:spacing w:after="0" w:line="347" w:lineRule="auto"/>
        <w:rPr>
          <w:sz w:val="20"/>
          <w:szCs w:val="20"/>
          <w:color w:val="auto"/>
        </w:rPr>
      </w:pPr>
      <w:r>
        <w:rPr>
          <w:rFonts w:ascii="Courier New" w:cs="Courier New" w:eastAsia="Courier New" w:hAnsi="Courier New"/>
          <w:sz w:val="18"/>
          <w:szCs w:val="18"/>
          <w:color w:val="auto"/>
        </w:rPr>
        <w:t>Three programs continue to provide the core compensation vehicles for executive officers: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--Base Salaries</w:t>
      </w:r>
    </w:p>
    <w:p>
      <w:pPr>
        <w:spacing w:after="0" w:line="2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--Annual Cash Incentive Awards</w:t>
      </w:r>
    </w:p>
    <w:p>
      <w:pPr>
        <w:ind w:left="220"/>
        <w:spacing w:after="0"/>
        <w:rPr>
          <w:sz w:val="20"/>
          <w:szCs w:val="20"/>
          <w:color w:val="auto"/>
        </w:rPr>
      </w:pPr>
      <w:r>
        <w:rPr>
          <w:rFonts w:ascii="Courier New" w:cs="Courier New" w:eastAsia="Courier New" w:hAnsi="Courier New"/>
          <w:sz w:val="18"/>
          <w:szCs w:val="18"/>
          <w:color w:val="auto"/>
        </w:rPr>
        <w:t>--Stock Option Grants</w:t>
      </w:r>
    </w:p>
    <w:p>
      <w:pPr>
        <w:spacing w:after="0" w:line="169"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For many years Schlumberger has emphasized career opportunities by recruiting from colleges and universities in countries where the Company works (more than 70 countries throughout the world), supporting mobility and maintaining highly competitive compensation programs which are based on an employee's contribution and potential rather than country of origin.</w:t>
      </w:r>
    </w:p>
    <w:p>
      <w:pPr>
        <w:spacing w:after="0" w:line="90"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Thus, the three programs noted above are applicable not only to executive officers but to thousands of managerial, professional and technical employees in the Company. At all levels, employees enjoy competitive base salaries. Cash incentive participation is added to the compensation package as employees advance, with the size of incentive opportunity as a percent of base salary increasing as one progresses in the organization.</w:t>
      </w:r>
    </w:p>
    <w:p>
      <w:pPr>
        <w:spacing w:after="0" w:line="93"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Within the first few years of employment, those with strong performance as well as outstanding future potential may be awarded stock option grants, which are discretionary in nature.</w:t>
      </w:r>
    </w:p>
    <w:p>
      <w:pPr>
        <w:spacing w:after="0" w:line="66" w:lineRule="exact"/>
        <w:rPr>
          <w:sz w:val="20"/>
          <w:szCs w:val="20"/>
          <w:color w:val="auto"/>
        </w:rPr>
      </w:pPr>
    </w:p>
    <w:p>
      <w:pPr>
        <w:ind w:right="2319" w:firstLine="211"/>
        <w:spacing w:after="0" w:line="274" w:lineRule="auto"/>
        <w:rPr>
          <w:sz w:val="20"/>
          <w:szCs w:val="20"/>
          <w:color w:val="auto"/>
        </w:rPr>
      </w:pPr>
      <w:r>
        <w:rPr>
          <w:rFonts w:ascii="Courier New" w:cs="Courier New" w:eastAsia="Courier New" w:hAnsi="Courier New"/>
          <w:sz w:val="18"/>
          <w:szCs w:val="18"/>
          <w:color w:val="auto"/>
        </w:rPr>
        <w:t>In this way, an increasing portion of the successful employee's total compensation becomes leveraged against yearly results and Company long-term appreciation due to the expanding role played by cash incentives and stock options in the total compensation package.</w:t>
      </w:r>
    </w:p>
    <w:p>
      <w:pPr>
        <w:spacing w:after="0" w:line="82" w:lineRule="exact"/>
        <w:rPr>
          <w:sz w:val="20"/>
          <w:szCs w:val="20"/>
          <w:color w:val="auto"/>
        </w:rPr>
      </w:pPr>
    </w:p>
    <w:p>
      <w:pPr>
        <w:ind w:right="1999" w:firstLine="211"/>
        <w:spacing w:after="0" w:line="318" w:lineRule="auto"/>
        <w:rPr>
          <w:sz w:val="20"/>
          <w:szCs w:val="20"/>
          <w:color w:val="auto"/>
        </w:rPr>
      </w:pPr>
      <w:r>
        <w:rPr>
          <w:rFonts w:ascii="Courier New" w:cs="Courier New" w:eastAsia="Courier New" w:hAnsi="Courier New"/>
          <w:sz w:val="16"/>
          <w:szCs w:val="16"/>
          <w:color w:val="auto"/>
        </w:rPr>
        <w:t>Many of the Company's subsidiaries also have profit sharing plans that provide annual deferred awards which reflect the results of the fiscal year for the subsidiary sponsoring the plan. These awards also tend to increase the portion of total compensation which is leveraged against business results.</w:t>
      </w:r>
    </w:p>
    <w:p>
      <w:pPr>
        <w:spacing w:after="0" w:line="52"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Base salaries are reviewed annually for competitiveness against a data base of comparator company information provided by outside compensation consultants. The companies in the data base reflect those broad industry segments in which the Company competes--- oil-related, high technology and high volume manufacturing. The companies in the data base may change slightly from year to year due to mergers and acquisitions as well as the normal movement of companies into and out of the data base at their own volition. The roster of companies in the data base used for executive officer base salary ranges is also used for professional and managerial employees of the Company throughout the world.</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15" w:name="page16"/>
    <w:bookmarkEnd w:id="15"/>
    <w:p>
      <w:pPr>
        <w:ind w:right="1999" w:firstLine="211"/>
        <w:spacing w:after="0" w:line="260" w:lineRule="auto"/>
        <w:rPr>
          <w:sz w:val="20"/>
          <w:szCs w:val="20"/>
          <w:color w:val="auto"/>
        </w:rPr>
      </w:pPr>
      <w:r>
        <w:rPr>
          <w:rFonts w:ascii="Courier New" w:cs="Courier New" w:eastAsia="Courier New" w:hAnsi="Courier New"/>
          <w:sz w:val="18"/>
          <w:szCs w:val="18"/>
          <w:color w:val="auto"/>
        </w:rPr>
        <w:t>While executive officer base salary levels are studied annually, they are adjusted less frequently. Except for significant changes in responsibility, an executive officer's base salary may be increased only every three to five years, and then by a significant amount. This has allowed the Company to focus primarily on variable compensation during the period of low inflation we have been experiencing.</w:t>
      </w:r>
    </w:p>
    <w:p>
      <w:pPr>
        <w:spacing w:after="0" w:line="93"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Consistent with this policy, there were two salary changes among the executive officers in 1998. Victor Grijalva's salary was increased on his being promoted to Vice Chairman of the Company and Andrew Gould's salary was increased on his promotion to Executive Vice President with responsibility for the Oilfield Services Products Group.</w:t>
      </w:r>
    </w:p>
    <w:p>
      <w:pPr>
        <w:spacing w:after="0" w:line="90" w:lineRule="exact"/>
        <w:rPr>
          <w:sz w:val="20"/>
          <w:szCs w:val="20"/>
          <w:color w:val="auto"/>
        </w:rPr>
      </w:pPr>
    </w:p>
    <w:p>
      <w:pPr>
        <w:ind w:right="2199" w:firstLine="211"/>
        <w:spacing w:after="0" w:line="265" w:lineRule="auto"/>
        <w:rPr>
          <w:sz w:val="20"/>
          <w:szCs w:val="20"/>
          <w:color w:val="auto"/>
        </w:rPr>
      </w:pPr>
      <w:r>
        <w:rPr>
          <w:rFonts w:ascii="Courier New" w:cs="Courier New" w:eastAsia="Courier New" w:hAnsi="Courier New"/>
          <w:sz w:val="18"/>
          <w:szCs w:val="18"/>
          <w:color w:val="auto"/>
        </w:rPr>
        <w:t>The comparator companies used for compensation purposes are different from those in the Corporate Performance Graph (the Value Line Oilfield Services Industry Group). The Value Line companies do not constitute a source of recruits nor do they reflect all the industry segments in which the company operates.</w:t>
      </w:r>
    </w:p>
    <w:p>
      <w:pPr>
        <w:spacing w:after="0" w:line="90"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Annual cash incentive awards for each executive officer are payable early in the calendar (fiscal) year and reflect performance against targets or objectives established early in the preceding calendar year.</w:t>
      </w:r>
    </w:p>
    <w:p>
      <w:pPr>
        <w:spacing w:after="0" w:line="66" w:lineRule="exact"/>
        <w:rPr>
          <w:sz w:val="20"/>
          <w:szCs w:val="20"/>
          <w:color w:val="auto"/>
        </w:rPr>
      </w:pPr>
    </w:p>
    <w:p>
      <w:pPr>
        <w:ind w:right="2199" w:firstLine="211"/>
        <w:spacing w:after="0" w:line="265" w:lineRule="auto"/>
        <w:rPr>
          <w:sz w:val="20"/>
          <w:szCs w:val="20"/>
          <w:color w:val="auto"/>
        </w:rPr>
      </w:pPr>
      <w:r>
        <w:rPr>
          <w:rFonts w:ascii="Courier New" w:cs="Courier New" w:eastAsia="Courier New" w:hAnsi="Courier New"/>
          <w:sz w:val="18"/>
          <w:szCs w:val="18"/>
          <w:color w:val="auto"/>
        </w:rPr>
        <w:t>For all executive officers incentive awards are calculated as a percent of the base salary paid for the completed calendar year. The maximum percent varies among executive officer positions to reflect the differing levels of potential impact on Company results. For 1998, the incentive award ranges were:</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 to 100% for Mr. Baird</w:t>
      </w:r>
    </w:p>
    <w:p>
      <w:pPr>
        <w:spacing w:after="0" w:line="31" w:lineRule="exact"/>
        <w:rPr>
          <w:sz w:val="20"/>
          <w:szCs w:val="20"/>
          <w:color w:val="auto"/>
        </w:rPr>
      </w:pPr>
    </w:p>
    <w:p>
      <w:pPr>
        <w:ind w:left="220" w:right="4739"/>
        <w:spacing w:after="0" w:line="309" w:lineRule="auto"/>
        <w:rPr>
          <w:sz w:val="20"/>
          <w:szCs w:val="20"/>
          <w:color w:val="auto"/>
        </w:rPr>
      </w:pPr>
      <w:r>
        <w:rPr>
          <w:rFonts w:ascii="Courier New" w:cs="Courier New" w:eastAsia="Courier New" w:hAnsi="Courier New"/>
          <w:sz w:val="18"/>
          <w:szCs w:val="18"/>
          <w:color w:val="auto"/>
        </w:rPr>
        <w:t>--0 to 75% for Messrs. Grijalva, Gould and Pfister --0 to 60% for Mr. Lindenauer</w:t>
      </w:r>
    </w:p>
    <w:p>
      <w:pPr>
        <w:spacing w:after="0" w:line="51" w:lineRule="exact"/>
        <w:rPr>
          <w:sz w:val="20"/>
          <w:szCs w:val="20"/>
          <w:color w:val="auto"/>
        </w:rPr>
      </w:pPr>
    </w:p>
    <w:p>
      <w:pPr>
        <w:ind w:right="2939"/>
        <w:spacing w:after="0" w:line="347" w:lineRule="auto"/>
        <w:rPr>
          <w:sz w:val="20"/>
          <w:szCs w:val="20"/>
          <w:color w:val="auto"/>
        </w:rPr>
      </w:pPr>
      <w:r>
        <w:rPr>
          <w:rFonts w:ascii="Courier New" w:cs="Courier New" w:eastAsia="Courier New" w:hAnsi="Courier New"/>
          <w:sz w:val="18"/>
          <w:szCs w:val="18"/>
          <w:color w:val="auto"/>
        </w:rPr>
        <w:t>For Mr. Pfister, 75% is a target which could be exceeded in a year of exceptional performance.</w:t>
      </w:r>
    </w:p>
    <w:p>
      <w:pPr>
        <w:spacing w:after="0" w:line="18"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One half of the incentive potential for each executive officer is a function of performance against specific numerical targets for the Company (Messrs. Baird and Lindenauer) or the business sector for which the executive officer was responsible (Messrs. Grijalva, Gould and Pfister) during the calendar year completed. The Company target is earnings per share; the business sector target is net income for the sector.</w:t>
      </w:r>
    </w:p>
    <w:p>
      <w:pPr>
        <w:spacing w:after="0" w:line="93"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second half of the incentive potential is a reflection of performance against various objectives of each executive officer. Objectives may be strategic or personal and may relate solely to the completed fiscal year or be interim measures against longer-term objectives. Achievement against objectives is determined subjectively.</w:t>
      </w:r>
    </w:p>
    <w:p>
      <w:pPr>
        <w:spacing w:after="0" w:line="90"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Downturns in the oil and semiconductor equipment industries adversely affected the incentive awards of the four named executives and, therefore, their total cash compensation for 1998 was at or below the median of available comparator market data.</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16" w:name="page17"/>
    <w:bookmarkEnd w:id="16"/>
    <w:p>
      <w:pPr>
        <w:ind w:right="2099" w:firstLine="211"/>
        <w:spacing w:after="0" w:line="265" w:lineRule="auto"/>
        <w:rPr>
          <w:sz w:val="20"/>
          <w:szCs w:val="20"/>
          <w:color w:val="auto"/>
        </w:rPr>
      </w:pPr>
      <w:r>
        <w:rPr>
          <w:rFonts w:ascii="Courier New" w:cs="Courier New" w:eastAsia="Courier New" w:hAnsi="Courier New"/>
          <w:sz w:val="18"/>
          <w:szCs w:val="18"/>
          <w:color w:val="auto"/>
        </w:rPr>
        <w:t>Stock option grants are periodically considered in a Company-wide review of those deemed eligible to receive an option grant. Such reviews are conducted every 18 months to two years. In addition, grants typically are awarded between general reviews to recognize promotions, substantial changes in responsibility and significant individual or team achievements.</w:t>
      </w:r>
    </w:p>
    <w:p>
      <w:pPr>
        <w:spacing w:after="0" w:line="90"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Company's stock option program is unique in that grants are awarded on an entirely discretionary basis to individuals demonstrating exceptional performance in their current positions as well as the likelihood of continuing high quality performance in the future.</w:t>
      </w:r>
    </w:p>
    <w:p>
      <w:pPr>
        <w:spacing w:after="0" w:line="82" w:lineRule="exact"/>
        <w:rPr>
          <w:sz w:val="20"/>
          <w:szCs w:val="20"/>
          <w:color w:val="auto"/>
        </w:rPr>
      </w:pPr>
    </w:p>
    <w:p>
      <w:pPr>
        <w:jc w:val="both"/>
        <w:ind w:right="2199" w:firstLine="211"/>
        <w:spacing w:after="0" w:line="292" w:lineRule="auto"/>
        <w:rPr>
          <w:sz w:val="20"/>
          <w:szCs w:val="20"/>
          <w:color w:val="auto"/>
        </w:rPr>
      </w:pPr>
      <w:r>
        <w:rPr>
          <w:rFonts w:ascii="Courier New" w:cs="Courier New" w:eastAsia="Courier New" w:hAnsi="Courier New"/>
          <w:sz w:val="18"/>
          <w:szCs w:val="18"/>
          <w:color w:val="auto"/>
        </w:rPr>
        <w:t>Of the named executive officers, only Mr. Gould was awarded a stock option grant in 1998 in conjunction with his promotion to Executive Vice President, Oilfield Services Products Group.</w:t>
      </w:r>
    </w:p>
    <w:p>
      <w:pPr>
        <w:spacing w:after="0" w:line="66" w:lineRule="exact"/>
        <w:rPr>
          <w:sz w:val="20"/>
          <w:szCs w:val="20"/>
          <w:color w:val="auto"/>
        </w:rPr>
      </w:pPr>
    </w:p>
    <w:p>
      <w:pPr>
        <w:ind w:right="2319" w:firstLine="211"/>
        <w:spacing w:after="0" w:line="347" w:lineRule="auto"/>
        <w:rPr>
          <w:sz w:val="20"/>
          <w:szCs w:val="20"/>
          <w:color w:val="auto"/>
        </w:rPr>
      </w:pPr>
      <w:r>
        <w:rPr>
          <w:rFonts w:ascii="Courier New" w:cs="Courier New" w:eastAsia="Courier New" w:hAnsi="Courier New"/>
          <w:sz w:val="18"/>
          <w:szCs w:val="18"/>
          <w:color w:val="auto"/>
        </w:rPr>
        <w:t>Messrs. Baird, Grijalva and Lindenauer received the final grants of their respective Schlumberger careers in 1997.</w:t>
      </w:r>
    </w:p>
    <w:p>
      <w:pPr>
        <w:spacing w:after="0" w:line="18"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stock option grants awarded by the Company are uniform in their terms for executive officers as well as for all other optionees--10-year term, vesting in 20% steps at the first through fifth anniversary of grant date, and option price equal to fair market value on date of grant.</w:t>
      </w:r>
    </w:p>
    <w:p>
      <w:pPr>
        <w:spacing w:after="0" w:line="82" w:lineRule="exact"/>
        <w:rPr>
          <w:sz w:val="20"/>
          <w:szCs w:val="20"/>
          <w:color w:val="auto"/>
        </w:rPr>
      </w:pPr>
    </w:p>
    <w:p>
      <w:pPr>
        <w:ind w:right="2099" w:firstLine="211"/>
        <w:spacing w:after="0" w:line="250" w:lineRule="auto"/>
        <w:rPr>
          <w:sz w:val="20"/>
          <w:szCs w:val="20"/>
          <w:color w:val="auto"/>
        </w:rPr>
      </w:pPr>
      <w:r>
        <w:rPr>
          <w:rFonts w:ascii="Courier New" w:cs="Courier New" w:eastAsia="Courier New" w:hAnsi="Courier New"/>
          <w:sz w:val="18"/>
          <w:szCs w:val="18"/>
          <w:color w:val="auto"/>
        </w:rPr>
        <w:t>Schlumberger has not granted below market options, stock appreciation rights, phantom stock, restricted stock, performance units or reload options. Section 162(m) of the Internal Revenue Code limits the deductibility of certain compensation expenses in excess of $1,000,000 per individual. The Committee does not believe that the cash compensation payable in excess of this amount for fiscal year 1998 will result in any material loss of tax deduction for the Company. Therefore, the Committee has elected not to follow the provisions of Section 162(m) with regard to cash compensation. The Company's stock option plans are believed to be in compliance with the provisions of Section 162(m).</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Bases for the Compensation of the Chief Executive Officer</w:t>
      </w:r>
    </w:p>
    <w:p>
      <w:pPr>
        <w:spacing w:after="0" w:line="201" w:lineRule="exact"/>
        <w:rPr>
          <w:sz w:val="20"/>
          <w:szCs w:val="20"/>
          <w:color w:val="auto"/>
        </w:rPr>
      </w:pPr>
    </w:p>
    <w:p>
      <w:pPr>
        <w:ind w:right="2099" w:firstLine="211"/>
        <w:spacing w:after="0" w:line="306" w:lineRule="auto"/>
        <w:rPr>
          <w:sz w:val="20"/>
          <w:szCs w:val="20"/>
          <w:color w:val="auto"/>
        </w:rPr>
      </w:pPr>
      <w:r>
        <w:rPr>
          <w:rFonts w:ascii="Courier New" w:cs="Courier New" w:eastAsia="Courier New" w:hAnsi="Courier New"/>
          <w:sz w:val="16"/>
          <w:szCs w:val="16"/>
          <w:color w:val="auto"/>
        </w:rPr>
        <w:t>The same data base of companies used for comparison purposes to review base salaries of other executive officers (and managerial employees throughout the Schlumberger universe) is studied to consider the base salary of the Chief Executive Officer. The data base reflects the industry segments in which the Company operates, oil-related, high technology and high volume manufacturing.</w:t>
      </w:r>
    </w:p>
    <w:p>
      <w:pPr>
        <w:spacing w:after="0" w:line="6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Chief Executive Officer's salary remained at $1,500,000 during 1998.</w:t>
      </w:r>
    </w:p>
    <w:p>
      <w:pPr>
        <w:spacing w:after="0" w:line="201"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The potential cash incentive award for the Chief Executive Officer for 1998 was 100% of base salary. As with other executive officers with corporate responsibility, one half of this award potential was a measure of performance against targeted earnings per share for the Company. No payment was made on this half of the incentive award due to the downturns in the oil and semiconductor equipment industries.</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17" w:name="page18"/>
    <w:bookmarkEnd w:id="17"/>
    <w:p>
      <w:pPr>
        <w:ind w:right="1999" w:firstLine="211"/>
        <w:spacing w:after="0" w:line="291" w:lineRule="auto"/>
        <w:rPr>
          <w:sz w:val="20"/>
          <w:szCs w:val="20"/>
          <w:color w:val="auto"/>
        </w:rPr>
      </w:pPr>
      <w:r>
        <w:rPr>
          <w:rFonts w:ascii="Courier New" w:cs="Courier New" w:eastAsia="Courier New" w:hAnsi="Courier New"/>
          <w:sz w:val="16"/>
          <w:szCs w:val="16"/>
          <w:color w:val="auto"/>
        </w:rPr>
        <w:t>The second half of the award potential reflects the Committee's evaluation of Mr. Baird's performance against strategic objectives established early in 1998 for the calendar year. These included a continuing focus on the Company's core strengths to build for the future by acquiring Camco International, Inc. to more fully address the completions market in the oilfield sector, and by the sale of the retail petroleum systems business. Disclosure of specific measures applied to evaluate achievement of Mr. Baird's objectives could adversely affect the Company's competitive position.</w:t>
      </w:r>
    </w:p>
    <w:p>
      <w:pPr>
        <w:spacing w:after="0" w:line="2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total cash incentive awarded Mr. Baird for 1998 performance was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$600,000. In combination with base salary, this placed him at the median of</w:t>
      </w:r>
    </w:p>
    <w:p>
      <w:pPr>
        <w:spacing w:after="0"/>
        <w:rPr>
          <w:sz w:val="20"/>
          <w:szCs w:val="20"/>
          <w:color w:val="auto"/>
        </w:rPr>
      </w:pPr>
      <w:r>
        <w:rPr>
          <w:rFonts w:ascii="Courier New" w:cs="Courier New" w:eastAsia="Courier New" w:hAnsi="Courier New"/>
          <w:sz w:val="18"/>
          <w:szCs w:val="18"/>
          <w:color w:val="auto"/>
        </w:rPr>
        <w:t>available comparator market data.</w:t>
      </w:r>
    </w:p>
    <w:p>
      <w:pPr>
        <w:spacing w:after="0" w:line="169" w:lineRule="exact"/>
        <w:rPr>
          <w:sz w:val="20"/>
          <w:szCs w:val="20"/>
          <w:color w:val="auto"/>
        </w:rPr>
      </w:pPr>
    </w:p>
    <w:p>
      <w:pPr>
        <w:ind w:right="1999" w:firstLine="211"/>
        <w:spacing w:after="0" w:line="402" w:lineRule="auto"/>
        <w:rPr>
          <w:sz w:val="20"/>
          <w:szCs w:val="20"/>
          <w:color w:val="auto"/>
        </w:rPr>
      </w:pPr>
      <w:r>
        <w:rPr>
          <w:rFonts w:ascii="Courier New" w:cs="Courier New" w:eastAsia="Courier New" w:hAnsi="Courier New"/>
          <w:sz w:val="16"/>
          <w:szCs w:val="16"/>
          <w:color w:val="auto"/>
        </w:rPr>
        <w:t>In 1998, Mr. Baird received no stock option grant since the grant awarded in 1997 was intended by the Committee to be his last grant before retirement.</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Mr. Baird has no employment agreement with the Company.</w:t>
      </w:r>
    </w:p>
    <w:p>
      <w:pPr>
        <w:spacing w:after="0" w:line="201" w:lineRule="exact"/>
        <w:rPr>
          <w:sz w:val="20"/>
          <w:szCs w:val="20"/>
          <w:color w:val="auto"/>
        </w:rPr>
      </w:pPr>
    </w:p>
    <w:p>
      <w:pPr>
        <w:ind w:right="4319"/>
        <w:spacing w:after="0" w:line="347" w:lineRule="auto"/>
        <w:rPr>
          <w:sz w:val="20"/>
          <w:szCs w:val="20"/>
          <w:color w:val="auto"/>
        </w:rPr>
      </w:pPr>
      <w:r>
        <w:rPr>
          <w:rFonts w:ascii="Courier New" w:cs="Courier New" w:eastAsia="Courier New" w:hAnsi="Courier New"/>
          <w:sz w:val="18"/>
          <w:szCs w:val="18"/>
          <w:color w:val="auto"/>
        </w:rPr>
        <w:t>SUBMITTED BY THE COMPENSATION COMMITTEE OF THE COMPANY'S BOARD OF DIRECTORS</w:t>
      </w:r>
    </w:p>
    <w:p>
      <w:pPr>
        <w:sectPr>
          <w:pgSz w:w="11900" w:h="16838" w:orient="portrait"/>
          <w:cols w:equalWidth="0" w:num="1">
            <w:col w:w="10219"/>
          </w:cols>
          <w:pgMar w:left="240" w:top="691" w:right="1440" w:bottom="1440" w:gutter="0" w:footer="0" w:header="0"/>
        </w:sectPr>
      </w:pPr>
    </w:p>
    <w:p>
      <w:pPr>
        <w:spacing w:after="0" w:line="18" w:lineRule="exact"/>
        <w:rPr>
          <w:sz w:val="20"/>
          <w:szCs w:val="20"/>
          <w:color w:val="auto"/>
        </w:rPr>
      </w:pPr>
    </w:p>
    <w:p>
      <w:pPr>
        <w:ind w:left="640" w:right="1160"/>
        <w:spacing w:after="0" w:line="347" w:lineRule="auto"/>
        <w:rPr>
          <w:sz w:val="20"/>
          <w:szCs w:val="20"/>
          <w:color w:val="auto"/>
        </w:rPr>
      </w:pPr>
      <w:r>
        <w:rPr>
          <w:rFonts w:ascii="Courier New" w:cs="Courier New" w:eastAsia="Courier New" w:hAnsi="Courier New"/>
          <w:sz w:val="18"/>
          <w:szCs w:val="18"/>
          <w:color w:val="auto"/>
        </w:rPr>
        <w:t>Don E. Ackerman, Chairman Denys Henderson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William T. McCormick Jr.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Nicolas Seydoux</w:t>
      </w:r>
    </w:p>
    <w:p>
      <w:pPr>
        <w:spacing w:after="0" w:line="169" w:lineRule="exact"/>
        <w:rPr>
          <w:sz w:val="20"/>
          <w:szCs w:val="20"/>
          <w:color w:val="auto"/>
        </w:rPr>
      </w:pPr>
    </w:p>
    <w:p>
      <w:pPr>
        <w:sectPr>
          <w:pgSz w:w="11900" w:h="16838" w:orient="portrait"/>
          <w:cols w:equalWidth="0" w:num="2">
            <w:col w:w="4440" w:space="720"/>
            <w:col w:w="5059"/>
          </w:cols>
          <w:pgMar w:left="240" w:top="691"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91" w:right="1440" w:bottom="1440" w:gutter="0" w:footer="0" w:header="0"/>
          <w:type w:val="continuous"/>
        </w:sectPr>
      </w:pPr>
    </w:p>
    <w:bookmarkStart w:id="18" w:name="page19"/>
    <w:bookmarkEnd w:id="18"/>
    <w:p>
      <w:pPr>
        <w:ind w:left="2960"/>
        <w:spacing w:after="0"/>
        <w:rPr>
          <w:sz w:val="20"/>
          <w:szCs w:val="20"/>
          <w:color w:val="auto"/>
        </w:rPr>
      </w:pPr>
      <w:r>
        <w:rPr>
          <w:rFonts w:ascii="Courier New" w:cs="Courier New" w:eastAsia="Courier New" w:hAnsi="Courier New"/>
          <w:sz w:val="18"/>
          <w:szCs w:val="18"/>
          <w:color w:val="auto"/>
        </w:rPr>
        <w:t>2. Financial Statements</w:t>
      </w:r>
    </w:p>
    <w:p>
      <w:pPr>
        <w:spacing w:after="0" w:line="20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Company's Consolidated Balance Sheet as at December 31, 1998, its Consolidated Statement of Income for the year ended December 31, 1998, as audited by PricewaterhouseCoopers LLP, and the amount of dividends declared by the Board of Directors during 1998 are submitted to the stockholders pursuant to the Deed of Incorporation of the Company</w:t>
      </w:r>
    </w:p>
    <w:p>
      <w:pPr>
        <w:spacing w:after="0" w:line="90"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A majority of the votes cast is required for the approval of the financial results as set forth in such financial statements and of the declaration of dividends by the Board of Directors reflected in the Company's 1998 Annual Report.</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Recommends a Vote FOR Item 2.</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3. Appointment of Auditors</w:t>
      </w:r>
    </w:p>
    <w:p>
      <w:pPr>
        <w:spacing w:after="0" w:line="201" w:lineRule="exact"/>
        <w:rPr>
          <w:sz w:val="20"/>
          <w:szCs w:val="20"/>
          <w:color w:val="auto"/>
        </w:rPr>
      </w:pPr>
    </w:p>
    <w:p>
      <w:pPr>
        <w:ind w:right="1999" w:firstLine="211"/>
        <w:spacing w:after="0" w:line="288" w:lineRule="auto"/>
        <w:rPr>
          <w:sz w:val="20"/>
          <w:szCs w:val="20"/>
          <w:color w:val="auto"/>
        </w:rPr>
      </w:pPr>
      <w:r>
        <w:rPr>
          <w:rFonts w:ascii="Courier New" w:cs="Courier New" w:eastAsia="Courier New" w:hAnsi="Courier New"/>
          <w:sz w:val="16"/>
          <w:szCs w:val="16"/>
          <w:color w:val="auto"/>
        </w:rPr>
        <w:t>In 1998 Price Waterhouse LLP, who served as auditors for the Company since its organization, merged with Coopers &amp; Lybrand LLP to become PricewaterhouseCoopers LLP. PricewaterhouseCoopers LLP has been selected by the Board of Directors as independent public accountants to audit the accounts of the Company for the year ending December 31, 1999. The Company's By-Laws provide that the selection of auditors is subject to approval by the stockholders, and a majority of the votes cast is required for such approval. A representative of PricewaterhouseCoopers LLP will attend the Meeting and will have the opportunity to make a statement and respond to questions.</w:t>
      </w:r>
    </w:p>
    <w:p>
      <w:pPr>
        <w:spacing w:after="0" w:line="2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Recommends a Vote FOR Item 3.</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Stockholder Proposals for 2000 Annual General Meeting</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In order for a stockholder proposal to be considered for inclusion in the Proxy Statement for the 2000 Annual General Meeting of Stockholders, written proposals must be received by the Secretary of the Company, 277 Park Avenue, New York, New York 10172-0266, no later than November 10, 1999. Pursuant to the rules under the Securities Exchange Act of 1934, the Company may use discretionary authority to vote proxies with respect to shareholder proposals to be presented in person at the 2000 Annual General Meeting if the shareholder making the proposal has not given notice to the Company by January 25, 2000.</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1"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Stockholders may obtain a copy of Form 10-K filed with the United States Securities and Exchange Commission without charge by writing to the Secretary of the Company at 277 Park Avenue, New York, New York 10172-0266.</w:t>
      </w:r>
    </w:p>
    <w:p>
      <w:pPr>
        <w:spacing w:after="0" w:line="66"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82" w:lineRule="exact"/>
        <w:rPr>
          <w:sz w:val="20"/>
          <w:szCs w:val="20"/>
          <w:color w:val="auto"/>
        </w:rPr>
      </w:pPr>
    </w:p>
    <w:p>
      <w:pPr>
        <w:ind w:right="2839" w:firstLine="211"/>
        <w:spacing w:after="0" w:line="347" w:lineRule="auto"/>
        <w:rPr>
          <w:sz w:val="20"/>
          <w:szCs w:val="20"/>
          <w:color w:val="auto"/>
        </w:rPr>
      </w:pPr>
      <w:r>
        <w:rPr>
          <w:rFonts w:ascii="Courier New" w:cs="Courier New" w:eastAsia="Courier New" w:hAnsi="Courier New"/>
          <w:sz w:val="18"/>
          <w:szCs w:val="18"/>
          <w:color w:val="auto"/>
        </w:rPr>
        <w:t>Please sign, date, and return the accompanying proxy in the enclosed envelope at your earliest convenience.</w:t>
      </w:r>
    </w:p>
    <w:p>
      <w:pPr>
        <w:spacing w:after="0" w:line="1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2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James L. Gunderson</w:t>
      </w:r>
    </w:p>
    <w:p>
      <w:pPr>
        <w:spacing w:after="0" w:line="31"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10, 1999</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20" w:name="page21"/>
    <w:bookmarkEnd w:id="20"/>
    <w:p>
      <w:pPr>
        <w:ind w:left="2820"/>
        <w:spacing w:after="0"/>
        <w:rPr>
          <w:sz w:val="20"/>
          <w:szCs w:val="20"/>
          <w:color w:val="auto"/>
        </w:rPr>
      </w:pPr>
      <w:r>
        <w:rPr>
          <w:rFonts w:ascii="Courier New" w:cs="Courier New" w:eastAsia="Courier New" w:hAnsi="Courier New"/>
          <w:sz w:val="18"/>
          <w:szCs w:val="18"/>
          <w:color w:val="auto"/>
        </w:rPr>
        <w:t>SCHLUMBERGER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NOTICE OF</w:t>
      </w:r>
    </w:p>
    <w:p>
      <w:pPr>
        <w:spacing w:after="0" w:line="29"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ANNUAL GENERAL MEETING</w:t>
      </w:r>
    </w:p>
    <w:p>
      <w:pPr>
        <w:ind w:left="2820"/>
        <w:spacing w:after="0" w:line="238" w:lineRule="auto"/>
        <w:rPr>
          <w:sz w:val="20"/>
          <w:szCs w:val="20"/>
          <w:color w:val="auto"/>
        </w:rPr>
      </w:pPr>
      <w:r>
        <w:rPr>
          <w:rFonts w:ascii="Courier New" w:cs="Courier New" w:eastAsia="Courier New" w:hAnsi="Courier New"/>
          <w:sz w:val="18"/>
          <w:szCs w:val="18"/>
          <w:color w:val="auto"/>
        </w:rPr>
        <w:t>OF STOCKHOLDERS</w:t>
      </w:r>
    </w:p>
    <w:p>
      <w:pPr>
        <w:ind w:left="2820"/>
        <w:spacing w:after="0"/>
        <w:rPr>
          <w:sz w:val="20"/>
          <w:szCs w:val="20"/>
          <w:color w:val="auto"/>
        </w:rPr>
      </w:pPr>
      <w:r>
        <w:rPr>
          <w:rFonts w:ascii="Courier New" w:cs="Courier New" w:eastAsia="Courier New" w:hAnsi="Courier New"/>
          <w:sz w:val="18"/>
          <w:szCs w:val="18"/>
          <w:color w:val="auto"/>
        </w:rPr>
        <w:t>AND</w:t>
      </w:r>
    </w:p>
    <w:p>
      <w:pPr>
        <w:ind w:left="2820"/>
        <w:spacing w:after="0" w:line="238" w:lineRule="auto"/>
        <w:rPr>
          <w:sz w:val="20"/>
          <w:szCs w:val="20"/>
          <w:color w:val="auto"/>
        </w:rPr>
      </w:pPr>
      <w:r>
        <w:rPr>
          <w:rFonts w:ascii="Courier New" w:cs="Courier New" w:eastAsia="Courier New" w:hAnsi="Courier New"/>
          <w:sz w:val="18"/>
          <w:szCs w:val="18"/>
          <w:color w:val="auto"/>
        </w:rPr>
        <w:t>PROXY STATEMENT</w:t>
      </w:r>
    </w:p>
    <w:p>
      <w:pPr>
        <w:ind w:left="2820"/>
        <w:spacing w:after="0"/>
        <w:rPr>
          <w:sz w:val="20"/>
          <w:szCs w:val="20"/>
          <w:color w:val="auto"/>
        </w:rPr>
      </w:pPr>
      <w:r>
        <w:rPr>
          <w:rFonts w:ascii="Courier New" w:cs="Courier New" w:eastAsia="Courier New" w:hAnsi="Courier New"/>
          <w:sz w:val="18"/>
          <w:szCs w:val="18"/>
          <w:color w:val="auto"/>
        </w:rPr>
        <w:t>APRIL 14,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Please sign your proxy card and</w:t>
      </w:r>
    </w:p>
    <w:p>
      <w:pPr>
        <w:spacing w:after="0" w:line="29"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return it in the enclosed</w:t>
      </w:r>
    </w:p>
    <w:p>
      <w:pPr>
        <w:ind w:left="2820"/>
        <w:spacing w:after="0" w:line="238" w:lineRule="auto"/>
        <w:rPr>
          <w:sz w:val="20"/>
          <w:szCs w:val="20"/>
          <w:color w:val="auto"/>
        </w:rPr>
      </w:pPr>
      <w:r>
        <w:rPr>
          <w:rFonts w:ascii="Courier New" w:cs="Courier New" w:eastAsia="Courier New" w:hAnsi="Courier New"/>
          <w:sz w:val="18"/>
          <w:szCs w:val="18"/>
          <w:color w:val="auto"/>
        </w:rPr>
        <w:t>envelope so that you may be</w:t>
      </w:r>
    </w:p>
    <w:p>
      <w:pPr>
        <w:ind w:left="2820"/>
        <w:spacing w:after="0"/>
        <w:rPr>
          <w:sz w:val="20"/>
          <w:szCs w:val="20"/>
          <w:color w:val="auto"/>
        </w:rPr>
      </w:pPr>
      <w:r>
        <w:rPr>
          <w:rFonts w:ascii="Courier New" w:cs="Courier New" w:eastAsia="Courier New" w:hAnsi="Courier New"/>
          <w:sz w:val="18"/>
          <w:szCs w:val="18"/>
          <w:color w:val="auto"/>
        </w:rPr>
        <w:t>represented at the Meeting.</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019"/>
          </w:cols>
          <w:pgMar w:left="1440" w:top="1096" w:right="1440" w:bottom="1440" w:gutter="0" w:footer="0" w:header="0"/>
        </w:sectPr>
      </w:pPr>
    </w:p>
    <w:bookmarkStart w:id="21" w:name="page22"/>
    <w:bookmarkEnd w:id="21"/>
    <w:p>
      <w:pPr>
        <w:jc w:val="center"/>
        <w:ind w:right="1979"/>
        <w:spacing w:after="0"/>
        <w:rPr>
          <w:sz w:val="20"/>
          <w:szCs w:val="20"/>
          <w:color w:val="auto"/>
        </w:rPr>
      </w:pPr>
      <w:r>
        <w:rPr>
          <w:rFonts w:ascii="Courier New" w:cs="Courier New" w:eastAsia="Courier New" w:hAnsi="Courier New"/>
          <w:sz w:val="18"/>
          <w:szCs w:val="18"/>
          <w:color w:val="auto"/>
        </w:rPr>
        <w:t>Schlumberger Limited (Schlumberger N.V.)</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Proxy Solicitation on Behalf of the Board of Directors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Annual General Meeting of Stockholders</w:t>
      </w:r>
    </w:p>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having received the Notice and Proxy Statement for the</w:t>
      </w:r>
    </w:p>
    <w:p>
      <w:pPr>
        <w:spacing w:after="0" w:line="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Annual General Meeting of Stockholders and the 1998 Annual Report to</w:t>
      </w:r>
    </w:p>
    <w:p>
      <w:pPr>
        <w:ind w:left="540" w:right="187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hereby appoints A.L.A. Bosnie, Jan A. Koning, and M.P. Webber-Dommisse and each of them, proxies, with the power of substitution,</w:t>
      </w:r>
    </w:p>
    <w:p>
      <w:pPr>
        <w:ind w:left="540" w:right="2319" w:hanging="532"/>
        <w:spacing w:after="0" w:line="268"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vote in the manner indicated on the reverse side hereof, and with discretionary authority as to any other matters that may properly come</w:t>
      </w:r>
    </w:p>
    <w:p>
      <w:pPr>
        <w:ind w:left="540" w:right="1999" w:hanging="532"/>
        <w:spacing w:after="0" w:line="268"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the Meeting, all my (our) shares of record of Schlumberger Limited (Schlumberger N.V.) at the Annual General Meeting of Stockholders to be</w:t>
      </w:r>
    </w:p>
    <w:p>
      <w:pPr>
        <w:ind w:left="540" w:right="2739" w:hanging="532"/>
        <w:spacing w:after="0" w:line="273"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held at the Avila Beach Hotel, Penstraat 130, Willemstad, Curacao, Netherlands Antilles on April 14, 1999, and at any adjournment or adjournments thereof.</w:t>
      </w:r>
    </w:p>
    <w:p>
      <w:pPr>
        <w:spacing w:after="0" w:line="82" w:lineRule="exact"/>
        <w:rPr>
          <w:rFonts w:ascii="Courier New" w:cs="Courier New" w:eastAsia="Courier New" w:hAnsi="Courier New"/>
          <w:sz w:val="18"/>
          <w:szCs w:val="18"/>
          <w:color w:val="auto"/>
        </w:rPr>
      </w:pPr>
    </w:p>
    <w:p>
      <w:pPr>
        <w:ind w:left="540" w:right="19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no other indication is made, the proxies will vote FOR the election of the director nominees and FOR Proposals 2 and 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SEE REVERSE</w:t>
            </w:r>
          </w:p>
        </w:tc>
        <w:tc>
          <w:tcPr>
            <w:tcW w:w="3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47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Continued and to be signed on reverse side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SEE REVERSE ]</w:t>
            </w:r>
          </w:p>
        </w:tc>
        <w:tc>
          <w:tcPr>
            <w:tcW w:w="0" w:type="dxa"/>
            <w:vAlign w:val="bottom"/>
          </w:tcPr>
          <w:p>
            <w:pPr>
              <w:spacing w:after="0"/>
              <w:rPr>
                <w:sz w:val="1"/>
                <w:szCs w:val="1"/>
                <w:color w:val="auto"/>
              </w:rPr>
            </w:pPr>
          </w:p>
        </w:tc>
      </w:tr>
      <w:tr>
        <w:trPr>
          <w:trHeight w:val="296"/>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380"/>
              <w:spacing w:after="0"/>
              <w:rPr>
                <w:sz w:val="20"/>
                <w:szCs w:val="20"/>
                <w:color w:val="auto"/>
              </w:rPr>
            </w:pPr>
            <w:r>
              <w:rPr>
                <w:rFonts w:ascii="Courier New" w:cs="Courier New" w:eastAsia="Courier New" w:hAnsi="Courier New"/>
                <w:sz w:val="18"/>
                <w:szCs w:val="18"/>
                <w:color w:val="auto"/>
              </w:rPr>
              <w:t>SIDE</w:t>
            </w:r>
          </w:p>
        </w:tc>
        <w:tc>
          <w:tcPr>
            <w:tcW w:w="3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4740" w:type="dxa"/>
            <w:vAlign w:val="bottom"/>
            <w:vMerge w:val="continue"/>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380"/>
              <w:spacing w:after="0"/>
              <w:rPr>
                <w:sz w:val="20"/>
                <w:szCs w:val="20"/>
                <w:color w:val="auto"/>
              </w:rPr>
            </w:pPr>
            <w:r>
              <w:rPr>
                <w:rFonts w:ascii="Courier New" w:cs="Courier New" w:eastAsia="Courier New" w:hAnsi="Courier New"/>
                <w:sz w:val="18"/>
                <w:szCs w:val="18"/>
                <w:color w:val="auto"/>
              </w:rPr>
              <w:t>SIDE</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22" w:name="page23"/>
    <w:bookmarkEnd w:id="22"/>
    <w:p>
      <w:pPr>
        <w:ind w:left="740" w:right="8219" w:hanging="732"/>
        <w:spacing w:after="0" w:line="344" w:lineRule="auto"/>
        <w:tabs>
          <w:tab w:leader="none" w:pos="21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Please mark votes as in this example</w:t>
      </w:r>
    </w:p>
    <w:p>
      <w:pPr>
        <w:spacing w:after="0" w:line="31" w:lineRule="exact"/>
        <w:rPr>
          <w:sz w:val="20"/>
          <w:szCs w:val="20"/>
          <w:color w:val="auto"/>
        </w:rPr>
      </w:pPr>
    </w:p>
    <w:p>
      <w:pPr>
        <w:ind w:left="420" w:right="1999"/>
        <w:spacing w:after="0" w:line="292" w:lineRule="auto"/>
        <w:rPr>
          <w:sz w:val="20"/>
          <w:szCs w:val="20"/>
          <w:color w:val="auto"/>
        </w:rPr>
      </w:pPr>
      <w:r>
        <w:rPr>
          <w:rFonts w:ascii="Courier New" w:cs="Courier New" w:eastAsia="Courier New" w:hAnsi="Courier New"/>
          <w:sz w:val="18"/>
          <w:szCs w:val="18"/>
          <w:color w:val="auto"/>
        </w:rPr>
        <w:t>Unless you indicate otherwise, this proxy will be voted in accordance with the Board of Directors' recommendations. Directors recommend a vote FOR items 1, 2 and 3.</w:t>
      </w:r>
    </w:p>
    <w:p>
      <w:pPr>
        <w:spacing w:after="0" w:line="6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 Election of 12 Directors</w:t>
      </w:r>
    </w:p>
    <w:p>
      <w:pPr>
        <w:spacing w:after="0" w:line="201" w:lineRule="exact"/>
        <w:rPr>
          <w:sz w:val="20"/>
          <w:szCs w:val="20"/>
          <w:color w:val="auto"/>
        </w:rPr>
      </w:pPr>
    </w:p>
    <w:p>
      <w:pPr>
        <w:ind w:left="740" w:right="2939"/>
        <w:spacing w:after="0" w:line="292" w:lineRule="auto"/>
        <w:rPr>
          <w:sz w:val="20"/>
          <w:szCs w:val="20"/>
          <w:color w:val="auto"/>
        </w:rPr>
      </w:pPr>
      <w:r>
        <w:rPr>
          <w:rFonts w:ascii="Courier New" w:cs="Courier New" w:eastAsia="Courier New" w:hAnsi="Courier New"/>
          <w:sz w:val="18"/>
          <w:szCs w:val="18"/>
          <w:color w:val="auto"/>
        </w:rPr>
        <w:t>Nominees: D.E. Ackerman, D.E. Baird, J. Deutch, V.E. Grijalva D. Henderson, A. Levy-Lang, W.T. McCormick, Jr., D. Primat, N. Seydoux, L.G. Stuntz, S. Ullring, Y. Wakumoto</w:t>
      </w:r>
    </w:p>
    <w:p>
      <w:pPr>
        <w:spacing w:after="0" w:line="65"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940" w:type="dxa"/>
            <w:vAlign w:val="bottom"/>
          </w:tcPr>
          <w:p>
            <w:pPr>
              <w:ind w:left="320"/>
              <w:spacing w:after="0"/>
              <w:rPr>
                <w:sz w:val="20"/>
                <w:szCs w:val="20"/>
                <w:color w:val="auto"/>
              </w:rPr>
            </w:pPr>
            <w:r>
              <w:rPr>
                <w:rFonts w:ascii="Courier New" w:cs="Courier New" w:eastAsia="Courier New" w:hAnsi="Courier New"/>
                <w:sz w:val="18"/>
                <w:szCs w:val="18"/>
                <w:color w:val="auto"/>
              </w:rPr>
              <w:t>FOR</w:t>
            </w:r>
          </w:p>
        </w:tc>
        <w:tc>
          <w:tcPr>
            <w:tcW w:w="11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   ]</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WITHHELD</w:t>
            </w:r>
          </w:p>
        </w:tc>
        <w:tc>
          <w:tcPr>
            <w:tcW w:w="0" w:type="dxa"/>
            <w:vAlign w:val="bottom"/>
          </w:tcPr>
          <w:p>
            <w:pPr>
              <w:spacing w:after="0"/>
              <w:rPr>
                <w:sz w:val="1"/>
                <w:szCs w:val="1"/>
                <w:color w:val="auto"/>
              </w:rPr>
            </w:pPr>
          </w:p>
        </w:tc>
      </w:tr>
      <w:tr>
        <w:trPr>
          <w:trHeight w:val="203"/>
        </w:trPr>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ALL</w:t>
            </w:r>
          </w:p>
        </w:tc>
        <w:tc>
          <w:tcPr>
            <w:tcW w:w="1120" w:type="dxa"/>
            <w:vAlign w:val="bottom"/>
            <w:vMerge w:val="continue"/>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FROM ALL</w:t>
            </w:r>
          </w:p>
        </w:tc>
        <w:tc>
          <w:tcPr>
            <w:tcW w:w="0" w:type="dxa"/>
            <w:vAlign w:val="bottom"/>
          </w:tcPr>
          <w:p>
            <w:pPr>
              <w:spacing w:after="0"/>
              <w:rPr>
                <w:sz w:val="1"/>
                <w:szCs w:val="1"/>
                <w:color w:val="auto"/>
              </w:rPr>
            </w:pPr>
          </w:p>
        </w:tc>
      </w:tr>
      <w:tr>
        <w:trPr>
          <w:trHeight w:val="296"/>
        </w:trPr>
        <w:tc>
          <w:tcPr>
            <w:tcW w:w="940" w:type="dxa"/>
            <w:vAlign w:val="bottom"/>
          </w:tcPr>
          <w:p>
            <w:pPr>
              <w:spacing w:after="0"/>
              <w:rPr>
                <w:sz w:val="20"/>
                <w:szCs w:val="20"/>
                <w:color w:val="auto"/>
              </w:rPr>
            </w:pPr>
            <w:r>
              <w:rPr>
                <w:rFonts w:ascii="Courier New" w:cs="Courier New" w:eastAsia="Courier New" w:hAnsi="Courier New"/>
                <w:sz w:val="18"/>
                <w:szCs w:val="18"/>
                <w:color w:val="auto"/>
              </w:rPr>
              <w:t>NOMINEES</w:t>
            </w:r>
          </w:p>
        </w:tc>
        <w:tc>
          <w:tcPr>
            <w:tcW w:w="11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NOMINEES</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For, except vote withheld from the following nominees(s)</w:t>
      </w:r>
    </w:p>
    <w:p>
      <w:pPr>
        <w:spacing w:after="0" w:line="201" w:lineRule="exact"/>
        <w:rPr>
          <w:sz w:val="20"/>
          <w:szCs w:val="20"/>
          <w:color w:val="auto"/>
        </w:rPr>
      </w:pPr>
    </w:p>
    <w:p>
      <w:pPr>
        <w:ind w:left="960" w:hanging="425"/>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2.</w:t>
            </w:r>
          </w:p>
        </w:tc>
        <w:tc>
          <w:tcPr>
            <w:tcW w:w="12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Approval of</w:t>
            </w:r>
          </w:p>
        </w:tc>
        <w:tc>
          <w:tcPr>
            <w:tcW w:w="27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Financials and Dividends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FOR</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AGAINST</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ABSTAIN</w:t>
            </w:r>
          </w:p>
        </w:tc>
        <w:tc>
          <w:tcPr>
            <w:tcW w:w="0" w:type="dxa"/>
            <w:vAlign w:val="bottom"/>
          </w:tcPr>
          <w:p>
            <w:pPr>
              <w:spacing w:after="0"/>
              <w:rPr>
                <w:sz w:val="1"/>
                <w:szCs w:val="1"/>
                <w:color w:val="auto"/>
              </w:rPr>
            </w:pPr>
          </w:p>
        </w:tc>
      </w:tr>
      <w:tr>
        <w:trPr>
          <w:trHeight w:val="296"/>
        </w:trPr>
        <w:tc>
          <w:tcPr>
            <w:tcW w:w="28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3.</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Approval of</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Auditors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0"/>
        <w:spacing w:after="0"/>
        <w:tabs>
          <w:tab w:leader="none" w:pos="7160" w:val="left"/>
          <w:tab w:leader="none" w:pos="7580" w:val="left"/>
        </w:tabs>
        <w:rPr>
          <w:sz w:val="20"/>
          <w:szCs w:val="20"/>
          <w:color w:val="auto"/>
        </w:rPr>
      </w:pPr>
      <w:r>
        <w:rPr>
          <w:rFonts w:ascii="Courier New" w:cs="Courier New" w:eastAsia="Courier New" w:hAnsi="Courier New"/>
          <w:sz w:val="18"/>
          <w:szCs w:val="18"/>
          <w:color w:val="auto"/>
        </w:rPr>
        <w:t>MARK HERE FOR THE ADDRESS CHANGE AND NOTE AT LEFT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420" w:right="2319"/>
        <w:spacing w:after="0" w:line="292" w:lineRule="auto"/>
        <w:rPr>
          <w:sz w:val="20"/>
          <w:szCs w:val="20"/>
          <w:color w:val="auto"/>
        </w:rPr>
      </w:pPr>
      <w:r>
        <w:rPr>
          <w:rFonts w:ascii="Courier New" w:cs="Courier New" w:eastAsia="Courier New" w:hAnsi="Courier New"/>
          <w:sz w:val="18"/>
          <w:szCs w:val="18"/>
          <w:color w:val="auto"/>
        </w:rPr>
        <w:t>Please sign names exactly as printed hereon. If signing as attorney, administrator, executor, guardian or trustee, please give full title as such. Please sign, date and return in the enclosed envelope.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Signature:_____________________________________ Date: 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Signature:_____________________________________ Date: ____________</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upperLetter"/>
      <w:start w:val="24"/>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4"/>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P"/>
      <w:numFmt w:val="bullet"/>
      <w:start w:val="1"/>
    </w:lvl>
  </w:abstractNum>
  <w:abstractNum w:abstractNumId="15">
    <w:nsid w:val="3F2DBA31"/>
    <w:multiLevelType w:val="hybridMultilevel"/>
    <w:lvl w:ilvl="0">
      <w:lvlJc w:val="left"/>
      <w:lvlText w:val="R"/>
      <w:numFmt w:val="bullet"/>
      <w:start w:val="1"/>
    </w:lvl>
  </w:abstractNum>
  <w:abstractNum w:abstractNumId="16">
    <w:nsid w:val="7C83E458"/>
    <w:multiLevelType w:val="hybridMultilevel"/>
    <w:lvl w:ilvl="0">
      <w:lvlJc w:val="left"/>
      <w:lvlText w:val="O"/>
      <w:numFmt w:val="bullet"/>
      <w:start w:val="1"/>
    </w:lvl>
  </w:abstractNum>
  <w:abstractNum w:abstractNumId="17">
    <w:nsid w:val="257130A3"/>
    <w:multiLevelType w:val="hybridMultilevel"/>
    <w:lvl w:ilvl="0">
      <w:lvlJc w:val="left"/>
      <w:lvlText w:val="X"/>
      <w:numFmt w:val="bullet"/>
      <w:start w:val="1"/>
    </w:lvl>
  </w:abstractNum>
  <w:abstractNum w:abstractNumId="18">
    <w:nsid w:val="62BBD95A"/>
    <w:multiLevelType w:val="hybridMultilevel"/>
    <w:lvl w:ilvl="0">
      <w:lvlJc w:val="left"/>
      <w:lvlText w:val="Y"/>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2020-02-22T11:09:39Z</dcterms:created>
  <dcterms:modified xsi:type="dcterms:W3CDTF">2020-02-22T11:09:39Z</dcterms:modified>
</cp:coreProperties>
</file>