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89792d8k.htm"/>
      <w:bookmarkStart w:id="1" w:name="ksd489792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00" w:after="0"/>
        <w:jc w:val="center"/>
        <w:rPr>
          <w:rFonts w:ascii="Times New Roman" w:hAnsi="Times New Roman"/>
          <w:b/>
          <w:sz w:val="24"/>
        </w:rPr>
      </w:pPr>
      <w:r>
        <w:rPr>
          <w:rFonts w:ascii="Times New Roman" w:hAnsi="Times New Roman"/>
          <w:b/>
          <w:sz w:val="24"/>
        </w:rPr>
        <w:t>Date of Report (Date of earliest event reported): April 14, 2023</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center"/>
        <w:rPr>
          <w:rFonts w:ascii="Times New Roman" w:hAnsi="Times New Roman"/>
          <w:b/>
          <w:sz w:val="48"/>
        </w:rPr>
      </w:pPr>
      <w:r>
        <w:rPr>
          <w:rFonts w:ascii="Times New Roman" w:hAnsi="Times New Roman"/>
          <w:b/>
          <w:sz w:val="48"/>
        </w:rPr>
        <w:t>SCHLUMBERGER N.V.</w:t>
      </w:r>
    </w:p>
    <w:p>
      <w:pPr>
        <w:pStyle w:val="TextBody"/>
        <w:spacing w:before="0" w:after="0"/>
        <w:jc w:val="center"/>
        <w:rPr>
          <w:rFonts w:ascii="Times New Roman" w:hAnsi="Times New Roman"/>
          <w:b/>
          <w:sz w:val="48"/>
        </w:rPr>
      </w:pPr>
      <w:r>
        <w:rPr>
          <w:rFonts w:ascii="Times New Roman" w:hAnsi="Times New Roman"/>
          <w:b/>
          <w:sz w:val="48"/>
        </w:rPr>
        <w:t>(SCHLUMBERGER LIMITED)</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455" w:type="dxa"/>
        <w:jc w:val="left"/>
        <w:tblInd w:w="0" w:type="dxa"/>
        <w:tblCellMar>
          <w:top w:w="0" w:type="dxa"/>
          <w:left w:w="0" w:type="dxa"/>
          <w:bottom w:w="0" w:type="dxa"/>
          <w:right w:w="0" w:type="dxa"/>
        </w:tblCellMar>
      </w:tblPr>
      <w:tblGrid>
        <w:gridCol w:w="1985"/>
        <w:gridCol w:w="60"/>
        <w:gridCol w:w="980"/>
        <w:gridCol w:w="60"/>
        <w:gridCol w:w="1370"/>
      </w:tblGrid>
      <w:tr>
        <w:trPr/>
        <w:tc>
          <w:tcPr>
            <w:tcW w:w="1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83"/>
              <w:jc w:val="center"/>
              <w:rPr>
                <w:b/>
              </w:rPr>
            </w:pPr>
            <w:r>
              <w:rPr>
                <w:b/>
              </w:rPr>
              <w:t>Curaçao</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b/>
              </w:rPr>
            </w:pPr>
            <w:r>
              <w:rPr>
                <w:b/>
              </w:rPr>
              <w:t>1-4601</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52-0684746</w:t>
            </w:r>
          </w:p>
        </w:tc>
      </w:tr>
      <w:tr>
        <w:trPr/>
        <w:tc>
          <w:tcPr>
            <w:tcW w:w="198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200" w:after="0"/>
        <w:jc w:val="center"/>
        <w:rPr>
          <w:rFonts w:ascii="Times New Roman" w:hAnsi="Times New Roman"/>
          <w:b/>
          <w:sz w:val="20"/>
        </w:rPr>
      </w:pPr>
      <w:r>
        <w:rPr>
          <w:rFonts w:ascii="Times New Roman" w:hAnsi="Times New Roman"/>
          <w:b/>
          <w:sz w:val="20"/>
        </w:rPr>
        <w:t>42 rue Saint-Dominique, Paris, France 75007</w:t>
      </w:r>
    </w:p>
    <w:p>
      <w:pPr>
        <w:pStyle w:val="TextBody"/>
        <w:spacing w:before="0" w:after="0"/>
        <w:jc w:val="center"/>
        <w:rPr>
          <w:rFonts w:ascii="Times New Roman" w:hAnsi="Times New Roman"/>
          <w:b/>
          <w:sz w:val="20"/>
        </w:rPr>
      </w:pPr>
      <w:r>
        <w:rPr>
          <w:rFonts w:ascii="Times New Roman" w:hAnsi="Times New Roman"/>
          <w:b/>
          <w:sz w:val="20"/>
        </w:rPr>
        <w:t>5599 San Felipe, Houston, Texas, U.S.A. 77056</w:t>
      </w:r>
    </w:p>
    <w:p>
      <w:pPr>
        <w:pStyle w:val="TextBody"/>
        <w:spacing w:before="0" w:after="0"/>
        <w:jc w:val="center"/>
        <w:rPr>
          <w:rFonts w:ascii="Times New Roman" w:hAnsi="Times New Roman"/>
          <w:b/>
          <w:sz w:val="20"/>
        </w:rPr>
      </w:pPr>
      <w:r>
        <w:rPr>
          <w:rFonts w:ascii="Times New Roman" w:hAnsi="Times New Roman"/>
          <w:b/>
          <w:sz w:val="20"/>
        </w:rPr>
        <w:t>62 Buckingham Gate, London, United Kingdom SW1E 6AJ</w:t>
      </w:r>
    </w:p>
    <w:p>
      <w:pPr>
        <w:pStyle w:val="TextBody"/>
        <w:spacing w:before="0" w:after="0"/>
        <w:jc w:val="center"/>
        <w:rPr>
          <w:rFonts w:ascii="Times New Roman" w:hAnsi="Times New Roman"/>
          <w:b/>
          <w:sz w:val="20"/>
        </w:rPr>
      </w:pPr>
      <w:r>
        <w:rPr>
          <w:rFonts w:ascii="Times New Roman" w:hAnsi="Times New Roman"/>
          <w:b/>
          <w:sz w:val="20"/>
        </w:rPr>
        <w:t>Parkstraat 83, The Hague, The Netherlands 2514 JG</w:t>
      </w:r>
    </w:p>
    <w:p>
      <w:pPr>
        <w:pStyle w:val="TextBody"/>
        <w:spacing w:before="0" w:after="0"/>
        <w:jc w:val="center"/>
        <w:rPr>
          <w:rFonts w:ascii="Times New Roman" w:hAnsi="Times New Roman"/>
          <w:b/>
          <w:sz w:val="16"/>
        </w:rPr>
      </w:pPr>
      <w:r>
        <w:rPr>
          <w:rFonts w:ascii="Times New Roman" w:hAnsi="Times New Roman"/>
          <w:b/>
          <w:sz w:val="16"/>
        </w:rPr>
        <w:t>(Addresses of principal executive offices and zip or postal codes)</w:t>
      </w:r>
    </w:p>
    <w:p>
      <w:pPr>
        <w:pStyle w:val="TextBody"/>
        <w:spacing w:before="200" w:after="0"/>
        <w:jc w:val="center"/>
        <w:rPr>
          <w:rFonts w:ascii="Times New Roman" w:hAnsi="Times New Roman"/>
          <w:b/>
          <w:sz w:val="20"/>
        </w:rPr>
      </w:pPr>
      <w:r>
        <w:rPr>
          <w:rFonts w:ascii="Times New Roman" w:hAnsi="Times New Roman"/>
          <w:b/>
          <w:sz w:val="20"/>
        </w:rPr>
        <w:t>Registrant’s telephone number in the United States, including area code: (713) 513-2000</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 below):</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7440" w:type="dxa"/>
        <w:jc w:val="left"/>
        <w:tblInd w:w="0" w:type="dxa"/>
        <w:tblCellMar>
          <w:top w:w="0" w:type="dxa"/>
          <w:left w:w="0" w:type="dxa"/>
          <w:bottom w:w="0" w:type="dxa"/>
          <w:right w:w="0" w:type="dxa"/>
        </w:tblCellMar>
      </w:tblPr>
      <w:tblGrid>
        <w:gridCol w:w="3920"/>
        <w:gridCol w:w="60"/>
        <w:gridCol w:w="740"/>
        <w:gridCol w:w="60"/>
        <w:gridCol w:w="2660"/>
      </w:tblGrid>
      <w:tr>
        <w:trPr/>
        <w:tc>
          <w:tcPr>
            <w:tcW w:w="3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60" w:type="dxa"/>
            <w:tcBorders/>
            <w:shd w:fill="auto" w:val="clear"/>
            <w:vAlign w:val="center"/>
          </w:tcPr>
          <w:p>
            <w:pPr>
              <w:pStyle w:val="TableContents"/>
              <w:spacing w:before="0" w:after="283"/>
              <w:rPr>
                <w:sz w:val="4"/>
                <w:szCs w:val="4"/>
              </w:rPr>
            </w:pPr>
            <w:r>
              <w:rPr>
                <w:sz w:val="4"/>
                <w:szCs w:val="4"/>
              </w:rPr>
            </w:r>
          </w:p>
        </w:tc>
      </w:tr>
      <w:tr>
        <w:trPr/>
        <w:tc>
          <w:tcPr>
            <w:tcW w:w="392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60" w:type="dxa"/>
            <w:tcBorders/>
            <w:shd w:fill="auto" w:val="clear"/>
            <w:vAlign w:val="center"/>
          </w:tcPr>
          <w:p>
            <w:pPr>
              <w:pStyle w:val="TableContents"/>
              <w:spacing w:before="0" w:after="283"/>
              <w:rPr/>
            </w:pPr>
            <w:r>
              <w:rPr/>
              <w:t> </w:t>
            </w:r>
          </w:p>
        </w:tc>
        <w:tc>
          <w:tcPr>
            <w:tcW w:w="266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3920" w:type="dxa"/>
            <w:tcBorders/>
            <w:shd w:fill="auto" w:val="clear"/>
            <w:vAlign w:val="center"/>
          </w:tcPr>
          <w:p>
            <w:pPr>
              <w:pStyle w:val="TableContents"/>
              <w:spacing w:before="0" w:after="283"/>
              <w:jc w:val="center"/>
              <w:rPr/>
            </w:pPr>
            <w:r>
              <w:rPr/>
              <w:t>common stock, par value $0.01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pPr>
            <w:r>
              <w:rPr/>
              <w:t>SLB</w:t>
            </w:r>
          </w:p>
        </w:tc>
        <w:tc>
          <w:tcPr>
            <w:tcW w:w="60" w:type="dxa"/>
            <w:tcBorders/>
            <w:shd w:fill="auto" w:val="clear"/>
            <w:vAlign w:val="center"/>
          </w:tcPr>
          <w:p>
            <w:pPr>
              <w:pStyle w:val="TableContents"/>
              <w:spacing w:before="0" w:after="283"/>
              <w:rPr/>
            </w:pPr>
            <w:r>
              <w:rPr/>
              <w:t> </w:t>
            </w:r>
          </w:p>
        </w:tc>
        <w:tc>
          <w:tcPr>
            <w:tcW w:w="2660" w:type="dxa"/>
            <w:tcBorders/>
            <w:shd w:fill="auto" w:val="clear"/>
            <w:vAlign w:val="center"/>
          </w:tcPr>
          <w:p>
            <w:pPr>
              <w:pStyle w:val="TableContents"/>
              <w:spacing w:before="0" w:after="283"/>
              <w:jc w:val="center"/>
              <w:rPr/>
            </w:pPr>
            <w:r>
              <w:rPr/>
              <w:t>New York Stock Exchange</w:t>
            </w:r>
          </w:p>
        </w:tc>
      </w:tr>
    </w:tbl>
    <w:p>
      <w:pPr>
        <w:pStyle w:val="TextBody"/>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200" w:after="0"/>
        <w:jc w:val="left"/>
        <w:rPr>
          <w:rFonts w:ascii="Times New Roman" w:hAnsi="Times New Roman"/>
          <w:sz w:val="20"/>
        </w:rPr>
      </w:pPr>
      <w:r>
        <w:rPr>
          <w:rFonts w:ascii="Times New Roman" w:hAnsi="Times New Roman"/>
          <w:sz w:val="20"/>
        </w:rPr>
        <w:t>Emerging growth company  ☐</w:t>
      </w:r>
    </w:p>
    <w:p>
      <w:pPr>
        <w:pStyle w:val="TextBody"/>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980"/>
        <w:gridCol w:w="9225"/>
      </w:tblGrid>
      <w:tr>
        <w:trPr/>
        <w:tc>
          <w:tcPr>
            <w:tcW w:w="980" w:type="dxa"/>
            <w:tcBorders/>
            <w:shd w:fill="auto" w:val="clear"/>
            <w:vAlign w:val="center"/>
          </w:tcPr>
          <w:p>
            <w:pPr>
              <w:pStyle w:val="TableContents"/>
              <w:spacing w:before="0" w:after="283"/>
              <w:rPr>
                <w:b/>
              </w:rPr>
            </w:pPr>
            <w:r>
              <w:rPr>
                <w:b/>
              </w:rPr>
              <w:t>Item 5.02</w:t>
            </w:r>
          </w:p>
        </w:tc>
        <w:tc>
          <w:tcPr>
            <w:tcW w:w="922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Departure of Directors or Principal Officers; Election of Directors; Appointment of Certain Officers; Compensatory Arrangements of Certain Officers.</w:t>
            </w:r>
          </w:p>
        </w:tc>
      </w:tr>
    </w:tbl>
    <w:p>
      <w:pPr>
        <w:pStyle w:val="TextBody"/>
        <w:spacing w:before="120" w:after="0"/>
        <w:jc w:val="left"/>
        <w:rPr>
          <w:rFonts w:ascii="Times New Roman" w:hAnsi="Times New Roman"/>
          <w:sz w:val="20"/>
        </w:rPr>
      </w:pPr>
      <w:r>
        <w:rPr>
          <w:rFonts w:ascii="Times New Roman" w:hAnsi="Times New Roman"/>
          <w:sz w:val="20"/>
        </w:rPr>
        <w:t>(d)</w:t>
      </w:r>
    </w:p>
    <w:p>
      <w:pPr>
        <w:pStyle w:val="TextBody"/>
        <w:spacing w:before="240" w:after="0"/>
        <w:jc w:val="left"/>
        <w:rPr>
          <w:rFonts w:ascii="Times New Roman" w:hAnsi="Times New Roman"/>
          <w:sz w:val="20"/>
        </w:rPr>
      </w:pPr>
      <w:r>
        <w:rPr>
          <w:rFonts w:ascii="Times New Roman" w:hAnsi="Times New Roman"/>
          <w:sz w:val="20"/>
        </w:rPr>
        <w:t>On April 14, 2023, the Board of Directors (the “Board”) of Schlumberger Limited (“SLB” or the “Company”) appointed Mr. James T. Hackett to serve as a member of the Board effective April 17, 2023. The Board also appointed Mr. Hackett as independent Chair-elect of the Board, with his chairmanship to become effective July 1, 2023.</w:t>
      </w:r>
    </w:p>
    <w:p>
      <w:pPr>
        <w:pStyle w:val="TextBody"/>
        <w:spacing w:before="240" w:after="0"/>
        <w:jc w:val="left"/>
        <w:rPr>
          <w:rFonts w:ascii="Times New Roman" w:hAnsi="Times New Roman"/>
          <w:sz w:val="20"/>
        </w:rPr>
      </w:pPr>
      <w:r>
        <w:rPr>
          <w:rFonts w:ascii="Times New Roman" w:hAnsi="Times New Roman"/>
          <w:sz w:val="20"/>
        </w:rPr>
        <w:t>Mr. Hackett has been the president of Tessellation Services, a privately held consulting services firm, since 2013. He was previously the executive chairman of Alta Mesa Resources, an onshore oil and gas exploration and production company, from 2018 to March 2020, and was a partner and senior advisor at Riverstone Holdings, a private energy investment firm, from 2013 to March 2020. Prior to that, Mr. Hackett served as executive chairman and CEO of Anadarko Petroleum Corporation from 2003 to 2013. Since December 2021, he has been the non-executive chair of NuScale Power Corporation, where he also serves as chair of the organization and compensation committee and as a member of the audit committee. He has also been a director of Enterprise Products Holdings since 2014, where he serves as chair of the governance committee and as a member of the capital projects committee; and a director of Fluor Corporation since 2001, where he serves as chair of the organization and compensation committee and as a member of the executive and commercial strategies and operational risk committees. He is a former director of NOV, Halliburton, and Cameron International (now a subsidiary of SLB), a past chairman of the Board of the Federal Reserve Bank of Dallas, and a past chairman of the National Petroleum Council. He has also been a faculty member at Rice University and The University of Texas at Austin since 2017, and he serves on the boards of trustees at Rice University and Baylor College of Medicine.</w:t>
      </w:r>
    </w:p>
    <w:p>
      <w:pPr>
        <w:pStyle w:val="TextBody"/>
        <w:spacing w:before="240" w:after="0"/>
        <w:jc w:val="left"/>
        <w:rPr>
          <w:rFonts w:ascii="Times New Roman" w:hAnsi="Times New Roman"/>
          <w:sz w:val="20"/>
        </w:rPr>
      </w:pPr>
      <w:r>
        <w:rPr>
          <w:rFonts w:ascii="Times New Roman" w:hAnsi="Times New Roman"/>
          <w:sz w:val="20"/>
        </w:rPr>
        <w:t>As of the filing of this Report, Mr. Mark Papa serves as independent Chairman of the Board, and as previously disclosed in SLB’s most recent proxy statement, the Company expects Mr. Papa to retire after an appropriate handover with his successor, Mr. Hackett. The Company does not expect Mr. Papa to stand for re-election at SLB’s 2024 annual general meeting of shareholders.</w:t>
      </w:r>
    </w:p>
    <w:p>
      <w:pPr>
        <w:pStyle w:val="TextBody"/>
        <w:spacing w:before="240" w:after="0"/>
        <w:jc w:val="left"/>
        <w:rPr>
          <w:rFonts w:ascii="Times New Roman" w:hAnsi="Times New Roman"/>
          <w:sz w:val="20"/>
        </w:rPr>
      </w:pPr>
      <w:r>
        <w:rPr>
          <w:rFonts w:ascii="Times New Roman" w:hAnsi="Times New Roman"/>
          <w:sz w:val="20"/>
        </w:rPr>
        <w:t>To facilitate an effective handover of the Chair duties, the Board has not assigned Mr. Hackett to any of its committees, and the Company will file an amendment to this Report if the Board assigns Mr. Hackett to serve on any of its committees. There are no transactions with Mr. Hackett that would be reportable under Item 404(a) of Regulation S-K.</w:t>
      </w:r>
    </w:p>
    <w:p>
      <w:pPr>
        <w:pStyle w:val="TextBody"/>
        <w:spacing w:before="240" w:after="0"/>
        <w:jc w:val="left"/>
        <w:rPr>
          <w:rFonts w:ascii="Times New Roman" w:hAnsi="Times New Roman"/>
          <w:sz w:val="20"/>
        </w:rPr>
      </w:pPr>
      <w:r>
        <w:rPr>
          <w:rFonts w:ascii="Times New Roman" w:hAnsi="Times New Roman"/>
          <w:sz w:val="20"/>
        </w:rPr>
        <w:t>Mr. Hackett will serve as a director until the next annual general meeting of SLB’s shareholders, at which he will be subject to re-election. In addition, Mr. Hackett will be compensated under the Company’s director compensation program as described in its most recent proxy statement, prorated based on date of appointment, and he is expected to enter into the Company’s standard director indemnity agreement previously filed by the Company.</w:t>
      </w:r>
      <w:r>
        <w:br w:type="page"/>
      </w:r>
    </w:p>
    <w:p>
      <w:pPr>
        <w:pStyle w:val="HorizontalLine"/>
        <w:rPr/>
      </w:pPr>
      <w:r>
        <w:rPr/>
      </w:r>
    </w:p>
    <w:p>
      <w:pPr>
        <w:pStyle w:val="TextBody"/>
        <w:spacing w:before="0" w:after="0"/>
        <w:jc w:val="center"/>
        <w:rPr>
          <w:rFonts w:ascii="Times New Roman" w:hAnsi="Times New Roman"/>
          <w:b/>
          <w:sz w:val="20"/>
        </w:rPr>
      </w:pPr>
      <w:r>
        <w:rPr>
          <w:rFonts w:ascii="Times New Roman" w:hAnsi="Times New Roman"/>
          <w:b/>
          <w:sz w:val="20"/>
        </w:rPr>
        <w:t>SIGNATURES</w:t>
      </w:r>
    </w:p>
    <w:p>
      <w:pPr>
        <w:pStyle w:val="TextBody"/>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jc w:val="left"/>
        <w:rPr/>
      </w:pPr>
      <w:r>
        <w:rPr/>
        <w:t> </w:t>
      </w:r>
    </w:p>
    <w:tbl>
      <w:tblPr>
        <w:tblW w:w="3290" w:type="dxa"/>
        <w:jc w:val="left"/>
        <w:tblInd w:w="0" w:type="dxa"/>
        <w:tblCellMar>
          <w:top w:w="0" w:type="dxa"/>
          <w:left w:w="0" w:type="dxa"/>
          <w:bottom w:w="0" w:type="dxa"/>
          <w:right w:w="0" w:type="dxa"/>
        </w:tblCellMar>
      </w:tblPr>
      <w:tblGrid>
        <w:gridCol w:w="3290"/>
      </w:tblGrid>
      <w:tr>
        <w:trPr/>
        <w:tc>
          <w:tcPr>
            <w:tcW w:w="3290" w:type="dxa"/>
            <w:tcBorders/>
            <w:shd w:fill="auto" w:val="clear"/>
            <w:vAlign w:val="center"/>
          </w:tcPr>
          <w:p>
            <w:pPr>
              <w:pStyle w:val="TableContents"/>
              <w:spacing w:before="0" w:after="283"/>
              <w:rPr>
                <w:sz w:val="4"/>
                <w:szCs w:val="4"/>
              </w:rPr>
            </w:pPr>
            <w:r>
              <w:rPr>
                <w:sz w:val="4"/>
                <w:szCs w:val="4"/>
              </w:rPr>
            </w:r>
          </w:p>
        </w:tc>
      </w:tr>
      <w:tr>
        <w:trPr/>
        <w:tc>
          <w:tcPr>
            <w:tcW w:w="3290" w:type="dxa"/>
            <w:tcBorders/>
            <w:shd w:fill="auto" w:val="clear"/>
            <w:vAlign w:val="center"/>
          </w:tcPr>
          <w:p>
            <w:pPr>
              <w:pStyle w:val="TableContents"/>
              <w:spacing w:before="0" w:after="283"/>
              <w:rPr>
                <w:b/>
              </w:rPr>
            </w:pPr>
            <w:r>
              <w:rPr>
                <w:b/>
              </w:rPr>
              <w:t>SCHLUMBERGER LIMITED</w:t>
            </w:r>
          </w:p>
        </w:tc>
      </w:tr>
      <w:tr>
        <w:trPr/>
        <w:tc>
          <w:tcPr>
            <w:tcW w:w="3290" w:type="dxa"/>
            <w:tcBorders/>
            <w:shd w:fill="auto" w:val="clear"/>
            <w:vAlign w:val="center"/>
          </w:tcPr>
          <w:p>
            <w:pPr>
              <w:pStyle w:val="TableContents"/>
              <w:spacing w:before="0" w:after="283"/>
              <w:rPr>
                <w:sz w:val="4"/>
                <w:szCs w:val="4"/>
              </w:rPr>
            </w:pPr>
            <w:r>
              <w:rPr>
                <w:sz w:val="4"/>
                <w:szCs w:val="4"/>
              </w:rPr>
            </w:r>
          </w:p>
        </w:tc>
      </w:tr>
      <w:tr>
        <w:trPr/>
        <w:tc>
          <w:tcPr>
            <w:tcW w:w="3290"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Dianne B. Ralston</w:t>
            </w:r>
          </w:p>
        </w:tc>
      </w:tr>
      <w:tr>
        <w:trPr/>
        <w:tc>
          <w:tcPr>
            <w:tcW w:w="3290" w:type="dxa"/>
            <w:tcBorders/>
            <w:shd w:fill="auto" w:val="clear"/>
            <w:vAlign w:val="center"/>
          </w:tcPr>
          <w:p>
            <w:pPr>
              <w:pStyle w:val="TableContents"/>
              <w:spacing w:before="0" w:after="283"/>
              <w:rPr/>
            </w:pPr>
            <w:r>
              <w:rPr/>
              <w:t>Dianne B. Ralston</w:t>
            </w:r>
          </w:p>
        </w:tc>
      </w:tr>
      <w:tr>
        <w:trPr/>
        <w:tc>
          <w:tcPr>
            <w:tcW w:w="3290" w:type="dxa"/>
            <w:tcBorders/>
            <w:shd w:fill="auto" w:val="clear"/>
            <w:vAlign w:val="center"/>
          </w:tcPr>
          <w:p>
            <w:pPr>
              <w:pStyle w:val="TableContents"/>
              <w:spacing w:before="0" w:after="283"/>
              <w:rPr/>
            </w:pPr>
            <w:r>
              <w:rPr/>
              <w:t>Chief Legal Officer and Secretary</w:t>
            </w:r>
          </w:p>
        </w:tc>
      </w:tr>
      <w:tr>
        <w:trPr/>
        <w:tc>
          <w:tcPr>
            <w:tcW w:w="3290" w:type="dxa"/>
            <w:tcBorders/>
            <w:shd w:fill="auto" w:val="clear"/>
            <w:vAlign w:val="center"/>
          </w:tcPr>
          <w:p>
            <w:pPr>
              <w:pStyle w:val="TableContents"/>
              <w:spacing w:before="0" w:after="283"/>
              <w:rPr>
                <w:sz w:val="4"/>
                <w:szCs w:val="4"/>
              </w:rPr>
            </w:pPr>
            <w:r>
              <w:rPr>
                <w:sz w:val="4"/>
                <w:szCs w:val="4"/>
              </w:rPr>
            </w:r>
          </w:p>
        </w:tc>
      </w:tr>
      <w:tr>
        <w:trPr/>
        <w:tc>
          <w:tcPr>
            <w:tcW w:w="3290" w:type="dxa"/>
            <w:tcBorders/>
            <w:shd w:fill="auto" w:val="clear"/>
            <w:vAlign w:val="center"/>
          </w:tcPr>
          <w:p>
            <w:pPr>
              <w:pStyle w:val="TableContents"/>
              <w:spacing w:before="0" w:after="283"/>
              <w:rPr/>
            </w:pPr>
            <w:r>
              <w:rPr/>
              <w:t>Date: April 17, 2023</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891</Words>
  <CharactersWithSpaces>5580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