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February 6, 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Curaçao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960"/>
          </w:cols>
          <w:pgMar w:left="240" w:top="314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Floor, Houston, Texas 77056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375-3400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105410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131445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Certain Officers; Election of Directors; Appointment of Certain Officers; Compensatory Arrangements of Certain Officers.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(b) Effective February 11, 2013, Kjell-Erik Oestdahl has changed roles and assumed the position of Advisor to the Chief Executive Officer.</w:t>
      </w:r>
    </w:p>
    <w:p>
      <w:pPr>
        <w:sectPr>
          <w:pgSz w:w="11900" w:h="16838" w:orient="portrait"/>
          <w:cols w:equalWidth="0" w:num="1">
            <w:col w:w="11280"/>
          </w:cols>
          <w:pgMar w:left="240" w:top="274" w:right="3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4533265</wp:posOffset>
            </wp:positionH>
            <wp:positionV relativeFrom="paragraph">
              <wp:posOffset>10795</wp:posOffset>
            </wp:positionV>
            <wp:extent cx="271843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11, 2013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2019-12-05T14:45:31Z</dcterms:created>
  <dcterms:modified xsi:type="dcterms:W3CDTF">2019-12-05T14:45:31Z</dcterms:modified>
</cp:coreProperties>
</file>