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SCHEDULE TO/A</w:t>
      </w:r>
    </w:p>
    <w:p>
      <w:pPr>
        <w:spacing w:after="0" w:line="172"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(Amendment No. 1)</w:t>
      </w:r>
    </w:p>
    <w:p>
      <w:pPr>
        <w:spacing w:after="0" w:line="138"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Tender Offer Statement</w:t>
      </w:r>
    </w:p>
    <w:p>
      <w:pPr>
        <w:spacing w:after="0" w:line="34" w:lineRule="exact"/>
        <w:rPr>
          <w:sz w:val="24"/>
          <w:szCs w:val="24"/>
          <w:color w:val="auto"/>
        </w:rPr>
      </w:pPr>
    </w:p>
    <w:p>
      <w:pPr>
        <w:ind w:left="2380"/>
        <w:spacing w:after="0"/>
        <w:rPr>
          <w:sz w:val="20"/>
          <w:szCs w:val="20"/>
          <w:color w:val="auto"/>
        </w:rPr>
      </w:pPr>
      <w:r>
        <w:rPr>
          <w:rFonts w:ascii="Arial" w:cs="Arial" w:eastAsia="Arial" w:hAnsi="Arial"/>
          <w:sz w:val="22"/>
          <w:szCs w:val="22"/>
          <w:b w:val="1"/>
          <w:bCs w:val="1"/>
          <w:color w:val="auto"/>
        </w:rPr>
        <w:t>under Section 14(d)(1) or 13(e)(1)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49"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(Name of Subject Company (issuer))</w:t>
      </w:r>
    </w:p>
    <w:p>
      <w:pPr>
        <w:spacing w:after="0" w:line="10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49"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(Names of Filing Persons (issuer))</w:t>
      </w:r>
    </w:p>
    <w:p>
      <w:pPr>
        <w:spacing w:after="0" w:line="122"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1.500% Series A Convertible Debentures Due 2023</w:t>
      </w:r>
    </w:p>
    <w:p>
      <w:pPr>
        <w:spacing w:after="0" w:line="18"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(Title of Class of Debentures)</w:t>
      </w:r>
    </w:p>
    <w:p>
      <w:pPr>
        <w:spacing w:after="0" w:line="122" w:lineRule="exact"/>
        <w:rPr>
          <w:sz w:val="24"/>
          <w:szCs w:val="24"/>
          <w:color w:val="auto"/>
        </w:rPr>
      </w:pPr>
    </w:p>
    <w:p>
      <w:pPr>
        <w:ind w:left="5140"/>
        <w:spacing w:after="0"/>
        <w:rPr>
          <w:sz w:val="20"/>
          <w:szCs w:val="20"/>
          <w:color w:val="auto"/>
        </w:rPr>
      </w:pPr>
      <w:r>
        <w:rPr>
          <w:rFonts w:ascii="Arial" w:cs="Arial" w:eastAsia="Arial" w:hAnsi="Arial"/>
          <w:sz w:val="22"/>
          <w:szCs w:val="22"/>
          <w:b w:val="1"/>
          <w:bCs w:val="1"/>
          <w:color w:val="auto"/>
        </w:rPr>
        <w:t>806857 AB 4</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22"/>
          <w:szCs w:val="22"/>
          <w:b w:val="1"/>
          <w:bCs w:val="1"/>
          <w:color w:val="auto"/>
        </w:rPr>
        <w:t>806857 AC 2</w:t>
      </w:r>
    </w:p>
    <w:p>
      <w:pPr>
        <w:jc w:val="center"/>
        <w:ind w:right="-559"/>
        <w:spacing w:after="0"/>
        <w:rPr>
          <w:sz w:val="20"/>
          <w:szCs w:val="20"/>
          <w:color w:val="auto"/>
        </w:rPr>
      </w:pPr>
      <w:r>
        <w:rPr>
          <w:rFonts w:ascii="Arial" w:cs="Arial" w:eastAsia="Arial" w:hAnsi="Arial"/>
          <w:sz w:val="14"/>
          <w:szCs w:val="14"/>
          <w:b w:val="1"/>
          <w:bCs w:val="1"/>
          <w:color w:val="auto"/>
        </w:rPr>
        <w:t>(CUSIP Number of Class of Debentures)</w:t>
      </w:r>
    </w:p>
    <w:p>
      <w:pPr>
        <w:spacing w:after="0" w:line="13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Ellen Summer</w:t>
      </w:r>
    </w:p>
    <w:p>
      <w:pPr>
        <w:spacing w:after="0" w:line="2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Secretary and General Counsel</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(713) 513-2000</w:t>
      </w:r>
    </w:p>
    <w:p>
      <w:pPr>
        <w:jc w:val="center"/>
        <w:ind w:right="-559"/>
        <w:spacing w:after="0"/>
        <w:rPr>
          <w:sz w:val="20"/>
          <w:szCs w:val="20"/>
          <w:color w:val="auto"/>
        </w:rPr>
      </w:pPr>
      <w:r>
        <w:rPr>
          <w:rFonts w:ascii="Arial" w:cs="Arial" w:eastAsia="Arial" w:hAnsi="Arial"/>
          <w:sz w:val="14"/>
          <w:szCs w:val="14"/>
          <w:b w:val="1"/>
          <w:bCs w:val="1"/>
          <w:color w:val="auto"/>
        </w:rPr>
        <w:t>(Name, Address and Telephone Number of Person Authorized to Receive Notices</w:t>
      </w:r>
    </w:p>
    <w:p>
      <w:pPr>
        <w:jc w:val="center"/>
        <w:ind w:right="-559"/>
        <w:spacing w:after="0"/>
        <w:rPr>
          <w:sz w:val="20"/>
          <w:szCs w:val="20"/>
          <w:color w:val="auto"/>
        </w:rPr>
      </w:pPr>
      <w:r>
        <w:rPr>
          <w:rFonts w:ascii="Arial" w:cs="Arial" w:eastAsia="Arial" w:hAnsi="Arial"/>
          <w:sz w:val="14"/>
          <w:szCs w:val="14"/>
          <w:b w:val="1"/>
          <w:bCs w:val="1"/>
          <w:color w:val="auto"/>
        </w:rPr>
        <w:t>and Communications on Behalf of Filing Persons)</w:t>
      </w:r>
    </w:p>
    <w:p>
      <w:pPr>
        <w:spacing w:after="0" w:line="140" w:lineRule="exact"/>
        <w:rPr>
          <w:sz w:val="24"/>
          <w:szCs w:val="24"/>
          <w:color w:val="auto"/>
        </w:rPr>
      </w:pPr>
    </w:p>
    <w:p>
      <w:pPr>
        <w:jc w:val="center"/>
        <w:ind w:right="-559"/>
        <w:spacing w:after="0"/>
        <w:rPr>
          <w:sz w:val="20"/>
          <w:szCs w:val="20"/>
          <w:color w:val="auto"/>
        </w:rPr>
      </w:pPr>
      <w:r>
        <w:rPr>
          <w:rFonts w:ascii="Arial" w:cs="Arial" w:eastAsia="Arial" w:hAnsi="Arial"/>
          <w:sz w:val="18"/>
          <w:szCs w:val="18"/>
          <w:i w:val="1"/>
          <w:iCs w:val="1"/>
          <w:color w:val="auto"/>
        </w:rPr>
        <w:t>Copy to:</w:t>
      </w:r>
    </w:p>
    <w:p>
      <w:pPr>
        <w:spacing w:after="0" w:line="16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J. David Kirkland, Jr.</w:t>
      </w:r>
    </w:p>
    <w:p>
      <w:pPr>
        <w:spacing w:after="0" w:line="2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Baker Botts L.L.P.</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One Shell Plaza</w:t>
      </w:r>
    </w:p>
    <w:p>
      <w:pPr>
        <w:spacing w:after="0" w:line="9" w:lineRule="exact"/>
        <w:rPr>
          <w:sz w:val="24"/>
          <w:szCs w:val="24"/>
          <w:color w:val="auto"/>
        </w:rPr>
      </w:pPr>
    </w:p>
    <w:p>
      <w:pPr>
        <w:ind w:left="5500" w:hanging="310"/>
        <w:spacing w:after="0"/>
        <w:tabs>
          <w:tab w:leader="none" w:pos="5500" w:val="left"/>
        </w:tabs>
        <w:numPr>
          <w:ilvl w:val="2"/>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Louisiana</w:t>
      </w:r>
    </w:p>
    <w:p>
      <w:pPr>
        <w:spacing w:after="0" w:line="9" w:lineRule="exact"/>
        <w:rPr>
          <w:rFonts w:ascii="Arial" w:cs="Arial" w:eastAsia="Arial" w:hAnsi="Arial"/>
          <w:sz w:val="18"/>
          <w:szCs w:val="18"/>
          <w:b w:val="1"/>
          <w:bCs w:val="1"/>
          <w:color w:val="auto"/>
        </w:rPr>
      </w:pPr>
    </w:p>
    <w:p>
      <w:pPr>
        <w:ind w:left="4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Houston, Texas 77002-4995</w:t>
      </w:r>
    </w:p>
    <w:p>
      <w:pPr>
        <w:spacing w:after="0" w:line="9" w:lineRule="exact"/>
        <w:rPr>
          <w:rFonts w:ascii="Arial" w:cs="Arial" w:eastAsia="Arial" w:hAnsi="Arial"/>
          <w:sz w:val="18"/>
          <w:szCs w:val="18"/>
          <w:b w:val="1"/>
          <w:bCs w:val="1"/>
          <w:color w:val="auto"/>
        </w:rPr>
      </w:pPr>
    </w:p>
    <w:p>
      <w:pPr>
        <w:ind w:left="5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(713) 229-1234</w:t>
      </w:r>
    </w:p>
    <w:p>
      <w:pPr>
        <w:spacing w:after="0" w:line="205" w:lineRule="exact"/>
        <w:rPr>
          <w:rFonts w:ascii="Arial" w:cs="Arial" w:eastAsia="Arial" w:hAnsi="Arial"/>
          <w:sz w:val="18"/>
          <w:szCs w:val="18"/>
          <w:b w:val="1"/>
          <w:bCs w:val="1"/>
          <w:color w:val="auto"/>
        </w:rPr>
      </w:pPr>
    </w:p>
    <w:p>
      <w:pPr>
        <w:ind w:left="460" w:hanging="452"/>
        <w:spacing w:after="0" w:line="268"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registration statement number, or the Form or Schedule and the date of its filing.</w:t>
      </w:r>
    </w:p>
    <w:p>
      <w:pPr>
        <w:spacing w:after="0" w:line="172" w:lineRule="exact"/>
        <w:rPr>
          <w:rFonts w:ascii="MS PGothic" w:cs="MS PGothic" w:eastAsia="MS PGothic" w:hAnsi="MS PGothic"/>
          <w:sz w:val="18"/>
          <w:szCs w:val="18"/>
          <w:color w:val="auto"/>
        </w:rPr>
      </w:pPr>
    </w:p>
    <w:p>
      <w:pPr>
        <w:ind w:left="460" w:right="1820" w:hanging="452"/>
        <w:spacing w:after="0" w:line="419" w:lineRule="auto"/>
        <w:tabs>
          <w:tab w:leader="none" w:pos="44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 Check the appropriate boxes below to designate any transactions to which the statement relates:</w:t>
      </w:r>
    </w:p>
    <w:p>
      <w:pPr>
        <w:spacing w:after="0" w:line="32" w:lineRule="exact"/>
        <w:rPr>
          <w:rFonts w:ascii="MS PGothic" w:cs="MS PGothic" w:eastAsia="MS PGothic" w:hAnsi="MS PGothic"/>
          <w:sz w:val="16"/>
          <w:szCs w:val="16"/>
          <w:color w:val="auto"/>
        </w:rPr>
      </w:pPr>
    </w:p>
    <w:p>
      <w:pPr>
        <w:ind w:left="900" w:hanging="446"/>
        <w:spacing w:after="0"/>
        <w:tabs>
          <w:tab w:leader="none" w:pos="9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17"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9" w:lineRule="exact"/>
        <w:rPr>
          <w:sz w:val="24"/>
          <w:szCs w:val="24"/>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15" w:lineRule="exact"/>
        <w:rPr>
          <w:rFonts w:ascii="MS PGothic" w:cs="MS PGothic" w:eastAsia="MS PGothic" w:hAnsi="MS PGothic"/>
          <w:sz w:val="18"/>
          <w:szCs w:val="18"/>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422" w:right="779" w:bottom="1440" w:gutter="0" w:footer="0" w:header="0"/>
        </w:sectPr>
      </w:pPr>
    </w:p>
    <w:bookmarkStart w:id="1" w:name="page2"/>
    <w:bookmarkEnd w:id="1"/>
    <w:p>
      <w:pPr>
        <w:ind w:right="1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Amendment No. 1 amends and supplements the Tender Offer Statement on Schedule TO originally filed with the Securities and Exchange Commission on April 25, 2008 by Schlumberger N.V. (Schlumberger Limited), with respect to the right of each holder of Schlumberger’s 1.500% Series A Convertible Debentures Due 2023 to sell and the requirement of Schlumberger to purchase the debentures, upon the terms and subject to the conditions set forth in the debentures, the indenture governing the debentures and the Company Notice dated April 25, 2008. This Amendment No. 1 to the Schedule TO is intended to satisfy the filing and disclosure requirements of Rule 13e-4(c)(4) under the Securities Exchange Act of 1934.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4, 8 and 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Items 1, 4, 8 and 11 of the Schedule TO are hereby amended and supplemented by adding the following thereto:</w:t>
      </w:r>
    </w:p>
    <w:p>
      <w:pPr>
        <w:spacing w:after="0" w:line="90"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“The Option expired at 5:00 p.m., New York City time, on May 23, 2008. Based on information provided by the paying agent, as of the expiration time, written purchase notices for $7,000 in aggregate principal amount of debentures had been validly delivered to the paying agent and not withdrawn. We have accepted all such debentures for payment, and, in accordance with the terms of the indenture governing the debentures, we have forwarded to the paying agent the appropriate amount of cash required to pay the total purchase price for the surrendered debentures. The total amount of cash forwarded to the paying agent was $7,000. The paying agent promptly distributed the cash to the holders. As of the close of business on May 23, 2008, after giving effect to the purchase of the debentures pursuant to the Option and conversions of the debentures effected as of such date, $306,457,000 aggregate principal amount of debentures remained outstanding.”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2" w:name="page3"/>
    <w:bookmarkEnd w:id="2"/>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July 9,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sectPr>
      <w:pgSz w:w="11900" w:h="16838" w:orient="portrait"/>
      <w:cols w:equalWidth="0" w:num="1">
        <w:col w:w="10740"/>
      </w:cols>
      <w:pgMar w:left="240" w:top="274"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lvl w:ilvl="2">
      <w:lvlJc w:val="left"/>
      <w:lvlText w:val="%3"/>
      <w:numFmt w:val="decimal"/>
      <w:start w:val="910"/>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2019-12-11T14:30:41Z</dcterms:created>
  <dcterms:modified xsi:type="dcterms:W3CDTF">2019-12-11T14:30:41Z</dcterms:modified>
</cp:coreProperties>
</file>