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240" w:type="dxa"/>
            <w:vAlign w:val="bottom"/>
          </w:tcPr>
          <w:p>
            <w:pPr>
              <w:ind w:left="40"/>
              <w:spacing w:after="0"/>
              <w:rPr>
                <w:sz w:val="20"/>
                <w:szCs w:val="20"/>
                <w:color w:val="auto"/>
              </w:rPr>
            </w:pPr>
            <w:r>
              <w:rPr>
                <w:rFonts w:ascii="Arial" w:cs="Arial" w:eastAsia="Arial" w:hAnsi="Arial"/>
                <w:sz w:val="22"/>
                <w:szCs w:val="22"/>
                <w:color w:val="auto"/>
              </w:rPr>
              <w:t>0001592739</w:t>
            </w:r>
          </w:p>
        </w:tc>
        <w:tc>
          <w:tcPr>
            <w:tcW w:w="35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2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2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849"/>
        </w:trPr>
        <w:tc>
          <w:tcPr>
            <w:tcW w:w="62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5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w w:val="96"/>
              </w:rPr>
              <w:t>SCHLUMBERGER LIMITED/NV</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001-04601</w:t>
            </w:r>
          </w:p>
        </w:tc>
      </w:tr>
      <w:tr>
        <w:trPr>
          <w:trHeight w:val="266"/>
        </w:trPr>
        <w:tc>
          <w:tcPr>
            <w:tcW w:w="30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5599 SAN FELIPE</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HOUSTON</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TEXAS</w:t>
            </w:r>
          </w:p>
        </w:tc>
      </w:tr>
      <w:tr>
        <w:trPr>
          <w:trHeight w:val="274"/>
        </w:trPr>
        <w:tc>
          <w:tcPr>
            <w:tcW w:w="30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77056</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7135132000</w:t>
            </w:r>
          </w:p>
        </w:tc>
      </w:tr>
      <w:tr>
        <w:trPr>
          <w:trHeight w:val="297"/>
        </w:trPr>
        <w:tc>
          <w:tcPr>
            <w:tcW w:w="6240" w:type="dxa"/>
            <w:vAlign w:val="bottom"/>
            <w:gridSpan w:val="2"/>
          </w:tcPr>
          <w:p>
            <w:pPr>
              <w:ind w:left="40"/>
              <w:spacing w:after="0"/>
              <w:rPr>
                <w:sz w:val="20"/>
                <w:szCs w:val="20"/>
                <w:color w:val="auto"/>
              </w:rPr>
            </w:pPr>
            <w:r>
              <w:rPr>
                <w:rFonts w:ascii="Arial" w:cs="Arial" w:eastAsia="Arial" w:hAnsi="Arial"/>
                <w:sz w:val="22"/>
                <w:szCs w:val="22"/>
                <w:color w:val="auto"/>
                <w:w w:val="96"/>
              </w:rPr>
              <w:t>Name of Person for Whose Account the Securities are To Be Sold</w:t>
            </w:r>
          </w:p>
        </w:tc>
        <w:tc>
          <w:tcPr>
            <w:tcW w:w="3560" w:type="dxa"/>
            <w:vAlign w:val="bottom"/>
          </w:tcPr>
          <w:p>
            <w:pPr>
              <w:ind w:left="500"/>
              <w:spacing w:after="0"/>
              <w:rPr>
                <w:sz w:val="20"/>
                <w:szCs w:val="20"/>
                <w:color w:val="auto"/>
              </w:rPr>
            </w:pPr>
            <w:r>
              <w:rPr>
                <w:rFonts w:ascii="Arial" w:cs="Arial" w:eastAsia="Arial" w:hAnsi="Arial"/>
                <w:sz w:val="22"/>
                <w:szCs w:val="22"/>
                <w:color w:val="auto"/>
              </w:rPr>
              <w:t>Biguet Stephane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7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6250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273125.00</w:t>
            </w:r>
          </w:p>
        </w:tc>
        <w:tc>
          <w:tcPr>
            <w:tcW w:w="1320" w:type="dxa"/>
            <w:vAlign w:val="bottom"/>
          </w:tcPr>
          <w:p>
            <w:pPr>
              <w:jc w:val="right"/>
              <w:ind w:right="12"/>
              <w:spacing w:after="0"/>
              <w:rPr>
                <w:sz w:val="20"/>
                <w:szCs w:val="20"/>
                <w:color w:val="auto"/>
              </w:rPr>
            </w:pPr>
            <w:r>
              <w:rPr>
                <w:rFonts w:ascii="Arial" w:cs="Arial" w:eastAsia="Arial" w:hAnsi="Arial"/>
                <w:sz w:val="22"/>
                <w:szCs w:val="22"/>
                <w:color w:val="auto"/>
                <w:w w:val="96"/>
              </w:rPr>
              <w:t>1425330904</w:t>
            </w:r>
          </w:p>
        </w:tc>
        <w:tc>
          <w:tcPr>
            <w:tcW w:w="1280" w:type="dxa"/>
            <w:vAlign w:val="bottom"/>
          </w:tcPr>
          <w:p>
            <w:pPr>
              <w:ind w:left="40"/>
              <w:spacing w:after="0"/>
              <w:rPr>
                <w:sz w:val="20"/>
                <w:szCs w:val="20"/>
                <w:color w:val="auto"/>
              </w:rPr>
            </w:pPr>
            <w:r>
              <w:rPr>
                <w:rFonts w:ascii="Arial" w:cs="Arial" w:eastAsia="Arial" w:hAnsi="Arial"/>
                <w:sz w:val="22"/>
                <w:szCs w:val="22"/>
                <w:color w:val="auto"/>
              </w:rPr>
              <w:t>05/30/2023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880" w:val="left"/>
          <w:tab w:leader="none" w:pos="6480" w:val="left"/>
          <w:tab w:leader="none" w:pos="7300" w:val="left"/>
          <w:tab w:leader="none" w:pos="864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0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60" w:type="dxa"/>
            <w:vAlign w:val="bottom"/>
          </w:tcPr>
          <w:p>
            <w:pPr>
              <w:ind w:left="300"/>
              <w:spacing w:after="0"/>
              <w:rPr>
                <w:sz w:val="20"/>
                <w:szCs w:val="20"/>
                <w:color w:val="auto"/>
              </w:rPr>
            </w:pPr>
            <w:r>
              <w:rPr>
                <w:rFonts w:ascii="Arial" w:cs="Arial" w:eastAsia="Arial" w:hAnsi="Arial"/>
                <w:sz w:val="22"/>
                <w:szCs w:val="22"/>
                <w:b w:val="1"/>
                <w:bCs w:val="1"/>
                <w:color w:val="auto"/>
                <w:w w:val="99"/>
              </w:rPr>
              <w:t>Transaction</w:t>
            </w:r>
          </w:p>
        </w:tc>
        <w:tc>
          <w:tcPr>
            <w:tcW w:w="1480" w:type="dxa"/>
            <w:vAlign w:val="bottom"/>
          </w:tcPr>
          <w:p>
            <w:pPr>
              <w:jc w:val="center"/>
              <w:ind w:left="172"/>
              <w:spacing w:after="0"/>
              <w:rPr>
                <w:sz w:val="20"/>
                <w:szCs w:val="20"/>
                <w:color w:val="auto"/>
              </w:rPr>
            </w:pPr>
            <w:r>
              <w:rPr>
                <w:rFonts w:ascii="Arial" w:cs="Arial" w:eastAsia="Arial" w:hAnsi="Arial"/>
                <w:sz w:val="22"/>
                <w:szCs w:val="22"/>
                <w:b w:val="1"/>
                <w:bCs w:val="1"/>
                <w:color w:val="auto"/>
                <w:w w:val="95"/>
              </w:rPr>
              <w:t>Whom</w:t>
            </w:r>
          </w:p>
        </w:tc>
        <w:tc>
          <w:tcPr>
            <w:tcW w:w="2800" w:type="dxa"/>
            <w:vAlign w:val="bottom"/>
          </w:tcPr>
          <w:p>
            <w:pPr>
              <w:jc w:val="right"/>
              <w:ind w:right="32"/>
              <w:spacing w:after="0"/>
              <w:rPr>
                <w:sz w:val="20"/>
                <w:szCs w:val="20"/>
                <w:color w:val="auto"/>
              </w:rPr>
            </w:pPr>
            <w:r>
              <w:rPr>
                <w:rFonts w:ascii="Arial" w:cs="Arial" w:eastAsia="Arial" w:hAnsi="Arial"/>
                <w:sz w:val="22"/>
                <w:szCs w:val="22"/>
                <w:b w:val="1"/>
                <w:bCs w:val="1"/>
                <w:color w:val="auto"/>
              </w:rPr>
              <w:t>a  Acquired  Acquired</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01/20/2023</w:t>
            </w:r>
          </w:p>
        </w:tc>
        <w:tc>
          <w:tcPr>
            <w:tcW w:w="1560" w:type="dxa"/>
            <w:vAlign w:val="bottom"/>
          </w:tcPr>
          <w:p>
            <w:pPr>
              <w:ind w:left="20"/>
              <w:spacing w:after="0"/>
              <w:rPr>
                <w:sz w:val="20"/>
                <w:szCs w:val="20"/>
                <w:color w:val="auto"/>
              </w:rPr>
            </w:pPr>
            <w:r>
              <w:rPr>
                <w:rFonts w:ascii="Arial" w:cs="Arial" w:eastAsia="Arial" w:hAnsi="Arial"/>
                <w:sz w:val="22"/>
                <w:szCs w:val="22"/>
                <w:color w:val="auto"/>
              </w:rPr>
              <w:t>Performance</w:t>
            </w:r>
          </w:p>
        </w:tc>
        <w:tc>
          <w:tcPr>
            <w:tcW w:w="148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52"/>
              <w:spacing w:after="0"/>
              <w:rPr>
                <w:sz w:val="20"/>
                <w:szCs w:val="20"/>
                <w:color w:val="auto"/>
              </w:rPr>
            </w:pPr>
            <w:r>
              <w:rPr>
                <w:rFonts w:ascii="Arial" w:cs="Arial" w:eastAsia="Arial" w:hAnsi="Arial"/>
                <w:sz w:val="22"/>
                <w:szCs w:val="22"/>
                <w:color w:val="auto"/>
              </w:rPr>
              <w:t>6250</w:t>
            </w:r>
          </w:p>
        </w:tc>
        <w:tc>
          <w:tcPr>
            <w:tcW w:w="2400" w:type="dxa"/>
            <w:vAlign w:val="bottom"/>
            <w:vMerge w:val="restart"/>
          </w:tcPr>
          <w:p>
            <w:pPr>
              <w:ind w:left="120"/>
              <w:spacing w:after="0"/>
              <w:rPr>
                <w:sz w:val="20"/>
                <w:szCs w:val="20"/>
                <w:color w:val="auto"/>
              </w:rPr>
            </w:pPr>
            <w:r>
              <w:rPr>
                <w:rFonts w:ascii="Arial" w:cs="Arial" w:eastAsia="Arial" w:hAnsi="Arial"/>
                <w:sz w:val="22"/>
                <w:szCs w:val="22"/>
                <w:color w:val="auto"/>
                <w:w w:val="87"/>
              </w:rPr>
              <w:t>01/20/2023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60" w:type="dxa"/>
            <w:vAlign w:val="bottom"/>
          </w:tcPr>
          <w:p>
            <w:pPr>
              <w:ind w:left="20"/>
              <w:spacing w:after="0"/>
              <w:rPr>
                <w:sz w:val="20"/>
                <w:szCs w:val="20"/>
                <w:color w:val="auto"/>
              </w:rPr>
            </w:pPr>
            <w:r>
              <w:rPr>
                <w:rFonts w:ascii="Arial" w:cs="Arial" w:eastAsia="Arial" w:hAnsi="Arial"/>
                <w:sz w:val="22"/>
                <w:szCs w:val="22"/>
                <w:color w:val="auto"/>
              </w:rPr>
              <w:t>Shares</w:t>
            </w:r>
          </w:p>
        </w:tc>
        <w:tc>
          <w:tcPr>
            <w:tcW w:w="14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Stephane Biguet</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Arial" w:cs="Arial" w:eastAsia="Arial" w:hAnsi="Arial"/>
                <w:sz w:val="22"/>
                <w:szCs w:val="22"/>
                <w:color w:val="auto"/>
              </w:rPr>
              <w:t>5599 San Felipe</w:t>
            </w: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692"/>
              <w:spacing w:after="0"/>
              <w:rPr>
                <w:sz w:val="20"/>
                <w:szCs w:val="20"/>
                <w:color w:val="auto"/>
              </w:rPr>
            </w:pPr>
            <w:r>
              <w:rPr>
                <w:rFonts w:ascii="Arial" w:cs="Arial" w:eastAsia="Arial" w:hAnsi="Arial"/>
                <w:sz w:val="22"/>
                <w:szCs w:val="22"/>
                <w:color w:val="auto"/>
              </w:rPr>
              <w:t>03/20/2023 6250</w:t>
            </w:r>
          </w:p>
        </w:tc>
        <w:tc>
          <w:tcPr>
            <w:tcW w:w="1580" w:type="dxa"/>
            <w:vAlign w:val="bottom"/>
            <w:vMerge w:val="restart"/>
          </w:tcPr>
          <w:p>
            <w:pPr>
              <w:jc w:val="right"/>
              <w:ind w:right="452"/>
              <w:spacing w:after="0"/>
              <w:rPr>
                <w:sz w:val="20"/>
                <w:szCs w:val="20"/>
                <w:color w:val="auto"/>
              </w:rPr>
            </w:pPr>
            <w:r>
              <w:rPr>
                <w:rFonts w:ascii="Arial" w:cs="Arial" w:eastAsia="Arial" w:hAnsi="Arial"/>
                <w:sz w:val="22"/>
                <w:szCs w:val="22"/>
                <w:color w:val="auto"/>
                <w:w w:val="96"/>
              </w:rPr>
              <w:t>279812.50</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17th Floor</w:t>
            </w:r>
          </w:p>
        </w:tc>
        <w:tc>
          <w:tcPr>
            <w:tcW w:w="210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21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Houston  TX</w:t>
            </w:r>
          </w:p>
        </w:tc>
        <w:tc>
          <w:tcPr>
            <w:tcW w:w="2100" w:type="dxa"/>
            <w:vAlign w:val="bottom"/>
          </w:tcPr>
          <w:p>
            <w:pPr>
              <w:jc w:val="right"/>
              <w:ind w:right="1372"/>
              <w:spacing w:after="0"/>
              <w:rPr>
                <w:sz w:val="20"/>
                <w:szCs w:val="20"/>
                <w:color w:val="auto"/>
              </w:rPr>
            </w:pPr>
            <w:r>
              <w:rPr>
                <w:rFonts w:ascii="Arial" w:cs="Arial" w:eastAsia="Arial" w:hAnsi="Arial"/>
                <w:sz w:val="22"/>
                <w:szCs w:val="22"/>
                <w:color w:val="auto"/>
                <w:w w:val="98"/>
              </w:rPr>
              <w:t>77056</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Stephane Biguet</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Arial" w:cs="Arial" w:eastAsia="Arial" w:hAnsi="Arial"/>
                <w:sz w:val="22"/>
                <w:szCs w:val="22"/>
                <w:color w:val="auto"/>
              </w:rPr>
              <w:t>5599 San Felipe</w:t>
            </w: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692"/>
              <w:spacing w:after="0"/>
              <w:rPr>
                <w:sz w:val="20"/>
                <w:szCs w:val="20"/>
                <w:color w:val="auto"/>
              </w:rPr>
            </w:pPr>
            <w:r>
              <w:rPr>
                <w:rFonts w:ascii="Arial" w:cs="Arial" w:eastAsia="Arial" w:hAnsi="Arial"/>
                <w:sz w:val="22"/>
                <w:szCs w:val="22"/>
                <w:color w:val="auto"/>
              </w:rPr>
              <w:t>04/24/2023 6250</w:t>
            </w:r>
          </w:p>
        </w:tc>
        <w:tc>
          <w:tcPr>
            <w:tcW w:w="1580" w:type="dxa"/>
            <w:vAlign w:val="bottom"/>
            <w:vMerge w:val="restart"/>
          </w:tcPr>
          <w:p>
            <w:pPr>
              <w:jc w:val="right"/>
              <w:ind w:right="452"/>
              <w:spacing w:after="0"/>
              <w:rPr>
                <w:sz w:val="20"/>
                <w:szCs w:val="20"/>
                <w:color w:val="auto"/>
              </w:rPr>
            </w:pPr>
            <w:r>
              <w:rPr>
                <w:rFonts w:ascii="Arial" w:cs="Arial" w:eastAsia="Arial" w:hAnsi="Arial"/>
                <w:sz w:val="22"/>
                <w:szCs w:val="22"/>
                <w:color w:val="auto"/>
                <w:w w:val="96"/>
              </w:rPr>
              <w:t>309750.00</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17th Floor</w:t>
            </w:r>
          </w:p>
        </w:tc>
        <w:tc>
          <w:tcPr>
            <w:tcW w:w="210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21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Houston  TX</w:t>
            </w:r>
          </w:p>
        </w:tc>
        <w:tc>
          <w:tcPr>
            <w:tcW w:w="2100" w:type="dxa"/>
            <w:vAlign w:val="bottom"/>
          </w:tcPr>
          <w:p>
            <w:pPr>
              <w:jc w:val="right"/>
              <w:ind w:right="1372"/>
              <w:spacing w:after="0"/>
              <w:rPr>
                <w:sz w:val="20"/>
                <w:szCs w:val="20"/>
                <w:color w:val="auto"/>
              </w:rPr>
            </w:pPr>
            <w:r>
              <w:rPr>
                <w:rFonts w:ascii="Arial" w:cs="Arial" w:eastAsia="Arial" w:hAnsi="Arial"/>
                <w:sz w:val="22"/>
                <w:szCs w:val="22"/>
                <w:color w:val="auto"/>
                <w:w w:val="98"/>
              </w:rPr>
              <w:t>77056</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05/30/2023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11/11/2022</w:t>
      </w:r>
    </w:p>
    <w:p>
      <w:pPr>
        <w:spacing w:after="0" w:line="652" w:lineRule="exact"/>
        <w:rPr>
          <w:sz w:val="20"/>
          <w:szCs w:val="20"/>
          <w:color w:val="auto"/>
        </w:rPr>
      </w:pPr>
    </w:p>
    <w:p>
      <w:pPr>
        <w:sectPr>
          <w:pgSz w:w="11900" w:h="16838" w:orient="portrait"/>
          <w:cols w:equalWidth="0" w:num="2">
            <w:col w:w="4160" w:space="160"/>
            <w:col w:w="692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120" w:type="dxa"/>
            <w:vAlign w:val="bottom"/>
          </w:tcPr>
          <w:p>
            <w:pPr>
              <w:ind w:left="1720"/>
              <w:spacing w:after="0" w:line="246" w:lineRule="exact"/>
              <w:rPr>
                <w:sz w:val="20"/>
                <w:szCs w:val="20"/>
                <w:color w:val="auto"/>
              </w:rPr>
            </w:pPr>
            <w:r>
              <w:rPr>
                <w:rFonts w:ascii="Arial" w:cs="Arial" w:eastAsia="Arial" w:hAnsi="Arial"/>
                <w:sz w:val="22"/>
                <w:szCs w:val="22"/>
                <w:color w:val="auto"/>
                <w:w w:val="89"/>
              </w:rPr>
              <w:t>/s/ Daniel Tucci, as a duly authorized representative of Fidelity Brokerage</w:t>
            </w:r>
          </w:p>
        </w:tc>
        <w:tc>
          <w:tcPr>
            <w:tcW w:w="0" w:type="dxa"/>
            <w:vAlign w:val="bottom"/>
          </w:tcPr>
          <w:p>
            <w:pPr>
              <w:spacing w:after="0"/>
              <w:rPr>
                <w:sz w:val="1"/>
                <w:szCs w:val="1"/>
                <w:color w:val="auto"/>
              </w:rPr>
            </w:pPr>
          </w:p>
        </w:tc>
      </w:tr>
      <w:tr>
        <w:trPr>
          <w:trHeight w:val="153"/>
        </w:trPr>
        <w:tc>
          <w:tcPr>
            <w:tcW w:w="2560" w:type="dxa"/>
            <w:vAlign w:val="bottom"/>
            <w:vMerge w:val="continue"/>
          </w:tcPr>
          <w:p>
            <w:pPr>
              <w:spacing w:after="0"/>
              <w:rPr>
                <w:sz w:val="13"/>
                <w:szCs w:val="13"/>
                <w:color w:val="auto"/>
              </w:rPr>
            </w:pPr>
          </w:p>
        </w:tc>
        <w:tc>
          <w:tcPr>
            <w:tcW w:w="8120" w:type="dxa"/>
            <w:vAlign w:val="bottom"/>
            <w:vMerge w:val="restart"/>
          </w:tcPr>
          <w:p>
            <w:pPr>
              <w:ind w:left="1720"/>
              <w:spacing w:after="0"/>
              <w:rPr>
                <w:sz w:val="20"/>
                <w:szCs w:val="20"/>
                <w:color w:val="auto"/>
              </w:rPr>
            </w:pPr>
            <w:r>
              <w:rPr>
                <w:rFonts w:ascii="Arial" w:cs="Arial" w:eastAsia="Arial" w:hAnsi="Arial"/>
                <w:sz w:val="22"/>
                <w:szCs w:val="22"/>
                <w:color w:val="auto"/>
              </w:rPr>
              <w:t>Services LLC, as attorney-in-fact for Stephane Biguet</w:t>
            </w: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2023-05-30T13:40:17Z</dcterms:created>
  <dcterms:modified xsi:type="dcterms:W3CDTF">2023-05-30T13:40:17Z</dcterms:modified>
</cp:coreProperties>
</file>