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Raman Aparna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53"/>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03/28/2025</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Chief Strategy &amp; Mktg Officer</w:t>
            </w:r>
          </w:p>
        </w:tc>
      </w:tr>
      <w:tr>
        <w:trPr>
          <w:trHeight w:val="248"/>
        </w:trPr>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9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100" w:type="dxa"/>
            <w:vAlign w:val="bottom"/>
            <w:tcBorders>
              <w:bottom w:val="single" w:sz="8" w:color="2C2C2C"/>
            </w:tcBorders>
            <w:gridSpan w:val="2"/>
          </w:tcPr>
          <w:p>
            <w:pPr>
              <w:spacing w:after="0"/>
              <w:rPr>
                <w:sz w:val="21"/>
                <w:szCs w:val="2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03/28/2025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25,133</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42.28</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jc w:val="center"/>
              <w:ind w:right="237"/>
              <w:spacing w:after="0"/>
              <w:rPr>
                <w:sz w:val="20"/>
                <w:szCs w:val="20"/>
                <w:color w:val="auto"/>
              </w:rPr>
            </w:pPr>
            <w:r>
              <w:rPr>
                <w:rFonts w:ascii="Times New Roman" w:cs="Times New Roman" w:eastAsia="Times New Roman" w:hAnsi="Times New Roman"/>
                <w:sz w:val="17"/>
                <w:szCs w:val="17"/>
                <w:color w:val="0000FF"/>
              </w:rPr>
              <w:t>31,031</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color w:val="0000FF"/>
                <w:w w:val="93"/>
              </w:rPr>
              <w:t>1,951</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9"/>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$42.15 to $42.50.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1,972 shares that were inadvertently excluded from the reporting person's direct holdings on her original Form 3.</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04/01/2025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59749"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2025-04-01T16:25:00Z</dcterms:created>
  <dcterms:modified xsi:type="dcterms:W3CDTF">2025-04-01T16:25:00Z</dcterms:modified>
</cp:coreProperties>
</file>