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27, 2010</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ON FORM S-8 TO</w:t>
      </w:r>
    </w:p>
    <w:p>
      <w:pPr>
        <w:jc w:val="center"/>
        <w:spacing w:after="0" w:line="237" w:lineRule="auto"/>
        <w:rPr>
          <w:sz w:val="20"/>
          <w:szCs w:val="20"/>
          <w:color w:val="auto"/>
        </w:rPr>
      </w:pPr>
      <w:r>
        <w:rPr>
          <w:rFonts w:ascii="Arial" w:cs="Arial" w:eastAsia="Arial" w:hAnsi="Arial"/>
          <w:sz w:val="32"/>
          <w:szCs w:val="32"/>
          <w:b w:val="1"/>
          <w:bCs w:val="1"/>
          <w:color w:val="auto"/>
        </w:rPr>
        <w:t>FORM S-4</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ind w:left="1180"/>
        <w:spacing w:after="0"/>
        <w:tabs>
          <w:tab w:leader="none" w:pos="5640" w:val="left"/>
          <w:tab w:leader="none" w:pos="9160" w:val="left"/>
        </w:tabs>
        <w:rPr>
          <w:sz w:val="20"/>
          <w:szCs w:val="20"/>
          <w:color w:val="auto"/>
        </w:rPr>
      </w:pPr>
      <w:r>
        <w:rPr>
          <w:rFonts w:ascii="Arial" w:cs="Arial" w:eastAsia="Arial" w:hAnsi="Arial"/>
          <w:sz w:val="18"/>
          <w:szCs w:val="18"/>
          <w:b w:val="1"/>
          <w:bCs w:val="1"/>
          <w:color w:val="auto"/>
        </w:rPr>
        <w:t>Netherlands Antilles</w:t>
      </w:r>
      <w:r>
        <w:rPr>
          <w:sz w:val="20"/>
          <w:szCs w:val="20"/>
          <w:color w:val="auto"/>
        </w:rPr>
        <w:tab/>
      </w:r>
      <w:r>
        <w:rPr>
          <w:rFonts w:ascii="Arial" w:cs="Arial" w:eastAsia="Arial" w:hAnsi="Arial"/>
          <w:sz w:val="18"/>
          <w:szCs w:val="18"/>
          <w:b w:val="1"/>
          <w:bCs w:val="1"/>
          <w:color w:val="auto"/>
        </w:rPr>
        <w:t>1389</w:t>
      </w:r>
      <w:r>
        <w:rPr>
          <w:sz w:val="20"/>
          <w:szCs w:val="20"/>
          <w:color w:val="auto"/>
        </w:rPr>
        <w:tab/>
      </w:r>
      <w:r>
        <w:rPr>
          <w:rFonts w:ascii="Arial" w:cs="Arial" w:eastAsia="Arial" w:hAnsi="Arial"/>
          <w:sz w:val="15"/>
          <w:szCs w:val="15"/>
          <w:b w:val="1"/>
          <w:bCs w:val="1"/>
          <w:color w:val="auto"/>
        </w:rPr>
        <w:t>52-0684746</w:t>
      </w:r>
    </w:p>
    <w:p>
      <w:pPr>
        <w:spacing w:after="0" w:line="12" w:lineRule="exact"/>
        <w:rPr>
          <w:sz w:val="24"/>
          <w:szCs w:val="24"/>
          <w:color w:val="auto"/>
        </w:rPr>
      </w:pPr>
    </w:p>
    <w:p>
      <w:pPr>
        <w:ind w:left="1100"/>
        <w:spacing w:after="0"/>
        <w:tabs>
          <w:tab w:leader="none" w:pos="4960" w:val="left"/>
          <w:tab w:leader="none" w:pos="908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4"/>
          <w:szCs w:val="14"/>
          <w:b w:val="1"/>
          <w:bCs w:val="1"/>
          <w:color w:val="auto"/>
        </w:rPr>
        <w:t>(Primary Standard Industrial</w:t>
      </w:r>
      <w:r>
        <w:rPr>
          <w:sz w:val="20"/>
          <w:szCs w:val="20"/>
          <w:color w:val="auto"/>
        </w:rPr>
        <w:tab/>
      </w:r>
      <w:r>
        <w:rPr>
          <w:rFonts w:ascii="Arial" w:cs="Arial" w:eastAsia="Arial" w:hAnsi="Arial"/>
          <w:sz w:val="12"/>
          <w:szCs w:val="12"/>
          <w:b w:val="1"/>
          <w:bCs w:val="1"/>
          <w:color w:val="auto"/>
        </w:rPr>
        <w:t>(I.R.S. Employer</w:t>
      </w:r>
    </w:p>
    <w:p>
      <w:pPr>
        <w:ind w:left="1080"/>
        <w:spacing w:after="0"/>
        <w:tabs>
          <w:tab w:leader="none" w:pos="4980" w:val="left"/>
          <w:tab w:leader="none" w:pos="890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4"/>
          <w:szCs w:val="14"/>
          <w:b w:val="1"/>
          <w:bCs w:val="1"/>
          <w:color w:val="auto"/>
        </w:rPr>
        <w:t>Classification Code Number)</w:t>
      </w:r>
      <w:r>
        <w:rPr>
          <w:sz w:val="20"/>
          <w:szCs w:val="20"/>
          <w:color w:val="auto"/>
        </w:rPr>
        <w:tab/>
      </w:r>
      <w:r>
        <w:rPr>
          <w:rFonts w:ascii="Arial" w:cs="Arial" w:eastAsia="Arial" w:hAnsi="Arial"/>
          <w:sz w:val="12"/>
          <w:szCs w:val="12"/>
          <w:b w:val="1"/>
          <w:bCs w:val="1"/>
          <w:color w:val="auto"/>
        </w:rPr>
        <w:t>Identification Number)</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 rue Saint-Dominique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Paris, France 75007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33-1-4062-1000</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5599 San Felipe, 17th Floor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Parkstraat 83, The Hague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Netherlands, 2514 JG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31-70-310-54003000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SMITH INTERNATIONAL, INC. THIRD AMENDED AND RESTATED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1989 LONG-TERM INCENTIVE COMPENSATION PLAN</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W-H ENERGY SERVICES, INC. 1997 STOCK OPTION PLAN, AS RESTATED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Alexander C. Juden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5599 San Felipe, 17th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 David Kirkland, Jr.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 Breen Haire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Botts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Shell Plaza</w:t>
      </w:r>
    </w:p>
    <w:p>
      <w:pPr>
        <w:spacing w:after="0" w:line="9" w:lineRule="exact"/>
        <w:rPr>
          <w:sz w:val="24"/>
          <w:szCs w:val="24"/>
          <w:color w:val="auto"/>
        </w:rPr>
      </w:pPr>
    </w:p>
    <w:p>
      <w:pPr>
        <w:ind w:left="5500" w:hanging="310"/>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Louisiana</w:t>
      </w:r>
    </w:p>
    <w:p>
      <w:pPr>
        <w:spacing w:after="0" w:line="9" w:lineRule="exact"/>
        <w:rPr>
          <w:rFonts w:ascii="Arial" w:cs="Arial" w:eastAsia="Arial" w:hAnsi="Arial"/>
          <w:sz w:val="18"/>
          <w:szCs w:val="18"/>
          <w:b w:val="1"/>
          <w:bCs w:val="1"/>
          <w:color w:val="auto"/>
        </w:rPr>
      </w:pPr>
    </w:p>
    <w:p>
      <w:pPr>
        <w:ind w:left="49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Houston, Texas 77002</w:t>
      </w:r>
    </w:p>
    <w:p>
      <w:pPr>
        <w:spacing w:after="0" w:line="9" w:lineRule="exact"/>
        <w:rPr>
          <w:rFonts w:ascii="Arial" w:cs="Arial" w:eastAsia="Arial" w:hAnsi="Arial"/>
          <w:sz w:val="18"/>
          <w:szCs w:val="18"/>
          <w:b w:val="1"/>
          <w:bCs w:val="1"/>
          <w:color w:val="auto"/>
        </w:rPr>
      </w:pPr>
    </w:p>
    <w:p>
      <w:pPr>
        <w:ind w:left="5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(713) 229-1234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680" w:type="dxa"/>
            <w:vAlign w:val="bottom"/>
            <w:gridSpan w:val="2"/>
          </w:tcPr>
          <w:p>
            <w:pPr>
              <w:spacing w:after="0"/>
              <w:rPr>
                <w:sz w:val="20"/>
                <w:szCs w:val="20"/>
                <w:color w:val="auto"/>
              </w:rPr>
            </w:pPr>
            <w:r>
              <w:rPr>
                <w:rFonts w:ascii="Arial" w:cs="Arial" w:eastAsia="Arial" w:hAnsi="Arial"/>
                <w:sz w:val="18"/>
                <w:szCs w:val="18"/>
                <w:color w:val="auto"/>
                <w:w w:val="93"/>
              </w:rPr>
              <w:t>Large accelerated filer</w:t>
            </w:r>
          </w:p>
        </w:tc>
        <w:tc>
          <w:tcPr>
            <w:tcW w:w="19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w w:val="94"/>
              </w:rPr>
              <w:t>Accelerated filer</w:t>
            </w:r>
          </w:p>
        </w:tc>
        <w:tc>
          <w:tcPr>
            <w:tcW w:w="1120" w:type="dxa"/>
            <w:vAlign w:val="bottom"/>
          </w:tcPr>
          <w:p>
            <w:pPr>
              <w:spacing w:after="0"/>
              <w:rPr>
                <w:sz w:val="23"/>
                <w:szCs w:val="23"/>
                <w:color w:val="auto"/>
              </w:rPr>
            </w:pP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80" w:type="dxa"/>
            <w:vAlign w:val="bottom"/>
            <w:gridSpan w:val="2"/>
          </w:tcPr>
          <w:p>
            <w:pPr>
              <w:spacing w:after="0"/>
              <w:rPr>
                <w:sz w:val="20"/>
                <w:szCs w:val="20"/>
                <w:color w:val="auto"/>
              </w:rPr>
            </w:pPr>
            <w:r>
              <w:rPr>
                <w:rFonts w:ascii="Arial" w:cs="Arial" w:eastAsia="Arial" w:hAnsi="Arial"/>
                <w:sz w:val="18"/>
                <w:szCs w:val="18"/>
                <w:color w:val="auto"/>
                <w:w w:val="99"/>
              </w:rPr>
              <w:t>Non-accelerated filer</w:t>
            </w:r>
          </w:p>
        </w:tc>
        <w:tc>
          <w:tcPr>
            <w:tcW w:w="5220" w:type="dxa"/>
            <w:vAlign w:val="bottom"/>
            <w:gridSpan w:val="5"/>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6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44"/>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620" w:type="dxa"/>
            <w:vAlign w:val="bottom"/>
            <w:gridSpan w:val="5"/>
          </w:tcPr>
          <w:p>
            <w:pPr>
              <w:ind w:left="38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7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25"/>
              <w:spacing w:after="0" w:line="117" w:lineRule="exact"/>
              <w:rPr>
                <w:sz w:val="20"/>
                <w:szCs w:val="20"/>
                <w:color w:val="auto"/>
              </w:rPr>
            </w:pPr>
            <w:r>
              <w:rPr>
                <w:rFonts w:ascii="Arial" w:cs="Arial" w:eastAsia="Arial" w:hAnsi="Arial"/>
                <w:sz w:val="12"/>
                <w:szCs w:val="12"/>
                <w:b w:val="1"/>
                <w:bCs w:val="1"/>
                <w:color w:val="auto"/>
                <w:w w:val="97"/>
              </w:rPr>
              <w:t>Proposed</w:t>
            </w: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0"/>
              <w:spacing w:after="0" w:line="149" w:lineRule="exact"/>
              <w:rPr>
                <w:sz w:val="20"/>
                <w:szCs w:val="20"/>
                <w:color w:val="auto"/>
              </w:rPr>
            </w:pPr>
            <w:r>
              <w:rPr>
                <w:rFonts w:ascii="Arial" w:cs="Arial" w:eastAsia="Arial" w:hAnsi="Arial"/>
                <w:sz w:val="14"/>
                <w:szCs w:val="14"/>
                <w:b w:val="1"/>
                <w:bCs w:val="1"/>
                <w:color w:val="auto"/>
                <w:w w:val="88"/>
              </w:rPr>
              <w:t>maximum</w:t>
            </w:r>
          </w:p>
        </w:tc>
        <w:tc>
          <w:tcPr>
            <w:tcW w:w="1600" w:type="dxa"/>
            <w:vAlign w:val="bottom"/>
            <w:tcBorders>
              <w:right w:val="single" w:sz="8" w:color="auto"/>
            </w:tcBorders>
          </w:tcPr>
          <w:p>
            <w:pPr>
              <w:jc w:val="center"/>
              <w:ind w:left="25"/>
              <w:spacing w:after="0" w:line="149" w:lineRule="exact"/>
              <w:rPr>
                <w:sz w:val="20"/>
                <w:szCs w:val="20"/>
                <w:color w:val="auto"/>
              </w:rPr>
            </w:pPr>
            <w:r>
              <w:rPr>
                <w:rFonts w:ascii="Arial" w:cs="Arial" w:eastAsia="Arial" w:hAnsi="Arial"/>
                <w:sz w:val="14"/>
                <w:szCs w:val="14"/>
                <w:b w:val="1"/>
                <w:bCs w:val="1"/>
                <w:color w:val="auto"/>
                <w:w w:val="88"/>
              </w:rPr>
              <w:t>maximum</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Title of each class of</w:t>
            </w:r>
          </w:p>
        </w:tc>
        <w:tc>
          <w:tcPr>
            <w:tcW w:w="8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b w:val="1"/>
                <w:bCs w:val="1"/>
                <w:color w:val="auto"/>
              </w:rPr>
              <w:t>Amount 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0"/>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83"/>
              </w:rPr>
              <w:t>aggregate</w:t>
            </w: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0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securities to be registered</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6"/>
              </w:rPr>
              <w:t>registered(1)(2)</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7"/>
              </w:rPr>
              <w:t>per share(1)</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88"/>
              </w:rPr>
              <w:t>offering price(1)</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fee(1)</w:t>
            </w:r>
          </w:p>
        </w:tc>
        <w:tc>
          <w:tcPr>
            <w:tcW w:w="200" w:type="dxa"/>
            <w:vAlign w:val="bottom"/>
            <w:tcBorders>
              <w:bottom w:val="single" w:sz="8" w:color="auto"/>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142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right"/>
              <w:ind w:right="406"/>
              <w:spacing w:after="0"/>
              <w:rPr>
                <w:sz w:val="20"/>
                <w:szCs w:val="20"/>
                <w:color w:val="auto"/>
              </w:rPr>
            </w:pPr>
            <w:r>
              <w:rPr>
                <w:rFonts w:ascii="Arial" w:cs="Arial" w:eastAsia="Arial" w:hAnsi="Arial"/>
                <w:sz w:val="18"/>
                <w:szCs w:val="18"/>
                <w:color w:val="auto"/>
              </w:rPr>
              <w:t>687,711</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9"/>
              </w:rPr>
              <w:t>N/A</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8"/>
                <w:szCs w:val="18"/>
                <w:color w:val="auto"/>
                <w:w w:val="99"/>
              </w:rPr>
              <w:t>N/A</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0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sectPr>
          <w:pgSz w:w="11900" w:h="16838" w:orient="portrait"/>
          <w:cols w:equalWidth="0" w:num="1">
            <w:col w:w="11420"/>
          </w:cols>
          <w:pgMar w:left="240" w:top="233" w:right="239" w:bottom="0" w:gutter="0" w:footer="0" w:header="0"/>
        </w:sectPr>
      </w:pPr>
    </w:p>
    <w:p>
      <w:pPr>
        <w:ind w:left="460" w:right="300" w:hanging="452"/>
        <w:spacing w:after="0" w:line="370" w:lineRule="auto"/>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This Post-Effective Amendment No. 1 covers up to 687,711 shares of common stock of Schlumberger N.V. (Schlumberger Limited) (“Schlumberger”) issuable by Schlumberger with respect to equity-based awards outstanding under the Smith International, Inc. Third Amended and Restated 1989 Long-</w:t>
      </w:r>
    </w:p>
    <w:p>
      <w:pPr>
        <w:sectPr>
          <w:pgSz w:w="11900" w:h="16838" w:orient="portrait"/>
          <w:cols w:equalWidth="0" w:num="1">
            <w:col w:w="11420"/>
          </w:cols>
          <w:pgMar w:left="240" w:top="233" w:right="239" w:bottom="0" w:gutter="0" w:footer="0" w:header="0"/>
          <w:type w:val="continuous"/>
        </w:sectPr>
      </w:pPr>
    </w:p>
    <w:bookmarkStart w:id="1" w:name="page2"/>
    <w:bookmarkEnd w:id="1"/>
    <w:p>
      <w:pPr>
        <w:ind w:left="452"/>
        <w:spacing w:after="0" w:line="283" w:lineRule="auto"/>
        <w:rPr>
          <w:sz w:val="20"/>
          <w:szCs w:val="20"/>
          <w:color w:val="auto"/>
        </w:rPr>
      </w:pPr>
      <w:r>
        <w:rPr>
          <w:rFonts w:ascii="Arial" w:cs="Arial" w:eastAsia="Arial" w:hAnsi="Arial"/>
          <w:sz w:val="16"/>
          <w:szCs w:val="16"/>
          <w:color w:val="auto"/>
        </w:rPr>
        <w:t>Term Incentive Compensation Plan and the W-H Energy Services, Inc. 1997 Stock Option Plan, as restated (collectively, the “Plans”), originally registered on Schlumberger’s Registration Statement on Form S-4 (File No. 333-166326), as amended, initially filed with the Securities and Exchange Commission (the “Commission”) on April 27, 2010 (the “Registration Statement”). The proposed maximum offering price was calculated and the fee was previously paid in connection with the filing with the Commission of the Registration Statement.</w:t>
      </w:r>
    </w:p>
    <w:p>
      <w:pPr>
        <w:spacing w:after="0" w:line="3" w:lineRule="exact"/>
        <w:rPr>
          <w:sz w:val="20"/>
          <w:szCs w:val="20"/>
          <w:color w:val="auto"/>
        </w:rPr>
      </w:pPr>
    </w:p>
    <w:p>
      <w:pPr>
        <w:ind w:left="452" w:right="40" w:hanging="452"/>
        <w:spacing w:after="0" w:line="255" w:lineRule="auto"/>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be deemed to cover an indeterminate number of additional shares that may become issuable as a result of stock splits, stock dividends or similar transactions pursuant to the anti-dilution provisions of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97155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1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Schlumberger N.V. (Schlumberger Limited) (“Schlumberger”) hereby amends its Registration Statement on Form S-4 (Registration No. 333-166326), which was filed on April 27, 2010, as subsequently amended, and was declared effective on July 20, 2010 (the “Registration Statement”), by filing this Post-Effective Amendment No. 1 on Form S-8 relating to up to 687,711 shares of Schlumberger’s common stock, par value $0.01 per share, issuable by Schlumberger upon the exercise of stock options and restricted stock units granted under the Smith International, Inc. Third Amended and Restated 1989 Long-Term Incentive Compensation Plan and the W-H Energy Services, Inc. 1997 Stock Option Plan, as restated (collectively, the “Plans”).</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August 27, 2010, Turnberry Merger Sub Inc., a Delaware corporation and a wholly owned subsidiary of Schlumberger Limited, merged with and into Smith, with Smith as the surviving corporation (the “Merger”).</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 August 27, 2010, pursuant to an Agreement and Plan of Merger, dated as of February 21, 2010 (the “Merger Agreement”), by and between Schlumberger, Turnberry Merger Sub Inc., a Delaware corporation and a direct wholly owned subsidiary of Schlumberger (“Merger Sub”), and Smith International, Inc., a Delaware corporation (“Smith”), Merger Sub merged with and into Smith, with Smith as the surviving corporation (the “Merger”). As a result of the Merger, Smith became a wholly owned subsidiary of Schlumberger. Pursuant to the Merger Agreement, all outstanding options to purchase shares of Smith common stock, par value $1.00 per share, were converted into options to purchase shares of Schlumberger common stock with the duration and terms of such converted options to remain the same as the original Smith option. The number of shares of Schlumberger common stock subject to each option is determined by multiplying the number of shares of Smith common stock subject to the original Smith option by the 0.6966 exchange ratio, rounded down to the nearest whole share. The option exercise price per share of Schlumberger common stock is equal to the option exercise price per share of Smith common stock under the original Smith option divided by the exchange ratio rounded up to the nearest whole cent. In addition, any award of restricted stock units made by Smith after February 21, 2010 was converted into an award of Schlumberger restricted stock units in an amount equal to the product of the number of shares of Smith stock subject to the original Smith award and the 0.6966 exchange ratio, with any fractional units rounded to the nearest whole unit.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document(s) containing the information specified in Part I of Form S-8 have been or will be sent or given to participants in the Plans as specified by Rule 428(b)(1) under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Registration Statement incorporates herein by reference the following documents, which have been filed with the Commission by the Registrant (SEC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File No. 001-04601) pursuant to the Securities Act and the Securities Exchange Act of 1934, as amended (the “Exchange Act”):</w:t>
      </w:r>
    </w:p>
    <w:p>
      <w:pPr>
        <w:spacing w:after="0" w:line="8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Schlumberger’s Annual Report on Form 10-K for the fiscal year ended December 31,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Schlumberger’s Quarterly Reports on Form 10-Q for the quarters ended March 31, 2010 and June 30, 2010;</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Schlumberger’s Current Reports on Form 8-K filed with the SEC on January 22, 2010 (Linda Gillespie Stuntz’s notification of intention not to stand for reelection to Board of Directors), February 8, 2010 (Paal Kibsgaard appointed as Chief Operating Officer), February 8, 2010 (Chakib Sbiti assuming position of Senior Executive Advisor to Chairman and Chief Executive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ind w:left="9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 February 22, 2010 (press release regarding Smith transaction) and February 22, 2010 (execution of merger agreement with Smith), April 5, 2010 (press release regarding second request from the Antitrust Division), April 9, 2010 (results of Schlumberger’s 2010 annual meeting), June 7, 2010 (Jamie S. Gorelick’s resignation from the Board of Directors), June 10, 2010 (update on U.S. Gulf of Mexico operations), July 26, 2010 (EC Merger Regulation clearance of merger with Smith), July 27, 2010 (U.S. Department of Justice clearance of merger with Smith) and August 27, 2010 (completion of merger with Smith); and</w:t>
      </w:r>
    </w:p>
    <w:p>
      <w:pPr>
        <w:spacing w:after="0" w:line="62" w:lineRule="exact"/>
        <w:rPr>
          <w:sz w:val="20"/>
          <w:szCs w:val="20"/>
          <w:color w:val="auto"/>
        </w:rPr>
      </w:pPr>
    </w:p>
    <w:p>
      <w:pPr>
        <w:ind w:left="900" w:right="4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Schlumberger’s common stock, par value $0.01 per share, contained in Schlumberger’s Current Report on Form 8-K filed on April 29, 2005.</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Each document filed with the Commission by the Schlumberger pursuant to Sections 13(a), 13(c), 14 or 15(d) of the Exchange Act subsequent to the date of this Registration Statement and prior to the filing of any further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Any statement contained in this Registration Statement, in any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22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Schlumberger’s Amended and Restated By-Laws contains mandatory indemnification for current and former directors and officers as described below.</w:t>
      </w:r>
    </w:p>
    <w:p>
      <w:pPr>
        <w:spacing w:after="0" w:line="14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To the fullest extent permitted by applicable law, Schlumberger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Schlumberger, and, with respect to any criminal action or proceeding, had reasonable cause to believe that such person’s conduct was unlawful. Schlumberger is required to indemnify any present or former officer or director of Schlumberger to the fullest extent allowed by the preceding paragraphs in the event of a “Change of Control.” “Change of Control” means a change in control of Schlumberger, which shall be deemed to have occurred if at any time (i) any entity, person or organization is or becomes the legal or beneficial owner, directly or indirectly, of securities of Schlumberger representing 30%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 w:name="page5"/>
    <w:bookmarkEnd w:id="4"/>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more of the combined voting power of Schlumberger’s then outstanding shares without the prior approval of at least two-thirds of the members of the Board of Directors in office immediately prior to such entity, person or organization attaining such percentage interest; (ii) Schlumberger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the Board of Directors.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the fullest extent permitted by applicable law, Schlumberger shall indemnify any current or former director or officer who was or is a party or is threatened to be made a party to any threatened, 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 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 (as defined above).</w:t>
      </w:r>
    </w:p>
    <w:p>
      <w:pPr>
        <w:spacing w:after="0" w:line="1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indemnification under the first two paragraphs in this item (unless ordered by a court) may be extended to current or former employees or agents of Schlumberger only as authorized by the Chief Executive Officer or by contract approved, or by-laws, resolution or other action adopted or taken, by the board of directors or by the stockholders.</w:t>
      </w:r>
    </w:p>
    <w:p>
      <w:pPr>
        <w:spacing w:after="0" w:line="14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Expenses (including attorneys’ fees) incurred by a present or former director or a present officer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88"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Schlumberger may pay such expenses (including attorneys’ fees) incurred by former officers or other employees and agents upon such terms and conditions, if any, it deems appropriate.</w:t>
      </w:r>
    </w:p>
    <w:p>
      <w:pPr>
        <w:spacing w:after="0" w:line="13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References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5" w:name="page6"/>
    <w:bookmarkEnd w:id="5"/>
    <w:p>
      <w:pPr>
        <w:ind w:righ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Schlumberger.”</w:t>
      </w:r>
    </w:p>
    <w:p>
      <w:pPr>
        <w:spacing w:after="0" w:line="116"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A member of the Board of Directors, or a member of any committee designated by the Board of Directors, shall, in the performance of such member’s duties, be fully protected in relying in good faith upon the records of Schlumberger and upon such information, opinions, reports or statements presented to Schlumberger by any of Schlumberger’s officers or employees, or committees of the Board of Directors, or by any other person as to matters the member reasonably believes are within such other person’s professional or expert competence and who has been selected with reasonable care by or on behalf of Schlumberger.</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Schlumberger maintains directors’ and officers’ liability insurance which insures against certain liabilities that the officers and directors of Schlumberger may incur in such capacities.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520" w:type="dxa"/>
            <w:vAlign w:val="bottom"/>
            <w:gridSpan w:val="3"/>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660" w:type="dxa"/>
            <w:vAlign w:val="bottom"/>
          </w:tcPr>
          <w:p>
            <w:pPr>
              <w:spacing w:after="0"/>
              <w:rPr>
                <w:sz w:val="14"/>
                <w:szCs w:val="14"/>
                <w:color w:val="auto"/>
              </w:rPr>
            </w:pPr>
          </w:p>
        </w:tc>
      </w:tr>
      <w:tr>
        <w:trPr>
          <w:trHeight w:val="309"/>
        </w:trPr>
        <w:tc>
          <w:tcPr>
            <w:tcW w:w="460" w:type="dxa"/>
            <w:vAlign w:val="bottom"/>
          </w:tcPr>
          <w:p>
            <w:pPr>
              <w:jc w:val="right"/>
              <w:ind w:right="36"/>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89"/>
              </w:rPr>
              <w:t>Articles of Incorporation of Schlumberger Limited (Schlumberger N.V.), as last amended on April 12, 2006 (incorporated by reference to Exhibit</w:t>
            </w:r>
          </w:p>
        </w:tc>
      </w:tr>
      <w:tr>
        <w:trPr>
          <w:trHeight w:val="222"/>
        </w:trPr>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3.1 to Schlumberger’s Quarterly Report on Form 10-Q for the quarter ended March 31, 2006).</w:t>
            </w:r>
          </w:p>
        </w:tc>
      </w:tr>
      <w:tr>
        <w:trPr>
          <w:trHeight w:val="318"/>
        </w:trPr>
        <w:tc>
          <w:tcPr>
            <w:tcW w:w="460" w:type="dxa"/>
            <w:vAlign w:val="bottom"/>
          </w:tcPr>
          <w:p>
            <w:pPr>
              <w:jc w:val="right"/>
              <w:ind w:right="36"/>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88"/>
              </w:rPr>
              <w:t>Amended and Restated By-Laws of Schlumberger Limited (Schlumberger N.V.), as last amended on April 21, 2005 (incorporated by reference to</w:t>
            </w:r>
          </w:p>
        </w:tc>
      </w:tr>
      <w:tr>
        <w:trPr>
          <w:trHeight w:val="222"/>
        </w:trPr>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Exhibit 3.1 to Schlumberger’s Current Report on Form 8-K filed on April 22, 2005).</w:t>
            </w:r>
          </w:p>
        </w:tc>
      </w:tr>
      <w:tr>
        <w:trPr>
          <w:trHeight w:val="318"/>
        </w:trPr>
        <w:tc>
          <w:tcPr>
            <w:tcW w:w="460" w:type="dxa"/>
            <w:vAlign w:val="bottom"/>
          </w:tcPr>
          <w:p>
            <w:pPr>
              <w:jc w:val="right"/>
              <w:ind w:right="36"/>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92"/>
              </w:rPr>
              <w:t>Opinion of Alexander C. Juden as to the legality of the Schlumberger Shares (contained in the pre-effective Amendment No. 1 to Form S-4</w:t>
            </w:r>
          </w:p>
        </w:tc>
      </w:tr>
      <w:tr>
        <w:trPr>
          <w:trHeight w:val="222"/>
        </w:trPr>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previously filed on June 17, 2010).</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9"/>
              </w:rPr>
              <w:t>23.1*</w:t>
            </w:r>
          </w:p>
        </w:tc>
        <w:tc>
          <w:tcPr>
            <w:tcW w:w="26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Consent of PricewaterhouseCoopers LLP, independent registered public accounting firm for Schlumberger.</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9"/>
              </w:rPr>
              <w:t>23.2*</w:t>
            </w:r>
          </w:p>
        </w:tc>
        <w:tc>
          <w:tcPr>
            <w:tcW w:w="26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Consent of Deloitte &amp; Touche LLP, independent registered public accounting firm for Smith International, Inc.</w:t>
            </w:r>
          </w:p>
        </w:tc>
      </w:tr>
      <w:tr>
        <w:trPr>
          <w:trHeight w:val="324"/>
        </w:trPr>
        <w:tc>
          <w:tcPr>
            <w:tcW w:w="460" w:type="dxa"/>
            <w:vAlign w:val="bottom"/>
          </w:tcPr>
          <w:p>
            <w:pPr>
              <w:jc w:val="right"/>
              <w:ind w:right="36"/>
              <w:spacing w:after="0"/>
              <w:rPr>
                <w:sz w:val="20"/>
                <w:szCs w:val="20"/>
                <w:color w:val="auto"/>
              </w:rPr>
            </w:pPr>
            <w:r>
              <w:rPr>
                <w:rFonts w:ascii="Arial" w:cs="Arial" w:eastAsia="Arial" w:hAnsi="Arial"/>
                <w:sz w:val="18"/>
                <w:szCs w:val="18"/>
                <w:color w:val="auto"/>
                <w:w w:val="91"/>
              </w:rPr>
              <w:t>23.3</w:t>
            </w:r>
          </w:p>
        </w:tc>
        <w:tc>
          <w:tcPr>
            <w:tcW w:w="26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Consent of Alexander C. Juden (included in the opinion filed as Exhibit 5.1).</w:t>
            </w:r>
          </w:p>
        </w:tc>
      </w:tr>
      <w:tr>
        <w:trPr>
          <w:trHeight w:val="324"/>
        </w:trPr>
        <w:tc>
          <w:tcPr>
            <w:tcW w:w="460" w:type="dxa"/>
            <w:vAlign w:val="bottom"/>
          </w:tcPr>
          <w:p>
            <w:pPr>
              <w:jc w:val="right"/>
              <w:ind w:right="36"/>
              <w:spacing w:after="0"/>
              <w:rPr>
                <w:sz w:val="20"/>
                <w:szCs w:val="20"/>
                <w:color w:val="auto"/>
              </w:rPr>
            </w:pPr>
            <w:r>
              <w:rPr>
                <w:rFonts w:ascii="Arial" w:cs="Arial" w:eastAsia="Arial" w:hAnsi="Arial"/>
                <w:sz w:val="18"/>
                <w:szCs w:val="18"/>
                <w:color w:val="auto"/>
                <w:w w:val="91"/>
              </w:rPr>
              <w:t>24.1</w:t>
            </w:r>
          </w:p>
        </w:tc>
        <w:tc>
          <w:tcPr>
            <w:tcW w:w="26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Powers of Attorney (contained in Amendment No. 1 to Form S-4 filed on June 17,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 w:name="page7"/>
    <w:bookmarkEnd w:id="6"/>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undersigned Registrant hereby undertakes:</w:t>
      </w:r>
    </w:p>
    <w:p>
      <w:pPr>
        <w:spacing w:after="0" w:line="90" w:lineRule="exact"/>
        <w:rPr>
          <w:sz w:val="20"/>
          <w:szCs w:val="20"/>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right="20" w:firstLine="1"/>
        <w:spacing w:after="0" w:line="314" w:lineRule="auto"/>
        <w:tabs>
          <w:tab w:leader="none" w:pos="1178" w:val="left"/>
        </w:tabs>
        <w:numPr>
          <w:ilvl w:val="1"/>
          <w:numId w:val="6"/>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3" w:lineRule="exact"/>
        <w:rPr>
          <w:rFonts w:ascii="Arial" w:cs="Arial" w:eastAsia="Arial" w:hAnsi="Arial"/>
          <w:sz w:val="15"/>
          <w:szCs w:val="15"/>
          <w:color w:val="auto"/>
        </w:rPr>
      </w:pPr>
    </w:p>
    <w:p>
      <w:pPr>
        <w:ind w:left="920" w:right="80" w:firstLine="1"/>
        <w:spacing w:after="0" w:line="255" w:lineRule="auto"/>
        <w:tabs>
          <w:tab w:leader="none" w:pos="1227"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 provided, however, that the undertakings set forth in paragraphs (i) and (ii)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61" w:lineRule="exact"/>
        <w:rPr>
          <w:rFonts w:ascii="Arial" w:cs="Arial" w:eastAsia="Arial" w:hAnsi="Arial"/>
          <w:sz w:val="18"/>
          <w:szCs w:val="18"/>
          <w:color w:val="auto"/>
        </w:rPr>
      </w:pPr>
    </w:p>
    <w:p>
      <w:pPr>
        <w:jc w:val="both"/>
        <w:ind w:left="460" w:firstLine="4"/>
        <w:spacing w:after="0" w:line="357" w:lineRule="auto"/>
        <w:tabs>
          <w:tab w:leader="none" w:pos="709" w:val="left"/>
        </w:tabs>
        <w:numPr>
          <w:ilvl w:val="0"/>
          <w:numId w:val="6"/>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ind w:left="460" w:right="220" w:firstLine="4"/>
        <w:spacing w:after="0" w:line="268" w:lineRule="auto"/>
        <w:tabs>
          <w:tab w:leader="none" w:pos="7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2" w:lineRule="exact"/>
        <w:rPr>
          <w:sz w:val="20"/>
          <w:szCs w:val="20"/>
          <w:color w:val="auto"/>
        </w:rPr>
      </w:pPr>
    </w:p>
    <w:p>
      <w:pPr>
        <w:ind w:right="220" w:firstLine="464"/>
        <w:spacing w:after="0" w:line="298" w:lineRule="auto"/>
        <w:tabs>
          <w:tab w:leader="none" w:pos="70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Arial" w:cs="Arial" w:eastAsia="Arial" w:hAnsi="Arial"/>
          <w:sz w:val="16"/>
          <w:szCs w:val="16"/>
          <w:color w:val="auto"/>
        </w:rPr>
      </w:pPr>
    </w:p>
    <w:p>
      <w:pPr>
        <w:ind w:right="40" w:firstLine="464"/>
        <w:spacing w:after="0" w:line="253"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 w:name="page8"/>
    <w:bookmarkEnd w:id="7"/>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on Form S-8 to the Registration Statement on Form S-4 to be signed on its behalf by the undersigned, thereunto duly authorized, in the City of Houston, State of Texas, on August 27, 2010.</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Howard Guild</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Chief Accounting Officer</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1 on Form S-8 to the Registration Statement on Form S-4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40" w:type="dxa"/>
            <w:vAlign w:val="bottom"/>
          </w:tcPr>
          <w:p>
            <w:pPr>
              <w:spacing w:after="0"/>
              <w:rPr>
                <w:sz w:val="14"/>
                <w:szCs w:val="14"/>
                <w:color w:val="auto"/>
              </w:rPr>
            </w:pPr>
          </w:p>
        </w:tc>
      </w:tr>
      <w:tr>
        <w:trPr>
          <w:trHeight w:val="424"/>
        </w:trPr>
        <w:tc>
          <w:tcPr>
            <w:tcW w:w="242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Chairman of the Board, Chief Executive Officer and Director</w:t>
            </w:r>
          </w:p>
        </w:tc>
        <w:tc>
          <w:tcPr>
            <w:tcW w:w="170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August 27, 2010</w:t>
            </w:r>
          </w:p>
        </w:tc>
      </w:tr>
      <w:tr>
        <w:trPr>
          <w:trHeight w:val="202"/>
        </w:trPr>
        <w:tc>
          <w:tcPr>
            <w:tcW w:w="4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Andrew Gould</w:t>
            </w:r>
          </w:p>
        </w:tc>
        <w:tc>
          <w:tcPr>
            <w:tcW w:w="52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Executive Officer)</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26"/>
        </w:trPr>
        <w:tc>
          <w:tcPr>
            <w:tcW w:w="242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Chief Financial Officer (Principal</w:t>
            </w:r>
          </w:p>
        </w:tc>
        <w:tc>
          <w:tcPr>
            <w:tcW w:w="170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August 27, 2010</w:t>
            </w:r>
          </w:p>
        </w:tc>
      </w:tr>
      <w:tr>
        <w:trPr>
          <w:trHeight w:val="202"/>
        </w:trPr>
        <w:tc>
          <w:tcPr>
            <w:tcW w:w="4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Simon Ayat</w:t>
            </w:r>
          </w:p>
        </w:tc>
        <w:tc>
          <w:tcPr>
            <w:tcW w:w="52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Financial Officer)</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27"/>
        </w:trPr>
        <w:tc>
          <w:tcPr>
            <w:tcW w:w="424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Chief Accounting Officer (Principal Accounting Officer)</w:t>
            </w:r>
          </w:p>
        </w:tc>
        <w:tc>
          <w:tcPr>
            <w:tcW w:w="170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August 27, 2010</w:t>
            </w:r>
          </w:p>
        </w:tc>
      </w:tr>
      <w:tr>
        <w:trPr>
          <w:trHeight w:val="169"/>
        </w:trPr>
        <w:tc>
          <w:tcPr>
            <w:tcW w:w="4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Howard Guild</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242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August 27, 2010</w:t>
            </w:r>
          </w:p>
        </w:tc>
      </w:tr>
      <w:tr>
        <w:trPr>
          <w:trHeight w:val="169"/>
        </w:trPr>
        <w:tc>
          <w:tcPr>
            <w:tcW w:w="4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Philippe Camus</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242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August 27, 2010</w:t>
            </w:r>
          </w:p>
        </w:tc>
      </w:tr>
      <w:tr>
        <w:trPr>
          <w:trHeight w:val="169"/>
        </w:trPr>
        <w:tc>
          <w:tcPr>
            <w:tcW w:w="4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Peter L.S. Currie</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242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August 27, 2010</w:t>
            </w:r>
          </w:p>
        </w:tc>
      </w:tr>
      <w:tr>
        <w:trPr>
          <w:trHeight w:val="169"/>
        </w:trPr>
        <w:tc>
          <w:tcPr>
            <w:tcW w:w="4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Tony Isaac</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242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August 27, 2010</w:t>
            </w:r>
          </w:p>
        </w:tc>
      </w:tr>
      <w:tr>
        <w:trPr>
          <w:trHeight w:val="169"/>
        </w:trPr>
        <w:tc>
          <w:tcPr>
            <w:tcW w:w="4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K. Vaman Kamath</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242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August 27, 2010</w:t>
            </w:r>
          </w:p>
        </w:tc>
      </w:tr>
      <w:tr>
        <w:trPr>
          <w:trHeight w:val="169"/>
        </w:trPr>
        <w:tc>
          <w:tcPr>
            <w:tcW w:w="4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Nikolay Kudryavtsev</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242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August 27, 2010</w:t>
            </w:r>
          </w:p>
        </w:tc>
      </w:tr>
      <w:tr>
        <w:trPr>
          <w:trHeight w:val="169"/>
        </w:trPr>
        <w:tc>
          <w:tcPr>
            <w:tcW w:w="4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Adrian Lajous</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ectPr>
          <w:pgSz w:w="11900" w:h="16838" w:orient="portrait"/>
          <w:cols w:equalWidth="0" w:num="1">
            <w:col w:w="11220"/>
          </w:cols>
          <w:pgMar w:left="240" w:top="274"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60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jc w:val="right"/>
              <w:ind w:right="2083"/>
              <w:spacing w:after="0"/>
              <w:rPr>
                <w:sz w:val="20"/>
                <w:szCs w:val="20"/>
                <w:color w:val="auto"/>
              </w:rPr>
            </w:pPr>
            <w:r>
              <w:rPr>
                <w:rFonts w:ascii="Arial" w:cs="Arial" w:eastAsia="Arial" w:hAnsi="Arial"/>
                <w:sz w:val="18"/>
                <w:szCs w:val="18"/>
                <w:color w:val="auto"/>
              </w:rPr>
              <w:t>*</w:t>
            </w:r>
          </w:p>
        </w:tc>
        <w:tc>
          <w:tcPr>
            <w:tcW w:w="32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3640" w:type="dxa"/>
            <w:vAlign w:val="bottom"/>
          </w:tcPr>
          <w:p>
            <w:pPr>
              <w:ind w:left="2460"/>
              <w:spacing w:after="0"/>
              <w:rPr>
                <w:sz w:val="20"/>
                <w:szCs w:val="20"/>
                <w:color w:val="auto"/>
              </w:rPr>
            </w:pPr>
            <w:r>
              <w:rPr>
                <w:rFonts w:ascii="Arial" w:cs="Arial" w:eastAsia="Arial" w:hAnsi="Arial"/>
                <w:sz w:val="18"/>
                <w:szCs w:val="18"/>
                <w:color w:val="auto"/>
                <w:w w:val="88"/>
              </w:rPr>
              <w:t>August 27, 2010</w:t>
            </w:r>
          </w:p>
        </w:tc>
      </w:tr>
      <w:tr>
        <w:trPr>
          <w:trHeight w:val="169"/>
        </w:trPr>
        <w:tc>
          <w:tcPr>
            <w:tcW w:w="600" w:type="dxa"/>
            <w:vAlign w:val="bottom"/>
          </w:tcPr>
          <w:p>
            <w:pPr>
              <w:spacing w:after="0"/>
              <w:rPr>
                <w:sz w:val="14"/>
                <w:szCs w:val="14"/>
                <w:color w:val="auto"/>
              </w:rPr>
            </w:pPr>
          </w:p>
        </w:tc>
        <w:tc>
          <w:tcPr>
            <w:tcW w:w="3640" w:type="dxa"/>
            <w:vAlign w:val="bottom"/>
          </w:tcPr>
          <w:p>
            <w:pPr>
              <w:jc w:val="center"/>
              <w:ind w:right="523"/>
              <w:spacing w:after="0"/>
              <w:rPr>
                <w:sz w:val="20"/>
                <w:szCs w:val="20"/>
                <w:color w:val="auto"/>
              </w:rPr>
            </w:pPr>
            <w:r>
              <w:rPr>
                <w:rFonts w:ascii="Arial" w:cs="Arial" w:eastAsia="Arial" w:hAnsi="Arial"/>
                <w:sz w:val="14"/>
                <w:szCs w:val="14"/>
                <w:b w:val="1"/>
                <w:bCs w:val="1"/>
                <w:color w:val="auto"/>
                <w:w w:val="92"/>
              </w:rPr>
              <w:t>Michael E. Marks</w:t>
            </w:r>
          </w:p>
        </w:tc>
        <w:tc>
          <w:tcPr>
            <w:tcW w:w="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083"/>
              <w:spacing w:after="0"/>
              <w:rPr>
                <w:sz w:val="20"/>
                <w:szCs w:val="20"/>
                <w:color w:val="auto"/>
              </w:rPr>
            </w:pPr>
            <w:r>
              <w:rPr>
                <w:rFonts w:ascii="Arial" w:cs="Arial" w:eastAsia="Arial" w:hAnsi="Arial"/>
                <w:sz w:val="18"/>
                <w:szCs w:val="18"/>
                <w:color w:val="auto"/>
              </w:rPr>
              <w:t>*</w:t>
            </w:r>
          </w:p>
        </w:tc>
        <w:tc>
          <w:tcPr>
            <w:tcW w:w="32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3640" w:type="dxa"/>
            <w:vAlign w:val="bottom"/>
          </w:tcPr>
          <w:p>
            <w:pPr>
              <w:ind w:left="2460"/>
              <w:spacing w:after="0"/>
              <w:rPr>
                <w:sz w:val="20"/>
                <w:szCs w:val="20"/>
                <w:color w:val="auto"/>
              </w:rPr>
            </w:pPr>
            <w:r>
              <w:rPr>
                <w:rFonts w:ascii="Arial" w:cs="Arial" w:eastAsia="Arial" w:hAnsi="Arial"/>
                <w:sz w:val="18"/>
                <w:szCs w:val="18"/>
                <w:color w:val="auto"/>
                <w:w w:val="88"/>
              </w:rPr>
              <w:t>August 27, 2010</w:t>
            </w:r>
          </w:p>
        </w:tc>
      </w:tr>
      <w:tr>
        <w:trPr>
          <w:trHeight w:val="169"/>
        </w:trPr>
        <w:tc>
          <w:tcPr>
            <w:tcW w:w="600" w:type="dxa"/>
            <w:vAlign w:val="bottom"/>
          </w:tcPr>
          <w:p>
            <w:pPr>
              <w:spacing w:after="0"/>
              <w:rPr>
                <w:sz w:val="14"/>
                <w:szCs w:val="14"/>
                <w:color w:val="auto"/>
              </w:rPr>
            </w:pPr>
          </w:p>
        </w:tc>
        <w:tc>
          <w:tcPr>
            <w:tcW w:w="3640" w:type="dxa"/>
            <w:vAlign w:val="bottom"/>
          </w:tcPr>
          <w:p>
            <w:pPr>
              <w:jc w:val="center"/>
              <w:ind w:right="503"/>
              <w:spacing w:after="0"/>
              <w:rPr>
                <w:sz w:val="20"/>
                <w:szCs w:val="20"/>
                <w:color w:val="auto"/>
              </w:rPr>
            </w:pPr>
            <w:r>
              <w:rPr>
                <w:rFonts w:ascii="Arial" w:cs="Arial" w:eastAsia="Arial" w:hAnsi="Arial"/>
                <w:sz w:val="14"/>
                <w:szCs w:val="14"/>
                <w:b w:val="1"/>
                <w:bCs w:val="1"/>
                <w:color w:val="auto"/>
                <w:w w:val="88"/>
              </w:rPr>
              <w:t>Leo Rafael Reif</w:t>
            </w:r>
          </w:p>
        </w:tc>
        <w:tc>
          <w:tcPr>
            <w:tcW w:w="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083"/>
              <w:spacing w:after="0"/>
              <w:rPr>
                <w:sz w:val="20"/>
                <w:szCs w:val="20"/>
                <w:color w:val="auto"/>
              </w:rPr>
            </w:pPr>
            <w:r>
              <w:rPr>
                <w:rFonts w:ascii="Arial" w:cs="Arial" w:eastAsia="Arial" w:hAnsi="Arial"/>
                <w:sz w:val="18"/>
                <w:szCs w:val="18"/>
                <w:color w:val="auto"/>
              </w:rPr>
              <w:t>*</w:t>
            </w:r>
          </w:p>
        </w:tc>
        <w:tc>
          <w:tcPr>
            <w:tcW w:w="32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3640" w:type="dxa"/>
            <w:vAlign w:val="bottom"/>
          </w:tcPr>
          <w:p>
            <w:pPr>
              <w:ind w:left="2460"/>
              <w:spacing w:after="0"/>
              <w:rPr>
                <w:sz w:val="20"/>
                <w:szCs w:val="20"/>
                <w:color w:val="auto"/>
              </w:rPr>
            </w:pPr>
            <w:r>
              <w:rPr>
                <w:rFonts w:ascii="Arial" w:cs="Arial" w:eastAsia="Arial" w:hAnsi="Arial"/>
                <w:sz w:val="18"/>
                <w:szCs w:val="18"/>
                <w:color w:val="auto"/>
                <w:w w:val="88"/>
              </w:rPr>
              <w:t>August 27, 2010</w:t>
            </w:r>
          </w:p>
        </w:tc>
      </w:tr>
      <w:tr>
        <w:trPr>
          <w:trHeight w:val="169"/>
        </w:trPr>
        <w:tc>
          <w:tcPr>
            <w:tcW w:w="600" w:type="dxa"/>
            <w:vAlign w:val="bottom"/>
          </w:tcPr>
          <w:p>
            <w:pPr>
              <w:spacing w:after="0"/>
              <w:rPr>
                <w:sz w:val="14"/>
                <w:szCs w:val="14"/>
                <w:color w:val="auto"/>
              </w:rPr>
            </w:pPr>
          </w:p>
        </w:tc>
        <w:tc>
          <w:tcPr>
            <w:tcW w:w="3640" w:type="dxa"/>
            <w:vAlign w:val="bottom"/>
          </w:tcPr>
          <w:p>
            <w:pPr>
              <w:jc w:val="center"/>
              <w:ind w:right="523"/>
              <w:spacing w:after="0"/>
              <w:rPr>
                <w:sz w:val="20"/>
                <w:szCs w:val="20"/>
                <w:color w:val="auto"/>
              </w:rPr>
            </w:pPr>
            <w:r>
              <w:rPr>
                <w:rFonts w:ascii="Arial" w:cs="Arial" w:eastAsia="Arial" w:hAnsi="Arial"/>
                <w:sz w:val="14"/>
                <w:szCs w:val="14"/>
                <w:b w:val="1"/>
                <w:bCs w:val="1"/>
                <w:color w:val="auto"/>
                <w:w w:val="88"/>
              </w:rPr>
              <w:t>Tore I. Sandvold</w:t>
            </w:r>
          </w:p>
        </w:tc>
        <w:tc>
          <w:tcPr>
            <w:tcW w:w="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083"/>
              <w:spacing w:after="0"/>
              <w:rPr>
                <w:sz w:val="20"/>
                <w:szCs w:val="20"/>
                <w:color w:val="auto"/>
              </w:rPr>
            </w:pPr>
            <w:r>
              <w:rPr>
                <w:rFonts w:ascii="Arial" w:cs="Arial" w:eastAsia="Arial" w:hAnsi="Arial"/>
                <w:sz w:val="18"/>
                <w:szCs w:val="18"/>
                <w:color w:val="auto"/>
              </w:rPr>
              <w:t>*</w:t>
            </w:r>
          </w:p>
        </w:tc>
        <w:tc>
          <w:tcPr>
            <w:tcW w:w="32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3640" w:type="dxa"/>
            <w:vAlign w:val="bottom"/>
          </w:tcPr>
          <w:p>
            <w:pPr>
              <w:ind w:left="2460"/>
              <w:spacing w:after="0"/>
              <w:rPr>
                <w:sz w:val="20"/>
                <w:szCs w:val="20"/>
                <w:color w:val="auto"/>
              </w:rPr>
            </w:pPr>
            <w:r>
              <w:rPr>
                <w:rFonts w:ascii="Arial" w:cs="Arial" w:eastAsia="Arial" w:hAnsi="Arial"/>
                <w:sz w:val="18"/>
                <w:szCs w:val="18"/>
                <w:color w:val="auto"/>
                <w:w w:val="88"/>
              </w:rPr>
              <w:t>August 27, 2010</w:t>
            </w:r>
          </w:p>
        </w:tc>
      </w:tr>
      <w:tr>
        <w:trPr>
          <w:trHeight w:val="169"/>
        </w:trPr>
        <w:tc>
          <w:tcPr>
            <w:tcW w:w="600" w:type="dxa"/>
            <w:vAlign w:val="bottom"/>
          </w:tcPr>
          <w:p>
            <w:pPr>
              <w:spacing w:after="0"/>
              <w:rPr>
                <w:sz w:val="14"/>
                <w:szCs w:val="14"/>
                <w:color w:val="auto"/>
              </w:rPr>
            </w:pPr>
          </w:p>
        </w:tc>
        <w:tc>
          <w:tcPr>
            <w:tcW w:w="3640" w:type="dxa"/>
            <w:vAlign w:val="bottom"/>
          </w:tcPr>
          <w:p>
            <w:pPr>
              <w:jc w:val="center"/>
              <w:ind w:right="503"/>
              <w:spacing w:after="0"/>
              <w:rPr>
                <w:sz w:val="20"/>
                <w:szCs w:val="20"/>
                <w:color w:val="auto"/>
              </w:rPr>
            </w:pPr>
            <w:r>
              <w:rPr>
                <w:rFonts w:ascii="Arial" w:cs="Arial" w:eastAsia="Arial" w:hAnsi="Arial"/>
                <w:sz w:val="14"/>
                <w:szCs w:val="14"/>
                <w:b w:val="1"/>
                <w:bCs w:val="1"/>
                <w:color w:val="auto"/>
                <w:w w:val="87"/>
              </w:rPr>
              <w:t>Henri Seydoux</w:t>
            </w:r>
          </w:p>
        </w:tc>
        <w:tc>
          <w:tcPr>
            <w:tcW w:w="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62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jc w:val="right"/>
              <w:ind w:right="703"/>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LEXANDER</w:t>
            </w:r>
            <w:r>
              <w:rPr>
                <w:rFonts w:ascii="Arial" w:cs="Arial" w:eastAsia="Arial" w:hAnsi="Arial"/>
                <w:sz w:val="18"/>
                <w:szCs w:val="18"/>
                <w:color w:val="auto"/>
              </w:rPr>
              <w:t xml:space="preserve"> C. J</w:t>
            </w:r>
            <w:r>
              <w:rPr>
                <w:rFonts w:ascii="Arial" w:cs="Arial" w:eastAsia="Arial" w:hAnsi="Arial"/>
                <w:sz w:val="14"/>
                <w:szCs w:val="14"/>
                <w:color w:val="auto"/>
              </w:rPr>
              <w:t>UDEN</w:t>
            </w:r>
          </w:p>
        </w:tc>
        <w:tc>
          <w:tcPr>
            <w:tcW w:w="340" w:type="dxa"/>
            <w:vAlign w:val="bottom"/>
            <w:tcBorders>
              <w:bottom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45"/>
        </w:trPr>
        <w:tc>
          <w:tcPr>
            <w:tcW w:w="600" w:type="dxa"/>
            <w:vAlign w:val="bottom"/>
          </w:tcPr>
          <w:p>
            <w:pPr>
              <w:spacing w:after="0" w:line="145" w:lineRule="exact"/>
              <w:rPr>
                <w:sz w:val="20"/>
                <w:szCs w:val="20"/>
                <w:color w:val="auto"/>
              </w:rPr>
            </w:pPr>
            <w:r>
              <w:rPr>
                <w:rFonts w:ascii="Arial" w:cs="Arial" w:eastAsia="Arial" w:hAnsi="Arial"/>
                <w:sz w:val="16"/>
                <w:szCs w:val="16"/>
                <w:color w:val="auto"/>
              </w:rPr>
              <w:t>Name:</w:t>
            </w:r>
          </w:p>
        </w:tc>
        <w:tc>
          <w:tcPr>
            <w:tcW w:w="3640" w:type="dxa"/>
            <w:vAlign w:val="bottom"/>
          </w:tcPr>
          <w:p>
            <w:pPr>
              <w:jc w:val="right"/>
              <w:ind w:right="963"/>
              <w:spacing w:after="0" w:line="145" w:lineRule="exact"/>
              <w:rPr>
                <w:sz w:val="20"/>
                <w:szCs w:val="20"/>
                <w:color w:val="auto"/>
              </w:rPr>
            </w:pPr>
            <w:r>
              <w:rPr>
                <w:rFonts w:ascii="Arial" w:cs="Arial" w:eastAsia="Arial" w:hAnsi="Arial"/>
                <w:sz w:val="14"/>
                <w:szCs w:val="14"/>
                <w:b w:val="1"/>
                <w:bCs w:val="1"/>
                <w:color w:val="auto"/>
              </w:rPr>
              <w:t>Alexander C. Juden,</w:t>
            </w:r>
          </w:p>
        </w:tc>
        <w:tc>
          <w:tcPr>
            <w:tcW w:w="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640" w:type="dxa"/>
            <w:vAlign w:val="bottom"/>
          </w:tcPr>
          <w:p>
            <w:pPr>
              <w:spacing w:after="0"/>
              <w:rPr>
                <w:sz w:val="12"/>
                <w:szCs w:val="12"/>
                <w:color w:val="auto"/>
              </w:rPr>
            </w:pPr>
          </w:p>
        </w:tc>
      </w:tr>
      <w:tr>
        <w:trPr>
          <w:trHeight w:val="174"/>
        </w:trPr>
        <w:tc>
          <w:tcPr>
            <w:tcW w:w="600" w:type="dxa"/>
            <w:vAlign w:val="bottom"/>
          </w:tcPr>
          <w:p>
            <w:pPr>
              <w:spacing w:after="0"/>
              <w:rPr>
                <w:sz w:val="15"/>
                <w:szCs w:val="15"/>
                <w:color w:val="auto"/>
              </w:rPr>
            </w:pPr>
          </w:p>
        </w:tc>
        <w:tc>
          <w:tcPr>
            <w:tcW w:w="3640" w:type="dxa"/>
            <w:vAlign w:val="bottom"/>
          </w:tcPr>
          <w:p>
            <w:pPr>
              <w:jc w:val="right"/>
              <w:ind w:right="1063"/>
              <w:spacing w:after="0"/>
              <w:rPr>
                <w:sz w:val="20"/>
                <w:szCs w:val="20"/>
                <w:color w:val="auto"/>
              </w:rPr>
            </w:pPr>
            <w:r>
              <w:rPr>
                <w:rFonts w:ascii="Arial" w:cs="Arial" w:eastAsia="Arial" w:hAnsi="Arial"/>
                <w:sz w:val="14"/>
                <w:szCs w:val="14"/>
                <w:b w:val="1"/>
                <w:bCs w:val="1"/>
                <w:color w:val="auto"/>
              </w:rPr>
              <w:t>Attorney-in-Fact</w:t>
            </w:r>
          </w:p>
        </w:tc>
        <w:tc>
          <w:tcPr>
            <w:tcW w:w="3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640" w:type="dxa"/>
            <w:vAlign w:val="bottom"/>
          </w:tcPr>
          <w:p>
            <w:pPr>
              <w:spacing w:after="0"/>
              <w:rPr>
                <w:sz w:val="15"/>
                <w:szCs w:val="15"/>
                <w:color w:val="auto"/>
              </w:rPr>
            </w:pPr>
          </w:p>
        </w:tc>
      </w:tr>
    </w:tbl>
    <w:p>
      <w:pPr>
        <w:sectPr>
          <w:pgSz w:w="11900" w:h="16838" w:orient="portrait"/>
          <w:cols w:equalWidth="0" w:num="1">
            <w:col w:w="11160"/>
          </w:cols>
          <w:pgMar w:left="240" w:top="496" w:right="4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78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660" w:type="dxa"/>
            <w:vAlign w:val="bottom"/>
          </w:tcPr>
          <w:p>
            <w:pPr>
              <w:spacing w:after="0"/>
              <w:rPr>
                <w:sz w:val="14"/>
                <w:szCs w:val="14"/>
                <w:color w:val="auto"/>
              </w:rPr>
            </w:pPr>
          </w:p>
        </w:tc>
      </w:tr>
      <w:tr>
        <w:trPr>
          <w:trHeight w:val="309"/>
        </w:trPr>
        <w:tc>
          <w:tcPr>
            <w:tcW w:w="460" w:type="dxa"/>
            <w:vAlign w:val="bottom"/>
          </w:tcPr>
          <w:p>
            <w:pPr>
              <w:jc w:val="right"/>
              <w:ind w:right="37"/>
              <w:spacing w:after="0"/>
              <w:rPr>
                <w:sz w:val="20"/>
                <w:szCs w:val="20"/>
                <w:color w:val="auto"/>
              </w:rPr>
            </w:pPr>
            <w:r>
              <w:rPr>
                <w:rFonts w:ascii="Arial" w:cs="Arial" w:eastAsia="Arial" w:hAnsi="Arial"/>
                <w:sz w:val="18"/>
                <w:szCs w:val="18"/>
                <w:color w:val="auto"/>
              </w:rPr>
              <w:t>4.1</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Articles of Incorporation of Schlumberger Limited (Schlumberger N.V.), as last amended on April 12, 2006 (incorporated by reference to Exhibit</w:t>
            </w:r>
          </w:p>
        </w:tc>
      </w:tr>
      <w:tr>
        <w:trPr>
          <w:trHeight w:val="222"/>
        </w:trPr>
        <w:tc>
          <w:tcPr>
            <w:tcW w:w="46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3.1 to Schlumberger’s Quarterly Report on Form 10-Q for the quarter ended March 31, 2006).</w:t>
            </w:r>
          </w:p>
        </w:tc>
      </w:tr>
      <w:tr>
        <w:trPr>
          <w:trHeight w:val="318"/>
        </w:trPr>
        <w:tc>
          <w:tcPr>
            <w:tcW w:w="460" w:type="dxa"/>
            <w:vAlign w:val="bottom"/>
          </w:tcPr>
          <w:p>
            <w:pPr>
              <w:jc w:val="right"/>
              <w:ind w:right="37"/>
              <w:spacing w:after="0"/>
              <w:rPr>
                <w:sz w:val="20"/>
                <w:szCs w:val="20"/>
                <w:color w:val="auto"/>
              </w:rPr>
            </w:pPr>
            <w:r>
              <w:rPr>
                <w:rFonts w:ascii="Arial" w:cs="Arial" w:eastAsia="Arial" w:hAnsi="Arial"/>
                <w:sz w:val="18"/>
                <w:szCs w:val="18"/>
                <w:color w:val="auto"/>
              </w:rPr>
              <w:t>4.2</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8"/>
              </w:rPr>
              <w:t>Amended and Restated By-Laws of Schlumberger Limited (Schlumberger N.V.), as last amended on April 21, 2005 (incorporated by reference to</w:t>
            </w:r>
          </w:p>
        </w:tc>
      </w:tr>
      <w:tr>
        <w:trPr>
          <w:trHeight w:val="222"/>
        </w:trPr>
        <w:tc>
          <w:tcPr>
            <w:tcW w:w="46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Exhibit 3.1 to Schlumberger’s Current Report on Form 8-K filed on April 22, 2005).</w:t>
            </w:r>
          </w:p>
        </w:tc>
      </w:tr>
      <w:tr>
        <w:trPr>
          <w:trHeight w:val="318"/>
        </w:trPr>
        <w:tc>
          <w:tcPr>
            <w:tcW w:w="460" w:type="dxa"/>
            <w:vAlign w:val="bottom"/>
          </w:tcPr>
          <w:p>
            <w:pPr>
              <w:jc w:val="right"/>
              <w:ind w:right="37"/>
              <w:spacing w:after="0"/>
              <w:rPr>
                <w:sz w:val="20"/>
                <w:szCs w:val="20"/>
                <w:color w:val="auto"/>
              </w:rPr>
            </w:pPr>
            <w:r>
              <w:rPr>
                <w:rFonts w:ascii="Arial" w:cs="Arial" w:eastAsia="Arial" w:hAnsi="Arial"/>
                <w:sz w:val="18"/>
                <w:szCs w:val="18"/>
                <w:color w:val="auto"/>
              </w:rPr>
              <w:t>5.1</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2"/>
              </w:rPr>
              <w:t>Opinion of Alexander C. Juden as to the legality of the Schlumberger Shares (contained in the pre-effective Amendment No. 1 to Form S-4</w:t>
            </w:r>
          </w:p>
        </w:tc>
      </w:tr>
      <w:tr>
        <w:trPr>
          <w:trHeight w:val="222"/>
        </w:trPr>
        <w:tc>
          <w:tcPr>
            <w:tcW w:w="46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previously filed on June 17, 2010).</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9"/>
              </w:rPr>
              <w:t>23.1*</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Consent of PricewaterhouseCoopers LLP, independent registered public accounting firm for Schlumberger.</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9"/>
              </w:rPr>
              <w:t>23.2*</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Consent of Deloitte &amp; Touche LLP, independent registered public accounting firm for Smith International, Inc.</w:t>
            </w:r>
          </w:p>
        </w:tc>
      </w:tr>
      <w:tr>
        <w:trPr>
          <w:trHeight w:val="324"/>
        </w:trPr>
        <w:tc>
          <w:tcPr>
            <w:tcW w:w="460" w:type="dxa"/>
            <w:vAlign w:val="bottom"/>
          </w:tcPr>
          <w:p>
            <w:pPr>
              <w:jc w:val="right"/>
              <w:ind w:right="37"/>
              <w:spacing w:after="0"/>
              <w:rPr>
                <w:sz w:val="20"/>
                <w:szCs w:val="20"/>
                <w:color w:val="auto"/>
              </w:rPr>
            </w:pPr>
            <w:r>
              <w:rPr>
                <w:rFonts w:ascii="Arial" w:cs="Arial" w:eastAsia="Arial" w:hAnsi="Arial"/>
                <w:sz w:val="18"/>
                <w:szCs w:val="18"/>
                <w:color w:val="auto"/>
                <w:w w:val="91"/>
              </w:rPr>
              <w:t>23.3</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Consent of Alexander C. Juden (included in the opinion filed as Exhibit 5.1).</w:t>
            </w:r>
          </w:p>
        </w:tc>
      </w:tr>
      <w:tr>
        <w:trPr>
          <w:trHeight w:val="324"/>
        </w:trPr>
        <w:tc>
          <w:tcPr>
            <w:tcW w:w="460" w:type="dxa"/>
            <w:vAlign w:val="bottom"/>
          </w:tcPr>
          <w:p>
            <w:pPr>
              <w:jc w:val="right"/>
              <w:ind w:right="37"/>
              <w:spacing w:after="0"/>
              <w:rPr>
                <w:sz w:val="20"/>
                <w:szCs w:val="20"/>
                <w:color w:val="auto"/>
              </w:rPr>
            </w:pPr>
            <w:r>
              <w:rPr>
                <w:rFonts w:ascii="Arial" w:cs="Arial" w:eastAsia="Arial" w:hAnsi="Arial"/>
                <w:sz w:val="18"/>
                <w:szCs w:val="18"/>
                <w:color w:val="auto"/>
                <w:w w:val="91"/>
              </w:rPr>
              <w:t>24.1</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Powers of Attorney (contained in Amendment No. 1 to Form S-4 filed on June 17,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240"/>
          </w:cols>
          <w:pgMar w:left="240" w:top="274" w:right="41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hereby consent to the incorporation by reference in this Post-Effective Amendment No. 1 on Form S-8 to the Registration Statement on Form S-4 of our report dated February 5, 2010 relating to the consolidated financial statements and the effectiveness of internal control over financial reporting, which appears in Schlumberger Limited’s Annual Report on Form 10-K for the year ended December 31, 2009.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August 27, 2010</w:t>
      </w:r>
    </w:p>
    <w:p>
      <w:pPr>
        <w:sectPr>
          <w:pgSz w:w="11900" w:h="16838" w:orient="portrait"/>
          <w:cols w:equalWidth="0" w:num="1">
            <w:col w:w="11420"/>
          </w:cols>
          <w:pgMar w:left="240" w:top="125"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We consent to the incorporation by reference in this Post-Effective Amendment No. 1 on Form S-8 to this Registration Statement on Form S-4 of our reports dated March 1, 2010, relating to the consolidated financial statements and financial statement schedule of Smith International, Inc. and subsidiaries (the “Company”), and the effectiveness of the Company’s internal control over financial reporting appearing in the Annual Report on Form 10-K of Smith International, Inc. and subsidiaries for the year ended December 31, 2009, which are incorporated by reference in Schlumberger Limited’s Current Report on Form 8-K dated August 27,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August 27,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910"/>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Roman"/>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2019-12-10T02:15:01Z</dcterms:created>
  <dcterms:modified xsi:type="dcterms:W3CDTF">2019-12-10T02:15:01Z</dcterms:modified>
</cp:coreProperties>
</file>