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First-Quarter 2024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https://investorcenter.slb.com/financials/quarterly-results</w:t>
      </w:r>
      <w:r>
        <w:rPr>
          <w:rFonts w:ascii="Arial" w:cs="Arial" w:eastAsia="Arial" w:hAnsi="Arial"/>
          <w:sz w:val="18"/>
          <w:szCs w:val="18"/>
          <w:color w:val="auto"/>
        </w:rPr>
        <w:t>) on April 19, 2024.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80" w:firstLine="440"/>
        <w:spacing w:after="0" w:line="247" w:lineRule="auto"/>
        <w:rPr>
          <w:sz w:val="20"/>
          <w:szCs w:val="20"/>
          <w:color w:val="auto"/>
        </w:rPr>
      </w:pPr>
      <w:r>
        <w:rPr>
          <w:rFonts w:ascii="Arial" w:cs="Arial" w:eastAsia="Arial" w:hAnsi="Arial"/>
          <w:sz w:val="18"/>
          <w:szCs w:val="18"/>
          <w:color w:val="auto"/>
        </w:rPr>
        <w:t>On April 19, 2024,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First-Quarter 2024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4"/>
          </w:cols>
          <w:pgMar w:left="436" w:top="269" w:right="4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2024</w:t>
      </w:r>
    </w:p>
    <w:p>
      <w:pPr>
        <w:sectPr>
          <w:pgSz w:w="11900" w:h="16838" w:orient="portrait"/>
          <w:cols w:equalWidth="0" w:num="1">
            <w:col w:w="10840"/>
          </w:cols>
          <w:pgMar w:left="440" w:top="269" w:right="619" w:bottom="1440" w:gutter="0" w:footer="0" w:header="0"/>
        </w:sectPr>
      </w:pPr>
    </w:p>
    <w:bookmarkStart w:id="3" w:name="page4"/>
    <w:bookmarkEnd w:id="3"/>
    <w:p>
      <w:pPr>
        <w:ind w:left="101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-118745</wp:posOffset>
            </wp:positionV>
            <wp:extent cx="1097280" cy="711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First-Quarter 2024 Results, Targeting to Return $7 Billion to Shareholders Over 2024–2025</w:t>
      </w:r>
    </w:p>
    <w:p>
      <w:pPr>
        <w:spacing w:after="0" w:line="117"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$8.71 billion increased 13%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EPS of $0.74 increased 14%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and credits, of $0.75 increased 19%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attributable to SLB of $1.07 billion increased 14%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$2.06 billion increased 15%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$327 million</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$0.275 per share</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KUALA LUMPUR, April 19, 2024—</w:t>
      </w:r>
      <w:r>
        <w:rPr>
          <w:rFonts w:ascii="Arial" w:cs="Arial" w:eastAsia="Arial" w:hAnsi="Arial"/>
          <w:sz w:val="18"/>
          <w:szCs w:val="18"/>
          <w:color w:val="auto"/>
        </w:rPr>
        <w:t>SLB (NYSE: SLB) today announced results for the first-quarter 2024.</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r>
      <w:tr>
        <w:trPr>
          <w:trHeight w:val="146"/>
        </w:trPr>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Mar. 31,</w:t>
            </w:r>
          </w:p>
        </w:tc>
        <w:tc>
          <w:tcPr>
            <w:tcW w:w="440" w:type="dxa"/>
            <w:vAlign w:val="bottom"/>
          </w:tcPr>
          <w:p>
            <w:pPr>
              <w:spacing w:after="0"/>
              <w:rPr>
                <w:sz w:val="12"/>
                <w:szCs w:val="12"/>
                <w:color w:val="auto"/>
              </w:rPr>
            </w:pPr>
          </w:p>
        </w:tc>
        <w:tc>
          <w:tcPr>
            <w:tcW w:w="108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100" w:type="dxa"/>
            <w:vAlign w:val="bottom"/>
          </w:tcPr>
          <w:p>
            <w:pPr>
              <w:spacing w:after="0"/>
              <w:rPr>
                <w:sz w:val="12"/>
                <w:szCs w:val="12"/>
                <w:color w:val="auto"/>
              </w:rPr>
            </w:pPr>
          </w:p>
        </w:tc>
        <w:tc>
          <w:tcPr>
            <w:tcW w:w="5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2023</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Sequential</w:t>
            </w:r>
          </w:p>
        </w:tc>
        <w:tc>
          <w:tcPr>
            <w:tcW w:w="4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Year-on-year</w:t>
            </w: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8,707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8,990</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7,736</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9"/>
              </w:rPr>
              <w:t>-3%</w:t>
            </w: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13%</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1,357</w:t>
            </w:r>
          </w:p>
        </w:tc>
        <w:tc>
          <w:tcPr>
            <w:tcW w:w="140" w:type="dxa"/>
            <w:vAlign w:val="bottom"/>
          </w:tcPr>
          <w:p>
            <w:pPr>
              <w:spacing w:after="0"/>
              <w:rPr>
                <w:sz w:val="17"/>
                <w:szCs w:val="17"/>
                <w:color w:val="auto"/>
              </w:rPr>
            </w:pPr>
          </w:p>
        </w:tc>
        <w:tc>
          <w:tcPr>
            <w:tcW w:w="5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7"/>
              </w:rPr>
              <w:t>1,433</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w w:val="97"/>
              </w:rPr>
              <w:t>1,161</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920" w:type="dxa"/>
            <w:vAlign w:val="bottom"/>
            <w:gridSpan w:val="2"/>
          </w:tcPr>
          <w:p>
            <w:pPr>
              <w:jc w:val="center"/>
              <w:ind w:left="312"/>
              <w:spacing w:after="0" w:line="202" w:lineRule="exact"/>
              <w:rPr>
                <w:sz w:val="20"/>
                <w:szCs w:val="20"/>
                <w:color w:val="auto"/>
              </w:rPr>
            </w:pPr>
            <w:r>
              <w:rPr>
                <w:rFonts w:ascii="Arial" w:cs="Arial" w:eastAsia="Arial" w:hAnsi="Arial"/>
                <w:sz w:val="18"/>
                <w:szCs w:val="18"/>
                <w:color w:val="auto"/>
                <w:w w:val="99"/>
              </w:rPr>
              <w:t>17%</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15.0%</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-35 bps</w:t>
            </w: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58 bps</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1,068</w:t>
            </w:r>
          </w:p>
        </w:tc>
        <w:tc>
          <w:tcPr>
            <w:tcW w:w="140" w:type="dxa"/>
            <w:vAlign w:val="bottom"/>
          </w:tcPr>
          <w:p>
            <w:pPr>
              <w:spacing w:after="0"/>
              <w:rPr>
                <w:sz w:val="17"/>
                <w:szCs w:val="17"/>
                <w:color w:val="auto"/>
              </w:rPr>
            </w:pPr>
          </w:p>
        </w:tc>
        <w:tc>
          <w:tcPr>
            <w:tcW w:w="5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7"/>
              </w:rPr>
              <w:t>1,113</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934</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920" w:type="dxa"/>
            <w:vAlign w:val="bottom"/>
            <w:gridSpan w:val="2"/>
          </w:tcPr>
          <w:p>
            <w:pPr>
              <w:jc w:val="center"/>
              <w:ind w:left="312"/>
              <w:spacing w:after="0" w:line="202" w:lineRule="exact"/>
              <w:rPr>
                <w:sz w:val="20"/>
                <w:szCs w:val="20"/>
                <w:color w:val="auto"/>
              </w:rPr>
            </w:pPr>
            <w:r>
              <w:rPr>
                <w:rFonts w:ascii="Arial" w:cs="Arial" w:eastAsia="Arial" w:hAnsi="Arial"/>
                <w:sz w:val="18"/>
                <w:szCs w:val="18"/>
                <w:color w:val="auto"/>
                <w:w w:val="99"/>
              </w:rPr>
              <w:t>14%</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0.74</w:t>
            </w: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0.77</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0.65</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920" w:type="dxa"/>
            <w:vAlign w:val="bottom"/>
            <w:gridSpan w:val="2"/>
            <w:shd w:val="clear" w:color="auto" w:fill="CCEEFF"/>
          </w:tcPr>
          <w:p>
            <w:pPr>
              <w:jc w:val="center"/>
              <w:ind w:left="312"/>
              <w:spacing w:after="0" w:line="202" w:lineRule="exact"/>
              <w:rPr>
                <w:sz w:val="20"/>
                <w:szCs w:val="20"/>
                <w:color w:val="auto"/>
              </w:rPr>
            </w:pPr>
            <w:r>
              <w:rPr>
                <w:rFonts w:ascii="Arial" w:cs="Arial" w:eastAsia="Arial" w:hAnsi="Arial"/>
                <w:sz w:val="18"/>
                <w:szCs w:val="18"/>
                <w:color w:val="auto"/>
                <w:w w:val="99"/>
              </w:rPr>
              <w:t>14%</w:t>
            </w:r>
          </w:p>
        </w:tc>
      </w:tr>
      <w:tr>
        <w:trPr>
          <w:trHeight w:val="310"/>
        </w:trPr>
        <w:tc>
          <w:tcPr>
            <w:tcW w:w="424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2,057</w:t>
            </w:r>
          </w:p>
        </w:tc>
        <w:tc>
          <w:tcPr>
            <w:tcW w:w="140" w:type="dxa"/>
            <w:vAlign w:val="bottom"/>
          </w:tcPr>
          <w:p>
            <w:pPr>
              <w:spacing w:after="0"/>
              <w:rPr>
                <w:sz w:val="24"/>
                <w:szCs w:val="24"/>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2,277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1,788</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c>
          <w:tcPr>
            <w:tcW w:w="1920" w:type="dxa"/>
            <w:vAlign w:val="bottom"/>
            <w:gridSpan w:val="2"/>
          </w:tcPr>
          <w:p>
            <w:pPr>
              <w:jc w:val="center"/>
              <w:ind w:left="312"/>
              <w:spacing w:after="0"/>
              <w:rPr>
                <w:sz w:val="20"/>
                <w:szCs w:val="20"/>
                <w:color w:val="auto"/>
              </w:rPr>
            </w:pPr>
            <w:r>
              <w:rPr>
                <w:rFonts w:ascii="Arial" w:cs="Arial" w:eastAsia="Arial" w:hAnsi="Arial"/>
                <w:sz w:val="18"/>
                <w:szCs w:val="18"/>
                <w:color w:val="auto"/>
                <w:w w:val="99"/>
              </w:rPr>
              <w:t>15%</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23.1%</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-171 bps</w:t>
            </w: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51 bps</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1,649</w:t>
            </w:r>
          </w:p>
        </w:tc>
        <w:tc>
          <w:tcPr>
            <w:tcW w:w="140" w:type="dxa"/>
            <w:vAlign w:val="bottom"/>
          </w:tcPr>
          <w:p>
            <w:pPr>
              <w:spacing w:after="0"/>
              <w:rPr>
                <w:sz w:val="17"/>
                <w:szCs w:val="17"/>
                <w:color w:val="auto"/>
              </w:rPr>
            </w:pPr>
          </w:p>
        </w:tc>
        <w:tc>
          <w:tcPr>
            <w:tcW w:w="5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7"/>
              </w:rPr>
              <w:t>1,868</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w w:val="97"/>
              </w:rPr>
              <w:t>1,391</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1920" w:type="dxa"/>
            <w:vAlign w:val="bottom"/>
            <w:gridSpan w:val="2"/>
          </w:tcPr>
          <w:p>
            <w:pPr>
              <w:jc w:val="center"/>
              <w:ind w:left="312"/>
              <w:spacing w:after="0" w:line="202" w:lineRule="exact"/>
              <w:rPr>
                <w:sz w:val="20"/>
                <w:szCs w:val="20"/>
                <w:color w:val="auto"/>
              </w:rPr>
            </w:pPr>
            <w:r>
              <w:rPr>
                <w:rFonts w:ascii="Arial" w:cs="Arial" w:eastAsia="Arial" w:hAnsi="Arial"/>
                <w:sz w:val="18"/>
                <w:szCs w:val="18"/>
                <w:color w:val="auto"/>
                <w:w w:val="99"/>
              </w:rPr>
              <w:t>19%</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18.0%</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-184 bps</w:t>
            </w: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95 bps</w:t>
            </w:r>
          </w:p>
        </w:tc>
      </w:tr>
      <w:tr>
        <w:trPr>
          <w:trHeight w:val="184"/>
        </w:trPr>
        <w:tc>
          <w:tcPr>
            <w:tcW w:w="4240" w:type="dxa"/>
            <w:vAlign w:val="bottom"/>
          </w:tcPr>
          <w:p>
            <w:pPr>
              <w:spacing w:after="0" w:line="183" w:lineRule="exact"/>
              <w:rPr>
                <w:sz w:val="20"/>
                <w:szCs w:val="20"/>
                <w:color w:val="auto"/>
              </w:rPr>
            </w:pPr>
            <w:r>
              <w:rPr>
                <w:rFonts w:ascii="Arial" w:cs="Arial" w:eastAsia="Arial" w:hAnsi="Arial"/>
                <w:sz w:val="18"/>
                <w:szCs w:val="18"/>
                <w:color w:val="auto"/>
              </w:rPr>
              <w:t>Net income attributable to SLB, excluding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1"/>
        </w:trPr>
        <w:tc>
          <w:tcPr>
            <w:tcW w:w="4240" w:type="dxa"/>
            <w:vAlign w:val="bottom"/>
          </w:tcPr>
          <w:p>
            <w:pPr>
              <w:ind w:left="180"/>
              <w:spacing w:after="0"/>
              <w:rPr>
                <w:sz w:val="20"/>
                <w:szCs w:val="20"/>
                <w:color w:val="auto"/>
              </w:rPr>
            </w:pPr>
            <w:r>
              <w:rPr>
                <w:rFonts w:ascii="Arial" w:cs="Arial" w:eastAsia="Arial" w:hAnsi="Arial"/>
                <w:sz w:val="18"/>
                <w:szCs w:val="18"/>
                <w:color w:val="auto"/>
              </w:rPr>
              <w:t>charges &amp; credits*</w:t>
            </w: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1,082</w:t>
            </w:r>
          </w:p>
        </w:tc>
        <w:tc>
          <w:tcPr>
            <w:tcW w:w="140" w:type="dxa"/>
            <w:vAlign w:val="bottom"/>
          </w:tcPr>
          <w:p>
            <w:pPr>
              <w:spacing w:after="0"/>
              <w:rPr>
                <w:sz w:val="19"/>
                <w:szCs w:val="19"/>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1,243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906</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9"/>
              </w:rPr>
              <w:t>-13%</w:t>
            </w:r>
          </w:p>
        </w:tc>
        <w:tc>
          <w:tcPr>
            <w:tcW w:w="1920" w:type="dxa"/>
            <w:vAlign w:val="bottom"/>
            <w:gridSpan w:val="2"/>
          </w:tcPr>
          <w:p>
            <w:pPr>
              <w:jc w:val="center"/>
              <w:ind w:left="312"/>
              <w:spacing w:after="0"/>
              <w:rPr>
                <w:sz w:val="20"/>
                <w:szCs w:val="20"/>
                <w:color w:val="auto"/>
              </w:rPr>
            </w:pPr>
            <w:r>
              <w:rPr>
                <w:rFonts w:ascii="Arial" w:cs="Arial" w:eastAsia="Arial" w:hAnsi="Arial"/>
                <w:sz w:val="18"/>
                <w:szCs w:val="18"/>
                <w:color w:val="auto"/>
                <w:w w:val="99"/>
              </w:rPr>
              <w:t>19%</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0.75</w:t>
            </w: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0.86</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0.63</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1920" w:type="dxa"/>
            <w:vAlign w:val="bottom"/>
            <w:gridSpan w:val="2"/>
            <w:shd w:val="clear" w:color="auto" w:fill="CCEEFF"/>
          </w:tcPr>
          <w:p>
            <w:pPr>
              <w:jc w:val="center"/>
              <w:ind w:left="312"/>
              <w:spacing w:after="0" w:line="202" w:lineRule="exact"/>
              <w:rPr>
                <w:sz w:val="20"/>
                <w:szCs w:val="20"/>
                <w:color w:val="auto"/>
              </w:rPr>
            </w:pPr>
            <w:r>
              <w:rPr>
                <w:rFonts w:ascii="Arial" w:cs="Arial" w:eastAsia="Arial" w:hAnsi="Arial"/>
                <w:sz w:val="18"/>
                <w:szCs w:val="18"/>
                <w:color w:val="auto"/>
                <w:w w:val="99"/>
              </w:rPr>
              <w:t>19%</w:t>
            </w:r>
          </w:p>
        </w:tc>
      </w:tr>
      <w:tr>
        <w:trPr>
          <w:trHeight w:val="310"/>
        </w:trPr>
        <w:tc>
          <w:tcPr>
            <w:tcW w:w="424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7,056</w:t>
            </w: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7"/>
              </w:rPr>
              <w:t>7,292</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7"/>
              </w:rPr>
              <w:t>5,985</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920" w:type="dxa"/>
            <w:vAlign w:val="bottom"/>
            <w:gridSpan w:val="2"/>
            <w:shd w:val="clear" w:color="auto" w:fill="CCEEFF"/>
          </w:tcPr>
          <w:p>
            <w:pPr>
              <w:jc w:val="center"/>
              <w:ind w:left="312"/>
              <w:spacing w:after="0" w:line="202" w:lineRule="exact"/>
              <w:rPr>
                <w:sz w:val="20"/>
                <w:szCs w:val="20"/>
                <w:color w:val="auto"/>
              </w:rPr>
            </w:pPr>
            <w:r>
              <w:rPr>
                <w:rFonts w:ascii="Arial" w:cs="Arial" w:eastAsia="Arial" w:hAnsi="Arial"/>
                <w:sz w:val="18"/>
                <w:szCs w:val="18"/>
                <w:color w:val="auto"/>
                <w:w w:val="99"/>
              </w:rPr>
              <w:t>18%</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1,598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7"/>
              </w:rPr>
              <w:t>1,641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w w:val="97"/>
              </w:rPr>
              <w:t>1,698</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920" w:type="dxa"/>
            <w:vAlign w:val="bottom"/>
            <w:gridSpan w:val="2"/>
          </w:tcPr>
          <w:p>
            <w:pPr>
              <w:jc w:val="center"/>
              <w:ind w:left="312"/>
              <w:spacing w:after="0" w:line="202" w:lineRule="exact"/>
              <w:rPr>
                <w:sz w:val="20"/>
                <w:szCs w:val="20"/>
                <w:color w:val="auto"/>
              </w:rPr>
            </w:pPr>
            <w:r>
              <w:rPr>
                <w:rFonts w:ascii="Arial" w:cs="Arial" w:eastAsia="Arial" w:hAnsi="Arial"/>
                <w:sz w:val="18"/>
                <w:szCs w:val="18"/>
                <w:color w:val="auto"/>
                <w:w w:val="99"/>
              </w:rPr>
              <w:t>-6%</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53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53</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r>
      <w:tr>
        <w:trPr>
          <w:trHeight w:val="210"/>
        </w:trPr>
        <w:tc>
          <w:tcPr>
            <w:tcW w:w="4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8,707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8,990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7,736</w:t>
            </w:r>
          </w:p>
        </w:tc>
        <w:tc>
          <w:tcPr>
            <w:tcW w:w="6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4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13%</w:t>
            </w:r>
          </w:p>
        </w:tc>
      </w:tr>
      <w:tr>
        <w:trPr>
          <w:trHeight w:val="20"/>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 w:right="1420" w:hanging="4"/>
        <w:spacing w:after="0" w:line="522"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 easures. See sections titled “Divisions” and “Supplem entary Information” for details. n/m = not meaningful</w:t>
      </w:r>
    </w:p>
    <w:p>
      <w:pPr>
        <w:sectPr>
          <w:pgSz w:w="11900" w:h="16838" w:orient="portrait"/>
          <w:cols w:equalWidth="0" w:num="1">
            <w:col w:w="11024"/>
          </w:cols>
          <w:pgMar w:left="436" w:top="269"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4"/>
          </w:tcPr>
          <w:p>
            <w:pPr>
              <w:ind w:left="7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4"/>
          </w:tcPr>
          <w:p>
            <w:pPr>
              <w:ind w:left="7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860" w:type="dxa"/>
            <w:vAlign w:val="bottom"/>
          </w:tcPr>
          <w:p>
            <w:pPr>
              <w:spacing w:after="0"/>
              <w:rPr>
                <w:sz w:val="12"/>
                <w:szCs w:val="12"/>
                <w:color w:val="auto"/>
              </w:rPr>
            </w:pPr>
          </w:p>
        </w:tc>
        <w:tc>
          <w:tcPr>
            <w:tcW w:w="8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Mar. 31,</w:t>
            </w:r>
          </w:p>
        </w:tc>
        <w:tc>
          <w:tcPr>
            <w:tcW w:w="4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953</w:t>
            </w:r>
          </w:p>
        </w:tc>
        <w:tc>
          <w:tcPr>
            <w:tcW w:w="26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1,049</w:t>
            </w:r>
          </w:p>
        </w:tc>
        <w:tc>
          <w:tcPr>
            <w:tcW w:w="14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894</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16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1,725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1,735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1,503</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160" w:type="dxa"/>
            <w:vAlign w:val="bottom"/>
            <w:gridSpan w:val="2"/>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99"/>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3,368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3,426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3,261</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16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2,818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2,944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2,207</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160" w:type="dxa"/>
            <w:vAlign w:val="bottom"/>
            <w:gridSpan w:val="2"/>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99"/>
              </w:rPr>
              <w:t>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188"/>
              <w:spacing w:after="0" w:line="202" w:lineRule="exact"/>
              <w:rPr>
                <w:sz w:val="20"/>
                <w:szCs w:val="20"/>
                <w:color w:val="auto"/>
              </w:rPr>
            </w:pPr>
            <w:r>
              <w:rPr>
                <w:rFonts w:ascii="Arial" w:cs="Arial" w:eastAsia="Arial" w:hAnsi="Arial"/>
                <w:sz w:val="18"/>
                <w:szCs w:val="18"/>
                <w:b w:val="1"/>
                <w:bCs w:val="1"/>
                <w:color w:val="auto"/>
              </w:rPr>
              <w:t>(157)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(129)</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8,707</w:t>
            </w:r>
          </w:p>
        </w:tc>
        <w:tc>
          <w:tcPr>
            <w:tcW w:w="2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8,990</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u w:val="single" w:color="auto"/>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7,736</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160" w:type="dxa"/>
            <w:vAlign w:val="bottom"/>
            <w:gridSpan w:val="2"/>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99"/>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254</w:t>
            </w:r>
          </w:p>
        </w:tc>
        <w:tc>
          <w:tcPr>
            <w:tcW w:w="2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356</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265</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-29%</w:t>
            </w:r>
          </w:p>
        </w:tc>
        <w:tc>
          <w:tcPr>
            <w:tcW w:w="1160" w:type="dxa"/>
            <w:vAlign w:val="bottom"/>
            <w:gridSpan w:val="2"/>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339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371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242</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-8%</w:t>
            </w:r>
          </w:p>
        </w:tc>
        <w:tc>
          <w:tcPr>
            <w:tcW w:w="116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9"/>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690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770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672</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1160" w:type="dxa"/>
            <w:vAlign w:val="bottom"/>
            <w:gridSpan w:val="2"/>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400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442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205</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116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9"/>
              </w:rPr>
              <w:t>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1,649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1,868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1,391</w:t>
            </w:r>
          </w:p>
        </w:tc>
        <w:tc>
          <w:tcPr>
            <w:tcW w:w="4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3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rPr>
                <w:sz w:val="17"/>
                <w:szCs w:val="17"/>
                <w:color w:val="auto"/>
              </w:rPr>
            </w:pPr>
          </w:p>
        </w:tc>
        <w:tc>
          <w:tcPr>
            <w:tcW w:w="780" w:type="dxa"/>
            <w:vAlign w:val="bottom"/>
            <w:gridSpan w:val="2"/>
          </w:tcPr>
          <w:p>
            <w:pPr>
              <w:jc w:val="right"/>
              <w:ind w:right="88"/>
              <w:spacing w:after="0" w:line="202" w:lineRule="exact"/>
              <w:rPr>
                <w:sz w:val="20"/>
                <w:szCs w:val="20"/>
                <w:color w:val="auto"/>
              </w:rPr>
            </w:pPr>
            <w:r>
              <w:rPr>
                <w:rFonts w:ascii="Arial" w:cs="Arial" w:eastAsia="Arial" w:hAnsi="Arial"/>
                <w:sz w:val="18"/>
                <w:szCs w:val="18"/>
                <w:b w:val="1"/>
                <w:bCs w:val="1"/>
                <w:color w:val="auto"/>
              </w:rPr>
              <w:t>26.6%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29.6%</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-735 bps</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-300 bps</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19.7%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16.1%</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-170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356 bps</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780" w:type="dxa"/>
            <w:vAlign w:val="bottom"/>
            <w:gridSpan w:val="2"/>
          </w:tcPr>
          <w:p>
            <w:pPr>
              <w:jc w:val="right"/>
              <w:ind w:right="88"/>
              <w:spacing w:after="0" w:line="202" w:lineRule="exact"/>
              <w:rPr>
                <w:sz w:val="20"/>
                <w:szCs w:val="20"/>
                <w:color w:val="auto"/>
              </w:rPr>
            </w:pPr>
            <w:r>
              <w:rPr>
                <w:rFonts w:ascii="Arial" w:cs="Arial" w:eastAsia="Arial" w:hAnsi="Arial"/>
                <w:sz w:val="18"/>
                <w:szCs w:val="18"/>
                <w:b w:val="1"/>
                <w:bCs w:val="1"/>
                <w:color w:val="auto"/>
              </w:rPr>
              <w:t>20.5%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20.6%</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-198 bps</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-11 bps</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14.2%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9.3%</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-84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490 bps</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n/m</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n/m</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n/m</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18.9%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18.0%</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-184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95 bps</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Exciting Start to the Year</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SLB CEO Olivier Le Peuch commented, “We have had an exciting start to the year with our announced agreement to acquire ChampionX Corporation (ChampionX), which will bolster our production and recovery portfolio. We also continued our growth momentum, with a strong first-quarter performance resulting from robust year-on-year revenue and EBITDA growth consistent with our first quarter and full-year guidance.</w:t>
      </w:r>
    </w:p>
    <w:p>
      <w:pPr>
        <w:spacing w:after="0" w:line="17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“Compared to the same quarter last year, revenue increased 13%, EPS (excluding charges and credits) rose 19% to $0.75, adjusted EBITDA grew 15%, and adjusted EBITDA margin expanded year on year for the 13th consecutive quarter. Approximately half of the year-on-year revenue increase came from the Aker subsea business, which was added as part of our OneSubsea joint venture in the fourth quarter of 2023.</w:t>
      </w:r>
    </w:p>
    <w:p>
      <w:pPr>
        <w:spacing w:after="0" w:line="17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“International revenue grew 18% year on year, compensating for a softer North American market where revenue declined 6%. Excluding the contribution of the Aker subsea business, international revenue grew 10%.</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“During the quarter, we continued to benefit from our favorable exposure to the international markets, with remarkable year-on-year growth of 29% in the Middle East &amp; Asia, in addition to growth of 18% in Europe &amp; Africa.</w:t>
      </w:r>
    </w:p>
    <w:p>
      <w:pPr>
        <w:spacing w:after="0" w:line="15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“Sequentially, revenue declined 3% both in North America and in the international markets due to seasonality. However, this impact was less pronounced than in prior years as robust activity gains partially offset seasonal effects.</w:t>
      </w:r>
    </w:p>
    <w:p>
      <w:pPr>
        <w:spacing w:after="0" w:line="15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 want to extend my appreciation to the SLB team for achieving these outstanding results. I look forward to building on this momentum in the coming quarters.”</w:t>
      </w:r>
    </w:p>
    <w:p>
      <w:pPr>
        <w:sectPr>
          <w:pgSz w:w="11900" w:h="16838" w:orient="portrait"/>
          <w:cols w:equalWidth="0" w:num="1">
            <w:col w:w="11020"/>
          </w:cols>
          <w:pgMar w:left="440" w:top="27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Quarter Powered by the Core</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Core business—comprising Reservoir Performance, Well Construction, and Production Systems—achieved revenue growth of 13% year on year and expanded pretax segment operating margin by more than 200 basis points (bps). This growth was supported by investments in long-cycle developments and production capacity expansions, particularly in the Middle East &amp; Asia and Latin America.</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“Production Systems revenue grew 28% year on year driven by the acquired Aker subsea business. Excluding the contribution of the Aker subsea business, Production Systems revenue grew 6% driven by a double-digit increase in international revenue resulting from higher sales of completions, surface production systems, and artificial lift. Reservoir Performance revenue increased 15% year on year due to increased stimulation, evaluation, and intervention services across all areas on land and offshore and from both exploration and production activity. Well Construction grew 3% year on year driven by a 9% increase in international revenue, led by Middle East &amp; Asia but partially offset by reduced activity in North America.”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Growth, Margin Expansion, and Returns to Shareholders</w:t>
      </w:r>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remain confident in our global revenue growth outlook for 2024, with softness in North America being offset by upside in the international markets. The dynamics of this cycle remain intact, with international and offshore growth taking place across all geographies, benefiting all of our Divisions as we continue to be awarded new contracts, enhancing the quality and longevity of our revenue backlog.</w:t>
      </w:r>
    </w:p>
    <w:p>
      <w:pPr>
        <w:spacing w:after="0" w:line="152" w:lineRule="exact"/>
        <w:rPr>
          <w:sz w:val="20"/>
          <w:szCs w:val="20"/>
          <w:color w:val="auto"/>
        </w:rPr>
      </w:pPr>
    </w:p>
    <w:p>
      <w:pPr>
        <w:jc w:val="both"/>
        <w:ind w:right="340"/>
        <w:spacing w:after="0" w:line="301" w:lineRule="auto"/>
        <w:rPr>
          <w:sz w:val="20"/>
          <w:szCs w:val="20"/>
          <w:color w:val="auto"/>
        </w:rPr>
      </w:pPr>
      <w:r>
        <w:rPr>
          <w:rFonts w:ascii="Arial" w:cs="Arial" w:eastAsia="Arial" w:hAnsi="Arial"/>
          <w:sz w:val="17"/>
          <w:szCs w:val="17"/>
          <w:color w:val="auto"/>
        </w:rPr>
        <w:t>“Our journey of margin expansion continues to be driven by tight service and equipment capacity internationally, increased technology adoption, and further operational efficiency. As a result, we affirm our previous guidance of mid-teens EBITDA growth for the full year.</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“Turning specifically to the second quarter, we expect a seasonal rebound in activity in the Northern Hemisphere coupled with robust activity internationally, led by the Middle East, Asia, and Africa. This will drive broad sequential margin expansion across all Divisions and geographies.</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“Based on our strong start to the year, confidence in our ability to generate robust cash flows, and the anticipated contribution of the announced ChampionX acquisition, we are targeting to return $ 7 billion to shareholders over the next two years. This represents a target for returns to shareholders of $3 billion in 2024 and $4 billion in 2025.”</w:t>
      </w:r>
    </w:p>
    <w:p>
      <w:pPr>
        <w:sectPr>
          <w:pgSz w:w="11900" w:h="16838" w:orient="portrait"/>
          <w:cols w:equalWidth="0" w:num="1">
            <w:col w:w="10960"/>
          </w:cols>
          <w:pgMar w:left="440" w:top="269"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Momentum Continues</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oil and gas industry continues to benefit from strong market fundamentals driven by a growing demand outlook. This is resulting in a significant baseload of activity, particularly in the international and offshore markets, closely aligned with the strengths of our business. As the cycle persists, we expect operators to increase their investments in production and reservoir recovery, with the goal of maximizing the efficiency and longevity of their producing assets. This will result in operating expenditures becoming an increasing part of global upstream spending over time.</w:t>
      </w:r>
    </w:p>
    <w:p>
      <w:pPr>
        <w:spacing w:after="0" w:line="17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already benefiting from these investments, and our recently announced agreement to acquire ChampionX will position us to further capture this growing opportunity through the addition of a leading production chemicals portfolio and a complementary artificial lift offering. We look forward to harnessing the strong capabilities of ChampionX to deliver superior performance for our customers.</w:t>
      </w:r>
    </w:p>
    <w:p>
      <w:pPr>
        <w:spacing w:after="0" w:line="16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“There also continues to be a growing emphasis across the industry on emissions reduction. This is presenting an exciting new market for lower-carbon technologies and carbon capture and sequestration (CCS), where we are positioned very well, as exemplified by the expansion of our CCS portfolio with our recent announcement of our agreement to acquire a majority ownership stake in Aker Carbon Capture.</w:t>
      </w:r>
    </w:p>
    <w:p>
      <w:pPr>
        <w:spacing w:after="0" w:line="17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“All in all, the dynamics of the cycle continue to reinforce our strategy and outlook for the future. I look forward to continuing to deliver exceptional service for our customers and results for our stockholders throughout the year.”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During the quarter, SLB repurchased 5.4 million shares of its common stock at an average price of $50.13 per share for a total purchase price of $270 million.</w:t>
      </w:r>
    </w:p>
    <w:p>
      <w:pPr>
        <w:spacing w:after="0" w:line="15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On March 27, 2024, SLB announced an agreement to combine its carbon capture business with Aker Carbon Capture (OSE: ACC) to support accelerated industrial decarbonization at scale. Bringing together complementary technology portfolios, leading process design expertise, and an established project delivery platform, the combination will leverage Aker Carbon Capture’s commercial carbon capture product offering and SLB’s new technology developments and industrialization capability. It will create a vehicle for accelerating the introduction of disruptive early-stage technology into the global market on a commercial, proven platform. Following the transaction, SLB will own 80% of the combined business and ACC will own 20%. The transaction is subject to regulatory approvals and other customary closing conditions and is anticipated to close in the second quarter of 2024.</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April 2, 2024, SLB and ChampionX Corporation (NASDAQ: CHX) announced a definitive agreement for SLB to purchase ChampionX in an all-stock transaction. Under the terms of the agreement, ChampionX shareholders will receive 0.735 shares of SLB common stock in exchange for each ChampionX share. At the closing of the transaction, ChampionX shareholders will own approximately 9% of SLB’s outstanding shares of common stock. SLB expects to realize annual pretax synergies of approximately $400 million within the first three years post-closing through incremental revenue and cost savings. The transaction is subject to ChampionX shareholders’ approval, regulatory approvals, and other customary closing conditions. It is anticipated that the closing of the transaction will occur before the end of 2024.</w:t>
      </w:r>
    </w:p>
    <w:p>
      <w:pPr>
        <w:spacing w:after="0" w:line="185"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On April 19, 2024, SLB’s Board of Directors approved a quarterly cash dividend of $0.275 per share of outstanding common stock, payable on July 11, 2024, to stockholders of record on June 5, 2024.</w:t>
      </w:r>
    </w:p>
    <w:p>
      <w:pPr>
        <w:sectPr>
          <w:pgSz w:w="11900" w:h="16838" w:orient="portrait"/>
          <w:cols w:equalWidth="0" w:num="1">
            <w:col w:w="11000"/>
          </w:cols>
          <w:pgMar w:left="440" w:top="26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First-Quarter Revenue by Geographical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74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color w:val="auto"/>
                <w:w w:val="99"/>
              </w:rPr>
              <w:t>Dec. 31,</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Mar. 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$1,598</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$1,641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$1,698</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1,654</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1,722</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1,617</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3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2,322</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2,429</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1,974</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3,080</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3,141</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2,394</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57</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53</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8,707</w:t>
            </w:r>
          </w:p>
        </w:tc>
        <w:tc>
          <w:tcPr>
            <w:tcW w:w="34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8,990</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7,736</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312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$7,056</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8"/>
              </w:rPr>
              <w:t>$7,292</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$5,985</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0"/>
                <w:szCs w:val="20"/>
                <w:color w:val="auto"/>
              </w:rPr>
            </w:pPr>
            <w:r>
              <w:rPr>
                <w:rFonts w:ascii="Arial" w:cs="Arial" w:eastAsia="Arial" w:hAnsi="Arial"/>
                <w:sz w:val="18"/>
                <w:szCs w:val="18"/>
                <w:color w:val="auto"/>
              </w:rPr>
              <w:t>North America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$1,598</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$1,641</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$1,698</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Includes Russia and the Caspian region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$1.65 billion increased 2% year on year due to higher sales of production systems in Brazil and robust drilling activity in Argentina, partially offset by reduced drilling revenue in Mexico. Sequentially, revenue decreased 4% due to lower drilling revenue in Mexico and reduced Asset Performance Solutions (APS) revenue in Ecuador.</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Europe &amp; Africa </w:t>
      </w:r>
      <w:r>
        <w:rPr>
          <w:rFonts w:ascii="Arial" w:cs="Arial" w:eastAsia="Arial" w:hAnsi="Arial"/>
          <w:sz w:val="18"/>
          <w:szCs w:val="18"/>
          <w:color w:val="auto"/>
        </w:rPr>
        <w:t>revenue of $2.32 billion increased 18% year on year with growth driven by the acquired Aker subsea business,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in Scandinavia. The growth was further boosted by intensified offshore exploration, drilling, and production activity in West Africa. Sequentially, revenue decreased 4% due to seasonal activity reductions, mainly in Europe and Scandinavia.</w:t>
      </w:r>
    </w:p>
    <w:p>
      <w:pPr>
        <w:spacing w:after="0" w:line="169"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$3.08 billion increased 29% year on year due to higher drilling, intervention, and evaluation activity in Saudi Arabia, Egypt, United Arab Emirates, Oman, Kuwait, and across Southeast Asia and Australia. Sequentially, revenue decreased 2% due to seasonally lower activity and the absence of year-end product sales.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$1.60 billion decreased 6% year on year due to reduced drilling activity in US land and lower APS revenue in</w:t>
      </w:r>
      <w:r>
        <w:rPr>
          <w:rFonts w:ascii="Arial" w:cs="Arial" w:eastAsia="Arial" w:hAnsi="Arial"/>
          <w:sz w:val="18"/>
          <w:szCs w:val="18"/>
          <w:b w:val="1"/>
          <w:bCs w:val="1"/>
          <w:color w:val="auto"/>
        </w:rPr>
        <w:t xml:space="preserve"> </w:t>
      </w:r>
      <w:r>
        <w:rPr>
          <w:rFonts w:ascii="Arial" w:cs="Arial" w:eastAsia="Arial" w:hAnsi="Arial"/>
          <w:sz w:val="18"/>
          <w:szCs w:val="18"/>
          <w:color w:val="auto"/>
        </w:rPr>
        <w:t>Canada, while offshore revenue was flat. Sequentially, North America revenue decreased 3% on lower sales of production systems in the US Gulf of Mexico while revenue in US land was essentially flat.</w:t>
      </w:r>
    </w:p>
    <w:p>
      <w:pPr>
        <w:sectPr>
          <w:pgSz w:w="11900" w:h="16838" w:orient="portrait"/>
          <w:cols w:equalWidth="0" w:num="1">
            <w:col w:w="11020"/>
          </w:cols>
          <w:pgMar w:left="440" w:top="26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gridSpan w:val="4"/>
          </w:tcPr>
          <w:p>
            <w:pPr>
              <w:ind w:left="7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7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Mar. 31,</w:t>
            </w:r>
          </w:p>
        </w:tc>
        <w:tc>
          <w:tcPr>
            <w:tcW w:w="4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620"/>
              <w:spacing w:after="0" w:line="147" w:lineRule="exact"/>
              <w:rPr>
                <w:sz w:val="20"/>
                <w:szCs w:val="20"/>
                <w:color w:val="auto"/>
              </w:rPr>
            </w:pPr>
            <w:r>
              <w:rPr>
                <w:rFonts w:ascii="Arial" w:cs="Arial" w:eastAsia="Arial" w:hAnsi="Arial"/>
                <w:sz w:val="14"/>
                <w:szCs w:val="14"/>
                <w:color w:val="auto"/>
              </w:rPr>
              <w:t>Dec. 31,</w:t>
            </w:r>
          </w:p>
        </w:tc>
        <w:tc>
          <w:tcPr>
            <w:tcW w:w="52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7"/>
              </w:rPr>
              <w:t>Mar. 31,</w:t>
            </w:r>
          </w:p>
        </w:tc>
        <w:tc>
          <w:tcPr>
            <w:tcW w:w="6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2024</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3"/>
              <w:spacing w:after="0"/>
              <w:rPr>
                <w:sz w:val="20"/>
                <w:szCs w:val="20"/>
                <w:color w:val="auto"/>
              </w:rPr>
            </w:pPr>
            <w:r>
              <w:rPr>
                <w:rFonts w:ascii="Arial" w:cs="Arial" w:eastAsia="Arial" w:hAnsi="Arial"/>
                <w:sz w:val="14"/>
                <w:szCs w:val="14"/>
                <w:color w:val="auto"/>
              </w:rPr>
              <w:t>2023</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13"/>
              <w:spacing w:after="0"/>
              <w:rPr>
                <w:sz w:val="20"/>
                <w:szCs w:val="20"/>
                <w:color w:val="auto"/>
              </w:rPr>
            </w:pPr>
            <w:r>
              <w:rPr>
                <w:rFonts w:ascii="Arial" w:cs="Arial" w:eastAsia="Arial" w:hAnsi="Arial"/>
                <w:sz w:val="14"/>
                <w:szCs w:val="14"/>
                <w:color w:val="auto"/>
                <w:w w:val="96"/>
              </w:rPr>
              <w:t>2023</w:t>
            </w:r>
          </w:p>
        </w:tc>
        <w:tc>
          <w:tcPr>
            <w:tcW w:w="6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Sequential</w:t>
            </w:r>
          </w:p>
        </w:tc>
        <w:tc>
          <w:tcPr>
            <w:tcW w:w="4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717</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790</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642</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280" w:type="dxa"/>
            <w:vAlign w:val="bottom"/>
            <w:gridSpan w:val="2"/>
          </w:tcPr>
          <w:p>
            <w:pPr>
              <w:jc w:val="center"/>
              <w:ind w:left="395"/>
              <w:spacing w:after="0" w:line="202" w:lineRule="exact"/>
              <w:rPr>
                <w:sz w:val="20"/>
                <w:szCs w:val="20"/>
                <w:color w:val="auto"/>
              </w:rPr>
            </w:pPr>
            <w:r>
              <w:rPr>
                <w:rFonts w:ascii="Arial" w:cs="Arial" w:eastAsia="Arial" w:hAnsi="Arial"/>
                <w:sz w:val="18"/>
                <w:szCs w:val="18"/>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236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251</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-8%</w:t>
            </w:r>
          </w:p>
        </w:tc>
        <w:tc>
          <w:tcPr>
            <w:tcW w:w="1280" w:type="dxa"/>
            <w:vAlign w:val="bottom"/>
            <w:gridSpan w:val="2"/>
            <w:shd w:val="clear" w:color="auto" w:fill="CCEEFF"/>
          </w:tcPr>
          <w:p>
            <w:pPr>
              <w:jc w:val="center"/>
              <w:ind w:left="395"/>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— </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78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8"/>
                <w:szCs w:val="18"/>
                <w:b w:val="1"/>
                <w:bCs w:val="1"/>
                <w:color w:val="auto"/>
              </w:rPr>
              <w:t>n/m</w:t>
            </w:r>
          </w:p>
        </w:tc>
        <w:tc>
          <w:tcPr>
            <w:tcW w:w="44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953</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7"/>
              </w:rPr>
              <w:t>1,049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894</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280" w:type="dxa"/>
            <w:vAlign w:val="bottom"/>
            <w:gridSpan w:val="2"/>
            <w:shd w:val="clear" w:color="auto" w:fill="CCEEFF"/>
          </w:tcPr>
          <w:p>
            <w:pPr>
              <w:jc w:val="center"/>
              <w:ind w:left="415"/>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254</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356</w:t>
            </w:r>
          </w:p>
        </w:tc>
        <w:tc>
          <w:tcPr>
            <w:tcW w:w="6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265</w:t>
            </w:r>
          </w:p>
        </w:tc>
        <w:tc>
          <w:tcPr>
            <w:tcW w:w="6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-29%</w:t>
            </w:r>
          </w:p>
        </w:tc>
        <w:tc>
          <w:tcPr>
            <w:tcW w:w="4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29.6%</w:t>
            </w:r>
          </w:p>
        </w:tc>
        <w:tc>
          <w:tcPr>
            <w:tcW w:w="7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5"/>
              </w:rPr>
              <w:t>-735 bps</w:t>
            </w: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-300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Digital &amp; Integration revenue of $ 953 million increased 7% year on year as a result of growth in digital sales in the international markets while APS revenue was flat year on year. Sequentially, revenue experienced a seasonal decline of 9% following strong year-end digital sales.</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Digital &amp; Integration pretax operating margin of 27% contracted 300 bps year on year and 735 bps sequentially. The pretax operating margin decreased year on year due to the effects of higher APS amortization expense and lower gas prices. Sequentially, pretax operating margin contracted primarily due to seasonally lower digital sales.</w:t>
      </w:r>
    </w:p>
    <w:p>
      <w:pPr>
        <w:sectPr>
          <w:pgSz w:w="11900" w:h="16838" w:orient="portrait"/>
          <w:cols w:equalWidth="0" w:num="1">
            <w:col w:w="11020"/>
          </w:cols>
          <w:pgMar w:left="440" w:top="269"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gridSpan w:val="4"/>
          </w:tcPr>
          <w:p>
            <w:pPr>
              <w:ind w:left="7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500"/>
              <w:spacing w:after="0" w:line="147" w:lineRule="exact"/>
              <w:rPr>
                <w:sz w:val="20"/>
                <w:szCs w:val="20"/>
                <w:color w:val="auto"/>
              </w:rPr>
            </w:pPr>
            <w:r>
              <w:rPr>
                <w:rFonts w:ascii="Arial" w:cs="Arial" w:eastAsia="Arial" w:hAnsi="Arial"/>
                <w:sz w:val="14"/>
                <w:szCs w:val="14"/>
                <w:color w:val="auto"/>
              </w:rPr>
              <w:t>Dec. 31,</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5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2024</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Sequential</w:t>
            </w:r>
          </w:p>
        </w:tc>
        <w:tc>
          <w:tcPr>
            <w:tcW w:w="3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960" w:type="dxa"/>
            <w:vAlign w:val="bottom"/>
            <w:gridSpan w:val="2"/>
          </w:tcPr>
          <w:p>
            <w:pPr>
              <w:ind w:left="1840"/>
              <w:spacing w:after="0" w:line="202" w:lineRule="exact"/>
              <w:rPr>
                <w:sz w:val="20"/>
                <w:szCs w:val="20"/>
                <w:color w:val="auto"/>
              </w:rPr>
            </w:pPr>
            <w:r>
              <w:rPr>
                <w:rFonts w:ascii="Arial" w:cs="Arial" w:eastAsia="Arial" w:hAnsi="Arial"/>
                <w:sz w:val="18"/>
                <w:szCs w:val="18"/>
                <w:b w:val="1"/>
                <w:bCs w:val="1"/>
                <w:color w:val="auto"/>
                <w:w w:val="99"/>
              </w:rPr>
              <w:t>$</w:t>
            </w:r>
          </w:p>
        </w:tc>
        <w:tc>
          <w:tcPr>
            <w:tcW w:w="800" w:type="dxa"/>
            <w:vAlign w:val="bottom"/>
            <w:gridSpan w:val="2"/>
          </w:tcPr>
          <w:p>
            <w:pPr>
              <w:jc w:val="right"/>
              <w:ind w:right="268"/>
              <w:spacing w:after="0" w:line="202" w:lineRule="exact"/>
              <w:rPr>
                <w:sz w:val="20"/>
                <w:szCs w:val="20"/>
                <w:color w:val="auto"/>
              </w:rPr>
            </w:pPr>
            <w:r>
              <w:rPr>
                <w:rFonts w:ascii="Arial" w:cs="Arial" w:eastAsia="Arial" w:hAnsi="Arial"/>
                <w:sz w:val="18"/>
                <w:szCs w:val="18"/>
                <w:b w:val="1"/>
                <w:bCs w:val="1"/>
                <w:color w:val="auto"/>
                <w:w w:val="97"/>
              </w:rPr>
              <w:t>1,592</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1,611</w:t>
            </w: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1,380</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220" w:type="dxa"/>
            <w:vAlign w:val="bottom"/>
            <w:gridSpan w:val="2"/>
          </w:tcPr>
          <w:p>
            <w:pPr>
              <w:jc w:val="center"/>
              <w:ind w:left="335"/>
              <w:spacing w:after="0" w:line="202" w:lineRule="exact"/>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b w:val="1"/>
                <w:bCs w:val="1"/>
                <w:color w:val="auto"/>
              </w:rPr>
              <w:t>130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120</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220" w:type="dxa"/>
            <w:vAlign w:val="bottom"/>
            <w:gridSpan w:val="2"/>
            <w:shd w:val="clear" w:color="auto" w:fill="CCEEFF"/>
          </w:tcPr>
          <w:p>
            <w:pPr>
              <w:jc w:val="center"/>
              <w:ind w:left="355"/>
              <w:spacing w:after="0" w:line="202" w:lineRule="exact"/>
              <w:rPr>
                <w:sz w:val="20"/>
                <w:szCs w:val="20"/>
                <w:color w:val="auto"/>
              </w:rPr>
            </w:pPr>
            <w:r>
              <w:rPr>
                <w:rFonts w:ascii="Arial" w:cs="Arial" w:eastAsia="Arial" w:hAnsi="Arial"/>
                <w:sz w:val="18"/>
                <w:szCs w:val="18"/>
                <w:color w:val="auto"/>
                <w:w w:val="99"/>
              </w:rPr>
              <w:t>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w:t>
            </w:r>
          </w:p>
        </w:tc>
        <w:tc>
          <w:tcPr>
            <w:tcW w:w="8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n/m</w:t>
            </w:r>
          </w:p>
        </w:tc>
        <w:tc>
          <w:tcPr>
            <w:tcW w:w="38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1,725</w:t>
            </w: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1,735</w:t>
            </w:r>
          </w:p>
        </w:tc>
        <w:tc>
          <w:tcPr>
            <w:tcW w:w="1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1,503</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220" w:type="dxa"/>
            <w:vAlign w:val="bottom"/>
            <w:gridSpan w:val="2"/>
            <w:shd w:val="clear" w:color="auto" w:fill="CCEEFF"/>
          </w:tcPr>
          <w:p>
            <w:pPr>
              <w:jc w:val="center"/>
              <w:ind w:left="335"/>
              <w:spacing w:after="0" w:line="202" w:lineRule="exact"/>
              <w:rPr>
                <w:sz w:val="20"/>
                <w:szCs w:val="20"/>
                <w:color w:val="auto"/>
              </w:rPr>
            </w:pPr>
            <w:r>
              <w:rPr>
                <w:rFonts w:ascii="Arial" w:cs="Arial" w:eastAsia="Arial" w:hAnsi="Arial"/>
                <w:sz w:val="18"/>
                <w:szCs w:val="18"/>
                <w:color w:val="auto"/>
                <w:w w:val="99"/>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339</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371</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242</w:t>
            </w:r>
          </w:p>
        </w:tc>
        <w:tc>
          <w:tcPr>
            <w:tcW w:w="5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-8%</w:t>
            </w:r>
          </w:p>
        </w:tc>
        <w:tc>
          <w:tcPr>
            <w:tcW w:w="38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19.7%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16.1%</w:t>
            </w:r>
          </w:p>
        </w:tc>
        <w:tc>
          <w:tcPr>
            <w:tcW w:w="8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8"/>
              </w:rPr>
              <w:t>-170 bps</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356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Reservoir Performance revenue of $1.72 billion grew 15% year on year due to increased stimulation, evaluation, and intervention services across all areas on land and offshore and from both exploration and production activity. More than 70% of the revenue growth was recorded in the Middle East &amp; Asia. Sequentially, revenue decreased 1% as the seasonal activity reductions in Russia and Asia were partially offset by activity increases in the Middle East, North America, and Europe &amp; Africa.</w:t>
      </w:r>
    </w:p>
    <w:p>
      <w:pPr>
        <w:spacing w:after="0" w:line="17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Reservoir Performance pretax operating margin of 20% expanded 356 bps year on year with profitability improving across the international markets driven by higher activity and improved pricing from increased technology intensity in evaluation and stimulation. Sequentially, pretax operating margin contracted 170 bps as a result of the seasonal revenue decline in intervention activity internationally.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gridSpan w:val="4"/>
          </w:tcPr>
          <w:p>
            <w:pPr>
              <w:ind w:left="7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500"/>
              <w:spacing w:after="0" w:line="147" w:lineRule="exact"/>
              <w:rPr>
                <w:sz w:val="20"/>
                <w:szCs w:val="20"/>
                <w:color w:val="auto"/>
              </w:rPr>
            </w:pPr>
            <w:r>
              <w:rPr>
                <w:rFonts w:ascii="Arial" w:cs="Arial" w:eastAsia="Arial" w:hAnsi="Arial"/>
                <w:sz w:val="14"/>
                <w:szCs w:val="14"/>
                <w:color w:val="auto"/>
              </w:rPr>
              <w:t>Dec. 31,</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5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2024</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Sequential</w:t>
            </w:r>
          </w:p>
        </w:tc>
        <w:tc>
          <w:tcPr>
            <w:tcW w:w="3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2"/>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960" w:type="dxa"/>
            <w:vAlign w:val="bottom"/>
            <w:gridSpan w:val="2"/>
          </w:tcPr>
          <w:p>
            <w:pPr>
              <w:ind w:left="1840"/>
              <w:spacing w:after="0" w:line="202" w:lineRule="exact"/>
              <w:rPr>
                <w:sz w:val="20"/>
                <w:szCs w:val="20"/>
                <w:color w:val="auto"/>
              </w:rPr>
            </w:pPr>
            <w:r>
              <w:rPr>
                <w:rFonts w:ascii="Arial" w:cs="Arial" w:eastAsia="Arial" w:hAnsi="Arial"/>
                <w:sz w:val="18"/>
                <w:szCs w:val="18"/>
                <w:b w:val="1"/>
                <w:bCs w:val="1"/>
                <w:color w:val="auto"/>
                <w:w w:val="99"/>
              </w:rPr>
              <w:t>$</w:t>
            </w:r>
          </w:p>
        </w:tc>
        <w:tc>
          <w:tcPr>
            <w:tcW w:w="800" w:type="dxa"/>
            <w:vAlign w:val="bottom"/>
            <w:gridSpan w:val="2"/>
          </w:tcPr>
          <w:p>
            <w:pPr>
              <w:jc w:val="right"/>
              <w:ind w:right="268"/>
              <w:spacing w:after="0" w:line="202" w:lineRule="exact"/>
              <w:rPr>
                <w:sz w:val="20"/>
                <w:szCs w:val="20"/>
                <w:color w:val="auto"/>
              </w:rPr>
            </w:pPr>
            <w:r>
              <w:rPr>
                <w:rFonts w:ascii="Arial" w:cs="Arial" w:eastAsia="Arial" w:hAnsi="Arial"/>
                <w:sz w:val="18"/>
                <w:szCs w:val="18"/>
                <w:b w:val="1"/>
                <w:bCs w:val="1"/>
                <w:color w:val="auto"/>
                <w:w w:val="97"/>
              </w:rPr>
              <w:t>2,707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2,748</w:t>
            </w: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2,493</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220" w:type="dxa"/>
            <w:vAlign w:val="bottom"/>
            <w:gridSpan w:val="2"/>
          </w:tcPr>
          <w:p>
            <w:pPr>
              <w:jc w:val="center"/>
              <w:ind w:left="355"/>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b w:val="1"/>
                <w:bCs w:val="1"/>
                <w:color w:val="auto"/>
              </w:rPr>
              <w:t>604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711</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220" w:type="dxa"/>
            <w:vAlign w:val="bottom"/>
            <w:gridSpan w:val="2"/>
            <w:shd w:val="clear" w:color="auto" w:fill="CCEEFF"/>
          </w:tcPr>
          <w:p>
            <w:pPr>
              <w:jc w:val="center"/>
              <w:ind w:left="355"/>
              <w:spacing w:after="0" w:line="202" w:lineRule="exact"/>
              <w:rPr>
                <w:sz w:val="20"/>
                <w:szCs w:val="20"/>
                <w:color w:val="auto"/>
              </w:rPr>
            </w:pPr>
            <w:r>
              <w:rPr>
                <w:rFonts w:ascii="Arial" w:cs="Arial" w:eastAsia="Arial" w:hAnsi="Arial"/>
                <w:sz w:val="18"/>
                <w:szCs w:val="18"/>
                <w:color w:val="auto"/>
                <w:w w:val="99"/>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57</w:t>
            </w:r>
          </w:p>
        </w:tc>
        <w:tc>
          <w:tcPr>
            <w:tcW w:w="8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n/m</w:t>
            </w:r>
          </w:p>
        </w:tc>
        <w:tc>
          <w:tcPr>
            <w:tcW w:w="38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3,368</w:t>
            </w: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3,426</w:t>
            </w:r>
          </w:p>
        </w:tc>
        <w:tc>
          <w:tcPr>
            <w:tcW w:w="1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3,261</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220" w:type="dxa"/>
            <w:vAlign w:val="bottom"/>
            <w:gridSpan w:val="2"/>
            <w:shd w:val="clear" w:color="auto" w:fill="CCEEFF"/>
          </w:tcPr>
          <w:p>
            <w:pPr>
              <w:jc w:val="center"/>
              <w:ind w:left="355"/>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770</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672</w:t>
            </w:r>
          </w:p>
        </w:tc>
        <w:tc>
          <w:tcPr>
            <w:tcW w:w="5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-10%</w:t>
            </w:r>
          </w:p>
        </w:tc>
        <w:tc>
          <w:tcPr>
            <w:tcW w:w="38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20.5%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20.6%</w:t>
            </w:r>
          </w:p>
        </w:tc>
        <w:tc>
          <w:tcPr>
            <w:tcW w:w="8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8"/>
              </w:rPr>
              <w:t>-198 bps</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-11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Well Construction revenue of $3.37 billion increased 3% year on year driven by strong international activity, primarily in the Middle East &amp; Asia, partially offset by declining revenue in North America and Latin America. Sequentially, revenue was 2% lower due to seasonal activity reductions across all areas.</w:t>
      </w:r>
    </w:p>
    <w:p>
      <w:pPr>
        <w:spacing w:after="0" w:line="16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Well Construction pretax operating margin of 20% was essentially flat year on year, expanding internationally due to robust activity increases in measurements and fluids, but partially offset by margin contraction in North America. Sequentially, pretax operating margin contracted 198 bps due to the seasonal decline in activity.</w:t>
      </w:r>
    </w:p>
    <w:p>
      <w:pPr>
        <w:sectPr>
          <w:pgSz w:w="11900" w:h="16838" w:orient="portrait"/>
          <w:cols w:equalWidth="0" w:num="1">
            <w:col w:w="11020"/>
          </w:cols>
          <w:pgMar w:left="440" w:top="269"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0" w:type="dxa"/>
            <w:vAlign w:val="bottom"/>
            <w:gridSpan w:val="4"/>
          </w:tcPr>
          <w:p>
            <w:pPr>
              <w:ind w:left="7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700" w:type="dxa"/>
            <w:vAlign w:val="bottom"/>
          </w:tcPr>
          <w:p>
            <w:pPr>
              <w:spacing w:after="0"/>
              <w:rPr>
                <w:sz w:val="12"/>
                <w:szCs w:val="12"/>
                <w:color w:val="auto"/>
              </w:rPr>
            </w:pPr>
          </w:p>
        </w:tc>
        <w:tc>
          <w:tcPr>
            <w:tcW w:w="110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10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5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Mar. 31,</w:t>
            </w:r>
          </w:p>
        </w:tc>
        <w:tc>
          <w:tcPr>
            <w:tcW w:w="5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3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468"/>
              <w:spacing w:after="0" w:line="202" w:lineRule="exact"/>
              <w:rPr>
                <w:sz w:val="20"/>
                <w:szCs w:val="20"/>
                <w:color w:val="auto"/>
              </w:rPr>
            </w:pPr>
            <w:r>
              <w:rPr>
                <w:rFonts w:ascii="Arial" w:cs="Arial" w:eastAsia="Arial" w:hAnsi="Arial"/>
                <w:sz w:val="18"/>
                <w:szCs w:val="18"/>
                <w:b w:val="1"/>
                <w:bCs w:val="1"/>
                <w:color w:val="auto"/>
                <w:w w:val="97"/>
              </w:rPr>
              <w:t>2,164</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2,276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1,574</w:t>
            </w: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220" w:type="dxa"/>
            <w:vAlign w:val="bottom"/>
            <w:gridSpan w:val="2"/>
          </w:tcPr>
          <w:p>
            <w:pPr>
              <w:jc w:val="center"/>
              <w:ind w:left="335"/>
              <w:spacing w:after="0" w:line="202" w:lineRule="exact"/>
              <w:rPr>
                <w:sz w:val="20"/>
                <w:szCs w:val="20"/>
                <w:color w:val="auto"/>
              </w:rPr>
            </w:pPr>
            <w:r>
              <w:rPr>
                <w:rFonts w:ascii="Arial" w:cs="Arial" w:eastAsia="Arial" w:hAnsi="Arial"/>
                <w:sz w:val="18"/>
                <w:szCs w:val="18"/>
                <w:color w:val="auto"/>
                <w:w w:val="99"/>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b w:val="1"/>
                <w:bCs w:val="1"/>
                <w:color w:val="auto"/>
              </w:rPr>
              <w:t>647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626</w:t>
            </w:r>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220" w:type="dxa"/>
            <w:vAlign w:val="bottom"/>
            <w:gridSpan w:val="2"/>
            <w:shd w:val="clear" w:color="auto" w:fill="CCEEFF"/>
          </w:tcPr>
          <w:p>
            <w:pPr>
              <w:jc w:val="center"/>
              <w:ind w:left="355"/>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w:t>
            </w: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8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100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b w:val="1"/>
                <w:bCs w:val="1"/>
                <w:color w:val="auto"/>
                <w:w w:val="97"/>
              </w:rPr>
              <w:t>2,818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2,944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2,207</w:t>
            </w:r>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220" w:type="dxa"/>
            <w:vAlign w:val="bottom"/>
            <w:gridSpan w:val="2"/>
            <w:shd w:val="clear" w:color="auto" w:fill="CCEEFF"/>
          </w:tcPr>
          <w:p>
            <w:pPr>
              <w:jc w:val="center"/>
              <w:ind w:left="335"/>
              <w:spacing w:after="0" w:line="202" w:lineRule="exact"/>
              <w:rPr>
                <w:sz w:val="20"/>
                <w:szCs w:val="20"/>
                <w:color w:val="auto"/>
              </w:rPr>
            </w:pPr>
            <w:r>
              <w:rPr>
                <w:rFonts w:ascii="Arial" w:cs="Arial" w:eastAsia="Arial" w:hAnsi="Arial"/>
                <w:sz w:val="18"/>
                <w:szCs w:val="18"/>
                <w:color w:val="auto"/>
                <w:w w:val="99"/>
              </w:rPr>
              <w:t>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400</w:t>
            </w:r>
          </w:p>
        </w:tc>
        <w:tc>
          <w:tcPr>
            <w:tcW w:w="54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442</w:t>
            </w:r>
          </w:p>
        </w:tc>
        <w:tc>
          <w:tcPr>
            <w:tcW w:w="54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205</w:t>
            </w:r>
          </w:p>
        </w:tc>
        <w:tc>
          <w:tcPr>
            <w:tcW w:w="54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-10%</w:t>
            </w:r>
          </w:p>
        </w:tc>
        <w:tc>
          <w:tcPr>
            <w:tcW w:w="38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9.3%</w:t>
            </w:r>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-84 bps</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490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Production Systems revenue of $2.82 billion increased 28% year on year, mainly due to the acquisition of the Aker subsea business. Excluding the effects of the Aker subsea acquisition, revenue grew 6% year on year driven by double-digit international sales. Organic year-on-year growth was led by strong international sales of completions, surface production systems, and artificial lift, partially offset by reduced sales of midstream production systems. The sequential revenue decline was driven by seasonally lower sales of subsea production systems, artificial lift, and midstream production systems.</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Production Systems pretax operating margin expanded 490 bps year on year due to improved profitability in subsea production systems, completions, surface production systems, and artificial lift driven by activity mix, execution efficiency, and conversion of improved-price backlog. Sequentially, pretax operating margin contracted due to seasonally lower sales.</w:t>
      </w:r>
    </w:p>
    <w:p>
      <w:pPr>
        <w:sectPr>
          <w:pgSz w:w="11900" w:h="16838" w:orient="portrait"/>
          <w:cols w:equalWidth="0" w:num="1">
            <w:col w:w="11020"/>
          </w:cols>
          <w:pgMar w:left="440" w:top="269"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SLB continues to win new contract awards that align with SLB’s core strengths, particularly in the international and offshore basins.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highlights include the following:</w:t>
      </w:r>
    </w:p>
    <w:p>
      <w:pPr>
        <w:spacing w:after="0" w:line="99" w:lineRule="exact"/>
        <w:rPr>
          <w:sz w:val="20"/>
          <w:szCs w:val="20"/>
          <w:color w:val="auto"/>
        </w:rPr>
      </w:pPr>
    </w:p>
    <w:p>
      <w:pPr>
        <w:ind w:left="424" w:hanging="424"/>
        <w:spacing w:after="0" w:line="25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Brazil, SLB secured an integrated drilling contract in the Búzios, Atapu, and Sepia fields. The three-year scope, from 2025 to 2028, includes drilling services, drill bits and fluids, mudlogging, managed-pressure-while-drilling wireline services, cementing, fishing and remediation tools, and wellbore cleanup.</w:t>
      </w:r>
    </w:p>
    <w:p>
      <w:pPr>
        <w:spacing w:after="0" w:line="74" w:lineRule="exact"/>
        <w:rPr>
          <w:rFonts w:ascii="Arial" w:cs="Arial" w:eastAsia="Arial" w:hAnsi="Arial"/>
          <w:sz w:val="18"/>
          <w:szCs w:val="18"/>
          <w:color w:val="auto"/>
        </w:rPr>
      </w:pPr>
    </w:p>
    <w:p>
      <w:pPr>
        <w:ind w:left="424" w:right="60" w:hanging="424"/>
        <w:spacing w:after="0" w:line="25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Also in Brazil, Petrobras awarded SLB a technology framework agreement to develop an autonomous light workover intervention system that will eliminate the need for a deepwater rig. This two-and-a-half-year contract will be locally developed and will determine the feasibility of a cost-effective platform to execute light interventions offshore.</w:t>
      </w:r>
    </w:p>
    <w:p>
      <w:pPr>
        <w:spacing w:after="0" w:line="74" w:lineRule="exact"/>
        <w:rPr>
          <w:rFonts w:ascii="Arial" w:cs="Arial" w:eastAsia="Arial" w:hAnsi="Arial"/>
          <w:sz w:val="18"/>
          <w:szCs w:val="18"/>
          <w:color w:val="auto"/>
        </w:rPr>
      </w:pPr>
    </w:p>
    <w:p>
      <w:pPr>
        <w:jc w:val="both"/>
        <w:ind w:left="424" w:hanging="424"/>
        <w:spacing w:after="0" w:line="275"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Libya, Arkenu awarded SLB an Integrated Production Services contract with a minimum term of eight years. With a scope of more than 150 wells, operations will include reactivating shut-in wells, drilling reentries/sidetracks, and upgrading existing surface facilities. These initiatives expand SLB offerings in the country for optimizing oil and gas production in a cost-effective and sustainable manner.</w:t>
      </w:r>
    </w:p>
    <w:p>
      <w:pPr>
        <w:spacing w:after="0" w:line="57" w:lineRule="exact"/>
        <w:rPr>
          <w:rFonts w:ascii="Arial" w:cs="Arial" w:eastAsia="Arial" w:hAnsi="Arial"/>
          <w:sz w:val="17"/>
          <w:szCs w:val="17"/>
          <w:color w:val="auto"/>
        </w:rPr>
      </w:pPr>
    </w:p>
    <w:p>
      <w:pPr>
        <w:ind w:left="424" w:right="60" w:hanging="424"/>
        <w:spacing w:after="0" w:line="244"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Also in Libya, Mabruk Oil Operations awarded SLB a second three-year contract to deploy an “express” early production facility (EPF). As a key part of the Production ExPRESS™ rapid production response solutions portfolio, the express EPF will mobilize existing, fit-for-purpose SLB technologies, enabling the operator to fast-track the production of 25,000 barrels per day, reducing cash flow exposure while dealing with unknown reservoir dynamics. The integration of zero-flaring technology in Production ExPRESS solutions aids in compliance with regulatory requirements and reduces the environmental impact of production facilities.</w:t>
      </w:r>
    </w:p>
    <w:p>
      <w:pPr>
        <w:spacing w:after="0" w:line="81" w:lineRule="exact"/>
        <w:rPr>
          <w:rFonts w:ascii="Arial" w:cs="Arial" w:eastAsia="Arial" w:hAnsi="Arial"/>
          <w:sz w:val="18"/>
          <w:szCs w:val="18"/>
          <w:color w:val="auto"/>
        </w:rPr>
      </w:pPr>
    </w:p>
    <w:p>
      <w:pPr>
        <w:ind w:left="424" w:right="360" w:hanging="424"/>
        <w:spacing w:after="0" w:line="25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Iraq, Eni Iraq BV awarded SLB two contracts for integrated well construction services, which will start by the second quarter of 2024. The scope of the first contract, a rollover of a current contract, includes 18 wells with two rigs. The scope of the second contract covers 16 wells with two additional rigs.</w:t>
      </w:r>
    </w:p>
    <w:p>
      <w:pPr>
        <w:spacing w:after="0" w:line="74" w:lineRule="exact"/>
        <w:rPr>
          <w:rFonts w:ascii="Arial" w:cs="Arial" w:eastAsia="Arial" w:hAnsi="Arial"/>
          <w:sz w:val="18"/>
          <w:szCs w:val="18"/>
          <w:color w:val="auto"/>
        </w:rPr>
      </w:pPr>
    </w:p>
    <w:p>
      <w:pPr>
        <w:ind w:left="424" w:right="220" w:hanging="424"/>
        <w:spacing w:after="0" w:line="24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Oman, bp has awarded a substantial contract extension to SLB for the provision of stimulation services. The five-year extension reflects the strong partnership and mutual agreement to continue collaborating on efficiency and sustainability roadmaps. These initiatives aim to reduce upstream stimulation services sector emissions, demonstrating our shared commitment to environmental stewardship and sustainable practices.</w:t>
      </w:r>
    </w:p>
    <w:p>
      <w:pPr>
        <w:spacing w:after="0" w:line="79" w:lineRule="exact"/>
        <w:rPr>
          <w:rFonts w:ascii="Arial" w:cs="Arial" w:eastAsia="Arial" w:hAnsi="Arial"/>
          <w:sz w:val="18"/>
          <w:szCs w:val="18"/>
          <w:color w:val="auto"/>
        </w:rPr>
      </w:pPr>
    </w:p>
    <w:p>
      <w:pPr>
        <w:ind w:left="424" w:right="180" w:hanging="424"/>
        <w:spacing w:after="0" w:line="244"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Philippines, Prime Energy Resources Development B.V. awarded OneSubsea a contract for the supply of subsea production systems for the Malampaya gas field expansion. The contract scope is for Phase 4 of the Malampaya development inclusive of all hardware for the addition of two new wells. OneSubsea will deliver capital-efficient, standard configurable systems comprising subsea trees, wellheads, and controls. The first delivery of equipment is expected in December 2024, with field development goals targeted to deliver first gas in 2026.</w:t>
      </w:r>
    </w:p>
    <w:p>
      <w:pPr>
        <w:spacing w:after="0" w:line="81" w:lineRule="exact"/>
        <w:rPr>
          <w:rFonts w:ascii="Arial" w:cs="Arial" w:eastAsia="Arial" w:hAnsi="Arial"/>
          <w:sz w:val="18"/>
          <w:szCs w:val="18"/>
          <w:color w:val="auto"/>
        </w:rPr>
      </w:pPr>
    </w:p>
    <w:p>
      <w:pPr>
        <w:ind w:left="424" w:right="480" w:hanging="424"/>
        <w:spacing w:after="0" w:line="271"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Malaysia, two national oil companies awarded contracts to SLB for work for the two-year period 2024–2025. These contracts cover well testing and tubing-conveyed perforating completion work for exploration offshore Malaysia.</w:t>
      </w:r>
    </w:p>
    <w:p>
      <w:pPr>
        <w:sectPr>
          <w:pgSz w:w="11900" w:h="16838" w:orient="portrait"/>
          <w:cols w:equalWidth="0" w:num="1">
            <w:col w:w="11004"/>
          </w:cols>
          <w:pgMar w:left="436" w:top="269" w:right="45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and Performance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technology introductions and deployment in the quarter include the following:</w:t>
      </w:r>
    </w:p>
    <w:p>
      <w:pPr>
        <w:spacing w:after="0" w:line="117" w:lineRule="exact"/>
        <w:rPr>
          <w:sz w:val="20"/>
          <w:szCs w:val="20"/>
          <w:color w:val="auto"/>
        </w:rPr>
      </w:pPr>
    </w:p>
    <w:p>
      <w:pPr>
        <w:ind w:left="424" w:right="20"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Guyana, SLB technologies set a new standard for performance in an open-water-work campaign for ExxonMobil Guyana. Advanced SLB tools deployed in the 13-well campaign improved the rate of penetration by 60%, reduced the time for gyro surveys by 85%, and improved steering by 20%. The campaign saw the first use of a 26-inch polycrystalline diamond cutter bit in Guyana, the application of the GyroLink™ definitive gyro-while-drilling service, and the first global implementation of a nine-inch DynaForce™ high-performance drilling motor integrated with the DynaPower XE™ extreme-environment motor elastomer in the PowerDrive vorteX™ powered rotary steerable system. The first use in Guyana of an AccuStrike™ short-makeup drill bit expanded the performance capabilities in complex trajectory wells.</w:t>
      </w:r>
    </w:p>
    <w:p>
      <w:pPr>
        <w:spacing w:after="0" w:line="90" w:lineRule="exact"/>
        <w:rPr>
          <w:rFonts w:ascii="Arial" w:cs="Arial" w:eastAsia="Arial" w:hAnsi="Arial"/>
          <w:sz w:val="18"/>
          <w:szCs w:val="18"/>
          <w:color w:val="auto"/>
        </w:rPr>
      </w:pPr>
    </w:p>
    <w:p>
      <w:pPr>
        <w:ind w:left="424" w:right="40" w:hanging="424"/>
        <w:spacing w:after="0" w:line="244"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in Guyana, the SLB SureRock™ enhanced sidewall coring solution was utilized as a key enabler to avoid drilling a bypass well for whole core in the Stabroek Block. Using advanced digital capabilities and real-time insights from nearby wells, ExxonMobil Guyana Limited (EMGL) and SLB established an efficient strategy that acquired 118 sidewall cores in only two runs, representing a recovery rate of 96%. Through elimination of the bypass well, EMGL saved 15 days of rig time, equating to 2,550 metric tons of CO</w:t>
      </w:r>
      <w:r>
        <w:rPr>
          <w:rFonts w:ascii="Arial" w:cs="Arial" w:eastAsia="Arial" w:hAnsi="Arial"/>
          <w:sz w:val="13"/>
          <w:szCs w:val="13"/>
          <w:color w:val="auto"/>
        </w:rPr>
        <w:t>2</w:t>
      </w:r>
      <w:r>
        <w:rPr>
          <w:rFonts w:ascii="Arial" w:cs="Arial" w:eastAsia="Arial" w:hAnsi="Arial"/>
          <w:sz w:val="18"/>
          <w:szCs w:val="18"/>
          <w:color w:val="auto"/>
        </w:rPr>
        <w:t xml:space="preserve"> emissions, while achieving all formation evaluation objectives.</w:t>
      </w:r>
    </w:p>
    <w:p>
      <w:pPr>
        <w:spacing w:after="0" w:line="81" w:lineRule="exact"/>
        <w:rPr>
          <w:rFonts w:ascii="Arial" w:cs="Arial" w:eastAsia="Arial" w:hAnsi="Arial"/>
          <w:sz w:val="18"/>
          <w:szCs w:val="18"/>
          <w:color w:val="auto"/>
        </w:rPr>
      </w:pPr>
    </w:p>
    <w:p>
      <w:pPr>
        <w:ind w:left="424" w:right="100" w:hanging="424"/>
        <w:spacing w:after="0" w:line="24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Norway, SLB innovative technology solutions and commitment to excellence were integral in supporting Aker BP in drilling the longest exploration well in Norway with more than 6,000 meters drilled in the reservoir. This cooperation resulted in technological milestones that enabled drilling horizontally for long intervals in the reservoir and acquiring a large volume of data critical to the field development while supporting a significant oil discovery.</w:t>
      </w:r>
    </w:p>
    <w:p>
      <w:pPr>
        <w:spacing w:after="0" w:line="79" w:lineRule="exact"/>
        <w:rPr>
          <w:rFonts w:ascii="Arial" w:cs="Arial" w:eastAsia="Arial" w:hAnsi="Arial"/>
          <w:sz w:val="18"/>
          <w:szCs w:val="18"/>
          <w:color w:val="auto"/>
        </w:rPr>
      </w:pPr>
    </w:p>
    <w:p>
      <w:pPr>
        <w:ind w:left="424" w:hanging="424"/>
        <w:spacing w:after="0" w:line="24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Thailand, a production enhancement campaign using the ReSOLVE iX™ intelligent extreme wireline intervention service successfully restored production in four offshore gas wells experiencing scale issues. The tool’s downhole sensors enabled real-time monitoring of scale milling performance at high temperatures. Deployment of the tool on electric wireline lowered overall operational cost and the carbon footprint.</w:t>
      </w:r>
    </w:p>
    <w:p>
      <w:pPr>
        <w:spacing w:after="0" w:line="79" w:lineRule="exact"/>
        <w:rPr>
          <w:rFonts w:ascii="Arial" w:cs="Arial" w:eastAsia="Arial" w:hAnsi="Arial"/>
          <w:sz w:val="18"/>
          <w:szCs w:val="18"/>
          <w:color w:val="auto"/>
        </w:rPr>
      </w:pPr>
    </w:p>
    <w:p>
      <w:pPr>
        <w:ind w:left="424" w:right="160" w:hanging="424"/>
        <w:spacing w:after="0" w:line="266"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Indonesia, SLB contributed to the success of Mubadala Energy’s Layaran-1 exploration well with bundled services that included well construction, reservoir performance analysis, and a subsea landing string. The deployment of the full deepwater services package in high-temperature operations proved the robustness and value of these high-end technologies. This was Mubadala Energy’s first deepwater well in a field that is estimated to contribute an additional six trillion cubic feet to Indonesia’s gas reserves.</w:t>
      </w:r>
    </w:p>
    <w:p>
      <w:pPr>
        <w:sectPr>
          <w:pgSz w:w="11900" w:h="16838" w:orient="portrait"/>
          <w:cols w:equalWidth="0" w:num="1">
            <w:col w:w="10964"/>
          </w:cols>
          <w:pgMar w:left="436" w:top="269" w:right="49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Decarbonization</w:t>
      </w:r>
    </w:p>
    <w:p>
      <w:pPr>
        <w:spacing w:after="0" w:line="104" w:lineRule="exact"/>
        <w:rPr>
          <w:sz w:val="20"/>
          <w:szCs w:val="20"/>
          <w:color w:val="auto"/>
        </w:rPr>
      </w:pPr>
    </w:p>
    <w:p>
      <w:pPr>
        <w:ind w:left="4" w:right="700"/>
        <w:spacing w:after="0" w:line="271" w:lineRule="auto"/>
        <w:rPr>
          <w:sz w:val="20"/>
          <w:szCs w:val="20"/>
          <w:color w:val="auto"/>
        </w:rPr>
      </w:pPr>
      <w:r>
        <w:rPr>
          <w:rFonts w:ascii="Arial" w:cs="Arial" w:eastAsia="Arial" w:hAnsi="Arial"/>
          <w:sz w:val="18"/>
          <w:szCs w:val="18"/>
          <w:color w:val="auto"/>
        </w:rPr>
        <w:t>SLB is focused on developing and implementing technologies that can reduce emissions and environmental impact with practical, quantifiably proven solutions. Highlights include the following:</w:t>
      </w:r>
    </w:p>
    <w:p>
      <w:pPr>
        <w:spacing w:after="0" w:line="59" w:lineRule="exact"/>
        <w:rPr>
          <w:sz w:val="20"/>
          <w:szCs w:val="20"/>
          <w:color w:val="auto"/>
        </w:rPr>
      </w:pPr>
    </w:p>
    <w:p>
      <w:pPr>
        <w:ind w:left="424" w:right="20" w:hanging="424"/>
        <w:spacing w:after="0" w:line="275"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Midland Basin, SLB received an award from Pioneer Natural Resources recognizing its work in reducing greenhouse gas emissions through use of the EcoShield™ geopolymer cement-free system and PowerDrive Orbit™ rotary steerable system. Through the use of these SLB technologies, Pioneer was able to increase drilling efficiency in addition to reducing carbon emissions.</w:t>
      </w:r>
    </w:p>
    <w:p>
      <w:pPr>
        <w:spacing w:after="0" w:line="57" w:lineRule="exact"/>
        <w:rPr>
          <w:rFonts w:ascii="Arial" w:cs="Arial" w:eastAsia="Arial" w:hAnsi="Arial"/>
          <w:sz w:val="17"/>
          <w:szCs w:val="17"/>
          <w:color w:val="auto"/>
        </w:rPr>
      </w:pPr>
    </w:p>
    <w:p>
      <w:pPr>
        <w:ind w:left="424" w:right="80" w:hanging="424"/>
        <w:spacing w:after="0" w:line="244"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Guyana, SLB completed the field trial of an environmentally friendly weighting agent to replace barite in dynamic kill drilling mud for ExxonMobil Guyana. The thermally processed recovered solids (TPRS) material is derived from recycled synthetic-based drilling mud waste. The two successful field trial wells realized the benefits of reduced waste; reduced carbon footprint and trucking traffic associated with transportation of TPRS to landfill sites; and reduced carbon footprint associated with grinding, mining, and transportation of barite to Guyana—approximately 54,540 kilograms for the field trial wells alone.</w:t>
      </w:r>
    </w:p>
    <w:p>
      <w:pPr>
        <w:spacing w:after="0" w:line="81" w:lineRule="exact"/>
        <w:rPr>
          <w:rFonts w:ascii="Arial" w:cs="Arial" w:eastAsia="Arial" w:hAnsi="Arial"/>
          <w:sz w:val="18"/>
          <w:szCs w:val="18"/>
          <w:color w:val="auto"/>
        </w:rPr>
      </w:pPr>
    </w:p>
    <w:p>
      <w:pPr>
        <w:ind w:left="424" w:hanging="424"/>
        <w:spacing w:after="0" w:line="242"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Netherlands, ONE-Dyas has awarded SLB a contract to supply Cameron wellhead and production tree systems for the initial five well development in the N05-A project. Platform N05-A will be the first Dutch offshore gas treatment platform in the North Sea to run entirely on wind energy, which will be supplied by a nearby wind farm. The system includes surface electric actuators installed on the tree valves. This utilization of an electric surface actuator on a production tree offshore is an industry first. Electric surface actuators enable smaller footprints, near-zero emissions during production, and highly reliable unmanned facilities. Delivery is expected by the fourth quarter of 2024.</w:t>
      </w:r>
    </w:p>
    <w:p>
      <w:pPr>
        <w:spacing w:after="0" w:line="84" w:lineRule="exact"/>
        <w:rPr>
          <w:rFonts w:ascii="Arial" w:cs="Arial" w:eastAsia="Arial" w:hAnsi="Arial"/>
          <w:sz w:val="18"/>
          <w:szCs w:val="18"/>
          <w:color w:val="auto"/>
        </w:rPr>
      </w:pPr>
    </w:p>
    <w:p>
      <w:pPr>
        <w:ind w:left="424" w:right="180"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Oman, MedcoEnergi has successfully started to deploy the EcoShield low-carbon geopolymer cement-free system, paving the way to decarbonize the company’s cementing operations. The first deployment in Oman resulted in complete elimination of conventional Class G cement and the use of sustainable locally sourced materials during the cementing of surface casing. This job achieved an estimated 87% reduction in CO</w:t>
      </w:r>
      <w:r>
        <w:rPr>
          <w:rFonts w:ascii="Arial" w:cs="Arial" w:eastAsia="Arial" w:hAnsi="Arial"/>
          <w:sz w:val="13"/>
          <w:szCs w:val="13"/>
          <w:color w:val="auto"/>
        </w:rPr>
        <w:t>2</w:t>
      </w:r>
      <w:r>
        <w:rPr>
          <w:rFonts w:ascii="Arial" w:cs="Arial" w:eastAsia="Arial" w:hAnsi="Arial"/>
          <w:sz w:val="18"/>
          <w:szCs w:val="18"/>
          <w:color w:val="auto"/>
        </w:rPr>
        <w:t>e emissions when compared to the conventional surface casing cementing job and represents a major milestone for MedcoEnergi and SLB in aligning with the industry’s path to net zero. Jobs for the EcoShield low-carbon system were designed and executed using standard oilfield cementing workflows and pumping equipment and showed identical drilling parameters to those of conventional cement systems.</w:t>
      </w:r>
    </w:p>
    <w:p>
      <w:pPr>
        <w:sectPr>
          <w:pgSz w:w="11900" w:h="16838" w:orient="portrait"/>
          <w:cols w:equalWidth="0" w:num="1">
            <w:col w:w="10984"/>
          </w:cols>
          <w:pgMar w:left="436" w:top="269" w:right="47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w:t>
      </w:r>
    </w:p>
    <w:p>
      <w:pPr>
        <w:spacing w:after="0" w:line="104" w:lineRule="exact"/>
        <w:rPr>
          <w:sz w:val="20"/>
          <w:szCs w:val="20"/>
          <w:color w:val="auto"/>
        </w:rPr>
      </w:pPr>
    </w:p>
    <w:p>
      <w:pPr>
        <w:ind w:left="4" w:right="120"/>
        <w:spacing w:after="0" w:line="271" w:lineRule="auto"/>
        <w:rPr>
          <w:sz w:val="20"/>
          <w:szCs w:val="20"/>
          <w:color w:val="auto"/>
        </w:rPr>
      </w:pPr>
      <w:r>
        <w:rPr>
          <w:rFonts w:ascii="Arial" w:cs="Arial" w:eastAsia="Arial" w:hAnsi="Arial"/>
          <w:sz w:val="18"/>
          <w:szCs w:val="18"/>
          <w:color w:val="auto"/>
        </w:rPr>
        <w:t>SLB is deploying digital technology at scale, partnering with customers to migrate their technology and workflows into the cloud, embrace new AI-enabled capabilities, and leverage insights to elevate their performance. Notable highlights include the following:</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117" w:lineRule="exact"/>
        <w:rPr>
          <w:sz w:val="20"/>
          <w:szCs w:val="20"/>
          <w:color w:val="auto"/>
        </w:rPr>
      </w:pPr>
    </w:p>
    <w:p>
      <w:pPr>
        <w:ind w:left="424" w:right="120" w:hanging="424"/>
        <w:spacing w:after="0" w:line="244"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India, Oil and Natural Gas Company (ONGC) awarded SLB a seven-year digital transformation project to deploy an integrated reporting platform for more than 180 drilling and workover rigs. The project aims to standardize and automate reporting for drilling, completion, and workover activities across all ONGC assets and use the improved visualization and analytics to make data-driven decisions at the enterprise level. The project will serve as the foundation to drive strategic planning and optimize asset performance using AI and machine learning workflows across exploration and production operations in both onshore and offshore environments.</w:t>
      </w:r>
    </w:p>
    <w:p>
      <w:pPr>
        <w:spacing w:after="0" w:line="81" w:lineRule="exact"/>
        <w:rPr>
          <w:rFonts w:ascii="Arial" w:cs="Arial" w:eastAsia="Arial" w:hAnsi="Arial"/>
          <w:sz w:val="18"/>
          <w:szCs w:val="18"/>
          <w:color w:val="auto"/>
        </w:rPr>
      </w:pPr>
    </w:p>
    <w:p>
      <w:pPr>
        <w:ind w:left="424" w:right="200" w:hanging="424"/>
        <w:spacing w:after="0" w:line="242"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in India, Oil and Natural Gas Company, Neela Heera asset (ONGC-NH) has awarded SLB a three-year project to deploy an integrated digital analytics system at its second-largest producing field in western offshore India. The advanced system integrates huge volumes of production data into a consolidated dashboard for visualization at the enterprise level and encompasses wells, facilities, and 15 technical workflows developed at INNOVATION FACTORI for production surveillance and optimization. Use of the Pipesim™ steady-state multiphase flow simulator will enable proactive decisions by rapidly identifying bottlenecks and operational challenges. By minimizing unnecessary offshore and regional trips, the initiative will mitigate HSE risks.</w:t>
      </w:r>
    </w:p>
    <w:p>
      <w:pPr>
        <w:spacing w:after="0" w:line="84" w:lineRule="exact"/>
        <w:rPr>
          <w:rFonts w:ascii="Arial" w:cs="Arial" w:eastAsia="Arial" w:hAnsi="Arial"/>
          <w:sz w:val="18"/>
          <w:szCs w:val="18"/>
          <w:color w:val="auto"/>
        </w:rPr>
      </w:pPr>
    </w:p>
    <w:p>
      <w:pPr>
        <w:ind w:left="424" w:right="40" w:hanging="424"/>
        <w:spacing w:after="0" w:line="242"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Pakistan, Oil &amp; Gas Development Company Limited (OGDCL) has partnered with SLB to launch Pakistan’s first digital drilling hub. The collaboration pioneers advanced engineering algorithms, automation, AI, and machine learning technologies to optimize drilling efficiency for a challenging drilling campaign in northern Pakistan, using the DrillPlan™ coherent well planning and engineering solutions and DrillOps™ intelligent well delivery and insight solutions. The initiative represents a significant advancement in digitalizing the drilling operations of Pakistan’s energy sector to enhance operational efficiency, reduce costs, and promote sustainable oil and gas exploration in the country.</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Digital Enablement</w:t>
      </w:r>
    </w:p>
    <w:p>
      <w:pPr>
        <w:spacing w:after="0" w:line="117" w:lineRule="exact"/>
        <w:rPr>
          <w:sz w:val="20"/>
          <w:szCs w:val="20"/>
          <w:color w:val="auto"/>
        </w:rPr>
      </w:pPr>
    </w:p>
    <w:p>
      <w:pPr>
        <w:ind w:left="424" w:hanging="424"/>
        <w:spacing w:after="0" w:line="242"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Republic of the Congo, Eni deployed advanced AI-driven drilling automation technology from SLB on the drilling campaign of an LNG development. The automation helped deliver 1,071 meters in a single day, with the gross rate of penetration doubled compared to the field average. Teams from Eni and SLB worked in close collaboration using integrated digital technologies from SLB, starting with the DrillPlan coherent well planning and engineering solutions. The well plans were executed by DrillOps Automate working in harmony with DrillPilot™ rig floor equipment sequencing software and downhole rotary steerable system technologies enabled by the TruLink™ definitive dynamic survey-while-drilling service and Orion fast telemetry.</w:t>
      </w:r>
    </w:p>
    <w:p>
      <w:pPr>
        <w:spacing w:after="0" w:line="84" w:lineRule="exact"/>
        <w:rPr>
          <w:rFonts w:ascii="Arial" w:cs="Arial" w:eastAsia="Arial" w:hAnsi="Arial"/>
          <w:sz w:val="18"/>
          <w:szCs w:val="18"/>
          <w:color w:val="auto"/>
        </w:rPr>
      </w:pPr>
    </w:p>
    <w:p>
      <w:pPr>
        <w:ind w:left="424" w:hanging="424"/>
        <w:spacing w:after="0" w:line="242"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Oman, Medco Oman LLC awarded a contract to SLB for an automated drilling performance measurement and analysis service. The service will leverage digital technologies to assess current rig performance to identify and mitigate dynamic risks, such as the potential for stuck-pipe incidents. This initiative aims to enhance Medco’s operational performance, reduce nonproductive time, and minimize lost time. The project marks the beginning of a digital transformation journey as SLB and Medco collaborate on Oman’s first in-country cloud deployment. The project will apply digital technologies powered by AI to Oman’s drilling operations and will create a digital platform for an integrated well construction workflow.</w:t>
      </w:r>
    </w:p>
    <w:p>
      <w:pPr>
        <w:spacing w:after="0" w:line="84" w:lineRule="exact"/>
        <w:rPr>
          <w:rFonts w:ascii="Arial" w:cs="Arial" w:eastAsia="Arial" w:hAnsi="Arial"/>
          <w:sz w:val="18"/>
          <w:szCs w:val="18"/>
          <w:color w:val="auto"/>
        </w:rPr>
      </w:pPr>
    </w:p>
    <w:p>
      <w:pPr>
        <w:ind w:left="424" w:right="80" w:hanging="424"/>
        <w:spacing w:after="0" w:line="244"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US, Extreme and INNOVATION FACTORI collaborated directly with their service company customers, such as Total Directional Services, LLC, to develop a next-generation drilling data delivery tool that enables customers to access their data quickly and more efficiently. The Extreme automated digital workflows enable customers to maximize the value of their rotary steerable system data. Integration with the Dataiku AI platform accelerates the process of deriving insights from the datasets. Additional rapid customization and scalable development are delivered through the INNOVATION FACTORI network.</w:t>
      </w:r>
    </w:p>
    <w:p>
      <w:pPr>
        <w:sectPr>
          <w:pgSz w:w="11900" w:h="16838" w:orient="portrait"/>
          <w:cols w:equalWidth="0" w:num="1">
            <w:col w:w="11004"/>
          </w:cols>
          <w:pgMar w:left="436" w:top="269" w:right="45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ENERGY</w:t>
      </w:r>
    </w:p>
    <w:p>
      <w:pPr>
        <w:spacing w:after="0" w:line="104" w:lineRule="exact"/>
        <w:rPr>
          <w:sz w:val="20"/>
          <w:szCs w:val="20"/>
          <w:color w:val="auto"/>
        </w:rPr>
      </w:pPr>
    </w:p>
    <w:p>
      <w:pPr>
        <w:ind w:left="4" w:right="980"/>
        <w:spacing w:after="0" w:line="271"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59"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SLB is participating as the technology deployment partner in two CCS projects that have been selected for award negotiations by the US Department of Energy Office of Clean Energy Demonstrations. The first is in partnership with TDA Research to deploy a carbon capture system at the Wyoming Integrated Test Center located outside of Basin Electric’s Dry Fork Station, a coal-fired power plant in Gillette, Wyoming. The second is in partnership with RTI International, International Paper, and Amazon for a carbon capture pilot project planned at International Paper’s Vicksburg Containerboard Mill in Mississippi. In the first phase of both projects, SLB will conduct a robust front-end-engineering-design. Together, these projects would pilot two early-stage carbon capture technologies with the aim to economically capture 278,000 metric tons of CO</w:t>
      </w:r>
      <w:r>
        <w:rPr>
          <w:rFonts w:ascii="Arial" w:cs="Arial" w:eastAsia="Arial" w:hAnsi="Arial"/>
          <w:sz w:val="13"/>
          <w:szCs w:val="13"/>
          <w:color w:val="auto"/>
        </w:rPr>
        <w:t>2</w:t>
      </w:r>
      <w:r>
        <w:rPr>
          <w:rFonts w:ascii="Arial" w:cs="Arial" w:eastAsia="Arial" w:hAnsi="Arial"/>
          <w:sz w:val="18"/>
          <w:szCs w:val="18"/>
          <w:color w:val="auto"/>
        </w:rPr>
        <w:t xml:space="preserve"> annually.</w:t>
      </w:r>
    </w:p>
    <w:p>
      <w:pPr>
        <w:spacing w:after="0" w:line="90" w:lineRule="exact"/>
        <w:rPr>
          <w:rFonts w:ascii="Arial" w:cs="Arial" w:eastAsia="Arial" w:hAnsi="Arial"/>
          <w:sz w:val="18"/>
          <w:szCs w:val="18"/>
          <w:color w:val="auto"/>
        </w:rPr>
      </w:pPr>
    </w:p>
    <w:p>
      <w:pPr>
        <w:ind w:left="424" w:right="360" w:hanging="424"/>
        <w:spacing w:after="0" w:line="244"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Australia, SLB completed a fully integrated CO</w:t>
      </w:r>
      <w:r>
        <w:rPr>
          <w:rFonts w:ascii="Arial" w:cs="Arial" w:eastAsia="Arial" w:hAnsi="Arial"/>
          <w:sz w:val="13"/>
          <w:szCs w:val="13"/>
          <w:color w:val="auto"/>
        </w:rPr>
        <w:t>2</w:t>
      </w:r>
      <w:r>
        <w:rPr>
          <w:rFonts w:ascii="Arial" w:cs="Arial" w:eastAsia="Arial" w:hAnsi="Arial"/>
          <w:sz w:val="18"/>
          <w:szCs w:val="18"/>
          <w:color w:val="auto"/>
        </w:rPr>
        <w:t xml:space="preserve"> injection test for Mitsui E&amp;P Australia’s Cygnus CCS hub. SLB provided the carbon storage evaluation and designed and supervised the innovative CO</w:t>
      </w:r>
      <w:r>
        <w:rPr>
          <w:rFonts w:ascii="Arial" w:cs="Arial" w:eastAsia="Arial" w:hAnsi="Arial"/>
          <w:sz w:val="13"/>
          <w:szCs w:val="13"/>
          <w:color w:val="auto"/>
        </w:rPr>
        <w:t>2</w:t>
      </w:r>
      <w:r>
        <w:rPr>
          <w:rFonts w:ascii="Arial" w:cs="Arial" w:eastAsia="Arial" w:hAnsi="Arial"/>
          <w:sz w:val="18"/>
          <w:szCs w:val="18"/>
          <w:color w:val="auto"/>
        </w:rPr>
        <w:t xml:space="preserve"> injection system from concept to execution, utilizing technical expertise and technologies such as the Olga™ dynamic multiphase flow simulator and Symmetry™ process simulation software. The Cygnus project, in the Mid-West region of Western Australia, aims to reduce emissions from Mitsui facilities and support other industries in the decarbonization of their operations.</w:t>
      </w:r>
    </w:p>
    <w:p>
      <w:pPr>
        <w:spacing w:after="0" w:line="81" w:lineRule="exact"/>
        <w:rPr>
          <w:rFonts w:ascii="Arial" w:cs="Arial" w:eastAsia="Arial" w:hAnsi="Arial"/>
          <w:sz w:val="18"/>
          <w:szCs w:val="18"/>
          <w:color w:val="auto"/>
        </w:rPr>
      </w:pPr>
    </w:p>
    <w:p>
      <w:pPr>
        <w:ind w:left="424" w:right="460" w:hanging="424"/>
        <w:spacing w:after="0" w:line="271"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Philippines, Energy Development Corporation awarded SLB contracts for a geothermal project covering a period of three years. The contracts include acidizing, cementing, and mudlogging work for geothermal wells.</w:t>
      </w:r>
    </w:p>
    <w:p>
      <w:pPr>
        <w:spacing w:after="0" w:line="59" w:lineRule="exact"/>
        <w:rPr>
          <w:rFonts w:ascii="Arial" w:cs="Arial" w:eastAsia="Arial" w:hAnsi="Arial"/>
          <w:sz w:val="18"/>
          <w:szCs w:val="18"/>
          <w:color w:val="auto"/>
        </w:rPr>
      </w:pPr>
    </w:p>
    <w:p>
      <w:pPr>
        <w:ind w:left="424" w:right="20" w:hanging="424"/>
        <w:spacing w:after="0" w:line="242"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United States, Eversource, an energy provider in Connecticut, Massachusetts, and New Hampshire, has partnered with SLB’s Celsius Energy for the first utility-owned networked geothermal heating and cooling system in the US. The completed geothermal network will connect 140 customers across nearly 40 buildings in Framingham, Massachusetts. To date, Celsius Energy, chosen for its unique borehole design and drilling, has managed the installation of 90 boreholes for Eversource’s pilot program. Using its unique pyramid solution instead of the conventional large field of vertical boreholes connected via surface piping, Celsius Energy significantly reduced the surface footprint and reduced required surface piping by 74%.</w:t>
      </w:r>
    </w:p>
    <w:p>
      <w:pPr>
        <w:sectPr>
          <w:pgSz w:w="11900" w:h="16838" w:orient="portrait"/>
          <w:cols w:equalWidth="0" w:num="1">
            <w:col w:w="10984"/>
          </w:cols>
          <w:pgMar w:left="436" w:top="269"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5"/>
          </w:tcPr>
          <w:p>
            <w:pPr>
              <w:ind w:left="16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w:t>
            </w:r>
            <w:r>
              <w:rPr>
                <w:rFonts w:ascii="Arial" w:cs="Arial" w:eastAsia="Arial" w:hAnsi="Arial"/>
                <w:sz w:val="14"/>
                <w:szCs w:val="14"/>
                <w:color w:val="auto"/>
              </w:rPr>
              <w:t>lions, except per share amounts)</w:t>
            </w:r>
          </w:p>
        </w:tc>
        <w:tc>
          <w:tcPr>
            <w:tcW w:w="0" w:type="dxa"/>
            <w:vAlign w:val="bottom"/>
          </w:tcPr>
          <w:p>
            <w:pPr>
              <w:spacing w:after="0"/>
              <w:rPr>
                <w:sz w:val="1"/>
                <w:szCs w:val="1"/>
                <w:color w:val="auto"/>
              </w:rPr>
            </w:pPr>
          </w:p>
        </w:tc>
      </w:tr>
      <w:tr>
        <w:trPr>
          <w:trHeight w:val="171"/>
        </w:trPr>
        <w:tc>
          <w:tcPr>
            <w:tcW w:w="1620" w:type="dxa"/>
            <w:vAlign w:val="bottom"/>
            <w:vMerge w:val="restart"/>
          </w:tcPr>
          <w:p>
            <w:pPr>
              <w:spacing w:after="0"/>
              <w:rPr>
                <w:sz w:val="20"/>
                <w:szCs w:val="20"/>
                <w:color w:val="auto"/>
              </w:rPr>
            </w:pPr>
            <w:r>
              <w:rPr>
                <w:rFonts w:ascii="Arial" w:cs="Arial" w:eastAsia="Arial" w:hAnsi="Arial"/>
                <w:sz w:val="14"/>
                <w:szCs w:val="14"/>
                <w:color w:val="auto"/>
              </w:rPr>
              <w:t>Periods Ended March 31,</w:t>
            </w:r>
          </w:p>
        </w:tc>
        <w:tc>
          <w:tcPr>
            <w:tcW w:w="4260" w:type="dxa"/>
            <w:vAlign w:val="bottom"/>
            <w:vMerge w:val="restart"/>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Borders>
              <w:bottom w:val="single" w:sz="8" w:color="auto"/>
            </w:tcBorders>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2024</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91"/>
              <w:spacing w:after="0" w:line="142"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17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8,707</w:t>
            </w:r>
          </w:p>
        </w:tc>
        <w:tc>
          <w:tcPr>
            <w:tcW w:w="7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7,736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780"/>
              <w:spacing w:after="0" w:line="202" w:lineRule="exact"/>
              <w:rPr>
                <w:sz w:val="20"/>
                <w:szCs w:val="20"/>
                <w:color w:val="auto"/>
              </w:rPr>
            </w:pPr>
            <w:r>
              <w:rPr>
                <w:rFonts w:ascii="Arial" w:cs="Arial" w:eastAsia="Arial" w:hAnsi="Arial"/>
                <w:sz w:val="18"/>
                <w:szCs w:val="18"/>
                <w:b w:val="1"/>
                <w:bCs w:val="1"/>
                <w:color w:val="auto"/>
              </w:rPr>
              <w:t>84</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3"/>
                <w:szCs w:val="23"/>
                <w:color w:val="auto"/>
                <w:vertAlign w:val="superscript"/>
              </w:rPr>
              <w:t>(1)</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780"/>
              <w:spacing w:after="0" w:line="202" w:lineRule="exact"/>
              <w:rPr>
                <w:sz w:val="20"/>
                <w:szCs w:val="20"/>
                <w:color w:val="auto"/>
              </w:rPr>
            </w:pPr>
            <w:r>
              <w:rPr>
                <w:rFonts w:ascii="Arial" w:cs="Arial" w:eastAsia="Arial" w:hAnsi="Arial"/>
                <w:sz w:val="18"/>
                <w:szCs w:val="18"/>
                <w:b w:val="1"/>
                <w:bCs w:val="1"/>
                <w:color w:val="auto"/>
              </w:rPr>
              <w:t>7,007</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182</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58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780"/>
              <w:spacing w:after="0" w:line="202" w:lineRule="exact"/>
              <w:rPr>
                <w:sz w:val="20"/>
                <w:szCs w:val="20"/>
                <w:color w:val="auto"/>
              </w:rPr>
            </w:pPr>
            <w:r>
              <w:rPr>
                <w:rFonts w:ascii="Arial" w:cs="Arial" w:eastAsia="Arial" w:hAnsi="Arial"/>
                <w:sz w:val="18"/>
                <w:szCs w:val="18"/>
                <w:b w:val="1"/>
                <w:bCs w:val="1"/>
                <w:color w:val="auto"/>
              </w:rPr>
              <w:t>121</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11</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58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Interest</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Income before taxes </w:t>
            </w:r>
            <w:r>
              <w:rPr>
                <w:rFonts w:ascii="Arial" w:cs="Arial" w:eastAsia="Arial" w:hAnsi="Arial"/>
                <w:sz w:val="23"/>
                <w:szCs w:val="23"/>
                <w:color w:val="auto"/>
                <w:vertAlign w:val="superscript"/>
              </w:rPr>
              <w:t>(1)</w:t>
            </w:r>
          </w:p>
        </w:tc>
        <w:tc>
          <w:tcPr>
            <w:tcW w:w="19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1,357</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780"/>
              <w:spacing w:after="0" w:line="202" w:lineRule="exact"/>
              <w:rPr>
                <w:sz w:val="20"/>
                <w:szCs w:val="20"/>
                <w:color w:val="auto"/>
              </w:rPr>
            </w:pPr>
            <w:r>
              <w:rPr>
                <w:rFonts w:ascii="Arial" w:cs="Arial" w:eastAsia="Arial" w:hAnsi="Arial"/>
                <w:sz w:val="18"/>
                <w:szCs w:val="18"/>
                <w:b w:val="1"/>
                <w:bCs w:val="1"/>
                <w:color w:val="auto"/>
              </w:rPr>
              <w:t>259</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Net income </w:t>
            </w:r>
            <w:r>
              <w:rPr>
                <w:rFonts w:ascii="Arial" w:cs="Arial" w:eastAsia="Arial" w:hAnsi="Arial"/>
                <w:sz w:val="22"/>
                <w:szCs w:val="22"/>
                <w:color w:val="auto"/>
                <w:vertAlign w:val="superscript"/>
              </w:rPr>
              <w:t>(1)</w:t>
            </w:r>
          </w:p>
        </w:tc>
        <w:tc>
          <w:tcPr>
            <w:tcW w:w="198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780"/>
              <w:spacing w:after="0" w:line="196" w:lineRule="exact"/>
              <w:rPr>
                <w:sz w:val="20"/>
                <w:szCs w:val="20"/>
                <w:color w:val="auto"/>
              </w:rPr>
            </w:pPr>
            <w:r>
              <w:rPr>
                <w:rFonts w:ascii="Arial" w:cs="Arial" w:eastAsia="Arial" w:hAnsi="Arial"/>
                <w:sz w:val="18"/>
                <w:szCs w:val="18"/>
                <w:b w:val="1"/>
                <w:bCs w:val="1"/>
                <w:color w:val="auto"/>
              </w:rPr>
              <w:t>1,098</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0"/>
        </w:trPr>
        <w:tc>
          <w:tcPr>
            <w:tcW w:w="58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3"/>
                <w:szCs w:val="23"/>
                <w:color w:val="auto"/>
                <w:vertAlign w:val="superscript"/>
              </w:rPr>
              <w:t>(1)</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30</w:t>
            </w:r>
          </w:p>
        </w:tc>
        <w:tc>
          <w:tcPr>
            <w:tcW w:w="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Net income attributable to SLB </w:t>
            </w:r>
            <w:r>
              <w:rPr>
                <w:rFonts w:ascii="Arial" w:cs="Arial" w:eastAsia="Arial" w:hAnsi="Arial"/>
                <w:sz w:val="23"/>
                <w:szCs w:val="23"/>
                <w:color w:val="auto"/>
                <w:vertAlign w:val="superscript"/>
              </w:rPr>
              <w:t>(1)</w:t>
            </w:r>
          </w:p>
        </w:tc>
        <w:tc>
          <w:tcPr>
            <w:tcW w:w="19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1,068</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Diluted earnings per share of SLB </w:t>
            </w:r>
            <w:r>
              <w:rPr>
                <w:rFonts w:ascii="Arial" w:cs="Arial" w:eastAsia="Arial" w:hAnsi="Arial"/>
                <w:sz w:val="26"/>
                <w:szCs w:val="26"/>
                <w:color w:val="auto"/>
                <w:vertAlign w:val="superscript"/>
              </w:rPr>
              <w:t>(1)</w:t>
            </w: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0 .74</w:t>
            </w:r>
          </w:p>
        </w:tc>
        <w:tc>
          <w:tcPr>
            <w:tcW w:w="78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shares outstanding</w:t>
            </w: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80"/>
              <w:spacing w:after="0" w:line="196" w:lineRule="exact"/>
              <w:rPr>
                <w:sz w:val="20"/>
                <w:szCs w:val="20"/>
                <w:color w:val="auto"/>
              </w:rPr>
            </w:pPr>
            <w:r>
              <w:rPr>
                <w:rFonts w:ascii="Arial" w:cs="Arial" w:eastAsia="Arial" w:hAnsi="Arial"/>
                <w:sz w:val="18"/>
                <w:szCs w:val="18"/>
                <w:b w:val="1"/>
                <w:bCs w:val="1"/>
                <w:color w:val="auto"/>
              </w:rPr>
              <w:t>1,431</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780"/>
              <w:spacing w:after="0" w:line="202" w:lineRule="exact"/>
              <w:rPr>
                <w:sz w:val="20"/>
                <w:szCs w:val="20"/>
                <w:color w:val="auto"/>
              </w:rPr>
            </w:pPr>
            <w:r>
              <w:rPr>
                <w:rFonts w:ascii="Arial" w:cs="Arial" w:eastAsia="Arial" w:hAnsi="Arial"/>
                <w:sz w:val="18"/>
                <w:szCs w:val="18"/>
                <w:b w:val="1"/>
                <w:bCs w:val="1"/>
                <w:color w:val="auto"/>
              </w:rPr>
              <w:t>1,447</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Depreciation &amp; amortization included in expenses </w:t>
            </w:r>
            <w:r>
              <w:rPr>
                <w:rFonts w:ascii="Arial" w:cs="Arial" w:eastAsia="Arial" w:hAnsi="Arial"/>
                <w:sz w:val="22"/>
                <w:szCs w:val="22"/>
                <w:color w:val="auto"/>
                <w:vertAlign w:val="superscript"/>
              </w:rPr>
              <w:t>(2)</w:t>
            </w:r>
          </w:p>
        </w:tc>
        <w:tc>
          <w:tcPr>
            <w:tcW w:w="198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780"/>
              <w:spacing w:after="0" w:line="196" w:lineRule="exact"/>
              <w:rPr>
                <w:sz w:val="20"/>
                <w:szCs w:val="20"/>
                <w:color w:val="auto"/>
              </w:rPr>
            </w:pPr>
            <w:r>
              <w:rPr>
                <w:rFonts w:ascii="Arial" w:cs="Arial" w:eastAsia="Arial" w:hAnsi="Arial"/>
                <w:sz w:val="18"/>
                <w:szCs w:val="18"/>
                <w:b w:val="1"/>
                <w:bCs w:val="1"/>
                <w:color w:val="auto"/>
              </w:rPr>
              <w:t>600</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4" w:lineRule="auto"/>
        <w:tabs>
          <w:tab w:leader="none" w:pos="424" w:val="left"/>
        </w:tabs>
        <w:numPr>
          <w:ilvl w:val="0"/>
          <w:numId w:val="12"/>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864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 31,</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8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1"/>
              <w:spacing w:after="0" w:line="158" w:lineRule="exact"/>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52"/>
              <w:spacing w:after="0" w:line="158"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3,491</w:t>
            </w: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8,222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4,549</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1,438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17,700</w:t>
            </w: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1,606</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7,253</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14,086</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3,167</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4,044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47,856</w:t>
            </w:r>
          </w:p>
        </w:tc>
        <w:tc>
          <w:tcPr>
            <w:tcW w:w="46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10,051</w:t>
            </w: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987</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1,430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9"/>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411</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12,879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13,395</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10,740</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177</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9"/>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2,137</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25,933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10"/>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8"/>
              </w:rPr>
              <w:t>21,923</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47,856</w:t>
            </w: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47,957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8"/>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6"/>
        </w:trPr>
        <w:tc>
          <w:tcPr>
            <w:tcW w:w="880" w:type="dxa"/>
            <w:vAlign w:val="bottom"/>
            <w:vMerge w:val="restart"/>
          </w:tcPr>
          <w:p>
            <w:pPr>
              <w:spacing w:after="0"/>
              <w:rPr>
                <w:sz w:val="15"/>
                <w:szCs w:val="1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color w:val="auto"/>
              </w:rPr>
              <w:t>Components of Liquidity</w:t>
            </w:r>
          </w:p>
        </w:tc>
        <w:tc>
          <w:tcPr>
            <w:tcW w:w="4080" w:type="dxa"/>
            <w:vAlign w:val="bottom"/>
            <w:gridSpan w:val="2"/>
            <w:vMerge w:val="restart"/>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5"/>
              </w:rPr>
              <w:t>Mar. 31,</w:t>
            </w:r>
          </w:p>
        </w:tc>
        <w:tc>
          <w:tcPr>
            <w:tcW w:w="240" w:type="dxa"/>
            <w:vAlign w:val="bottom"/>
          </w:tcPr>
          <w:p>
            <w:pPr>
              <w:spacing w:after="0"/>
              <w:rPr>
                <w:sz w:val="15"/>
                <w:szCs w:val="15"/>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4"/>
                <w:szCs w:val="14"/>
                <w:color w:val="auto"/>
              </w:rPr>
              <w:t>Dec.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4"/>
          </w:tcPr>
          <w:p>
            <w:pPr>
              <w:jc w:val="right"/>
              <w:ind w:right="201"/>
              <w:spacing w:after="0"/>
              <w:rPr>
                <w:sz w:val="20"/>
                <w:szCs w:val="20"/>
                <w:color w:val="auto"/>
              </w:rPr>
            </w:pPr>
            <w:r>
              <w:rPr>
                <w:rFonts w:ascii="Arial" w:cs="Arial" w:eastAsia="Arial" w:hAnsi="Arial"/>
                <w:sz w:val="14"/>
                <w:szCs w:val="14"/>
                <w:color w:val="auto"/>
                <w:w w:val="97"/>
              </w:rPr>
              <w:t>Mar. 31,</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40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220"/>
              <w:spacing w:after="0" w:line="158"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564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3,491</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3,989</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2,504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40" w:type="dxa"/>
            <w:vAlign w:val="bottom"/>
            <w:gridSpan w:val="4"/>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1"/>
              <w:spacing w:after="0" w:line="202" w:lineRule="exact"/>
              <w:rPr>
                <w:sz w:val="20"/>
                <w:szCs w:val="20"/>
                <w:color w:val="auto"/>
              </w:rPr>
            </w:pPr>
            <w:r>
              <w:rPr>
                <w:rFonts w:ascii="Arial" w:cs="Arial" w:eastAsia="Arial" w:hAnsi="Arial"/>
                <w:sz w:val="18"/>
                <w:szCs w:val="18"/>
                <w:b w:val="1"/>
                <w:bCs w:val="1"/>
                <w:color w:val="auto"/>
              </w:rPr>
              <w:t>(1,430)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(1,123)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b w:val="1"/>
                <w:bCs w:val="1"/>
                <w:color w:val="auto"/>
              </w:rPr>
              <w:t>(10,740)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(10,842)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8"/>
              </w:rPr>
              <w:t>(10,698)</w:t>
            </w:r>
          </w:p>
        </w:tc>
        <w:tc>
          <w:tcPr>
            <w:tcW w:w="0" w:type="dxa"/>
            <w:vAlign w:val="bottom"/>
          </w:tcPr>
          <w:p>
            <w:pPr>
              <w:spacing w:after="0"/>
              <w:rPr>
                <w:sz w:val="1"/>
                <w:szCs w:val="1"/>
                <w:color w:val="auto"/>
              </w:rPr>
            </w:pPr>
          </w:p>
        </w:tc>
      </w:tr>
      <w:tr>
        <w:trPr>
          <w:trHeight w:val="209"/>
        </w:trPr>
        <w:tc>
          <w:tcPr>
            <w:tcW w:w="6520" w:type="dxa"/>
            <w:vAlign w:val="bottom"/>
            <w:gridSpan w:val="5"/>
          </w:tcPr>
          <w:p>
            <w:pPr>
              <w:ind w:left="880"/>
              <w:spacing w:after="0" w:line="210" w:lineRule="exact"/>
              <w:rPr>
                <w:sz w:val="20"/>
                <w:szCs w:val="20"/>
                <w:color w:val="auto"/>
              </w:rPr>
            </w:pPr>
            <w:r>
              <w:rPr>
                <w:rFonts w:ascii="Arial" w:cs="Arial" w:eastAsia="Arial" w:hAnsi="Arial"/>
                <w:sz w:val="17"/>
                <w:szCs w:val="17"/>
                <w:color w:val="auto"/>
              </w:rPr>
              <w:t>Net Debt</w:t>
            </w:r>
            <w:r>
              <w:rPr>
                <w:rFonts w:ascii="Arial" w:cs="Arial" w:eastAsia="Arial" w:hAnsi="Arial"/>
                <w:sz w:val="24"/>
                <w:szCs w:val="24"/>
                <w:color w:val="auto"/>
                <w:vertAlign w:val="superscript"/>
              </w:rPr>
              <w:t>(1)</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(8,679</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(7,976</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8"/>
              </w:rPr>
              <w:t>(10,334</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6520" w:type="dxa"/>
            <w:vAlign w:val="bottom"/>
            <w:gridSpan w:val="5"/>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52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6"/>
          </w:tcPr>
          <w:p>
            <w:pPr>
              <w:jc w:val="center"/>
              <w:ind w:right="641"/>
              <w:spacing w:after="0"/>
              <w:rPr>
                <w:sz w:val="20"/>
                <w:szCs w:val="20"/>
                <w:color w:val="auto"/>
              </w:rPr>
            </w:pPr>
            <w:r>
              <w:rPr>
                <w:rFonts w:ascii="Arial" w:cs="Arial" w:eastAsia="Arial" w:hAnsi="Arial"/>
                <w:sz w:val="14"/>
                <w:szCs w:val="14"/>
                <w:color w:val="auto"/>
              </w:rPr>
              <w:t>Three</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2"/>
            <w:vMerge w:val="restart"/>
          </w:tcPr>
          <w:p>
            <w:pPr>
              <w:spacing w:after="0"/>
              <w:rPr>
                <w:sz w:val="20"/>
                <w:szCs w:val="20"/>
                <w:color w:val="auto"/>
              </w:rPr>
            </w:pPr>
            <w:r>
              <w:rPr>
                <w:rFonts w:ascii="Arial" w:cs="Arial" w:eastAsia="Arial" w:hAnsi="Arial"/>
                <w:sz w:val="14"/>
                <w:szCs w:val="14"/>
                <w:color w:val="auto"/>
              </w:rPr>
              <w:t>Periods Ended March 31,</w:t>
            </w:r>
          </w:p>
        </w:tc>
        <w:tc>
          <w:tcPr>
            <w:tcW w:w="356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6"/>
          </w:tcPr>
          <w:p>
            <w:pPr>
              <w:jc w:val="center"/>
              <w:ind w:right="661"/>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Borders>
              <w:bottom w:val="single" w:sz="8" w:color="auto"/>
            </w:tcBorders>
            <w:gridSpan w:val="2"/>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jc w:val="center"/>
              <w:spacing w:after="0" w:line="158" w:lineRule="exact"/>
              <w:rPr>
                <w:sz w:val="20"/>
                <w:szCs w:val="20"/>
                <w:color w:val="auto"/>
              </w:rPr>
            </w:pPr>
            <w:r>
              <w:rPr>
                <w:rFonts w:ascii="Arial" w:cs="Arial" w:eastAsia="Arial" w:hAnsi="Arial"/>
                <w:sz w:val="14"/>
                <w:szCs w:val="14"/>
                <w:color w:val="auto"/>
              </w:rPr>
              <w:t>2023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9"/>
              </w:rPr>
              <w:t>$ 1,098</w:t>
            </w:r>
          </w:p>
        </w:tc>
        <w:tc>
          <w:tcPr>
            <w:tcW w:w="3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944</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Charges and credits, net of tax </w:t>
            </w:r>
            <w:r>
              <w:rPr>
                <w:rFonts w:ascii="Arial" w:cs="Arial" w:eastAsia="Arial" w:hAnsi="Arial"/>
                <w:sz w:val="23"/>
                <w:szCs w:val="23"/>
                <w:color w:val="auto"/>
                <w:vertAlign w:val="superscript"/>
              </w:rPr>
              <w:t>(2)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3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1,117</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916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6"/>
                <w:szCs w:val="26"/>
                <w:color w:val="auto"/>
                <w:vertAlign w:val="superscript"/>
              </w:rPr>
              <w:t>(3)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b w:val="1"/>
                <w:bCs w:val="1"/>
                <w:color w:val="auto"/>
              </w:rPr>
              <w:t>600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4"/>
          </w:tcPr>
          <w:p>
            <w:pPr>
              <w:jc w:val="right"/>
              <w:ind w:right="41"/>
              <w:spacing w:after="0"/>
              <w:rPr>
                <w:sz w:val="20"/>
                <w:szCs w:val="20"/>
                <w:color w:val="auto"/>
              </w:rPr>
            </w:pPr>
            <w:r>
              <w:rPr>
                <w:rFonts w:ascii="Arial" w:cs="Arial" w:eastAsia="Arial" w:hAnsi="Arial"/>
                <w:sz w:val="18"/>
                <w:szCs w:val="18"/>
                <w:color w:val="auto"/>
              </w:rPr>
              <w:t>563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100</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Change in working capital</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5"/>
          </w:tcPr>
          <w:p>
            <w:pPr>
              <w:jc w:val="right"/>
              <w:ind w:right="280"/>
              <w:spacing w:after="0" w:line="202" w:lineRule="exact"/>
              <w:rPr>
                <w:sz w:val="20"/>
                <w:szCs w:val="20"/>
                <w:color w:val="auto"/>
              </w:rPr>
            </w:pPr>
            <w:r>
              <w:rPr>
                <w:rFonts w:ascii="Arial" w:cs="Arial" w:eastAsia="Arial" w:hAnsi="Arial"/>
                <w:sz w:val="18"/>
                <w:szCs w:val="18"/>
                <w:b w:val="1"/>
                <w:bCs w:val="1"/>
                <w:color w:val="auto"/>
              </w:rPr>
              <w:t>(1,486)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(1,230)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Cash flow from operations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327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(399)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APS investments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5"/>
          </w:tcPr>
          <w:p>
            <w:pPr>
              <w:jc w:val="right"/>
              <w:ind w:right="280"/>
              <w:spacing w:after="0" w:line="202" w:lineRule="exact"/>
              <w:rPr>
                <w:sz w:val="20"/>
                <w:szCs w:val="20"/>
                <w:color w:val="auto"/>
              </w:rPr>
            </w:pPr>
            <w:r>
              <w:rPr>
                <w:rFonts w:ascii="Arial" w:cs="Arial" w:eastAsia="Arial" w:hAnsi="Arial"/>
                <w:sz w:val="18"/>
                <w:szCs w:val="18"/>
                <w:b w:val="1"/>
                <w:bCs w:val="1"/>
                <w:color w:val="auto"/>
              </w:rPr>
              <w:t>(121)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(133)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(29)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gridSpan w:val="3"/>
          </w:tcPr>
          <w:p>
            <w:pPr>
              <w:spacing w:after="0" w:line="210" w:lineRule="exact"/>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24"/>
                <w:szCs w:val="24"/>
                <w:color w:val="auto"/>
                <w:vertAlign w:val="superscript"/>
              </w:rPr>
              <w:t>(4)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(222)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(357)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Stock repurchase program</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5"/>
          </w:tcPr>
          <w:p>
            <w:pPr>
              <w:jc w:val="right"/>
              <w:ind w:right="280"/>
              <w:spacing w:after="0" w:line="202" w:lineRule="exact"/>
              <w:rPr>
                <w:sz w:val="20"/>
                <w:szCs w:val="20"/>
                <w:color w:val="auto"/>
              </w:rPr>
            </w:pPr>
            <w:r>
              <w:rPr>
                <w:rFonts w:ascii="Arial" w:cs="Arial" w:eastAsia="Arial" w:hAnsi="Arial"/>
                <w:sz w:val="18"/>
                <w:szCs w:val="18"/>
                <w:b w:val="1"/>
                <w:bCs w:val="1"/>
                <w:color w:val="auto"/>
              </w:rPr>
              <w:t>(270)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(230)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115</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121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(244)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Purchases of Blue Chip Swap securities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(52)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sale of Blue Chip Swap securities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26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Liberty shares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w w:val="81"/>
              </w:rPr>
              <w:t>— 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137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(78)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540" w:type="dxa"/>
            <w:vAlign w:val="bottom"/>
            <w:gridSpan w:val="7"/>
          </w:tcPr>
          <w:p>
            <w:pPr>
              <w:spacing w:after="0" w:line="191" w:lineRule="exact"/>
              <w:rPr>
                <w:sz w:val="20"/>
                <w:szCs w:val="20"/>
                <w:color w:val="auto"/>
              </w:rPr>
            </w:pPr>
            <w:r>
              <w:rPr>
                <w:rFonts w:ascii="Arial" w:cs="Arial" w:eastAsia="Arial" w:hAnsi="Arial"/>
                <w:sz w:val="18"/>
                <w:szCs w:val="18"/>
                <w:b w:val="1"/>
                <w:bCs w:val="1"/>
                <w:color w:val="auto"/>
              </w:rPr>
              <w:t>Decrease in net debt before impact of changes in foreign exchange</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b w:val="1"/>
                <w:bCs w:val="1"/>
                <w:color w:val="auto"/>
              </w:rPr>
              <w:t>rates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(799)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(902)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Decrease in Net Debt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(703)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(7,976)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(9,332)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Net Debt, end of period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(8,679</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8"/>
                <w:szCs w:val="18"/>
                <w:color w:val="auto"/>
              </w:rPr>
            </w:pPr>
          </w:p>
        </w:tc>
        <w:tc>
          <w:tcPr>
            <w:tcW w:w="7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(10,334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13"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80" w:hanging="424"/>
        <w:spacing w:after="0" w:line="221"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04"/>
          </w:cols>
          <w:pgMar w:left="436" w:top="269" w:right="45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04" w:lineRule="exact"/>
        <w:rPr>
          <w:sz w:val="20"/>
          <w:szCs w:val="20"/>
          <w:color w:val="auto"/>
        </w:rPr>
      </w:pPr>
    </w:p>
    <w:p>
      <w:pPr>
        <w:ind w:left="4" w:right="10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first-quarter 2024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gridSpan w:val="22"/>
          </w:tcPr>
          <w:p>
            <w:pPr>
              <w:jc w:val="center"/>
              <w:ind w:left="19"/>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6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rPr>
              <w:t>First Quarter 2024</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7"/>
          </w:tcPr>
          <w:p>
            <w:pPr>
              <w:ind w:left="20"/>
              <w:spacing w:after="0" w:line="147" w:lineRule="exact"/>
              <w:rPr>
                <w:sz w:val="20"/>
                <w:szCs w:val="20"/>
                <w:color w:val="auto"/>
              </w:rPr>
            </w:pPr>
            <w:r>
              <w:rPr>
                <w:rFonts w:ascii="Arial" w:cs="Arial" w:eastAsia="Arial" w:hAnsi="Arial"/>
                <w:sz w:val="14"/>
                <w:szCs w:val="14"/>
                <w:color w:val="auto"/>
              </w:rPr>
              <w:t>Noncont.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6960" w:type="dxa"/>
            <w:vAlign w:val="bottom"/>
          </w:tcPr>
          <w:p>
            <w:pPr>
              <w:spacing w:after="0"/>
              <w:rPr>
                <w:sz w:val="14"/>
                <w:szCs w:val="14"/>
                <w:color w:val="auto"/>
              </w:rPr>
            </w:pPr>
          </w:p>
        </w:tc>
        <w:tc>
          <w:tcPr>
            <w:tcW w:w="820" w:type="dxa"/>
            <w:vAlign w:val="bottom"/>
            <w:gridSpan w:val="5"/>
          </w:tcPr>
          <w:p>
            <w:pPr>
              <w:jc w:val="center"/>
              <w:ind w:right="24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3"/>
          </w:tcPr>
          <w:p>
            <w:pPr>
              <w:jc w:val="right"/>
              <w:ind w:right="39"/>
              <w:spacing w:after="0"/>
              <w:rPr>
                <w:sz w:val="20"/>
                <w:szCs w:val="20"/>
                <w:color w:val="auto"/>
              </w:rPr>
            </w:pPr>
            <w:r>
              <w:rPr>
                <w:rFonts w:ascii="Arial" w:cs="Arial" w:eastAsia="Arial" w:hAnsi="Arial"/>
                <w:sz w:val="14"/>
                <w:szCs w:val="14"/>
                <w:color w:val="auto"/>
              </w:rPr>
              <w:t>Tax</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7"/>
          </w:tcPr>
          <w:p>
            <w:pPr>
              <w:ind w:left="40"/>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jc w:val="right"/>
              <w:ind w:right="48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EPS</w:t>
            </w: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$1,357</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$ 259</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89"/>
              </w:rPr>
              <w:t>30</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1,068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76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25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0.01</w:t>
            </w:r>
          </w:p>
        </w:tc>
      </w:tr>
      <w:tr>
        <w:trPr>
          <w:trHeight w:val="27"/>
        </w:trPr>
        <w:tc>
          <w:tcPr>
            <w:tcW w:w="6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76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1,382</w:t>
            </w:r>
          </w:p>
        </w:tc>
        <w:tc>
          <w:tcPr>
            <w:tcW w:w="60" w:type="dxa"/>
            <w:vAlign w:val="bottom"/>
            <w:shd w:val="clear" w:color="auto" w:fill="CCEEFF"/>
          </w:tcPr>
          <w:p>
            <w:pPr>
              <w:spacing w:after="0"/>
              <w:rPr>
                <w:sz w:val="17"/>
                <w:szCs w:val="17"/>
                <w:color w:val="auto"/>
              </w:rPr>
            </w:pPr>
          </w:p>
        </w:tc>
        <w:tc>
          <w:tcPr>
            <w:tcW w:w="4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$ 265</w:t>
            </w:r>
          </w:p>
        </w:tc>
        <w:tc>
          <w:tcPr>
            <w:tcW w:w="440" w:type="dxa"/>
            <w:vAlign w:val="bottom"/>
            <w:gridSpan w:val="3"/>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1,082</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0.75</w:t>
            </w:r>
          </w:p>
        </w:tc>
      </w:tr>
      <w:tr>
        <w:trPr>
          <w:trHeight w:val="20"/>
        </w:trPr>
        <w:tc>
          <w:tcPr>
            <w:tcW w:w="6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5"/>
          </w:tcPr>
          <w:p>
            <w:pPr>
              <w:jc w:val="right"/>
              <w:ind w:right="740"/>
              <w:spacing w:after="0"/>
              <w:rPr>
                <w:sz w:val="20"/>
                <w:szCs w:val="20"/>
                <w:color w:val="auto"/>
              </w:rPr>
            </w:pPr>
            <w:r>
              <w:rPr>
                <w:rFonts w:ascii="Arial" w:cs="Arial" w:eastAsia="Arial" w:hAnsi="Arial"/>
                <w:sz w:val="14"/>
                <w:szCs w:val="14"/>
                <w:b w:val="1"/>
                <w:bCs w:val="1"/>
                <w:color w:val="auto"/>
              </w:rPr>
              <w:t>First Quarter 2023</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5"/>
          </w:tcPr>
          <w:p>
            <w:pPr>
              <w:jc w:val="right"/>
              <w:ind w:right="80"/>
              <w:spacing w:after="0" w:line="147" w:lineRule="exact"/>
              <w:rPr>
                <w:sz w:val="20"/>
                <w:szCs w:val="20"/>
                <w:color w:val="auto"/>
              </w:rPr>
            </w:pPr>
            <w:r>
              <w:rPr>
                <w:rFonts w:ascii="Arial" w:cs="Arial" w:eastAsia="Arial" w:hAnsi="Arial"/>
                <w:sz w:val="14"/>
                <w:szCs w:val="14"/>
                <w:color w:val="auto"/>
                <w:w w:val="92"/>
              </w:rPr>
              <w:t>Noncont.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tcPr>
          <w:p>
            <w:pPr>
              <w:jc w:val="right"/>
              <w:ind w:right="268"/>
              <w:spacing w:after="0"/>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4"/>
                <w:szCs w:val="14"/>
                <w:color w:val="auto"/>
              </w:rPr>
            </w:pPr>
          </w:p>
        </w:tc>
        <w:tc>
          <w:tcPr>
            <w:tcW w:w="620" w:type="dxa"/>
            <w:vAlign w:val="bottom"/>
            <w:gridSpan w:val="5"/>
          </w:tcPr>
          <w:p>
            <w:pPr>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jc w:val="right"/>
              <w:ind w:right="44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EPS</w:t>
            </w: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$1,161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$217</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$934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$ 0.65</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Gain on sale of Liberty shares </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6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7"/>
              </w:rPr>
              <w:t>(0.02)</w:t>
            </w:r>
          </w:p>
        </w:tc>
        <w:tc>
          <w:tcPr>
            <w:tcW w:w="120" w:type="dxa"/>
            <w:vAlign w:val="bottom"/>
          </w:tcPr>
          <w:p>
            <w:pPr>
              <w:spacing w:after="0"/>
              <w:rPr>
                <w:sz w:val="17"/>
                <w:szCs w:val="17"/>
                <w:color w:val="auto"/>
              </w:rPr>
            </w:pPr>
          </w:p>
        </w:tc>
      </w:tr>
      <w:tr>
        <w:trPr>
          <w:trHeight w:val="27"/>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8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906</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$ 0.63</w:t>
            </w:r>
          </w:p>
        </w:tc>
        <w:tc>
          <w:tcPr>
            <w:tcW w:w="120" w:type="dxa"/>
            <w:vAlign w:val="bottom"/>
            <w:tcBorders>
              <w:left w:val="single" w:sz="8" w:color="CCEEFF"/>
            </w:tcBorders>
            <w:shd w:val="clear" w:color="auto" w:fill="CCEEFF"/>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5"/>
          </w:tcPr>
          <w:p>
            <w:pPr>
              <w:jc w:val="right"/>
              <w:ind w:right="580"/>
              <w:spacing w:after="0"/>
              <w:rPr>
                <w:sz w:val="20"/>
                <w:szCs w:val="20"/>
                <w:color w:val="auto"/>
              </w:rPr>
            </w:pPr>
            <w:r>
              <w:rPr>
                <w:rFonts w:ascii="Arial" w:cs="Arial" w:eastAsia="Arial" w:hAnsi="Arial"/>
                <w:sz w:val="14"/>
                <w:szCs w:val="14"/>
                <w:b w:val="1"/>
                <w:bCs w:val="1"/>
                <w:color w:val="auto"/>
              </w:rPr>
              <w:t>Fourth Quarter 2023</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5"/>
          </w:tcPr>
          <w:p>
            <w:pPr>
              <w:spacing w:after="0" w:line="147" w:lineRule="exact"/>
              <w:rPr>
                <w:sz w:val="20"/>
                <w:szCs w:val="20"/>
                <w:color w:val="auto"/>
              </w:rPr>
            </w:pPr>
            <w:r>
              <w:rPr>
                <w:rFonts w:ascii="Arial" w:cs="Arial" w:eastAsia="Arial" w:hAnsi="Arial"/>
                <w:sz w:val="14"/>
                <w:szCs w:val="14"/>
                <w:color w:val="auto"/>
              </w:rPr>
              <w:t>Noncont.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jc w:val="right"/>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tcPr>
          <w:p>
            <w:pPr>
              <w:jc w:val="right"/>
              <w:ind w:right="188"/>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jc w:val="right"/>
              <w:ind w:right="32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EPS</w:t>
            </w: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$1,433</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420" w:type="dxa"/>
            <w:vAlign w:val="bottom"/>
            <w:tcBorders>
              <w:top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$284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$ 1,113</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$0.77</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(3)</w:t>
            </w:r>
          </w:p>
        </w:tc>
        <w:tc>
          <w:tcPr>
            <w:tcW w:w="920" w:type="dxa"/>
            <w:vAlign w:val="bottom"/>
            <w:gridSpan w:val="7"/>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78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Argentina devaluation </w:t>
            </w:r>
            <w:r>
              <w:rPr>
                <w:rFonts w:ascii="Arial" w:cs="Arial" w:eastAsia="Arial" w:hAnsi="Arial"/>
                <w:sz w:val="23"/>
                <w:szCs w:val="23"/>
                <w:color w:val="auto"/>
                <w:vertAlign w:val="superscript"/>
              </w:rPr>
              <w:t>(4)</w:t>
            </w:r>
          </w:p>
        </w:tc>
        <w:tc>
          <w:tcPr>
            <w:tcW w:w="920" w:type="dxa"/>
            <w:vAlign w:val="bottom"/>
            <w:gridSpan w:val="7"/>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w w:val="81"/>
              </w:rPr>
              <w:t>— </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0.06</w:t>
            </w: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320" w:type="dxa"/>
            <w:vAlign w:val="bottom"/>
            <w:gridSpan w:val="2"/>
          </w:tcPr>
          <w:p>
            <w:pPr>
              <w:spacing w:after="0"/>
              <w:rPr>
                <w:sz w:val="18"/>
                <w:szCs w:val="18"/>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1,579</w:t>
            </w:r>
          </w:p>
        </w:tc>
        <w:tc>
          <w:tcPr>
            <w:tcW w:w="20" w:type="dxa"/>
            <w:vAlign w:val="bottom"/>
            <w:tcBorders>
              <w:bottom w:val="single" w:sz="8" w:color="auto"/>
            </w:tcBorders>
          </w:tcPr>
          <w:p>
            <w:pPr>
              <w:spacing w:after="0"/>
              <w:rPr>
                <w:sz w:val="18"/>
                <w:szCs w:val="18"/>
                <w:color w:val="auto"/>
              </w:rPr>
            </w:pPr>
          </w:p>
        </w:tc>
        <w:tc>
          <w:tcPr>
            <w:tcW w:w="240" w:type="dxa"/>
            <w:vAlign w:val="bottom"/>
            <w:gridSpan w:val="2"/>
          </w:tcPr>
          <w:p>
            <w:pPr>
              <w:spacing w:after="0"/>
              <w:rPr>
                <w:sz w:val="18"/>
                <w:szCs w:val="18"/>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0.86</w:t>
            </w:r>
          </w:p>
        </w:tc>
        <w:tc>
          <w:tcPr>
            <w:tcW w:w="12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640" w:hanging="424"/>
        <w:spacing w:after="0" w:line="196"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 xml:space="preserve">$14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 of Income</w:t>
      </w:r>
      <w:r>
        <w:rPr>
          <w:rFonts w:ascii="Arial" w:cs="Arial" w:eastAsia="Arial" w:hAnsi="Arial"/>
          <w:sz w:val="18"/>
          <w:szCs w:val="18"/>
          <w:color w:val="auto"/>
        </w:rPr>
        <w:t xml:space="preserve"> with the remaining $11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right="320" w:hanging="424"/>
        <w:spacing w:after="0" w:line="187"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 xml:space="preserve">$45 million of these charges were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 xml:space="preserve"> with the remaining $11 million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w:t>
      </w:r>
    </w:p>
    <w:p>
      <w:pPr>
        <w:spacing w:after="0" w:line="1" w:lineRule="exact"/>
        <w:rPr>
          <w:rFonts w:ascii="Arial" w:cs="Arial" w:eastAsia="Arial" w:hAnsi="Arial"/>
          <w:sz w:val="27"/>
          <w:szCs w:val="27"/>
          <w:color w:val="auto"/>
          <w:vertAlign w:val="superscript"/>
        </w:rPr>
      </w:pPr>
    </w:p>
    <w:p>
      <w:pPr>
        <w:ind w:left="424" w:hanging="424"/>
        <w:spacing w:after="0" w:line="184" w:lineRule="auto"/>
        <w:tabs>
          <w:tab w:leader="none" w:pos="424" w:val="left"/>
        </w:tabs>
        <w:numPr>
          <w:ilvl w:val="0"/>
          <w:numId w:val="14"/>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Cost of revenue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sectPr>
          <w:pgSz w:w="11900" w:h="16838" w:orient="portrait"/>
          <w:cols w:equalWidth="0" w:num="1">
            <w:col w:w="11024"/>
          </w:cols>
          <w:pgMar w:left="436" w:top="269"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6"/>
            <w:vMerge w:val="restart"/>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6"/>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6"/>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6"/>
          </w:tcPr>
          <w:p>
            <w:pPr>
              <w:jc w:val="right"/>
              <w:ind w:right="380"/>
              <w:spacing w:after="0" w:line="155" w:lineRule="exact"/>
              <w:rPr>
                <w:sz w:val="20"/>
                <w:szCs w:val="20"/>
                <w:color w:val="auto"/>
              </w:rPr>
            </w:pPr>
            <w:r>
              <w:rPr>
                <w:rFonts w:ascii="Arial" w:cs="Arial" w:eastAsia="Arial" w:hAnsi="Arial"/>
                <w:sz w:val="14"/>
                <w:szCs w:val="14"/>
                <w:b w:val="1"/>
                <w:bCs w:val="1"/>
                <w:color w:val="auto"/>
              </w:rPr>
              <w:t>Mar. 31, 2024</w:t>
            </w:r>
          </w:p>
        </w:tc>
        <w:tc>
          <w:tcPr>
            <w:tcW w:w="100" w:type="dxa"/>
            <w:vAlign w:val="bottom"/>
          </w:tcPr>
          <w:p>
            <w:pPr>
              <w:spacing w:after="0"/>
              <w:rPr>
                <w:sz w:val="13"/>
                <w:szCs w:val="13"/>
                <w:color w:val="auto"/>
              </w:rPr>
            </w:pPr>
          </w:p>
        </w:tc>
        <w:tc>
          <w:tcPr>
            <w:tcW w:w="1520" w:type="dxa"/>
            <w:vAlign w:val="bottom"/>
            <w:gridSpan w:val="5"/>
          </w:tcPr>
          <w:p>
            <w:pPr>
              <w:jc w:val="right"/>
              <w:ind w:right="380"/>
              <w:spacing w:after="0" w:line="155" w:lineRule="exact"/>
              <w:rPr>
                <w:sz w:val="20"/>
                <w:szCs w:val="20"/>
                <w:color w:val="auto"/>
              </w:rPr>
            </w:pPr>
            <w:r>
              <w:rPr>
                <w:rFonts w:ascii="Arial" w:cs="Arial" w:eastAsia="Arial" w:hAnsi="Arial"/>
                <w:sz w:val="14"/>
                <w:szCs w:val="14"/>
                <w:color w:val="auto"/>
              </w:rPr>
              <w:t>Dec. 31, 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170"/>
              <w:spacing w:after="0" w:line="155" w:lineRule="exact"/>
              <w:rPr>
                <w:sz w:val="20"/>
                <w:szCs w:val="20"/>
                <w:color w:val="auto"/>
              </w:rPr>
            </w:pPr>
            <w:r>
              <w:rPr>
                <w:rFonts w:ascii="Arial" w:cs="Arial" w:eastAsia="Arial" w:hAnsi="Arial"/>
                <w:sz w:val="14"/>
                <w:szCs w:val="14"/>
                <w:color w:val="auto"/>
              </w:rPr>
              <w:t>Mar. 31, 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Revenue</w:t>
            </w:r>
          </w:p>
        </w:tc>
        <w:tc>
          <w:tcPr>
            <w:tcW w:w="70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Taxes</w:t>
            </w:r>
          </w:p>
        </w:tc>
        <w:tc>
          <w:tcPr>
            <w:tcW w:w="1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8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953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$ 1,049</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1,725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339</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1,735</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3,368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690</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2,818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400</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2,944</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(34)</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66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1,649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1620"/>
              <w:spacing w:after="0" w:line="202" w:lineRule="exact"/>
              <w:rPr>
                <w:sz w:val="20"/>
                <w:szCs w:val="20"/>
                <w:color w:val="auto"/>
              </w:rPr>
            </w:pPr>
            <w:r>
              <w:rPr>
                <w:rFonts w:ascii="Arial" w:cs="Arial" w:eastAsia="Arial" w:hAnsi="Arial"/>
                <w:sz w:val="18"/>
                <w:szCs w:val="18"/>
                <w:b w:val="1"/>
                <w:bCs w:val="1"/>
                <w:color w:val="auto"/>
                <w:w w:val="99"/>
              </w:rPr>
              <w:t>$</w:t>
            </w: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8,707</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7"/>
              </w:rPr>
              <w:t>1,357</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$ 8,990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7"/>
              </w:rPr>
              <w:t>1,433</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7,736</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1,161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4" w:lineRule="auto"/>
        <w:tabs>
          <w:tab w:leader="none" w:pos="424"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See section entitled “Charges &amp; Credits” for details.</w:t>
      </w:r>
    </w:p>
    <w:p>
      <w:pPr>
        <w:sectPr>
          <w:pgSz w:w="11900" w:h="16838" w:orient="portrait"/>
          <w:cols w:equalWidth="0" w:num="1">
            <w:col w:w="11024"/>
          </w:cols>
          <w:pgMar w:left="436" w:top="269"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2024?</w:t>
      </w:r>
    </w:p>
    <w:p>
      <w:pPr>
        <w:spacing w:after="0" w:line="103" w:lineRule="exact"/>
        <w:rPr>
          <w:rFonts w:ascii="Arial" w:cs="Arial" w:eastAsia="Arial" w:hAnsi="Arial"/>
          <w:sz w:val="18"/>
          <w:szCs w:val="18"/>
          <w:b w:val="1"/>
          <w:bCs w:val="1"/>
          <w:color w:val="auto"/>
        </w:rPr>
      </w:pPr>
    </w:p>
    <w:p>
      <w:pPr>
        <w:ind w:left="444" w:right="5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2024 is expected to be approximately $2.6 billion, which is the same level as full-year 2023.</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first quarter of 2024?</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first quarter of 2024 was $327 million and free cash flow was negative $222 million.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first quarter of 2024?</w:t>
      </w:r>
    </w:p>
    <w:p>
      <w:pPr>
        <w:spacing w:after="0" w:line="103" w:lineRule="exact"/>
        <w:rPr>
          <w:rFonts w:ascii="Arial" w:cs="Arial" w:eastAsia="Arial" w:hAnsi="Arial"/>
          <w:sz w:val="18"/>
          <w:szCs w:val="18"/>
          <w:b w:val="1"/>
          <w:bCs w:val="1"/>
          <w:color w:val="auto"/>
        </w:rPr>
      </w:pPr>
    </w:p>
    <w:p>
      <w:pPr>
        <w:ind w:left="444"/>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first quarter of 2024 was $84 million. This consisted of interest income of $38 million and earnings of equity method investments of $46 million.</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2024?</w:t>
      </w:r>
    </w:p>
    <w:p>
      <w:pPr>
        <w:spacing w:after="0" w:line="103" w:lineRule="exact"/>
        <w:rPr>
          <w:rFonts w:ascii="Arial" w:cs="Arial" w:eastAsia="Arial" w:hAnsi="Arial"/>
          <w:sz w:val="18"/>
          <w:szCs w:val="18"/>
          <w:b w:val="1"/>
          <w:bCs w:val="1"/>
          <w:color w:val="auto"/>
        </w:rPr>
      </w:pPr>
    </w:p>
    <w:p>
      <w:pPr>
        <w:ind w:left="444" w:right="7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$38 million for the first quarter of 2024 decreased $2 million sequentially. Interest expense of $113 million decreased $17 million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first quarter of 2024?</w:t>
      </w:r>
    </w:p>
    <w:p>
      <w:pPr>
        <w:spacing w:after="0" w:line="103" w:lineRule="exact"/>
        <w:rPr>
          <w:rFonts w:ascii="Arial" w:cs="Arial" w:eastAsia="Arial" w:hAnsi="Arial"/>
          <w:sz w:val="18"/>
          <w:szCs w:val="18"/>
          <w:b w:val="1"/>
          <w:bCs w:val="1"/>
          <w:color w:val="auto"/>
        </w:rPr>
      </w:pPr>
    </w:p>
    <w:p>
      <w:pPr>
        <w:ind w:left="444" w:right="1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first quarter of 2024, calculated in accordance with GAAP, was 19.1% as compared to 19.9% for the fourth quarter of 2023. Excluding charges and credits, the ETR for the first quarter of 2024 was 19.1% and for the fourth quarter of 2023 was 18.5%.</w:t>
      </w:r>
    </w:p>
    <w:p>
      <w:pPr>
        <w:spacing w:after="0" w:line="74" w:lineRule="exact"/>
        <w:rPr>
          <w:rFonts w:ascii="Arial" w:cs="Arial" w:eastAsia="Arial" w:hAnsi="Arial"/>
          <w:sz w:val="18"/>
          <w:szCs w:val="18"/>
          <w:b w:val="1"/>
          <w:bCs w:val="1"/>
          <w:color w:val="auto"/>
        </w:rPr>
      </w:pPr>
    </w:p>
    <w:p>
      <w:pPr>
        <w:ind w:left="424" w:right="260" w:hanging="424"/>
        <w:spacing w:after="0" w:line="281" w:lineRule="auto"/>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March 31, 2024,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4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1.429 billion shares of common stock outstanding as of March 31, 2024, and 1.427 billion shares outstanding as of December 31, 2023.</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December 31, 2023</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Shares issued under employee stock purchase plan</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repurchase program</w:t>
            </w:r>
          </w:p>
        </w:tc>
        <w:tc>
          <w:tcPr>
            <w:tcW w:w="1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Shares outstanding at March 31, 2024</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84"/>
          </w:cols>
          <w:pgMar w:left="436" w:top="269" w:right="479" w:bottom="1440" w:gutter="0" w:footer="0" w:header="0"/>
        </w:sectPr>
      </w:pPr>
    </w:p>
    <w:bookmarkStart w:id="22" w:name="page23"/>
    <w:bookmarkEnd w:id="22"/>
    <w:p>
      <w:pPr>
        <w:ind w:left="424" w:right="40" w:hanging="424"/>
        <w:spacing w:after="0" w:line="257" w:lineRule="auto"/>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the weighted average number of shares outstanding during the first quarter of 2024 and fourth quarter of 2023?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ind w:left="444"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1.431 billion during the first quarter of 2024 and 1.429 billion during the fourth quarter of 2023.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4"/>
                <w:szCs w:val="14"/>
                <w:color w:val="auto"/>
              </w:rPr>
              <w:t>(Stated in millions)</w:t>
            </w:r>
          </w:p>
        </w:tc>
      </w:tr>
      <w:tr>
        <w:trPr>
          <w:trHeight w:val="162"/>
        </w:trPr>
        <w:tc>
          <w:tcPr>
            <w:tcW w:w="58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First Quarter</w:t>
            </w:r>
          </w:p>
        </w:tc>
        <w:tc>
          <w:tcPr>
            <w:tcW w:w="6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Fourth Quarter</w:t>
            </w:r>
          </w:p>
        </w:tc>
      </w:tr>
      <w:tr>
        <w:trPr>
          <w:trHeight w:val="171"/>
        </w:trPr>
        <w:tc>
          <w:tcPr>
            <w:tcW w:w="586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1560" w:type="dxa"/>
            <w:vAlign w:val="bottom"/>
            <w:gridSpan w:val="2"/>
          </w:tcPr>
          <w:p>
            <w:pPr>
              <w:jc w:val="right"/>
              <w:ind w:right="236"/>
              <w:spacing w:after="0"/>
              <w:rPr>
                <w:sz w:val="20"/>
                <w:szCs w:val="20"/>
                <w:color w:val="auto"/>
              </w:rPr>
            </w:pPr>
            <w:r>
              <w:rPr>
                <w:rFonts w:ascii="Arial" w:cs="Arial" w:eastAsia="Arial" w:hAnsi="Arial"/>
                <w:sz w:val="14"/>
                <w:szCs w:val="14"/>
                <w:color w:val="auto"/>
              </w:rPr>
              <w:t>2023</w:t>
            </w:r>
          </w:p>
        </w:tc>
        <w:tc>
          <w:tcPr>
            <w:tcW w:w="40" w:type="dxa"/>
            <w:vAlign w:val="bottom"/>
          </w:tcPr>
          <w:p>
            <w:pPr>
              <w:spacing w:after="0"/>
              <w:rPr>
                <w:sz w:val="14"/>
                <w:szCs w:val="14"/>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1,431</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1,429</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15</w:t>
            </w:r>
          </w:p>
        </w:tc>
        <w:tc>
          <w:tcPr>
            <w:tcW w:w="1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w:t>
            </w:r>
          </w:p>
        </w:tc>
        <w:tc>
          <w:tcPr>
            <w:tcW w:w="16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1,447</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4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first quarter of 2024, the fourth quarter of 2023, and the first quarter of 2023?</w:t>
      </w:r>
    </w:p>
    <w:p>
      <w:pPr>
        <w:spacing w:after="0" w:line="103" w:lineRule="exact"/>
        <w:rPr>
          <w:rFonts w:ascii="Arial" w:cs="Arial" w:eastAsia="Arial" w:hAnsi="Arial"/>
          <w:sz w:val="18"/>
          <w:szCs w:val="18"/>
          <w:b w:val="1"/>
          <w:bCs w:val="1"/>
          <w:color w:val="auto"/>
        </w:rPr>
      </w:pPr>
    </w:p>
    <w:p>
      <w:pPr>
        <w:ind w:left="444" w:right="1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$2.057 billion in the first quarter of 2024, $2.277 billion in the fourth quarter of 2023, and $1.788 billion in the first quarter of 2023, and was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ind w:lef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First Quarter</w:t>
            </w:r>
          </w:p>
        </w:tc>
        <w:tc>
          <w:tcPr>
            <w:tcW w:w="1400" w:type="dxa"/>
            <w:vAlign w:val="bottom"/>
            <w:gridSpan w:val="4"/>
          </w:tcPr>
          <w:p>
            <w:pPr>
              <w:ind w:left="300"/>
              <w:spacing w:after="0"/>
              <w:rPr>
                <w:sz w:val="20"/>
                <w:szCs w:val="20"/>
                <w:color w:val="auto"/>
              </w:rPr>
            </w:pPr>
            <w:r>
              <w:rPr>
                <w:rFonts w:ascii="Arial" w:cs="Arial" w:eastAsia="Arial" w:hAnsi="Arial"/>
                <w:sz w:val="14"/>
                <w:szCs w:val="14"/>
                <w:color w:val="auto"/>
              </w:rPr>
              <w:t>Fourth Quarter</w:t>
            </w:r>
          </w:p>
        </w:tc>
        <w:tc>
          <w:tcPr>
            <w:tcW w:w="1420" w:type="dxa"/>
            <w:vAlign w:val="bottom"/>
            <w:gridSpan w:val="4"/>
          </w:tcPr>
          <w:p>
            <w:pPr>
              <w:ind w:left="480"/>
              <w:spacing w:after="0"/>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1,068</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6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6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1,357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84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2,057</w:t>
            </w:r>
          </w:p>
        </w:tc>
        <w:tc>
          <w:tcPr>
            <w:tcW w:w="3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line="242"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ectPr>
          <w:pgSz w:w="11900" w:h="16838" w:orient="portrait"/>
          <w:cols w:equalWidth="0" w:num="1">
            <w:col w:w="10984"/>
          </w:cols>
          <w:pgMar w:left="436" w:top="269" w:right="479" w:bottom="1440" w:gutter="0" w:footer="0" w:header="0"/>
        </w:sectPr>
      </w:pPr>
    </w:p>
    <w:bookmarkStart w:id="23" w:name="page24"/>
    <w:bookmarkEnd w:id="23"/>
    <w:p>
      <w:pPr>
        <w:ind w:left="424" w:right="440" w:hanging="424"/>
        <w:spacing w:after="0" w:line="281"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were the components of depreciation and amortization expense for the first quarter of 2024, the fourth quarter of 2023, and the first quarter of 2023?</w:t>
      </w:r>
    </w:p>
    <w:p>
      <w:pPr>
        <w:spacing w:after="0" w:line="28" w:lineRule="exact"/>
        <w:rPr>
          <w:rFonts w:ascii="Arial" w:cs="Arial" w:eastAsia="Arial" w:hAnsi="Arial"/>
          <w:sz w:val="18"/>
          <w:szCs w:val="18"/>
          <w:b w:val="1"/>
          <w:bCs w:val="1"/>
          <w:color w:val="auto"/>
        </w:rPr>
      </w:pPr>
    </w:p>
    <w:p>
      <w:pPr>
        <w:ind w:left="444" w:right="5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first quarter of 2024, the fourth quarter of 2023, and the first quarter of 2023 were as follows:</w:t>
      </w:r>
    </w:p>
    <w:p>
      <w:pPr>
        <w:sectPr>
          <w:pgSz w:w="11900" w:h="16838" w:orient="portrait"/>
          <w:cols w:equalWidth="0" w:num="1">
            <w:col w:w="10984"/>
          </w:cols>
          <w:pgMar w:left="436" w:top="26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620" w:type="dxa"/>
            <w:vAlign w:val="bottom"/>
            <w:gridSpan w:val="3"/>
          </w:tcPr>
          <w:p>
            <w:pPr>
              <w:ind w:left="680"/>
              <w:spacing w:after="0"/>
              <w:rPr>
                <w:sz w:val="20"/>
                <w:szCs w:val="20"/>
                <w:color w:val="auto"/>
              </w:rPr>
            </w:pPr>
            <w:r>
              <w:rPr>
                <w:rFonts w:ascii="Arial" w:cs="Arial" w:eastAsia="Arial" w:hAnsi="Arial"/>
                <w:sz w:val="14"/>
                <w:szCs w:val="14"/>
                <w:color w:val="auto"/>
              </w:rPr>
              <w:t>Fourth Quarter</w:t>
            </w:r>
          </w:p>
        </w:tc>
        <w:tc>
          <w:tcPr>
            <w:tcW w:w="1500" w:type="dxa"/>
            <w:vAlign w:val="bottom"/>
            <w:gridSpan w:val="3"/>
          </w:tcPr>
          <w:p>
            <w:pPr>
              <w:ind w:left="680"/>
              <w:spacing w:after="0"/>
              <w:rPr>
                <w:sz w:val="20"/>
                <w:szCs w:val="20"/>
                <w:color w:val="auto"/>
              </w:rPr>
            </w:pPr>
            <w:r>
              <w:rPr>
                <w:rFonts w:ascii="Arial" w:cs="Arial" w:eastAsia="Arial" w:hAnsi="Arial"/>
                <w:sz w:val="14"/>
                <w:szCs w:val="14"/>
                <w:color w:val="auto"/>
              </w:rPr>
              <w:t>First Quarter</w:t>
            </w: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2023</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2023</w:t>
            </w:r>
          </w:p>
        </w:tc>
      </w:tr>
      <w:tr>
        <w:trPr>
          <w:trHeight w:val="177"/>
        </w:trPr>
        <w:tc>
          <w:tcPr>
            <w:tcW w:w="20" w:type="dxa"/>
            <w:vAlign w:val="bottom"/>
          </w:tcPr>
          <w:p>
            <w:pPr>
              <w:spacing w:after="0"/>
              <w:rPr>
                <w:sz w:val="15"/>
                <w:szCs w:val="15"/>
                <w:color w:val="auto"/>
              </w:rPr>
            </w:pPr>
          </w:p>
        </w:tc>
        <w:tc>
          <w:tcPr>
            <w:tcW w:w="16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377</w:t>
            </w:r>
          </w:p>
        </w:tc>
        <w:tc>
          <w:tcPr>
            <w:tcW w:w="68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380</w:t>
            </w:r>
          </w:p>
        </w:tc>
        <w:tc>
          <w:tcPr>
            <w:tcW w:w="700" w:type="dxa"/>
            <w:vAlign w:val="bottom"/>
          </w:tcPr>
          <w:p>
            <w:pPr>
              <w:spacing w:after="0"/>
              <w:rPr>
                <w:sz w:val="15"/>
                <w:szCs w:val="15"/>
                <w:color w:val="auto"/>
              </w:rPr>
            </w:pPr>
          </w:p>
        </w:tc>
        <w:tc>
          <w:tcPr>
            <w:tcW w:w="16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347</w:t>
            </w: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r>
      <w:tr>
        <w:trPr>
          <w:trHeight w:val="221"/>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-693420</wp:posOffset>
            </wp:positionV>
            <wp:extent cx="587184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-427990</wp:posOffset>
            </wp:positionV>
            <wp:extent cx="587184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-153670</wp:posOffset>
            </wp:positionV>
            <wp:extent cx="587184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4" w:space="720"/>
            <w:col w:w="4900"/>
          </w:cols>
          <w:pgMar w:left="436" w:top="269" w:right="479" w:bottom="1440" w:gutter="0" w:footer="0" w:header="0"/>
          <w:type w:val="continuous"/>
        </w:sectPr>
      </w:pPr>
    </w:p>
    <w:p>
      <w:pPr>
        <w:spacing w:after="0" w:line="38" w:lineRule="exact"/>
        <w:rPr>
          <w:sz w:val="20"/>
          <w:szCs w:val="20"/>
          <w:color w:val="auto"/>
        </w:rPr>
      </w:pPr>
    </w:p>
    <w:p>
      <w:pPr>
        <w:ind w:left="424" w:hanging="424"/>
        <w:spacing w:after="0" w:line="281"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Divisions comprise SLB’s Core business and what was their revenue and pretax operating income for the first quarter of 2024 and the first quarter of 2023?</w:t>
      </w:r>
    </w:p>
    <w:p>
      <w:pPr>
        <w:spacing w:after="0" w:line="28" w:lineRule="exact"/>
        <w:rPr>
          <w:rFonts w:ascii="Arial" w:cs="Arial" w:eastAsia="Arial" w:hAnsi="Arial"/>
          <w:sz w:val="18"/>
          <w:szCs w:val="18"/>
          <w:b w:val="1"/>
          <w:bCs w:val="1"/>
          <w:color w:val="auto"/>
        </w:rPr>
      </w:pPr>
    </w:p>
    <w:p>
      <w:pPr>
        <w:ind w:left="444" w:right="480"/>
        <w:spacing w:after="0" w:line="301" w:lineRule="auto"/>
        <w:rPr>
          <w:rFonts w:ascii="Arial" w:cs="Arial" w:eastAsia="Arial" w:hAnsi="Arial"/>
          <w:sz w:val="18"/>
          <w:szCs w:val="18"/>
          <w:b w:val="1"/>
          <w:bCs w:val="1"/>
          <w:color w:val="auto"/>
        </w:rPr>
      </w:pPr>
      <w:r>
        <w:rPr>
          <w:rFonts w:ascii="Arial" w:cs="Arial" w:eastAsia="Arial" w:hAnsi="Arial"/>
          <w:sz w:val="17"/>
          <w:szCs w:val="17"/>
          <w:color w:val="auto"/>
        </w:rPr>
        <w:t>SLB’s Core business comprises the Reservoir Performance, Well Construction, and Production Systems Divisions. SLB’s Core business revenue and pretax operating income for the first quarter of 2024 and first quarter of 2023 are calculated as follows:</w:t>
      </w:r>
    </w:p>
    <w:p>
      <w:pPr>
        <w:spacing w:after="0" w:line="167"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w w:val="99"/>
              </w:rPr>
              <w:t>Mar. 31,</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rPr>
              <w:t>Mar. 31,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1,725</w:t>
            </w:r>
          </w:p>
        </w:tc>
        <w:tc>
          <w:tcPr>
            <w:tcW w:w="34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3,368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7"/>
              </w:rPr>
              <w:t>2,818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7,911</w:t>
            </w: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6,971</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b w:val="1"/>
                <w:bCs w:val="1"/>
                <w:color w:val="auto"/>
                <w:w w:val="99"/>
              </w:rPr>
              <w:t>13%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2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339</w:t>
            </w: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690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672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2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1,429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19.7%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16.1%</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9.3%</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16.1%</w:t>
            </w:r>
          </w:p>
        </w:tc>
        <w:tc>
          <w:tcPr>
            <w:tcW w:w="880" w:type="dxa"/>
            <w:vAlign w:val="bottom"/>
            <w:gridSpan w:val="2"/>
            <w:shd w:val="clear" w:color="auto" w:fill="CCEEFF"/>
          </w:tcPr>
          <w:p>
            <w:pPr>
              <w:jc w:val="center"/>
              <w:ind w:left="90"/>
              <w:spacing w:after="0" w:line="202" w:lineRule="exact"/>
              <w:rPr>
                <w:sz w:val="20"/>
                <w:szCs w:val="20"/>
                <w:color w:val="auto"/>
              </w:rPr>
            </w:pPr>
            <w:r>
              <w:rPr>
                <w:rFonts w:ascii="Arial" w:cs="Arial" w:eastAsia="Arial" w:hAnsi="Arial"/>
                <w:sz w:val="18"/>
                <w:szCs w:val="18"/>
                <w:b w:val="1"/>
                <w:bCs w:val="1"/>
                <w:color w:val="auto"/>
                <w:w w:val="98"/>
              </w:rPr>
              <w:t>202 bps</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SLB</w:t>
      </w:r>
    </w:p>
    <w:p>
      <w:pPr>
        <w:spacing w:after="0" w:line="104" w:lineRule="exact"/>
        <w:rPr>
          <w:sz w:val="20"/>
          <w:szCs w:val="20"/>
          <w:color w:val="auto"/>
        </w:rPr>
      </w:pPr>
    </w:p>
    <w:p>
      <w:pPr>
        <w:ind w:left="4" w:right="18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ectPr>
          <w:pgSz w:w="11900" w:h="16838" w:orient="portrait"/>
          <w:cols w:equalWidth="0" w:num="1">
            <w:col w:w="10984"/>
          </w:cols>
          <w:pgMar w:left="436" w:top="269" w:right="479" w:bottom="1440" w:gutter="0" w:footer="0" w:header="0"/>
          <w:type w:val="continuous"/>
        </w:sectPr>
      </w:pPr>
    </w:p>
    <w:bookmarkStart w:id="24" w:name="page25"/>
    <w:bookmarkEnd w:id="2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Conference Call Information</w:t>
      </w:r>
    </w:p>
    <w:p>
      <w:pPr>
        <w:spacing w:after="0" w:line="104" w:lineRule="exact"/>
        <w:rPr>
          <w:sz w:val="20"/>
          <w:szCs w:val="20"/>
          <w:color w:val="auto"/>
        </w:rPr>
      </w:pPr>
    </w:p>
    <w:p>
      <w:pPr>
        <w:ind w:left="4" w:right="20"/>
        <w:spacing w:after="0" w:line="259" w:lineRule="auto"/>
        <w:rPr>
          <w:sz w:val="20"/>
          <w:szCs w:val="20"/>
          <w:color w:val="auto"/>
        </w:rPr>
      </w:pPr>
      <w:r>
        <w:rPr>
          <w:rFonts w:ascii="Arial" w:cs="Arial" w:eastAsia="Arial" w:hAnsi="Arial"/>
          <w:sz w:val="17"/>
          <w:szCs w:val="17"/>
          <w:color w:val="auto"/>
        </w:rPr>
        <w:t>SLB will hold a conference call to discuss the earnings press release and business outlook on Friday, April 19, 2024. The call is scheduled to begin at 9:30 a.m. US Eastern time. To access the call, which is open to the public, please contact the conference call operator at +1</w:t>
      </w:r>
    </w:p>
    <w:p>
      <w:pPr>
        <w:spacing w:after="0" w:line="1" w:lineRule="exact"/>
        <w:rPr>
          <w:sz w:val="20"/>
          <w:szCs w:val="20"/>
          <w:color w:val="auto"/>
        </w:rPr>
      </w:pPr>
    </w:p>
    <w:p>
      <w:pPr>
        <w:ind w:left="4" w:right="20" w:hanging="4"/>
        <w:spacing w:after="0" w:line="239" w:lineRule="auto"/>
        <w:tabs>
          <w:tab w:leader="none" w:pos="4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721-7241 within North America, or +1 (409) 207-6955 outside North America, approximately 10 minutes prior to the call’s scheduled start time, and provide the access code 8858313. At the conclusion of the conference call, an audio replay will be available until May 19, 2024, by dialing +1 (866) 207-1041 within North America, or +1 (402) 970-0847 outside North America, and providing the access code 4812789. The conference call will be webcast simultaneously at www.slb.com/irwebcast on a listen-only basis. A replay of the webcast will also be available at the same website until May 19, 2024.</w:t>
      </w:r>
    </w:p>
    <w:p>
      <w:pPr>
        <w:sectPr>
          <w:pgSz w:w="11900" w:h="16838" w:orient="portrait"/>
          <w:cols w:equalWidth="0" w:num="1">
            <w:col w:w="11004"/>
          </w:cols>
          <w:pgMar w:left="436" w:top="269" w:right="459" w:bottom="1440" w:gutter="0" w:footer="0" w:header="0"/>
        </w:sect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Joy V. Domingo – Director of Investor Relations, SLB</w:t>
      </w:r>
    </w:p>
    <w:p>
      <w:pPr>
        <w:ind w:left="4"/>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investor-relations@slb.com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Byerly – Vice President of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Email: media@slb.com</w:t>
      </w:r>
    </w:p>
    <w:p>
      <w:pPr>
        <w:spacing w:after="0" w:line="200" w:lineRule="exact"/>
        <w:rPr>
          <w:sz w:val="20"/>
          <w:szCs w:val="20"/>
          <w:color w:val="auto"/>
        </w:rPr>
      </w:pPr>
    </w:p>
    <w:p>
      <w:pPr>
        <w:sectPr>
          <w:pgSz w:w="11900" w:h="16838" w:orient="portrait"/>
          <w:cols w:equalWidth="0" w:num="2">
            <w:col w:w="5544" w:space="200"/>
            <w:col w:w="5260"/>
          </w:cols>
          <w:pgMar w:left="436" w:top="269" w:right="459" w:bottom="1440" w:gutter="0" w:footer="0" w:header="0"/>
          <w:type w:val="continuous"/>
        </w:sectPr>
      </w:pPr>
    </w:p>
    <w:p>
      <w:pPr>
        <w:spacing w:after="0" w:line="7"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004"/>
          </w:cols>
          <w:pgMar w:left="436" w:top="269" w:right="459" w:bottom="1440" w:gutter="0" w:footer="0" w:header="0"/>
          <w:type w:val="continuous"/>
        </w:sectPr>
      </w:pPr>
    </w:p>
    <w:p>
      <w:pPr>
        <w:spacing w:after="0" w:line="3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ind w:left="4"/>
        <w:spacing w:after="0" w:line="236" w:lineRule="auto"/>
        <w:rPr>
          <w:sz w:val="20"/>
          <w:szCs w:val="20"/>
          <w:color w:val="auto"/>
        </w:rPr>
      </w:pPr>
      <w:r>
        <w:rPr>
          <w:rFonts w:ascii="Arial" w:cs="Arial" w:eastAsia="Arial" w:hAnsi="Arial"/>
          <w:sz w:val="18"/>
          <w:szCs w:val="18"/>
          <w:color w:val="auto"/>
        </w:rPr>
        <w:t>This first-quarter 2024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ectPr>
          <w:pgSz w:w="11900" w:h="16838" w:orient="portrait"/>
          <w:cols w:equalWidth="0" w:num="1">
            <w:col w:w="11004"/>
          </w:cols>
          <w:pgMar w:left="436" w:top="269" w:right="459" w:bottom="1440" w:gutter="0" w:footer="0" w:header="0"/>
          <w:type w:val="continuous"/>
        </w:sectPr>
      </w:pPr>
    </w:p>
    <w:bookmarkStart w:id="25" w:name="page26"/>
    <w:bookmarkEnd w:id="25"/>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8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with ChampionX and Where to Find It</w:t>
      </w:r>
    </w:p>
    <w:p>
      <w:pPr>
        <w:spacing w:after="0" w:line="10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connection with the proposed transaction with ChampionX,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ectPr>
          <w:pgSz w:w="11900" w:h="16838" w:orient="portrait"/>
          <w:cols w:equalWidth="0" w:num="1">
            <w:col w:w="11000"/>
          </w:cols>
          <w:pgMar w:left="440" w:top="269" w:right="45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04" w:lineRule="exact"/>
        <w:rPr>
          <w:sz w:val="20"/>
          <w:szCs w:val="20"/>
          <w:color w:val="auto"/>
        </w:rPr>
      </w:pPr>
    </w:p>
    <w:p>
      <w:pPr>
        <w:ind w:left="4"/>
        <w:spacing w:after="0" w:line="250" w:lineRule="auto"/>
        <w:rPr>
          <w:sz w:val="20"/>
          <w:szCs w:val="20"/>
          <w:color w:val="auto"/>
        </w:rPr>
      </w:pPr>
      <w:r>
        <w:rPr>
          <w:rFonts w:ascii="Arial" w:cs="Arial" w:eastAsia="Arial" w:hAnsi="Arial"/>
          <w:sz w:val="17"/>
          <w:szCs w:val="17"/>
          <w:color w:val="auto"/>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 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w:t>
      </w:r>
    </w:p>
    <w:p>
      <w:pPr>
        <w:spacing w:after="0" w:line="5" w:lineRule="exact"/>
        <w:rPr>
          <w:sz w:val="20"/>
          <w:szCs w:val="20"/>
          <w:color w:val="auto"/>
        </w:rPr>
      </w:pPr>
    </w:p>
    <w:p>
      <w:pPr>
        <w:ind w:left="4" w:right="40" w:hanging="4"/>
        <w:spacing w:after="0" w:line="235" w:lineRule="auto"/>
        <w:tabs>
          <w:tab w:leader="none" w:pos="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2024 Annual Meeting of Shareholders (https://www.sec.gov/ix? doc=/Archives/edgar/data/0001723089/000172308924000079/championx-20240401.htm), which was filed with the SEC on April 3, 2024, including under the sections entitled “Executive Compensation Highlights”, “Director Compensation”, “2023 Director Compensation Table”, “Security Ownership of Certain Beneficial Owners and Management”, “Compensation Discussion and Analysis”, “Key Compensation Overview for 2023”, “Elements of Our Executive Compensation Program”, “Long-Term Equity Incentive Compensation”, “Additional Executive Compensation Governance Considerations”, “Executive Compensation Tables”, “Potential Payments upon Termination or Change-in-Control”, and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Investors may obtain free copies of these documents from SLB or ChampionX using the sources indicated above.</w:t>
      </w:r>
    </w:p>
    <w:p>
      <w:pPr>
        <w:spacing w:after="0" w:line="1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sectPr>
      <w:pgSz w:w="11900" w:h="16838" w:orient="portrait"/>
      <w:cols w:equalWidth="0" w:num="1">
        <w:col w:w="11004"/>
      </w:cols>
      <w:pgMar w:left="436"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4"/>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8"/>
    </w:lvl>
  </w:abstractNum>
  <w:abstractNum w:abstractNumId="17">
    <w:nsid w:val="62BBD95A"/>
    <w:multiLevelType w:val="hybridMultilevel"/>
    <w:lvl w:ilvl="0">
      <w:lvlJc w:val="left"/>
      <w:lvlText w:val="%1)"/>
      <w:numFmt w:val="decimal"/>
      <w:start w:val="9"/>
    </w:lvl>
  </w:abstractNum>
  <w:abstractNum w:abstractNumId="18">
    <w:nsid w:val="436C6125"/>
    <w:multiLevelType w:val="hybridMultilevel"/>
    <w:lvl w:ilvl="0">
      <w:lvlJc w:val="left"/>
      <w:lvlText w:val="%1)"/>
      <w:numFmt w:val="decimal"/>
      <w:start w:val="10"/>
    </w:lvl>
  </w:abstractNum>
  <w:abstractNum w:abstractNumId="19">
    <w:nsid w:val="628C895D"/>
    <w:multiLevelType w:val="hybridMultilevel"/>
    <w:lvl w:ilvl="0">
      <w:lvlJc w:val="left"/>
      <w:lvlText w:val="%1)"/>
      <w:numFmt w:val="decimal"/>
      <w:start w:val="11"/>
    </w:lvl>
  </w:abstractNum>
  <w:abstractNum w:abstractNumId="20">
    <w:nsid w:val="333AB105"/>
    <w:multiLevelType w:val="hybridMultilevel"/>
    <w:lvl w:ilvl="0">
      <w:lvlJc w:val="left"/>
      <w:lvlText w:val="(%1)"/>
      <w:numFmt w:val="decimal"/>
      <w:start w:val="844"/>
    </w:lvl>
  </w:abstractNum>
  <w:abstractNum w:abstractNumId="21">
    <w:nsid w:val="721DA31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2024-04-19T06:04:56Z</dcterms:created>
  <dcterms:modified xsi:type="dcterms:W3CDTF">2024-04-19T06:04:56Z</dcterms:modified>
</cp:coreProperties>
</file>