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52"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2024</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spacing w:after="0" w:line="8" w:lineRule="exact"/>
        <w:rPr>
          <w:sz w:val="24"/>
          <w:szCs w:val="24"/>
          <w:color w:val="auto"/>
        </w:rPr>
      </w:pPr>
    </w:p>
    <w:p>
      <w:pPr>
        <w:ind w:left="4520" w:right="2420" w:hanging="4499"/>
        <w:spacing w:after="0" w:line="386" w:lineRule="auto"/>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2540</wp:posOffset>
            </wp:positionV>
            <wp:extent cx="1543050"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Schlumberger N.V. (Schlumberger Limited)</w:t>
      </w:r>
    </w:p>
    <w:p>
      <w:pPr>
        <w:spacing w:after="0" w:line="43" w:lineRule="exact"/>
        <w:rPr>
          <w:sz w:val="24"/>
          <w:szCs w:val="24"/>
          <w:color w:val="auto"/>
        </w:rPr>
      </w:pPr>
    </w:p>
    <w:tbl>
      <w:tblPr>
        <w:tblLayout w:type="fixed"/>
        <w:tblInd w:w="1340" w:type="dxa"/>
        <w:tblCellMar>
          <w:top w:w="0" w:type="dxa"/>
          <w:left w:w="0" w:type="dxa"/>
          <w:bottom w:w="0" w:type="dxa"/>
          <w:right w:w="0" w:type="dxa"/>
        </w:tblCellMar>
      </w:tblPr>
      <w:tr>
        <w:trPr>
          <w:trHeight w:val="190"/>
        </w:trPr>
        <w:tc>
          <w:tcPr>
            <w:tcW w:w="6280" w:type="dxa"/>
            <w:vAlign w:val="bottom"/>
            <w:gridSpan w:val="3"/>
          </w:tcPr>
          <w:p>
            <w:pPr>
              <w:ind w:left="2620"/>
              <w:spacing w:after="0"/>
              <w:rPr>
                <w:sz w:val="20"/>
                <w:szCs w:val="20"/>
                <w:color w:val="auto"/>
              </w:rPr>
            </w:pPr>
            <w:r>
              <w:rPr>
                <w:rFonts w:ascii="Arial" w:cs="Arial" w:eastAsia="Arial" w:hAnsi="Arial"/>
                <w:sz w:val="14"/>
                <w:szCs w:val="14"/>
                <w:color w:val="auto"/>
              </w:rPr>
              <w:t>(Exact name of registrant as specified in its charter)</w:t>
            </w:r>
          </w:p>
        </w:tc>
        <w:tc>
          <w:tcPr>
            <w:tcW w:w="1360" w:type="dxa"/>
            <w:vAlign w:val="bottom"/>
          </w:tcPr>
          <w:p>
            <w:pPr>
              <w:spacing w:after="0"/>
              <w:rPr>
                <w:sz w:val="16"/>
                <w:szCs w:val="16"/>
                <w:color w:val="auto"/>
              </w:rPr>
            </w:pPr>
          </w:p>
        </w:tc>
      </w:tr>
      <w:tr>
        <w:trPr>
          <w:trHeight w:val="102"/>
        </w:trPr>
        <w:tc>
          <w:tcPr>
            <w:tcW w:w="316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300"/>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99"/>
              </w:rPr>
              <w:t>Curaçao</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52-0684746</w:t>
            </w:r>
          </w:p>
        </w:tc>
      </w:tr>
      <w:tr>
        <w:trPr>
          <w:trHeight w:val="135"/>
        </w:trPr>
        <w:tc>
          <w:tcPr>
            <w:tcW w:w="6280" w:type="dxa"/>
            <w:vAlign w:val="bottom"/>
            <w:gridSpan w:val="3"/>
          </w:tcPr>
          <w:p>
            <w:pPr>
              <w:jc w:val="center"/>
              <w:ind w:right="3440"/>
              <w:spacing w:after="0" w:line="135" w:lineRule="exact"/>
              <w:rPr>
                <w:sz w:val="20"/>
                <w:szCs w:val="20"/>
                <w:color w:val="auto"/>
              </w:rPr>
            </w:pPr>
            <w:r>
              <w:rPr>
                <w:rFonts w:ascii="Arial" w:cs="Arial" w:eastAsia="Arial" w:hAnsi="Arial"/>
                <w:sz w:val="13"/>
                <w:szCs w:val="13"/>
                <w:color w:val="auto"/>
                <w:w w:val="95"/>
              </w:rPr>
              <w:t>(State or other jurisdiction of</w:t>
            </w:r>
          </w:p>
        </w:tc>
        <w:tc>
          <w:tcPr>
            <w:tcW w:w="1360" w:type="dxa"/>
            <w:vAlign w:val="bottom"/>
          </w:tcPr>
          <w:p>
            <w:pPr>
              <w:jc w:val="center"/>
              <w:ind w:left="311"/>
              <w:spacing w:after="0" w:line="135" w:lineRule="exact"/>
              <w:rPr>
                <w:sz w:val="20"/>
                <w:szCs w:val="20"/>
                <w:color w:val="auto"/>
              </w:rPr>
            </w:pPr>
            <w:r>
              <w:rPr>
                <w:rFonts w:ascii="Arial" w:cs="Arial" w:eastAsia="Arial" w:hAnsi="Arial"/>
                <w:sz w:val="13"/>
                <w:szCs w:val="13"/>
                <w:color w:val="auto"/>
                <w:w w:val="96"/>
              </w:rPr>
              <w:t>(IRS Employer</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incorporation or organization)</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6"/>
              </w:rPr>
              <w:t>Identification No.)</w:t>
            </w:r>
          </w:p>
        </w:tc>
      </w:tr>
      <w:tr>
        <w:trPr>
          <w:trHeight w:val="342"/>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42 rue Saint-Dominique</w:t>
            </w:r>
          </w:p>
        </w:tc>
        <w:tc>
          <w:tcPr>
            <w:tcW w:w="1360" w:type="dxa"/>
            <w:vAlign w:val="bottom"/>
          </w:tcPr>
          <w:p>
            <w:pPr>
              <w:spacing w:after="0"/>
              <w:rPr>
                <w:sz w:val="24"/>
                <w:szCs w:val="24"/>
                <w:color w:val="auto"/>
              </w:rPr>
            </w:pPr>
          </w:p>
        </w:tc>
      </w:tr>
      <w:tr>
        <w:trPr>
          <w:trHeight w:val="196"/>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Paris, France</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75007</w:t>
            </w:r>
          </w:p>
        </w:tc>
      </w:tr>
      <w:tr>
        <w:trPr>
          <w:trHeight w:val="330"/>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5599 San Felipe</w:t>
            </w:r>
          </w:p>
        </w:tc>
        <w:tc>
          <w:tcPr>
            <w:tcW w:w="1360" w:type="dxa"/>
            <w:vAlign w:val="bottom"/>
          </w:tcPr>
          <w:p>
            <w:pPr>
              <w:spacing w:after="0"/>
              <w:rPr>
                <w:sz w:val="24"/>
                <w:szCs w:val="24"/>
                <w:color w:val="auto"/>
              </w:rPr>
            </w:pPr>
          </w:p>
        </w:tc>
      </w:tr>
      <w:tr>
        <w:trPr>
          <w:trHeight w:val="19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Houston, Texas, United States of America</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77056</w:t>
            </w:r>
          </w:p>
        </w:tc>
      </w:tr>
      <w:tr>
        <w:trPr>
          <w:trHeight w:val="330"/>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62 Buckingham Gate</w:t>
            </w:r>
          </w:p>
        </w:tc>
        <w:tc>
          <w:tcPr>
            <w:tcW w:w="1360" w:type="dxa"/>
            <w:vAlign w:val="bottom"/>
          </w:tcPr>
          <w:p>
            <w:pPr>
              <w:spacing w:after="0"/>
              <w:rPr>
                <w:sz w:val="24"/>
                <w:szCs w:val="24"/>
                <w:color w:val="auto"/>
              </w:rPr>
            </w:pPr>
          </w:p>
        </w:tc>
      </w:tr>
      <w:tr>
        <w:trPr>
          <w:trHeight w:val="19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London, United Kingdom</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SW1E 6AJ</w:t>
            </w:r>
          </w:p>
        </w:tc>
      </w:tr>
      <w:tr>
        <w:trPr>
          <w:trHeight w:val="371"/>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Parkstraat 83</w:t>
            </w:r>
          </w:p>
        </w:tc>
        <w:tc>
          <w:tcPr>
            <w:tcW w:w="1360" w:type="dxa"/>
            <w:vAlign w:val="bottom"/>
          </w:tcPr>
          <w:p>
            <w:pPr>
              <w:spacing w:after="0"/>
              <w:rPr>
                <w:sz w:val="24"/>
                <w:szCs w:val="24"/>
                <w:color w:val="auto"/>
              </w:rPr>
            </w:pPr>
          </w:p>
        </w:tc>
      </w:tr>
      <w:tr>
        <w:trPr>
          <w:trHeight w:val="180"/>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The Hague, The Netherlands</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2514 JG</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(Addresses of principal executive offices)</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7"/>
              </w:rPr>
              <w:t>(Zip Codes)</w:t>
            </w:r>
          </w:p>
        </w:tc>
      </w:tr>
    </w:tbl>
    <w:p>
      <w:pPr>
        <w:spacing w:after="0" w:line="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2"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1"/>
        </w:trPr>
        <w:tc>
          <w:tcPr>
            <w:tcW w:w="3360" w:type="dxa"/>
            <w:vAlign w:val="bottom"/>
            <w:gridSpan w:val="3"/>
          </w:tcPr>
          <w:p>
            <w:pPr>
              <w:jc w:val="center"/>
              <w:ind w:right="720"/>
              <w:spacing w:after="0"/>
              <w:rPr>
                <w:sz w:val="20"/>
                <w:szCs w:val="20"/>
                <w:color w:val="auto"/>
              </w:rPr>
            </w:pPr>
            <w:r>
              <w:rPr>
                <w:rFonts w:ascii="Arial" w:cs="Arial" w:eastAsia="Arial" w:hAnsi="Arial"/>
                <w:sz w:val="14"/>
                <w:szCs w:val="14"/>
                <w:color w:val="auto"/>
              </w:rPr>
              <w:t>common stock, par value $0.01 per share</w:t>
            </w:r>
          </w:p>
        </w:tc>
        <w:tc>
          <w:tcPr>
            <w:tcW w:w="700" w:type="dxa"/>
            <w:vAlign w:val="bottom"/>
          </w:tcPr>
          <w:p>
            <w:pPr>
              <w:spacing w:after="0"/>
              <w:rPr>
                <w:sz w:val="17"/>
                <w:szCs w:val="17"/>
                <w:color w:val="auto"/>
              </w:rPr>
            </w:pPr>
          </w:p>
        </w:tc>
        <w:tc>
          <w:tcPr>
            <w:tcW w:w="1860" w:type="dxa"/>
            <w:vAlign w:val="bottom"/>
            <w:gridSpan w:val="2"/>
          </w:tcPr>
          <w:p>
            <w:pPr>
              <w:jc w:val="center"/>
              <w:ind w:right="600"/>
              <w:spacing w:after="0"/>
              <w:rPr>
                <w:sz w:val="20"/>
                <w:szCs w:val="20"/>
                <w:color w:val="auto"/>
              </w:rPr>
            </w:pPr>
            <w:r>
              <w:rPr>
                <w:rFonts w:ascii="Arial" w:cs="Arial" w:eastAsia="Arial" w:hAnsi="Arial"/>
                <w:sz w:val="14"/>
                <w:szCs w:val="14"/>
                <w:color w:val="auto"/>
                <w:w w:val="98"/>
              </w:rPr>
              <w:t>SLB</w:t>
            </w:r>
          </w:p>
        </w:tc>
        <w:tc>
          <w:tcPr>
            <w:tcW w:w="62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90" w:lineRule="exact"/>
        <w:rPr>
          <w:sz w:val="24"/>
          <w:szCs w:val="24"/>
          <w:color w:val="auto"/>
        </w:rPr>
      </w:pPr>
    </w:p>
    <w:p>
      <w:pPr>
        <w:ind w:right="1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60"/>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20"/>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9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5"/>
        </w:trPr>
        <w:tc>
          <w:tcPr>
            <w:tcW w:w="1940" w:type="dxa"/>
            <w:vAlign w:val="bottom"/>
          </w:tcPr>
          <w:p>
            <w:pPr>
              <w:spacing w:after="0"/>
              <w:rPr>
                <w:sz w:val="20"/>
                <w:szCs w:val="20"/>
                <w:color w:val="auto"/>
              </w:rPr>
            </w:pPr>
            <w:r>
              <w:rPr>
                <w:rFonts w:ascii="Arial" w:cs="Arial" w:eastAsia="Arial" w:hAnsi="Arial"/>
                <w:sz w:val="13"/>
                <w:szCs w:val="13"/>
                <w:color w:val="auto"/>
              </w:rPr>
              <w:t>Non-accelerated filer</w:t>
            </w:r>
          </w:p>
        </w:tc>
        <w:tc>
          <w:tcPr>
            <w:tcW w:w="35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6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11"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7440" w:type="dxa"/>
            <w:vAlign w:val="bottom"/>
            <w:gridSpan w:val="3"/>
          </w:tcPr>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p>
        </w:tc>
        <w:tc>
          <w:tcPr>
            <w:tcW w:w="3800" w:type="dxa"/>
            <w:vAlign w:val="bottom"/>
            <w:gridSpan w:val="3"/>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36"/>
        </w:trPr>
        <w:tc>
          <w:tcPr>
            <w:tcW w:w="7440" w:type="dxa"/>
            <w:vAlign w:val="bottom"/>
            <w:gridSpan w:val="3"/>
          </w:tcPr>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tc>
        <w:tc>
          <w:tcPr>
            <w:tcW w:w="1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5"/>
        </w:trPr>
        <w:tc>
          <w:tcPr>
            <w:tcW w:w="7440" w:type="dxa"/>
            <w:vAlign w:val="bottom"/>
            <w:gridSpan w:val="3"/>
          </w:tcPr>
          <w:p>
            <w:pPr>
              <w:ind w:left="3740"/>
              <w:spacing w:after="0"/>
              <w:rPr>
                <w:sz w:val="20"/>
                <w:szCs w:val="20"/>
                <w:color w:val="auto"/>
              </w:rPr>
            </w:pPr>
            <w:r>
              <w:rPr>
                <w:rFonts w:ascii="Arial" w:cs="Arial" w:eastAsia="Arial" w:hAnsi="Arial"/>
                <w:sz w:val="15"/>
                <w:szCs w:val="15"/>
                <w:b w:val="1"/>
                <w:bCs w:val="1"/>
                <w:color w:val="auto"/>
              </w:rPr>
              <w:t>Class</w:t>
            </w:r>
          </w:p>
        </w:tc>
        <w:tc>
          <w:tcPr>
            <w:tcW w:w="1060" w:type="dxa"/>
            <w:vAlign w:val="bottom"/>
          </w:tcPr>
          <w:p>
            <w:pPr>
              <w:spacing w:after="0"/>
              <w:rPr>
                <w:sz w:val="23"/>
                <w:szCs w:val="23"/>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Outstanding at June 30, 2024</w:t>
            </w:r>
          </w:p>
        </w:tc>
        <w:tc>
          <w:tcPr>
            <w:tcW w:w="620" w:type="dxa"/>
            <w:vAlign w:val="bottom"/>
          </w:tcPr>
          <w:p>
            <w:pPr>
              <w:spacing w:after="0"/>
              <w:rPr>
                <w:sz w:val="23"/>
                <w:szCs w:val="23"/>
                <w:color w:val="auto"/>
              </w:rPr>
            </w:pPr>
          </w:p>
        </w:tc>
      </w:tr>
      <w:tr>
        <w:trPr>
          <w:trHeight w:val="210"/>
        </w:trPr>
        <w:tc>
          <w:tcPr>
            <w:tcW w:w="7440" w:type="dxa"/>
            <w:vAlign w:val="bottom"/>
            <w:gridSpan w:val="3"/>
          </w:tcPr>
          <w:p>
            <w:pPr>
              <w:ind w:left="20"/>
              <w:spacing w:after="0"/>
              <w:rPr>
                <w:sz w:val="20"/>
                <w:szCs w:val="20"/>
                <w:color w:val="auto"/>
              </w:rPr>
            </w:pPr>
            <w:r>
              <w:rPr>
                <w:rFonts w:ascii="Arial" w:cs="Arial" w:eastAsia="Arial" w:hAnsi="Arial"/>
                <w:sz w:val="15"/>
                <w:szCs w:val="15"/>
                <w:color w:val="auto"/>
              </w:rPr>
              <w:t>COMMON STOCK, $0.01 PAR VALUE PER SHARE</w:t>
            </w:r>
          </w:p>
        </w:tc>
        <w:tc>
          <w:tcPr>
            <w:tcW w:w="3180" w:type="dxa"/>
            <w:vAlign w:val="bottom"/>
            <w:gridSpan w:val="2"/>
          </w:tcPr>
          <w:p>
            <w:pPr>
              <w:jc w:val="right"/>
              <w:ind w:right="504"/>
              <w:spacing w:after="0"/>
              <w:rPr>
                <w:sz w:val="20"/>
                <w:szCs w:val="20"/>
                <w:color w:val="auto"/>
              </w:rPr>
            </w:pPr>
            <w:r>
              <w:rPr>
                <w:rFonts w:ascii="Arial" w:cs="Arial" w:eastAsia="Arial" w:hAnsi="Arial"/>
                <w:sz w:val="15"/>
                <w:szCs w:val="15"/>
                <w:color w:val="auto"/>
              </w:rPr>
              <w:t>1,419,841,229</w:t>
            </w:r>
          </w:p>
        </w:tc>
        <w:tc>
          <w:tcPr>
            <w:tcW w:w="620" w:type="dxa"/>
            <w:vAlign w:val="bottom"/>
          </w:tcPr>
          <w:p>
            <w:pPr>
              <w:spacing w:after="0"/>
              <w:rPr>
                <w:sz w:val="18"/>
                <w:szCs w:val="18"/>
                <w:color w:val="auto"/>
              </w:rPr>
            </w:pPr>
          </w:p>
        </w:tc>
      </w:tr>
      <w:tr>
        <w:trPr>
          <w:trHeight w:val="1336"/>
        </w:trPr>
        <w:tc>
          <w:tcPr>
            <w:tcW w:w="3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Second Quarter 2024 Form 10-Q</w:t>
      </w:r>
    </w:p>
    <w:p>
      <w:pPr>
        <w:jc w:val="center"/>
        <w:ind w:right="40"/>
        <w:spacing w:after="0"/>
        <w:rPr>
          <w:sz w:val="20"/>
          <w:szCs w:val="20"/>
          <w:color w:val="auto"/>
        </w:rPr>
      </w:pPr>
      <w:r>
        <w:rPr>
          <w:rFonts w:ascii="Arial" w:cs="Arial" w:eastAsia="Arial" w:hAnsi="Arial"/>
          <w:sz w:val="18"/>
          <w:szCs w:val="18"/>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Page</w:t>
            </w:r>
          </w:p>
        </w:tc>
      </w:tr>
      <w:tr>
        <w:trPr>
          <w:trHeight w:val="216"/>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9560" w:type="dxa"/>
            <w:vAlign w:val="bottom"/>
            <w:gridSpan w:val="11"/>
          </w:tcPr>
          <w:p>
            <w:pPr>
              <w:spacing w:after="0"/>
              <w:rPr>
                <w:sz w:val="20"/>
                <w:szCs w:val="20"/>
                <w:color w:val="auto"/>
              </w:rPr>
            </w:pPr>
            <w:r>
              <w:rPr>
                <w:rFonts w:ascii="Arial" w:cs="Arial" w:eastAsia="Arial" w:hAnsi="Arial"/>
                <w:sz w:val="16"/>
                <w:szCs w:val="16"/>
                <w:b w:val="1"/>
                <w:bCs w:val="1"/>
                <w:color w:val="auto"/>
              </w:rPr>
              <w:t>Financial Information</w:t>
            </w:r>
          </w:p>
        </w:tc>
        <w:tc>
          <w:tcPr>
            <w:tcW w:w="580" w:type="dxa"/>
            <w:vAlign w:val="bottom"/>
          </w:tcPr>
          <w:p>
            <w:pPr>
              <w:spacing w:after="0"/>
              <w:rPr>
                <w:sz w:val="18"/>
                <w:szCs w:val="18"/>
                <w:color w:val="auto"/>
              </w:rPr>
            </w:pPr>
          </w:p>
        </w:tc>
      </w:tr>
      <w:tr>
        <w:trPr>
          <w:trHeight w:val="385"/>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9560" w:type="dxa"/>
            <w:vAlign w:val="bottom"/>
            <w:gridSpan w:val="11"/>
          </w:tcPr>
          <w:p>
            <w:pPr>
              <w:spacing w:after="0"/>
              <w:rPr>
                <w:sz w:val="20"/>
                <w:szCs w:val="20"/>
                <w:color w:val="auto"/>
              </w:rPr>
            </w:pPr>
            <w:r>
              <w:rPr>
                <w:rFonts w:ascii="Arial" w:cs="Arial" w:eastAsia="Arial" w:hAnsi="Arial"/>
                <w:sz w:val="16"/>
                <w:szCs w:val="16"/>
                <w:color w:val="0000FF"/>
              </w:rPr>
              <w:t>Financial Statements</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2.</w:t>
            </w:r>
          </w:p>
        </w:tc>
        <w:tc>
          <w:tcPr>
            <w:tcW w:w="9560" w:type="dxa"/>
            <w:vAlign w:val="bottom"/>
            <w:gridSpan w:val="11"/>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9560" w:type="dxa"/>
            <w:vAlign w:val="bottom"/>
            <w:gridSpan w:val="11"/>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4.</w:t>
            </w:r>
          </w:p>
        </w:tc>
        <w:tc>
          <w:tcPr>
            <w:tcW w:w="9560" w:type="dxa"/>
            <w:vAlign w:val="bottom"/>
            <w:gridSpan w:val="11"/>
          </w:tcPr>
          <w:p>
            <w:pPr>
              <w:spacing w:after="0"/>
              <w:rPr>
                <w:sz w:val="20"/>
                <w:szCs w:val="20"/>
                <w:color w:val="auto"/>
              </w:rPr>
            </w:pPr>
            <w:r>
              <w:rPr>
                <w:rFonts w:ascii="Arial" w:cs="Arial" w:eastAsia="Arial" w:hAnsi="Arial"/>
                <w:sz w:val="16"/>
                <w:szCs w:val="16"/>
                <w:color w:val="0000FF"/>
              </w:rPr>
              <w:t>Controls and Procedures</w:t>
            </w: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58"/>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9560" w:type="dxa"/>
            <w:vAlign w:val="bottom"/>
            <w:gridSpan w:val="11"/>
          </w:tcPr>
          <w:p>
            <w:pPr>
              <w:spacing w:after="0"/>
              <w:rPr>
                <w:sz w:val="20"/>
                <w:szCs w:val="20"/>
                <w:color w:val="auto"/>
              </w:rPr>
            </w:pPr>
            <w:r>
              <w:rPr>
                <w:rFonts w:ascii="Arial" w:cs="Arial" w:eastAsia="Arial" w:hAnsi="Arial"/>
                <w:sz w:val="16"/>
                <w:szCs w:val="16"/>
                <w:b w:val="1"/>
                <w:bCs w:val="1"/>
                <w:color w:val="auto"/>
              </w:rPr>
              <w:t>Other Information</w:t>
            </w:r>
          </w:p>
        </w:tc>
        <w:tc>
          <w:tcPr>
            <w:tcW w:w="580" w:type="dxa"/>
            <w:vAlign w:val="bottom"/>
          </w:tcPr>
          <w:p>
            <w:pPr>
              <w:spacing w:after="0"/>
              <w:rPr>
                <w:sz w:val="24"/>
                <w:szCs w:val="24"/>
                <w:color w:val="auto"/>
              </w:rPr>
            </w:pPr>
          </w:p>
        </w:tc>
      </w:tr>
      <w:tr>
        <w:trPr>
          <w:trHeight w:val="386"/>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9560" w:type="dxa"/>
            <w:vAlign w:val="bottom"/>
            <w:gridSpan w:val="11"/>
          </w:tcPr>
          <w:p>
            <w:pPr>
              <w:spacing w:after="0"/>
              <w:rPr>
                <w:sz w:val="20"/>
                <w:szCs w:val="20"/>
                <w:color w:val="auto"/>
              </w:rPr>
            </w:pPr>
            <w:r>
              <w:rPr>
                <w:rFonts w:ascii="Arial" w:cs="Arial" w:eastAsia="Arial" w:hAnsi="Arial"/>
                <w:sz w:val="16"/>
                <w:szCs w:val="16"/>
                <w:color w:val="0000FF"/>
              </w:rPr>
              <w:t>Legal Proceedings</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1A.</w:t>
            </w:r>
          </w:p>
        </w:tc>
        <w:tc>
          <w:tcPr>
            <w:tcW w:w="9560" w:type="dxa"/>
            <w:vAlign w:val="bottom"/>
            <w:gridSpan w:val="11"/>
          </w:tcPr>
          <w:p>
            <w:pPr>
              <w:spacing w:after="0"/>
              <w:rPr>
                <w:sz w:val="20"/>
                <w:szCs w:val="20"/>
                <w:color w:val="auto"/>
              </w:rPr>
            </w:pPr>
            <w:r>
              <w:rPr>
                <w:rFonts w:ascii="Arial" w:cs="Arial" w:eastAsia="Arial" w:hAnsi="Arial"/>
                <w:sz w:val="16"/>
                <w:szCs w:val="16"/>
                <w:color w:val="0000FF"/>
              </w:rPr>
              <w:t>Risk Factors</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2.</w:t>
            </w:r>
          </w:p>
        </w:tc>
        <w:tc>
          <w:tcPr>
            <w:tcW w:w="9560" w:type="dxa"/>
            <w:vAlign w:val="bottom"/>
            <w:gridSpan w:val="11"/>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9560" w:type="dxa"/>
            <w:vAlign w:val="bottom"/>
            <w:gridSpan w:val="11"/>
          </w:tcPr>
          <w:p>
            <w:pPr>
              <w:spacing w:after="0"/>
              <w:rPr>
                <w:sz w:val="20"/>
                <w:szCs w:val="20"/>
                <w:color w:val="auto"/>
              </w:rPr>
            </w:pPr>
            <w:r>
              <w:rPr>
                <w:rFonts w:ascii="Arial" w:cs="Arial" w:eastAsia="Arial" w:hAnsi="Arial"/>
                <w:sz w:val="16"/>
                <w:szCs w:val="16"/>
                <w:color w:val="0000FF"/>
              </w:rPr>
              <w:t>Defaults Upon Senior Securities</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72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4.</w:t>
            </w:r>
          </w:p>
        </w:tc>
        <w:tc>
          <w:tcPr>
            <w:tcW w:w="9560" w:type="dxa"/>
            <w:vAlign w:val="bottom"/>
            <w:gridSpan w:val="11"/>
          </w:tcPr>
          <w:p>
            <w:pPr>
              <w:spacing w:after="0"/>
              <w:rPr>
                <w:sz w:val="20"/>
                <w:szCs w:val="20"/>
                <w:color w:val="auto"/>
              </w:rPr>
            </w:pPr>
            <w:r>
              <w:rPr>
                <w:rFonts w:ascii="Arial" w:cs="Arial" w:eastAsia="Arial" w:hAnsi="Arial"/>
                <w:sz w:val="16"/>
                <w:szCs w:val="16"/>
                <w:color w:val="0000FF"/>
              </w:rPr>
              <w:t>Mine Safety Disclosures</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5.</w:t>
            </w:r>
          </w:p>
        </w:tc>
        <w:tc>
          <w:tcPr>
            <w:tcW w:w="9560" w:type="dxa"/>
            <w:vAlign w:val="bottom"/>
            <w:gridSpan w:val="11"/>
          </w:tcPr>
          <w:p>
            <w:pPr>
              <w:spacing w:after="0"/>
              <w:rPr>
                <w:sz w:val="20"/>
                <w:szCs w:val="20"/>
                <w:color w:val="auto"/>
              </w:rPr>
            </w:pPr>
            <w:r>
              <w:rPr>
                <w:rFonts w:ascii="Arial" w:cs="Arial" w:eastAsia="Arial" w:hAnsi="Arial"/>
                <w:sz w:val="16"/>
                <w:szCs w:val="16"/>
                <w:color w:val="0000FF"/>
              </w:rPr>
              <w:t>Other Information</w:t>
            </w: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2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Item 6.</w:t>
            </w:r>
          </w:p>
        </w:tc>
        <w:tc>
          <w:tcPr>
            <w:tcW w:w="9560" w:type="dxa"/>
            <w:vAlign w:val="bottom"/>
            <w:gridSpan w:val="11"/>
          </w:tcPr>
          <w:p>
            <w:pPr>
              <w:spacing w:after="0"/>
              <w:rPr>
                <w:sz w:val="20"/>
                <w:szCs w:val="20"/>
                <w:color w:val="auto"/>
              </w:rPr>
            </w:pPr>
            <w:r>
              <w:rPr>
                <w:rFonts w:ascii="Arial" w:cs="Arial" w:eastAsia="Arial" w:hAnsi="Arial"/>
                <w:sz w:val="16"/>
                <w:szCs w:val="16"/>
                <w:color w:val="0000FF"/>
              </w:rPr>
              <w:t>Exhibits</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215"/>
        </w:trPr>
        <w:tc>
          <w:tcPr>
            <w:tcW w:w="110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PART I.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Financial Statements.</w:t>
      </w:r>
    </w:p>
    <w:p>
      <w:pPr>
        <w:spacing w:after="0" w:line="194" w:lineRule="exact"/>
        <w:rPr>
          <w:sz w:val="20"/>
          <w:szCs w:val="20"/>
          <w:color w:val="auto"/>
        </w:rPr>
      </w:pPr>
    </w:p>
    <w:p>
      <w:pPr>
        <w:ind w:left="378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980"/>
        <w:spacing w:after="0"/>
        <w:rPr>
          <w:sz w:val="20"/>
          <w:szCs w:val="20"/>
          <w:color w:val="auto"/>
        </w:rPr>
      </w:pPr>
      <w:r>
        <w:rPr>
          <w:rFonts w:ascii="Arial" w:cs="Arial" w:eastAsia="Arial" w:hAnsi="Arial"/>
          <w:sz w:val="16"/>
          <w:szCs w:val="16"/>
          <w:b w:val="1"/>
          <w:bCs w:val="1"/>
          <w:u w:val="single" w:color="auto"/>
          <w:color w:val="auto"/>
        </w:rPr>
        <w:t>CONSOLIDATED STATEMENT OF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0" w:type="dxa"/>
            <w:vAlign w:val="bottom"/>
            <w:gridSpan w:val="8"/>
          </w:tcPr>
          <w:p>
            <w:pPr>
              <w:ind w:left="760"/>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r>
      <w:tr>
        <w:trPr>
          <w:trHeight w:val="427"/>
        </w:trPr>
        <w:tc>
          <w:tcPr>
            <w:tcW w:w="5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Second Quarter</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Six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Revenue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Services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5,902</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5,563</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11,578</w:t>
            </w: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10,897</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Product sales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3,237</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6,268</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Total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9,139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17,846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15,835</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Interest &amp; other income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services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4,523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8,939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8,417</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2,739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5,331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4,370</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&amp; engineering</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General &amp; administrative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Merger &amp; integration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132</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245</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Income before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2,778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Tax expense</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276</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535</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Net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1,145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2,243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1,990</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63</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Net income attributable to SLB</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1,112</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1,033</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2,180</w:t>
            </w: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Basic income per share of SLB</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0.78</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0.73</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1.53</w:t>
            </w: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Diluted income per share of SLB</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0.77</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0.72</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1,428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1,429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1,425</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Assuming dilution</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1,443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1,445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1,444</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-3128645</wp:posOffset>
            </wp:positionV>
            <wp:extent cx="76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-3128645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-3128645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-3128645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-1748155</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-1748155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-1748155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-1464945</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-1464945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-1464945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-1182370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-1182370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-1182370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ind w:left="376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240"/>
        <w:spacing w:after="0"/>
        <w:rPr>
          <w:sz w:val="20"/>
          <w:szCs w:val="20"/>
          <w:color w:val="auto"/>
        </w:rPr>
      </w:pPr>
      <w:r>
        <w:rPr>
          <w:rFonts w:ascii="Arial" w:cs="Arial" w:eastAsia="Arial" w:hAnsi="Arial"/>
          <w:sz w:val="16"/>
          <w:szCs w:val="16"/>
          <w:b w:val="1"/>
          <w:bCs w:val="1"/>
          <w:u w:val="single" w:color="auto"/>
          <w:color w:val="auto"/>
        </w:rPr>
        <w:t>CONSOLIDATED STATEMENT OF COMPREHENSIVE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27"/>
        </w:trPr>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6"/>
                <w:szCs w:val="16"/>
                <w:b w:val="1"/>
                <w:bCs w:val="1"/>
                <w:color w:val="auto"/>
              </w:rPr>
              <w:t>Second Quarter</w:t>
            </w:r>
          </w:p>
        </w:tc>
        <w:tc>
          <w:tcPr>
            <w:tcW w:w="240" w:type="dxa"/>
            <w:vAlign w:val="bottom"/>
          </w:tcPr>
          <w:p>
            <w:pPr>
              <w:spacing w:after="0"/>
              <w:rPr>
                <w:sz w:val="24"/>
                <w:szCs w:val="24"/>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Six Months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7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Net income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1,145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2,243</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Currency translation adjustments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net change arising during the period</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(43 )</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(77 )</w:t>
            </w: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Cash flow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 gain on cash flow hedges</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(26 )</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(43 )</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Reclassification to net income of net realized gain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(9 )</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(14 )</w:t>
            </w: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Pension and other postretirement benefit plans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Amortization to net income of net actuarial gain</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(1 )</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(2 )</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(4 )</w:t>
            </w:r>
          </w:p>
        </w:tc>
      </w:tr>
      <w:tr>
        <w:trPr>
          <w:trHeight w:val="216"/>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to net income of net prior service credit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(5 )</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(6 )</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(11 )</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(11 )</w:t>
            </w:r>
          </w:p>
        </w:tc>
      </w:tr>
      <w:tr>
        <w:trPr>
          <w:trHeight w:val="216"/>
        </w:trPr>
        <w:tc>
          <w:tcPr>
            <w:tcW w:w="5740" w:type="dxa"/>
            <w:vAlign w:val="bottom"/>
          </w:tcPr>
          <w:p>
            <w:pPr>
              <w:ind w:left="200"/>
              <w:spacing w:after="0"/>
              <w:rPr>
                <w:sz w:val="20"/>
                <w:szCs w:val="20"/>
                <w:color w:val="auto"/>
              </w:rPr>
            </w:pPr>
            <w:r>
              <w:rPr>
                <w:rFonts w:ascii="Arial" w:cs="Arial" w:eastAsia="Arial" w:hAnsi="Arial"/>
                <w:sz w:val="16"/>
                <w:szCs w:val="16"/>
                <w:color w:val="auto"/>
              </w:rPr>
              <w:t>Income taxes on pension and other postretirement benefit plans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Other</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(4 )</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0"/>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6"/>
                <w:szCs w:val="16"/>
                <w:i w:val="1"/>
                <w:iCs w:val="1"/>
                <w:color w:val="auto"/>
              </w:rPr>
              <w:t>Comprehensive income</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1,147</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1,094</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2,250</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Borders>
              <w:top w:val="single" w:sz="8" w:color="CFF0FC"/>
            </w:tcBorders>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Comprehensive income attributable to SLB</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1,114</w:t>
            </w:r>
          </w:p>
        </w:tc>
        <w:tc>
          <w:tcPr>
            <w:tcW w:w="26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1,080</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2,187</w:t>
            </w:r>
          </w:p>
        </w:tc>
        <w:tc>
          <w:tcPr>
            <w:tcW w:w="1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1,936</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-454025</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-454025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-454025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BALANCE SHEET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26"/>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Jun. 30,</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9"/>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6"/>
                <w:szCs w:val="16"/>
                <w:color w:val="auto"/>
              </w:rPr>
              <w:t>Dec. 31,</w:t>
            </w:r>
          </w:p>
        </w:tc>
      </w:tr>
      <w:tr>
        <w:trPr>
          <w:trHeight w:val="217"/>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340" w:type="dxa"/>
            <w:vAlign w:val="bottom"/>
          </w:tcPr>
          <w:p>
            <w:pPr>
              <w:jc w:val="right"/>
              <w:ind w:right="53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30"/>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ASSETS</w:t>
            </w: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2,953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1,050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Receivables less allowance for doubtful accounts (2024 - $318; 2023 - $337)</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8,605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4,504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4,387</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1,405</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18,517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17,718</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Investments in Affiliated Companies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1,678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Fixed Assets less accumulated depreciation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7,335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7,240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Goodwill</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14,530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14,084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Intangible Assets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3,198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4,115</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49,373</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47,957</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LIABILITIES AND EQUITY</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10,099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Estimated liability for taxes on income</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867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borrowings and current portion of long-term debt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1,033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Dividends payable</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410</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12,409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13,395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Long-term Debt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12,156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10,842</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Postretirement Benefits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Deferred Taxes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Other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2,218</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27,093</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26,598</w:t>
            </w:r>
          </w:p>
        </w:tc>
        <w:tc>
          <w:tcPr>
            <w:tcW w:w="100" w:type="dxa"/>
            <w:vAlign w:val="bottom"/>
          </w:tcPr>
          <w:p>
            <w:pPr>
              <w:spacing w:after="0"/>
              <w:rPr>
                <w:sz w:val="18"/>
                <w:szCs w:val="18"/>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Equity</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11,401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11,624</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Treasury stock</w:t>
            </w: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(973 )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(678 )</w:t>
            </w: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14,890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13,497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(4,247 )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(4,254 )</w:t>
            </w:r>
          </w:p>
        </w:tc>
      </w:tr>
      <w:tr>
        <w:trPr>
          <w:trHeight w:val="209"/>
        </w:trPr>
        <w:tc>
          <w:tcPr>
            <w:tcW w:w="766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SLB stockholders’ equity</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21,071</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20,189</w:t>
            </w:r>
          </w:p>
        </w:tc>
        <w:tc>
          <w:tcPr>
            <w:tcW w:w="100" w:type="dxa"/>
            <w:vAlign w:val="bottom"/>
            <w:tcBorders>
              <w:top w:val="single" w:sz="8" w:color="CFF0FC"/>
            </w:tcBorders>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1,209</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22,280</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21,359</w:t>
            </w:r>
          </w:p>
        </w:tc>
        <w:tc>
          <w:tcPr>
            <w:tcW w:w="100" w:type="dxa"/>
            <w:vAlign w:val="bottom"/>
          </w:tcPr>
          <w:p>
            <w:pPr>
              <w:spacing w:after="0"/>
              <w:rPr>
                <w:sz w:val="18"/>
                <w:szCs w:val="18"/>
                <w:color w:val="auto"/>
              </w:rPr>
            </w:pPr>
          </w:p>
        </w:tc>
      </w:tr>
      <w:tr>
        <w:trPr>
          <w:trHeight w:val="249"/>
        </w:trPr>
        <w:tc>
          <w:tcPr>
            <w:tcW w:w="76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49,373</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47,957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-4808220</wp:posOffset>
            </wp:positionV>
            <wp:extent cx="6858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-3959860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-3128010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-1439545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-599440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-316865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86"/>
        </w:trPr>
        <w:tc>
          <w:tcPr>
            <w:tcW w:w="7660" w:type="dxa"/>
            <w:vAlign w:val="bottom"/>
          </w:tcPr>
          <w:p>
            <w:pPr>
              <w:spacing w:after="0"/>
              <w:rPr>
                <w:sz w:val="24"/>
                <w:szCs w:val="24"/>
                <w:color w:val="auto"/>
              </w:rPr>
            </w:pPr>
          </w:p>
        </w:tc>
        <w:tc>
          <w:tcPr>
            <w:tcW w:w="3580" w:type="dxa"/>
            <w:vAlign w:val="bottom"/>
            <w:gridSpan w:val="6"/>
          </w:tcPr>
          <w:p>
            <w:pPr>
              <w:jc w:val="right"/>
              <w:ind w:right="800"/>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76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2,243</w:t>
            </w:r>
          </w:p>
        </w:tc>
        <w:tc>
          <w:tcPr>
            <w:tcW w:w="3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1,990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Charges and credits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(36 )</w:t>
            </w:r>
          </w:p>
        </w:tc>
      </w:tr>
      <w:tr>
        <w:trPr>
          <w:trHeight w:val="216"/>
        </w:trPr>
        <w:tc>
          <w:tcPr>
            <w:tcW w:w="7660" w:type="dxa"/>
            <w:vAlign w:val="bottom"/>
            <w:shd w:val="clear" w:color="auto" w:fill="CFF0FC"/>
          </w:tcPr>
          <w:p>
            <w:pPr>
              <w:ind w:left="48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(1)</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1,231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Deferred taxes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(29 )</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Earnings of equity method investments, less dividends received</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(79 )</w:t>
            </w:r>
          </w:p>
        </w:tc>
      </w:tr>
      <w:tr>
        <w:trPr>
          <w:trHeight w:val="216"/>
        </w:trPr>
        <w:tc>
          <w:tcPr>
            <w:tcW w:w="7660" w:type="dxa"/>
            <w:vAlign w:val="bottom"/>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Change in assets and liabilities: </w:t>
            </w:r>
            <w:r>
              <w:rPr>
                <w:rFonts w:ascii="Arial" w:cs="Arial" w:eastAsia="Arial" w:hAnsi="Arial"/>
                <w:sz w:val="21"/>
                <w:szCs w:val="21"/>
                <w:color w:val="auto"/>
                <w:vertAlign w:val="superscript"/>
              </w:rPr>
              <w:t>(2)</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Increase in receivables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(755 )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(614 )</w:t>
            </w:r>
          </w:p>
        </w:tc>
      </w:tr>
      <w:tr>
        <w:trPr>
          <w:trHeight w:val="216"/>
        </w:trPr>
        <w:tc>
          <w:tcPr>
            <w:tcW w:w="7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Increase in inventories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(149 )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(368 )</w:t>
            </w: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Decrease in other current assets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Increase in other assets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(18 )</w:t>
            </w: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Decrease in accounts payable and accrued liabilities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(1,080 )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(270 )</w:t>
            </w:r>
          </w:p>
        </w:tc>
      </w:tr>
      <w:tr>
        <w:trPr>
          <w:trHeight w:val="216"/>
        </w:trPr>
        <w:tc>
          <w:tcPr>
            <w:tcW w:w="7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Decrease in estimated liability for taxes on income</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(167 )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(191 )</w:t>
            </w:r>
          </w:p>
        </w:tc>
      </w:tr>
      <w:tr>
        <w:trPr>
          <w:trHeight w:val="216"/>
        </w:trPr>
        <w:tc>
          <w:tcPr>
            <w:tcW w:w="7660" w:type="dxa"/>
            <w:vAlign w:val="bottom"/>
          </w:tcPr>
          <w:p>
            <w:pPr>
              <w:ind w:left="480"/>
              <w:spacing w:after="0"/>
              <w:rPr>
                <w:sz w:val="20"/>
                <w:szCs w:val="20"/>
                <w:color w:val="auto"/>
              </w:rPr>
            </w:pPr>
            <w:r>
              <w:rPr>
                <w:rFonts w:ascii="Arial" w:cs="Arial" w:eastAsia="Arial" w:hAnsi="Arial"/>
                <w:sz w:val="16"/>
                <w:szCs w:val="16"/>
                <w:color w:val="auto"/>
              </w:rPr>
              <w:t>Increase (decrease) in other liabilities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(63 )</w:t>
            </w:r>
          </w:p>
        </w:tc>
      </w:tr>
      <w:tr>
        <w:trPr>
          <w:trHeight w:val="216"/>
        </w:trPr>
        <w:tc>
          <w:tcPr>
            <w:tcW w:w="76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Other</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(4 )</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8"/>
                <w:szCs w:val="18"/>
                <w:color w:val="auto"/>
              </w:rPr>
            </w:pPr>
          </w:p>
        </w:tc>
      </w:tr>
      <w:tr>
        <w:trPr>
          <w:trHeight w:val="210"/>
        </w:trPr>
        <w:tc>
          <w:tcPr>
            <w:tcW w:w="76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1,763</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1,938</w:t>
            </w:r>
          </w:p>
        </w:tc>
        <w:tc>
          <w:tcPr>
            <w:tcW w:w="100" w:type="dxa"/>
            <w:vAlign w:val="bottom"/>
            <w:tcBorders>
              <w:top w:val="single" w:sz="8" w:color="CFF0FC"/>
            </w:tcBorders>
          </w:tcPr>
          <w:p>
            <w:pPr>
              <w:spacing w:after="0"/>
              <w:rPr>
                <w:sz w:val="18"/>
                <w:szCs w:val="18"/>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investing activities:</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(862 )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(881 )</w:t>
            </w: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APS investments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(256 )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(253 )</w:t>
            </w: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Exploration data costs capitalized</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(91 )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(83 )</w:t>
            </w: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Business acquisitions and investments, net of cash acquired</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(505 )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(262 )</w:t>
            </w: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Proceeds from sale of Liberty shares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Sale (purchase) of short-term investments, net</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(24 )</w:t>
            </w: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(164 )</w:t>
            </w:r>
          </w:p>
        </w:tc>
      </w:tr>
      <w:tr>
        <w:trPr>
          <w:trHeight w:val="20"/>
        </w:trPr>
        <w:tc>
          <w:tcPr>
            <w:tcW w:w="7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(1,644 )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(1,530 )</w:t>
            </w:r>
          </w:p>
        </w:tc>
      </w:tr>
      <w:tr>
        <w:trPr>
          <w:trHeight w:val="209"/>
        </w:trPr>
        <w:tc>
          <w:tcPr>
            <w:tcW w:w="76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7"/>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Dividends paid</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(751 )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(605 )</w:t>
            </w: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Proceeds from employee stock purchase plan</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Taxes paid on net settled stock-based compensation awards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(78 )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(144 )</w:t>
            </w: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Stock repurchase program</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(735 )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(443 )</w:t>
            </w: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Proceeds from issuance of long-term debt</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1,849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Repayment of long-term debt</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(426 )</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300"/>
              <w:spacing w:after="0"/>
              <w:rPr>
                <w:sz w:val="20"/>
                <w:szCs w:val="20"/>
                <w:color w:val="auto"/>
              </w:rPr>
            </w:pPr>
            <w:r>
              <w:rPr>
                <w:rFonts w:ascii="Arial" w:cs="Arial" w:eastAsia="Arial" w:hAnsi="Arial"/>
                <w:sz w:val="16"/>
                <w:szCs w:val="16"/>
                <w:color w:val="auto"/>
              </w:rPr>
              <w:t>Net decrease in short-term borrowings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(48 )</w:t>
            </w:r>
          </w:p>
        </w:tc>
      </w:tr>
      <w:tr>
        <w:trPr>
          <w:trHeight w:val="216"/>
        </w:trPr>
        <w:tc>
          <w:tcPr>
            <w:tcW w:w="7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(6 )</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8"/>
                <w:szCs w:val="18"/>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(46 )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(121 )</w:t>
            </w: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increase in cash before translation effect</w:t>
            </w:r>
          </w:p>
        </w:tc>
        <w:tc>
          <w:tcPr>
            <w:tcW w:w="10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w:t>
            </w: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Translation effect on cash</w:t>
            </w: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(12 )</w:t>
            </w: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beginning of period</w:t>
            </w:r>
          </w:p>
        </w:tc>
        <w:tc>
          <w:tcPr>
            <w:tcW w:w="10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2,900</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6"/>
                <w:szCs w:val="16"/>
                <w:color w:val="auto"/>
              </w:rPr>
              <w:t>Cash, end of period</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2,953</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-3514090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-2116455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-736600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Asset Performance Solutions ("APS") investments.</w:t>
      </w:r>
    </w:p>
    <w:p>
      <w:pPr>
        <w:spacing w:after="0" w:line="70" w:lineRule="exact"/>
        <w:rPr>
          <w:rFonts w:ascii="Arial" w:cs="Arial" w:eastAsia="Arial" w:hAnsi="Arial"/>
          <w:sz w:val="19"/>
          <w:szCs w:val="19"/>
          <w:color w:val="auto"/>
          <w:vertAlign w:val="superscript"/>
        </w:rPr>
      </w:pPr>
    </w:p>
    <w:p>
      <w:pPr>
        <w:ind w:left="380" w:hanging="372"/>
        <w:spacing w:after="0" w:line="234" w:lineRule="auto"/>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Net of the effect of business acquisitions.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CONSOLIDATED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11"/>
          </w:tcPr>
          <w:p>
            <w:pPr>
              <w:jc w:val="right"/>
              <w:ind w:right="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377"/>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6"/>
            <w:vMerge w:val="restart"/>
          </w:tcPr>
          <w:p>
            <w:pPr>
              <w:jc w:val="right"/>
              <w:ind w:right="52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5"/>
                <w:szCs w:val="15"/>
                <w:color w:val="auto"/>
              </w:rPr>
            </w:pP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January 1, 2024 – June 30, 2024</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Issued</w:t>
            </w:r>
          </w:p>
        </w:tc>
        <w:tc>
          <w:tcPr>
            <w:tcW w:w="2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 Treasury</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Earnings</w:t>
            </w:r>
          </w:p>
        </w:tc>
        <w:tc>
          <w:tcPr>
            <w:tcW w:w="18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January 1, 2024</w:t>
            </w:r>
          </w:p>
        </w:tc>
        <w:tc>
          <w:tcPr>
            <w:tcW w:w="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$11,624</w:t>
            </w:r>
          </w:p>
        </w:tc>
        <w:tc>
          <w:tcPr>
            <w:tcW w:w="6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$(678)</w:t>
            </w:r>
          </w:p>
        </w:tc>
        <w:tc>
          <w:tcPr>
            <w:tcW w:w="1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$13,497</w:t>
            </w:r>
          </w:p>
        </w:tc>
        <w:tc>
          <w:tcPr>
            <w:tcW w:w="120" w:type="dxa"/>
            <w:vAlign w:val="bottom"/>
            <w:shd w:val="clear" w:color="auto" w:fill="CFF0FC"/>
          </w:tcPr>
          <w:p>
            <w:pPr>
              <w:spacing w:after="0"/>
              <w:rPr>
                <w:sz w:val="15"/>
                <w:szCs w:val="15"/>
                <w:color w:val="auto"/>
              </w:rPr>
            </w:pPr>
          </w:p>
        </w:tc>
        <w:tc>
          <w:tcPr>
            <w:tcW w:w="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$(4,254)</w:t>
            </w:r>
          </w:p>
        </w:tc>
        <w:tc>
          <w:tcPr>
            <w:tcW w:w="140" w:type="dxa"/>
            <w:vAlign w:val="bottom"/>
            <w:shd w:val="clear" w:color="auto" w:fill="CFF0FC"/>
          </w:tcPr>
          <w:p>
            <w:pPr>
              <w:spacing w:after="0"/>
              <w:rPr>
                <w:sz w:val="15"/>
                <w:szCs w:val="15"/>
                <w:color w:val="auto"/>
              </w:rPr>
            </w:pPr>
          </w:p>
        </w:tc>
        <w:tc>
          <w:tcPr>
            <w:tcW w:w="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$1,170</w:t>
            </w: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$21,359</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2,180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4"/>
                <w:szCs w:val="14"/>
                <w:color w:val="auto"/>
              </w:rPr>
              <w:t>63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2,243</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(351)</w:t>
            </w: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273</w:t>
            </w: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Employee stock purchase plan</w:t>
            </w:r>
          </w:p>
        </w:tc>
        <w:tc>
          <w:tcPr>
            <w:tcW w:w="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Stock repurchase program</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(735)</w:t>
            </w: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Dividends declared ($0.55 per share)</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June 30, 2024</w:t>
            </w: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$11,401</w:t>
            </w: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right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$(973)</w:t>
            </w:r>
          </w:p>
        </w:tc>
        <w:tc>
          <w:tcPr>
            <w:tcW w:w="16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$14,890</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$(4,247)</w:t>
            </w: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$1,209</w:t>
            </w:r>
          </w:p>
        </w:tc>
        <w:tc>
          <w:tcPr>
            <w:tcW w:w="14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$22,280</w:t>
            </w:r>
          </w:p>
        </w:tc>
        <w:tc>
          <w:tcPr>
            <w:tcW w:w="0" w:type="dxa"/>
            <w:vAlign w:val="bottom"/>
          </w:tcPr>
          <w:p>
            <w:pPr>
              <w:spacing w:after="0"/>
              <w:rPr>
                <w:sz w:val="1"/>
                <w:szCs w:val="1"/>
                <w:color w:val="auto"/>
              </w:rPr>
            </w:pPr>
          </w:p>
        </w:tc>
      </w:tr>
      <w:tr>
        <w:trPr>
          <w:trHeight w:val="552"/>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108"/>
              <w:spacing w:after="0"/>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6"/>
            <w:vMerge w:val="restart"/>
          </w:tcPr>
          <w:p>
            <w:pPr>
              <w:jc w:val="center"/>
              <w:spacing w:after="0"/>
              <w:rPr>
                <w:sz w:val="20"/>
                <w:szCs w:val="20"/>
                <w:color w:val="auto"/>
              </w:rPr>
            </w:pPr>
            <w:r>
              <w:rPr>
                <w:rFonts w:ascii="Arial" w:cs="Arial" w:eastAsia="Arial" w:hAnsi="Arial"/>
                <w:sz w:val="14"/>
                <w:szCs w:val="14"/>
                <w:color w:val="auto"/>
              </w:rPr>
              <w:t>Common Stock</w:t>
            </w:r>
          </w:p>
        </w:tc>
        <w:tc>
          <w:tcPr>
            <w:tcW w:w="16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108"/>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5"/>
                <w:szCs w:val="15"/>
                <w:color w:val="auto"/>
              </w:rPr>
            </w:pPr>
          </w:p>
        </w:tc>
        <w:tc>
          <w:tcPr>
            <w:tcW w:w="1260" w:type="dxa"/>
            <w:vAlign w:val="bottom"/>
          </w:tcPr>
          <w:p>
            <w:pPr>
              <w:jc w:val="center"/>
              <w:ind w:right="108"/>
              <w:spacing w:after="0"/>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January 1, 2023 – June 30, 2023</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Issued</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In Treasury</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Loss</w:t>
            </w: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Interests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January 1, 2023</w:t>
            </w:r>
          </w:p>
        </w:tc>
        <w:tc>
          <w:tcPr>
            <w:tcW w:w="80" w:type="dxa"/>
            <w:vAlign w:val="bottom"/>
            <w:shd w:val="clear" w:color="auto" w:fill="CFF0FC"/>
          </w:tcPr>
          <w:p>
            <w:pPr>
              <w:spacing w:after="0"/>
              <w:rPr>
                <w:sz w:val="15"/>
                <w:szCs w:val="15"/>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$11,837</w:t>
            </w: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$(1,016)</w:t>
            </w:r>
          </w:p>
        </w:tc>
        <w:tc>
          <w:tcPr>
            <w:tcW w:w="1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$10,719</w:t>
            </w:r>
          </w:p>
        </w:tc>
        <w:tc>
          <w:tcPr>
            <w:tcW w:w="120" w:type="dxa"/>
            <w:vAlign w:val="bottom"/>
            <w:shd w:val="clear" w:color="auto" w:fill="CFF0FC"/>
          </w:tcPr>
          <w:p>
            <w:pPr>
              <w:spacing w:after="0"/>
              <w:rPr>
                <w:sz w:val="15"/>
                <w:szCs w:val="15"/>
                <w:color w:val="auto"/>
              </w:rPr>
            </w:pPr>
          </w:p>
        </w:tc>
        <w:tc>
          <w:tcPr>
            <w:tcW w:w="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$(3,855)</w:t>
            </w:r>
          </w:p>
        </w:tc>
        <w:tc>
          <w:tcPr>
            <w:tcW w:w="140" w:type="dxa"/>
            <w:vAlign w:val="bottom"/>
            <w:shd w:val="clear" w:color="auto" w:fill="CFF0FC"/>
          </w:tcPr>
          <w:p>
            <w:pPr>
              <w:spacing w:after="0"/>
              <w:rPr>
                <w:sz w:val="15"/>
                <w:szCs w:val="15"/>
                <w:color w:val="auto"/>
              </w:rPr>
            </w:pPr>
          </w:p>
        </w:tc>
        <w:tc>
          <w:tcPr>
            <w:tcW w:w="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$304</w:t>
            </w:r>
          </w:p>
        </w:tc>
        <w:tc>
          <w:tcPr>
            <w:tcW w:w="2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$17,989</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1,967</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80" w:type="dxa"/>
            <w:vAlign w:val="bottom"/>
            <w:shd w:val="clear" w:color="auto" w:fill="CFF0FC"/>
          </w:tcPr>
          <w:p>
            <w:pPr>
              <w:spacing w:after="0"/>
              <w:rPr>
                <w:sz w:val="16"/>
                <w:szCs w:val="16"/>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(573)</w:t>
            </w: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429</w:t>
            </w: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Employee stock purchase plan</w:t>
            </w:r>
          </w:p>
        </w:tc>
        <w:tc>
          <w:tcPr>
            <w:tcW w:w="8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(123)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Stock repurchase program</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(443)</w:t>
            </w: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160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Dividends declared ($0.50 per share)</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(712)</w:t>
            </w: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Dividends paid to noncontrolling interest</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CFF0FC"/>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CFF0FC"/>
              <w:right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CFF0FC"/>
              <w:right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right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auto"/>
              <w:right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right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right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right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Balance, June 30, 2023</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$11,270</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$11,974</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$(3,886)</w:t>
            </w: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$326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$18,934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88"/>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6"/>
            <w:vMerge w:val="restart"/>
          </w:tcPr>
          <w:p>
            <w:pPr>
              <w:jc w:val="right"/>
              <w:ind w:right="56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5"/>
                <w:szCs w:val="15"/>
                <w:color w:val="auto"/>
              </w:rPr>
            </w:pPr>
          </w:p>
        </w:tc>
        <w:tc>
          <w:tcPr>
            <w:tcW w:w="126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1, 2024 – June 30, 2024</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Issued</w:t>
            </w:r>
          </w:p>
        </w:tc>
        <w:tc>
          <w:tcPr>
            <w:tcW w:w="300" w:type="dxa"/>
            <w:vAlign w:val="bottom"/>
            <w:gridSpan w:val="3"/>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 Treasury</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Earnings</w:t>
            </w:r>
          </w:p>
        </w:tc>
        <w:tc>
          <w:tcPr>
            <w:tcW w:w="18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Interests</w:t>
            </w:r>
          </w:p>
        </w:tc>
        <w:tc>
          <w:tcPr>
            <w:tcW w:w="1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Balance, April 1, 2024</w:t>
            </w:r>
          </w:p>
        </w:tc>
        <w:tc>
          <w:tcPr>
            <w:tcW w:w="80" w:type="dxa"/>
            <w:vAlign w:val="bottom"/>
            <w:shd w:val="clear" w:color="auto" w:fill="CFF0FC"/>
          </w:tcPr>
          <w:p>
            <w:pPr>
              <w:jc w:val="right"/>
              <w:ind w:right="14"/>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11,344</w:t>
            </w: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(531 )</w:t>
            </w:r>
          </w:p>
        </w:tc>
        <w:tc>
          <w:tcPr>
            <w:tcW w:w="1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14,172</w:t>
            </w:r>
          </w:p>
        </w:tc>
        <w:tc>
          <w:tcPr>
            <w:tcW w:w="120" w:type="dxa"/>
            <w:vAlign w:val="bottom"/>
            <w:shd w:val="clear" w:color="auto" w:fill="CFF0FC"/>
          </w:tcPr>
          <w:p>
            <w:pPr>
              <w:spacing w:after="0"/>
              <w:rPr>
                <w:sz w:val="15"/>
                <w:szCs w:val="15"/>
                <w:color w:val="auto"/>
              </w:rPr>
            </w:pPr>
          </w:p>
        </w:tc>
        <w:tc>
          <w:tcPr>
            <w:tcW w:w="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(4,249 )</w:t>
            </w:r>
          </w:p>
        </w:tc>
        <w:tc>
          <w:tcPr>
            <w:tcW w:w="2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1,187</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1,112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(20 )</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(4 )</w:t>
            </w: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(13 )</w:t>
            </w: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13</w:t>
            </w: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Stock repurchase program</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(465 )</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(465 )</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Dividends declared ($0.275 per share)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(394 )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(11 )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(405 )</w:t>
            </w:r>
          </w:p>
        </w:tc>
        <w:tc>
          <w:tcPr>
            <w:tcW w:w="0" w:type="dxa"/>
            <w:vAlign w:val="bottom"/>
          </w:tcPr>
          <w:p>
            <w:pPr>
              <w:spacing w:after="0"/>
              <w:rPr>
                <w:sz w:val="1"/>
                <w:szCs w:val="1"/>
                <w:color w:val="auto"/>
              </w:rPr>
            </w:pPr>
          </w:p>
        </w:tc>
      </w:tr>
      <w:tr>
        <w:trPr>
          <w:trHeight w:val="189"/>
        </w:trPr>
        <w:tc>
          <w:tcPr>
            <w:tcW w:w="3900" w:type="dxa"/>
            <w:vAlign w:val="bottom"/>
            <w:tcBorders>
              <w:righ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tcBorders>
              <w:right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(4 )</w:t>
            </w:r>
          </w:p>
        </w:tc>
        <w:tc>
          <w:tcPr>
            <w:tcW w:w="1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Balance, June 30, 2024</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11,401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(973 )</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14,890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(4,247 )</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1,209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22,280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-4808220</wp:posOffset>
            </wp:positionV>
            <wp:extent cx="946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-4791075</wp:posOffset>
            </wp:positionV>
            <wp:extent cx="946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-4808220</wp:posOffset>
            </wp:positionV>
            <wp:extent cx="939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-4791075</wp:posOffset>
            </wp:positionV>
            <wp:extent cx="939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-4808220</wp:posOffset>
            </wp:positionV>
            <wp:extent cx="93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-4791075</wp:posOffset>
            </wp:positionV>
            <wp:extent cx="93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-4808220</wp:posOffset>
            </wp:positionV>
            <wp:extent cx="946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-4791075</wp:posOffset>
            </wp:positionV>
            <wp:extent cx="946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-4808220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-4791075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-2485390</wp:posOffset>
            </wp:positionV>
            <wp:extent cx="102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-2485390</wp:posOffset>
            </wp:positionV>
            <wp:extent cx="93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-2485390</wp:posOffset>
            </wp:positionV>
            <wp:extent cx="939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-2485390</wp:posOffset>
            </wp:positionV>
            <wp:extent cx="939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-2485390</wp:posOffset>
            </wp:positionV>
            <wp:extent cx="93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-153670</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-153670</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-153670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-153670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-153670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377"/>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4"/>
            <w:vMerge w:val="restart"/>
          </w:tcPr>
          <w:p>
            <w:pPr>
              <w:jc w:val="right"/>
              <w:ind w:right="488"/>
              <w:spacing w:after="0"/>
              <w:rPr>
                <w:sz w:val="20"/>
                <w:szCs w:val="20"/>
                <w:color w:val="auto"/>
              </w:rPr>
            </w:pPr>
            <w:r>
              <w:rPr>
                <w:rFonts w:ascii="Arial" w:cs="Arial" w:eastAsia="Arial" w:hAnsi="Arial"/>
                <w:sz w:val="14"/>
                <w:szCs w:val="14"/>
                <w:color w:val="auto"/>
              </w:rPr>
              <w:t>Common Stock</w:t>
            </w:r>
          </w:p>
        </w:tc>
        <w:tc>
          <w:tcPr>
            <w:tcW w:w="26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color w:val="auto"/>
              </w:rPr>
              <w:t>Comprehensive</w:t>
            </w:r>
          </w:p>
        </w:tc>
        <w:tc>
          <w:tcPr>
            <w:tcW w:w="12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Noncontrolling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April 1, 2023– June 30, 2023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Issued</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In Treasury</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Earnings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Loss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Balance, April 1, 2023</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11,264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(559 )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11,296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(3,933 )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Currency translation adjustments</w:t>
            </w: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(43 )</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Pension and other postretirement benefit plans</w:t>
            </w: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(6 )</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Shares sold to optionees, less shares exchanged</w:t>
            </w:r>
          </w:p>
        </w:tc>
        <w:tc>
          <w:tcPr>
            <w:tcW w:w="14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Vesting of restricted stock, net of taxes withheld</w:t>
            </w:r>
          </w:p>
        </w:tc>
        <w:tc>
          <w:tcPr>
            <w:tcW w:w="1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(70 )</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Stock repurchase program</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(213 )</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(213 )</w:t>
            </w: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Dividends declared ($0.25 per share)</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(355 )</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(355 )</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Balance, June 30, 2023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11,270</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(750 )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11,974</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(3,886 )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326</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18,934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-153670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-153670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-153670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-153670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-153670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SHARES OF COMMON STOCK</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99"/>
        </w:trPr>
        <w:tc>
          <w:tcPr>
            <w:tcW w:w="6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Shares</w:t>
            </w:r>
          </w:p>
        </w:tc>
      </w:tr>
      <w:tr>
        <w:trPr>
          <w:trHeight w:val="217"/>
        </w:trPr>
        <w:tc>
          <w:tcPr>
            <w:tcW w:w="6520" w:type="dxa"/>
            <w:vAlign w:val="bottom"/>
          </w:tcPr>
          <w:p>
            <w:pPr>
              <w:spacing w:after="0"/>
              <w:rPr>
                <w:sz w:val="18"/>
                <w:szCs w:val="18"/>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w w:val="98"/>
              </w:rPr>
              <w:t>Issued</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 Treasury</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8"/>
                <w:szCs w:val="18"/>
                <w:color w:val="auto"/>
              </w:rPr>
            </w:pPr>
          </w:p>
        </w:tc>
      </w:tr>
      <w:tr>
        <w:trPr>
          <w:trHeight w:val="210"/>
        </w:trPr>
        <w:tc>
          <w:tcPr>
            <w:tcW w:w="74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 January 1, 2024</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1,439</w:t>
            </w:r>
          </w:p>
        </w:tc>
        <w:tc>
          <w:tcPr>
            <w:tcW w:w="18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(12 )</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FF0FC"/>
          </w:tcPr>
          <w:p>
            <w:pPr>
              <w:spacing w:after="0"/>
              <w:rPr>
                <w:sz w:val="18"/>
                <w:szCs w:val="18"/>
                <w:color w:val="auto"/>
              </w:rPr>
            </w:pPr>
          </w:p>
        </w:tc>
      </w:tr>
      <w:tr>
        <w:trPr>
          <w:trHeight w:val="215"/>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r>
      <w:tr>
        <w:trPr>
          <w:trHeight w:val="217"/>
        </w:trPr>
        <w:tc>
          <w:tcPr>
            <w:tcW w:w="74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8"/>
                <w:szCs w:val="18"/>
                <w:color w:val="auto"/>
              </w:rPr>
            </w:pPr>
          </w:p>
        </w:tc>
      </w:tr>
      <w:tr>
        <w:trPr>
          <w:trHeight w:val="215"/>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r>
      <w:tr>
        <w:trPr>
          <w:trHeight w:val="217"/>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repurchase program</w:t>
            </w: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(15 )</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(15 )</w:t>
            </w:r>
          </w:p>
        </w:tc>
      </w:tr>
      <w:tr>
        <w:trPr>
          <w:trHeight w:val="20"/>
        </w:trPr>
        <w:tc>
          <w:tcPr>
            <w:tcW w:w="65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color w:val="auto"/>
              </w:rPr>
              <w:t>Balance, June 30, 2024</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1,439</w:t>
            </w:r>
          </w:p>
        </w:tc>
        <w:tc>
          <w:tcPr>
            <w:tcW w:w="22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(19 )</w:t>
            </w:r>
          </w:p>
        </w:tc>
        <w:tc>
          <w:tcPr>
            <w:tcW w:w="1400" w:type="dxa"/>
            <w:vAlign w:val="bottom"/>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8" w:name="page9"/>
    <w:bookmarkEnd w:id="8"/>
    <w:p>
      <w:pPr>
        <w:ind w:left="376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50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Basis of Presentation</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(“SLB”)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SLB management, all adjustments considered necessary for a fair statement have been included in the accompanying unaudited financial statements. All intercompany transactions and balances have been eliminated in consolidation. Operating results for the three-month period ended June 30, 2024 are not necessarily indicative of the results that may be expected for the full year ending December 31, 2024. The December 31, 2023 balance sheet information has been derived from the SLB 2023 audited financial statements. For further information, refer to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and notes thereto included in the SLB Annual Report on Form 10-K for the year ended December 31, 2023, filed with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Exchange Commission on January 24, 2024.</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Announced Transaction</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April 2, 2024, SLB announced a definitive agreement to purchase ChampionX Corporation ("ChampionX") in an all-stock transaction. ChampionX is a global leader in chemistry solutions, artificial lift systems, and highly engineered equipment and technologies that help companies drill for and produce oil and gas safely, efficiently, and sustainably around the world. Under the terms of the agreement, ChampionX shareholders will receive 0.735 shares of SLB common stock in exchange for each ChampionX share. At the closing of the transaction ChampionX shareholders will own approximately 9% of SLB's outstanding shares of common stock. ChampionX reported revenue of approximately $3.8 billion in 2023. The transaction, which is subject to regulatory approvals and other customary closing conditions, received the approval of the ChampionX stockholders at a special meeting held on June 18, 2024. It is anticipated that the transaction will close in the fourth quarter of 2024 or the first quarter of 2025.</w:t>
      </w:r>
    </w:p>
    <w:p>
      <w:pPr>
        <w:spacing w:after="0" w:line="181" w:lineRule="exact"/>
        <w:rPr>
          <w:sz w:val="20"/>
          <w:szCs w:val="20"/>
          <w:color w:val="auto"/>
        </w:rPr>
      </w:pPr>
    </w:p>
    <w:p>
      <w:pPr>
        <w:ind w:right="9380" w:firstLine="8"/>
        <w:spacing w:after="0" w:line="388"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Charges and Credits </w:t>
      </w:r>
      <w:r>
        <w:rPr>
          <w:rFonts w:ascii="Arial" w:cs="Arial" w:eastAsia="Arial" w:hAnsi="Arial"/>
          <w:sz w:val="16"/>
          <w:szCs w:val="16"/>
          <w:b w:val="1"/>
          <w:bCs w:val="1"/>
          <w:color w:val="auto"/>
        </w:rPr>
        <w:t>2024</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Second quarter</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During the second quarter of 2024 SLB started a program to realign and optimize its support and service delivery structure in certain parts of its organization. As a result SLB recorded a severance charge of $111 million which is classified in </w:t>
      </w:r>
      <w:r>
        <w:rPr>
          <w:rFonts w:ascii="Arial" w:cs="Arial" w:eastAsia="Arial" w:hAnsi="Arial"/>
          <w:sz w:val="16"/>
          <w:szCs w:val="16"/>
          <w:i w:val="1"/>
          <w:iCs w:val="1"/>
          <w:color w:val="auto"/>
        </w:rPr>
        <w:t>Restructuring</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This program is expected to result in additional charges in the third quarter of 2024.</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connection with SLB's October 2023 acquisition of Aker Solutions ("Aker") subsea business, SLB recorded $31 million of pretax charges during the second quarter of 2024 consisting of: $15 million relating to the amortization of purchase accounting adjustments associated with the write-up of acquired inventories to its estimated fair value and $16 million of other merger and integration-related costs. $15 million of these costs are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with the remaining $16 million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First quarter</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connection with SLB's acquisition of the Aker subsea business, SLB recorded $25 million of charges during the first quarter of 2024 consisting of: $14 million relating to the amortization of purchase accounting adjustments associated with the write-up of acquired inventories to its estimated fair value and $11 million of other merger and integration-related costs. $14 million of these costs are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with the remaining $11 million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w:t>
      </w:r>
    </w:p>
    <w:p>
      <w:pPr>
        <w:spacing w:after="0" w:line="212" w:lineRule="exact"/>
        <w:rPr>
          <w:sz w:val="20"/>
          <w:szCs w:val="20"/>
          <w:color w:val="auto"/>
        </w:rPr>
      </w:pPr>
    </w:p>
    <w:p>
      <w:pPr>
        <w:ind w:left="9940"/>
        <w:spacing w:after="0"/>
        <w:rPr>
          <w:sz w:val="20"/>
          <w:szCs w:val="20"/>
          <w:color w:val="auto"/>
        </w:rPr>
      </w:pPr>
      <w:r>
        <w:rPr>
          <w:rFonts w:ascii="Arial" w:cs="Arial" w:eastAsia="Arial" w:hAnsi="Arial"/>
          <w:sz w:val="14"/>
          <w:szCs w:val="14"/>
          <w:i w:val="1"/>
          <w:iCs w:val="1"/>
          <w:color w:val="auto"/>
        </w:rPr>
        <w:t>(Stated in millions)</w:t>
      </w:r>
    </w:p>
    <w:p>
      <w:pPr>
        <w:spacing w:after="0" w:line="251" w:lineRule="exact"/>
        <w:rPr>
          <w:sz w:val="20"/>
          <w:szCs w:val="20"/>
          <w:color w:val="auto"/>
        </w:rPr>
      </w:pPr>
    </w:p>
    <w:p>
      <w:pPr>
        <w:ind w:left="8640"/>
        <w:spacing w:after="0"/>
        <w:rPr>
          <w:sz w:val="20"/>
          <w:szCs w:val="20"/>
          <w:color w:val="auto"/>
        </w:rPr>
      </w:pPr>
      <w:r>
        <w:rPr>
          <w:rFonts w:ascii="Arial" w:cs="Arial" w:eastAsia="Arial" w:hAnsi="Arial"/>
          <w:sz w:val="16"/>
          <w:szCs w:val="16"/>
          <w:color w:val="auto"/>
        </w:rPr>
        <w:t>Noncontrolling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Pretax Charge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color w:val="auto"/>
              </w:rPr>
              <w:t>Net</w:t>
            </w:r>
          </w:p>
        </w:tc>
      </w:tr>
      <w:tr>
        <w:trPr>
          <w:trHeight w:val="211"/>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First quarter:</w:t>
            </w:r>
          </w:p>
        </w:tc>
        <w:tc>
          <w:tcPr>
            <w:tcW w:w="5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6"/>
                <w:szCs w:val="16"/>
                <w:color w:val="auto"/>
              </w:rPr>
              <w:t>Merger &amp; integration</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5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Second quarter:</w:t>
            </w: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740" w:type="dxa"/>
            <w:vAlign w:val="bottom"/>
          </w:tcPr>
          <w:p>
            <w:pPr>
              <w:ind w:left="200"/>
              <w:spacing w:after="0"/>
              <w:rPr>
                <w:sz w:val="20"/>
                <w:szCs w:val="20"/>
                <w:color w:val="auto"/>
              </w:rPr>
            </w:pPr>
            <w:r>
              <w:rPr>
                <w:rFonts w:ascii="Arial" w:cs="Arial" w:eastAsia="Arial" w:hAnsi="Arial"/>
                <w:sz w:val="16"/>
                <w:szCs w:val="16"/>
                <w:color w:val="auto"/>
              </w:rPr>
              <w:t>Workforce reductions</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r>
      <w:tr>
        <w:trPr>
          <w:trHeight w:val="217"/>
        </w:trPr>
        <w:tc>
          <w:tcPr>
            <w:tcW w:w="5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Merger &amp; integration</w:t>
            </w:r>
          </w:p>
        </w:tc>
        <w:tc>
          <w:tcPr>
            <w:tcW w:w="5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8"/>
                <w:szCs w:val="18"/>
                <w:color w:val="auto"/>
              </w:rPr>
            </w:pPr>
          </w:p>
        </w:tc>
      </w:tr>
      <w:tr>
        <w:trPr>
          <w:trHeight w:val="209"/>
        </w:trPr>
        <w:tc>
          <w:tcPr>
            <w:tcW w:w="574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On December 31, 2020, SLB contributed its onshore hydraulic fracturing business in the United States and Canada, including its pressure pumping, pumpdown perforating, and Permian frac sand business to Liberty Energy Inc. (“Liberty”) in exchange for an equity interest in Liberty. During the first quarter of 2023, SLB sold all of its remaining approximately 9 million shares of Liberty and received net proceeds of $137 million. As a result, SLB recognized a pretax gain of $36 million ($28 million after-tax), which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SLB did not record any charges or credits during the second quarter of 2023.</w:t>
      </w:r>
    </w:p>
    <w:p>
      <w:pPr>
        <w:spacing w:after="0" w:line="22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per share of SLB to diluted earnings per share of SLB:</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4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9"/>
              <w:spacing w:after="0" w:line="182" w:lineRule="exact"/>
              <w:rPr>
                <w:sz w:val="20"/>
                <w:szCs w:val="20"/>
                <w:color w:val="auto"/>
              </w:rPr>
            </w:pPr>
            <w:r>
              <w:rPr>
                <w:rFonts w:ascii="Arial" w:cs="Arial" w:eastAsia="Arial" w:hAnsi="Arial"/>
                <w:sz w:val="16"/>
                <w:szCs w:val="16"/>
                <w:b w:val="1"/>
                <w:bCs w:val="1"/>
                <w:color w:val="auto"/>
                <w:w w:val="99"/>
              </w:rPr>
              <w:t>Net Income</w:t>
            </w:r>
          </w:p>
        </w:tc>
        <w:tc>
          <w:tcPr>
            <w:tcW w:w="260" w:type="dxa"/>
            <w:vAlign w:val="bottom"/>
          </w:tcPr>
          <w:p>
            <w:pPr>
              <w:spacing w:after="0"/>
              <w:rPr>
                <w:sz w:val="15"/>
                <w:szCs w:val="15"/>
                <w:color w:val="auto"/>
              </w:rPr>
            </w:pPr>
          </w:p>
        </w:tc>
        <w:tc>
          <w:tcPr>
            <w:tcW w:w="11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0"/>
              <w:spacing w:after="0" w:line="182" w:lineRule="exact"/>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79"/>
              <w:spacing w:after="0" w:line="182"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Arial" w:cs="Arial" w:eastAsia="Arial" w:hAnsi="Arial"/>
                <w:sz w:val="16"/>
                <w:szCs w:val="16"/>
                <w:color w:val="auto"/>
              </w:rPr>
              <w:t>Attributable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color w:val="auto"/>
              </w:rPr>
              <w:t>Earnings per</w:t>
            </w: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to SLB</w:t>
            </w:r>
          </w:p>
        </w:tc>
        <w:tc>
          <w:tcPr>
            <w:tcW w:w="2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9"/>
              <w:spacing w:after="0"/>
              <w:rPr>
                <w:sz w:val="20"/>
                <w:szCs w:val="20"/>
                <w:color w:val="auto"/>
              </w:rPr>
            </w:pPr>
            <w:r>
              <w:rPr>
                <w:rFonts w:ascii="Arial" w:cs="Arial" w:eastAsia="Arial" w:hAnsi="Arial"/>
                <w:sz w:val="16"/>
                <w:szCs w:val="16"/>
                <w:b w:val="1"/>
                <w:bCs w:val="1"/>
                <w:color w:val="auto"/>
              </w:rPr>
              <w:t>Share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0"/>
              <w:spacing w:after="0"/>
              <w:rPr>
                <w:sz w:val="20"/>
                <w:szCs w:val="20"/>
                <w:color w:val="auto"/>
              </w:rPr>
            </w:pPr>
            <w:r>
              <w:rPr>
                <w:rFonts w:ascii="Arial" w:cs="Arial" w:eastAsia="Arial" w:hAnsi="Arial"/>
                <w:sz w:val="16"/>
                <w:szCs w:val="16"/>
                <w:color w:val="auto"/>
              </w:rPr>
              <w:t>to SLB</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color w:val="auto"/>
              </w:rPr>
              <w:t>Share</w:t>
            </w: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auto"/>
            </w:tcBorders>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w w:val="99"/>
              </w:rPr>
              <w:t>Second Quarter</w:t>
            </w:r>
          </w:p>
        </w:tc>
        <w:tc>
          <w:tcPr>
            <w:tcW w:w="20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96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8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90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3320" w:type="dxa"/>
            <w:vAlign w:val="bottom"/>
            <w:gridSpan w:val="4"/>
          </w:tcPr>
          <w:p>
            <w:pPr>
              <w:ind w:left="2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1,112</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1,428</w:t>
            </w:r>
          </w:p>
        </w:tc>
        <w:tc>
          <w:tcPr>
            <w:tcW w:w="4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0.78</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1,423</w:t>
            </w:r>
          </w:p>
        </w:tc>
        <w:tc>
          <w:tcPr>
            <w:tcW w:w="4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32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Assumed exercise of stock options</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320" w:type="dxa"/>
            <w:vAlign w:val="bottom"/>
            <w:gridSpan w:val="4"/>
          </w:tcPr>
          <w:p>
            <w:pPr>
              <w:ind w:left="20"/>
              <w:spacing w:after="0"/>
              <w:rPr>
                <w:sz w:val="20"/>
                <w:szCs w:val="20"/>
                <w:color w:val="auto"/>
              </w:rPr>
            </w:pPr>
            <w:r>
              <w:rPr>
                <w:rFonts w:ascii="Arial" w:cs="Arial" w:eastAsia="Arial" w:hAnsi="Arial"/>
                <w:sz w:val="16"/>
                <w:szCs w:val="16"/>
                <w:color w:val="auto"/>
              </w:rPr>
              <w:t>Unvested restricted stock</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32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1,112</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1,443</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0.77</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9"/>
              <w:spacing w:after="0" w:line="182" w:lineRule="exact"/>
              <w:rPr>
                <w:sz w:val="20"/>
                <w:szCs w:val="20"/>
                <w:color w:val="auto"/>
              </w:rPr>
            </w:pPr>
            <w:r>
              <w:rPr>
                <w:rFonts w:ascii="Arial" w:cs="Arial" w:eastAsia="Arial" w:hAnsi="Arial"/>
                <w:sz w:val="16"/>
                <w:szCs w:val="16"/>
                <w:b w:val="1"/>
                <w:bCs w:val="1"/>
                <w:color w:val="auto"/>
                <w:w w:val="99"/>
              </w:rPr>
              <w:t>Net Income</w:t>
            </w:r>
          </w:p>
        </w:tc>
        <w:tc>
          <w:tcPr>
            <w:tcW w:w="260" w:type="dxa"/>
            <w:vAlign w:val="bottom"/>
          </w:tcPr>
          <w:p>
            <w:pPr>
              <w:spacing w:after="0"/>
              <w:rPr>
                <w:sz w:val="15"/>
                <w:szCs w:val="15"/>
                <w:color w:val="auto"/>
              </w:rPr>
            </w:pPr>
          </w:p>
        </w:tc>
        <w:tc>
          <w:tcPr>
            <w:tcW w:w="11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0"/>
              <w:spacing w:after="0" w:line="182" w:lineRule="exact"/>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59"/>
              <w:spacing w:after="0" w:line="182"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Arial" w:cs="Arial" w:eastAsia="Arial" w:hAnsi="Arial"/>
                <w:sz w:val="16"/>
                <w:szCs w:val="16"/>
                <w:color w:val="auto"/>
              </w:rPr>
              <w:t>Attributable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color w:val="auto"/>
              </w:rPr>
              <w:t>Earnings per</w:t>
            </w: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rPr>
              <w:t>to SLB</w:t>
            </w:r>
          </w:p>
        </w:tc>
        <w:tc>
          <w:tcPr>
            <w:tcW w:w="2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9"/>
              <w:spacing w:after="0"/>
              <w:rPr>
                <w:sz w:val="20"/>
                <w:szCs w:val="20"/>
                <w:color w:val="auto"/>
              </w:rPr>
            </w:pPr>
            <w:r>
              <w:rPr>
                <w:rFonts w:ascii="Arial" w:cs="Arial" w:eastAsia="Arial" w:hAnsi="Arial"/>
                <w:sz w:val="16"/>
                <w:szCs w:val="16"/>
                <w:b w:val="1"/>
                <w:bCs w:val="1"/>
                <w:color w:val="auto"/>
              </w:rPr>
              <w:t>Share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40"/>
              <w:spacing w:after="0"/>
              <w:rPr>
                <w:sz w:val="20"/>
                <w:szCs w:val="20"/>
                <w:color w:val="auto"/>
              </w:rPr>
            </w:pPr>
            <w:r>
              <w:rPr>
                <w:rFonts w:ascii="Arial" w:cs="Arial" w:eastAsia="Arial" w:hAnsi="Arial"/>
                <w:sz w:val="16"/>
                <w:szCs w:val="16"/>
                <w:color w:val="auto"/>
              </w:rPr>
              <w:t>to SLB</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9"/>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color w:val="auto"/>
              </w:rPr>
              <w:t>Share</w:t>
            </w:r>
          </w:p>
        </w:tc>
      </w:tr>
      <w:tr>
        <w:trPr>
          <w:trHeight w:val="189"/>
        </w:trPr>
        <w:tc>
          <w:tcPr>
            <w:tcW w:w="20" w:type="dxa"/>
            <w:vAlign w:val="bottom"/>
            <w:shd w:val="clear" w:color="auto" w:fill="CFF0FC"/>
          </w:tcPr>
          <w:p>
            <w:pPr>
              <w:spacing w:after="0"/>
              <w:rPr>
                <w:sz w:val="16"/>
                <w:szCs w:val="16"/>
                <w:color w:val="auto"/>
              </w:rPr>
            </w:pPr>
          </w:p>
        </w:tc>
        <w:tc>
          <w:tcPr>
            <w:tcW w:w="330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Six Months</w:t>
            </w:r>
          </w:p>
        </w:tc>
        <w:tc>
          <w:tcPr>
            <w:tcW w:w="12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Basic</w:t>
            </w:r>
          </w:p>
        </w:tc>
        <w:tc>
          <w:tcPr>
            <w:tcW w:w="2440" w:type="dxa"/>
            <w:vAlign w:val="bottom"/>
            <w:tcBorders>
              <w:top w:val="single" w:sz="8" w:color="CFF0FC"/>
            </w:tcBorders>
            <w:gridSpan w:val="2"/>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6"/>
                <w:szCs w:val="16"/>
                <w:b w:val="1"/>
                <w:bCs w:val="1"/>
                <w:color w:val="auto"/>
              </w:rPr>
              <w:t>2,180</w:t>
            </w:r>
          </w:p>
        </w:tc>
        <w:tc>
          <w:tcPr>
            <w:tcW w:w="1440" w:type="dxa"/>
            <w:vAlign w:val="bottom"/>
            <w:tcBorders>
              <w:top w:val="single" w:sz="8" w:color="CFF0FC"/>
            </w:tcBorders>
            <w:gridSpan w:val="2"/>
          </w:tcPr>
          <w:p>
            <w:pPr>
              <w:jc w:val="right"/>
              <w:spacing w:after="0"/>
              <w:rPr>
                <w:sz w:val="20"/>
                <w:szCs w:val="20"/>
                <w:color w:val="auto"/>
              </w:rPr>
            </w:pPr>
            <w:r>
              <w:rPr>
                <w:rFonts w:ascii="Arial" w:cs="Arial" w:eastAsia="Arial" w:hAnsi="Arial"/>
                <w:sz w:val="16"/>
                <w:szCs w:val="16"/>
                <w:b w:val="1"/>
                <w:bCs w:val="1"/>
                <w:color w:val="auto"/>
              </w:rPr>
              <w:t>1,429</w:t>
            </w:r>
          </w:p>
        </w:tc>
        <w:tc>
          <w:tcPr>
            <w:tcW w:w="440" w:type="dxa"/>
            <w:vAlign w:val="bottom"/>
            <w:tcBorders>
              <w:top w:val="single" w:sz="8" w:color="CFF0FC"/>
            </w:tcBorders>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6"/>
                <w:szCs w:val="16"/>
                <w:b w:val="1"/>
                <w:bCs w:val="1"/>
                <w:color w:val="auto"/>
              </w:rPr>
              <w:t>1.53</w:t>
            </w:r>
          </w:p>
        </w:tc>
        <w:tc>
          <w:tcPr>
            <w:tcW w:w="340" w:type="dxa"/>
            <w:vAlign w:val="bottom"/>
            <w:tcBorders>
              <w:top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1,967</w:t>
            </w:r>
          </w:p>
        </w:tc>
        <w:tc>
          <w:tcPr>
            <w:tcW w:w="340" w:type="dxa"/>
            <w:vAlign w:val="bottom"/>
            <w:tcBorders>
              <w:top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1,425</w:t>
            </w:r>
          </w:p>
        </w:tc>
        <w:tc>
          <w:tcPr>
            <w:tcW w:w="440" w:type="dxa"/>
            <w:vAlign w:val="bottom"/>
            <w:tcBorders>
              <w:top w:val="single" w:sz="8" w:color="CFF0FC"/>
            </w:tcBorders>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32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Assumed exercise of stock options</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320" w:type="dxa"/>
            <w:vAlign w:val="bottom"/>
            <w:gridSpan w:val="4"/>
          </w:tcPr>
          <w:p>
            <w:pPr>
              <w:ind w:left="20"/>
              <w:spacing w:after="0"/>
              <w:rPr>
                <w:sz w:val="20"/>
                <w:szCs w:val="20"/>
                <w:color w:val="auto"/>
              </w:rPr>
            </w:pPr>
            <w:r>
              <w:rPr>
                <w:rFonts w:ascii="Arial" w:cs="Arial" w:eastAsia="Arial" w:hAnsi="Arial"/>
                <w:sz w:val="16"/>
                <w:szCs w:val="16"/>
                <w:color w:val="auto"/>
              </w:rPr>
              <w:t>Unvested restricted stock</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32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2,180</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1,445</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1,967</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1,444</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-1576705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-1559560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-1576705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-1559560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-1576705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-1559560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-1576705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-1559560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-1576705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-1559560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number of outstanding options to purchase shares of SLB common stock that were not included in the computation of diluted income per share, because to do so would have had an antidilutive effect,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700" w:type="dxa"/>
            <w:vAlign w:val="bottom"/>
          </w:tcPr>
          <w:p>
            <w:pPr>
              <w:spacing w:after="0"/>
              <w:rPr>
                <w:sz w:val="24"/>
                <w:szCs w:val="24"/>
                <w:color w:val="auto"/>
              </w:rPr>
            </w:pPr>
          </w:p>
        </w:tc>
        <w:tc>
          <w:tcPr>
            <w:tcW w:w="23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Second Quarter</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4"/>
          </w:tcPr>
          <w:p>
            <w:pPr>
              <w:ind w:left="860"/>
              <w:spacing w:after="0"/>
              <w:rPr>
                <w:sz w:val="20"/>
                <w:szCs w:val="20"/>
                <w:color w:val="auto"/>
              </w:rPr>
            </w:pPr>
            <w:r>
              <w:rPr>
                <w:rFonts w:ascii="Arial" w:cs="Arial" w:eastAsia="Arial" w:hAnsi="Arial"/>
                <w:sz w:val="16"/>
                <w:szCs w:val="16"/>
                <w:b w:val="1"/>
                <w:bCs w:val="1"/>
                <w:color w:val="auto"/>
              </w:rPr>
              <w:t>Six Months</w:t>
            </w:r>
          </w:p>
        </w:tc>
      </w:tr>
      <w:tr>
        <w:trPr>
          <w:trHeight w:val="210"/>
        </w:trPr>
        <w:tc>
          <w:tcPr>
            <w:tcW w:w="57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2023</w:t>
            </w:r>
          </w:p>
        </w:tc>
        <w:tc>
          <w:tcPr>
            <w:tcW w:w="3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10"/>
        </w:trPr>
        <w:tc>
          <w:tcPr>
            <w:tcW w:w="6580" w:type="dxa"/>
            <w:vAlign w:val="bottom"/>
            <w:gridSpan w:val="2"/>
            <w:shd w:val="clear" w:color="auto" w:fill="CFF0FC"/>
          </w:tcPr>
          <w:p>
            <w:pPr>
              <w:jc w:val="right"/>
              <w:ind w:right="4759"/>
              <w:spacing w:after="0"/>
              <w:rPr>
                <w:sz w:val="20"/>
                <w:szCs w:val="20"/>
                <w:color w:val="auto"/>
              </w:rPr>
            </w:pPr>
            <w:r>
              <w:rPr>
                <w:rFonts w:ascii="Arial" w:cs="Arial" w:eastAsia="Arial" w:hAnsi="Arial"/>
                <w:sz w:val="16"/>
                <w:szCs w:val="16"/>
                <w:color w:val="auto"/>
              </w:rPr>
              <w:t>Employee stock options</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FF0FC"/>
          </w:tcPr>
          <w:p>
            <w:pPr>
              <w:spacing w:after="0"/>
              <w:rPr>
                <w:sz w:val="18"/>
                <w:szCs w:val="18"/>
                <w:color w:val="auto"/>
              </w:rPr>
            </w:pPr>
          </w:p>
        </w:tc>
      </w:tr>
    </w:tbl>
    <w:p>
      <w:pPr>
        <w:spacing w:after="0" w:line="323"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inventories, which are stated at the lower of average cost or net realizable value,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center"/>
              <w:ind w:right="219"/>
              <w:spacing w:after="0"/>
              <w:rPr>
                <w:sz w:val="20"/>
                <w:szCs w:val="20"/>
                <w:color w:val="auto"/>
              </w:rPr>
            </w:pPr>
            <w:r>
              <w:rPr>
                <w:rFonts w:ascii="Arial" w:cs="Arial" w:eastAsia="Arial" w:hAnsi="Arial"/>
                <w:sz w:val="16"/>
                <w:szCs w:val="16"/>
                <w:b w:val="1"/>
                <w:bCs w:val="1"/>
                <w:color w:val="auto"/>
              </w:rPr>
              <w:t>Jun. 30,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Raw materials &amp; field materials</w:t>
            </w:r>
          </w:p>
        </w:tc>
        <w:tc>
          <w:tcPr>
            <w:tcW w:w="3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2,440</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Work in progress</w:t>
            </w:r>
          </w:p>
        </w:tc>
        <w:tc>
          <w:tcPr>
            <w:tcW w:w="3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Finished goods</w:t>
            </w:r>
          </w:p>
        </w:tc>
        <w:tc>
          <w:tcPr>
            <w:tcW w:w="35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1,243</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8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4,504</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5.  Fixed Assets</w:t>
            </w:r>
          </w:p>
        </w:tc>
        <w:tc>
          <w:tcPr>
            <w:tcW w:w="3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80" w:type="dxa"/>
            <w:vAlign w:val="bottom"/>
            <w:gridSpan w:val="3"/>
            <w:vMerge w:val="continue"/>
          </w:tcPr>
          <w:p>
            <w:pPr>
              <w:spacing w:after="0"/>
              <w:rPr>
                <w:sz w:val="24"/>
                <w:szCs w:val="24"/>
                <w:color w:val="auto"/>
              </w:rPr>
            </w:pP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80" w:type="dxa"/>
            <w:vAlign w:val="bottom"/>
            <w:gridSpan w:val="3"/>
          </w:tcPr>
          <w:p>
            <w:pPr>
              <w:spacing w:after="0"/>
              <w:rPr>
                <w:sz w:val="20"/>
                <w:szCs w:val="20"/>
                <w:color w:val="auto"/>
              </w:rPr>
            </w:pPr>
            <w:r>
              <w:rPr>
                <w:rFonts w:ascii="Arial" w:cs="Arial" w:eastAsia="Arial" w:hAnsi="Arial"/>
                <w:sz w:val="16"/>
                <w:szCs w:val="16"/>
                <w:color w:val="auto"/>
              </w:rPr>
              <w:t>Fixed assets consist of the following:</w:t>
            </w: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center"/>
              <w:ind w:right="219"/>
              <w:spacing w:after="0"/>
              <w:rPr>
                <w:sz w:val="20"/>
                <w:szCs w:val="20"/>
                <w:color w:val="auto"/>
              </w:rPr>
            </w:pPr>
            <w:r>
              <w:rPr>
                <w:rFonts w:ascii="Arial" w:cs="Arial" w:eastAsia="Arial" w:hAnsi="Arial"/>
                <w:sz w:val="16"/>
                <w:szCs w:val="16"/>
                <w:b w:val="1"/>
                <w:bCs w:val="1"/>
                <w:color w:val="auto"/>
              </w:rPr>
              <w:t>Jun. 30,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Property, plant &amp; equipment</w:t>
            </w:r>
          </w:p>
        </w:tc>
        <w:tc>
          <w:tcPr>
            <w:tcW w:w="3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30,198</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ind w:left="20"/>
              <w:spacing w:after="0"/>
              <w:rPr>
                <w:sz w:val="20"/>
                <w:szCs w:val="20"/>
                <w:color w:val="auto"/>
              </w:rPr>
            </w:pPr>
            <w:r>
              <w:rPr>
                <w:rFonts w:ascii="Arial" w:cs="Arial" w:eastAsia="Arial" w:hAnsi="Arial"/>
                <w:sz w:val="16"/>
                <w:szCs w:val="16"/>
                <w:color w:val="auto"/>
              </w:rPr>
              <w:t>Less: Accumulated depreciation</w:t>
            </w:r>
          </w:p>
        </w:tc>
        <w:tc>
          <w:tcPr>
            <w:tcW w:w="3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22,863</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0" w:type="dxa"/>
            <w:vAlign w:val="bottom"/>
            <w:shd w:val="clear" w:color="auto" w:fill="CFF0FC"/>
          </w:tcPr>
          <w:p>
            <w:pPr>
              <w:spacing w:after="0"/>
              <w:rPr>
                <w:sz w:val="21"/>
                <w:szCs w:val="21"/>
                <w:color w:val="auto"/>
              </w:rPr>
            </w:pPr>
          </w:p>
        </w:tc>
        <w:tc>
          <w:tcPr>
            <w:tcW w:w="3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7,335</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13"/>
        </w:trPr>
        <w:tc>
          <w:tcPr>
            <w:tcW w:w="28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2800" w:type="dxa"/>
            <w:vAlign w:val="bottom"/>
            <w:tcBorders>
              <w:top w:val="single" w:sz="8" w:color="CFF0FC"/>
            </w:tcBorders>
          </w:tcPr>
          <w:p>
            <w:pPr>
              <w:spacing w:after="0"/>
              <w:rPr>
                <w:sz w:val="24"/>
                <w:szCs w:val="24"/>
                <w:color w:val="auto"/>
              </w:rPr>
            </w:pPr>
          </w:p>
        </w:tc>
        <w:tc>
          <w:tcPr>
            <w:tcW w:w="3580" w:type="dxa"/>
            <w:vAlign w:val="bottom"/>
            <w:tcBorders>
              <w:top w:val="single" w:sz="8" w:color="CFF0FC"/>
            </w:tcBorders>
          </w:tcPr>
          <w:p>
            <w:pPr>
              <w:jc w:val="right"/>
              <w:ind w:right="1859"/>
              <w:spacing w:after="0"/>
              <w:rPr>
                <w:sz w:val="20"/>
                <w:szCs w:val="20"/>
                <w:color w:val="auto"/>
              </w:rPr>
            </w:pPr>
            <w:r>
              <w:rPr>
                <w:rFonts w:ascii="Arial" w:cs="Arial" w:eastAsia="Arial" w:hAnsi="Arial"/>
                <w:sz w:val="16"/>
                <w:szCs w:val="16"/>
                <w:color w:val="auto"/>
              </w:rPr>
              <w:t>10</w:t>
            </w: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25"/>
        </w:trPr>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-2725420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-899160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-882015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46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Depreciation expense relating to fixed assets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r>
      <w:tr>
        <w:trPr>
          <w:trHeight w:val="209"/>
        </w:trPr>
        <w:tc>
          <w:tcPr>
            <w:tcW w:w="30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Second Quarter</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19"/>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384</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FF0FC"/>
          </w:tcPr>
          <w:p>
            <w:pPr>
              <w:spacing w:after="0"/>
              <w:rPr>
                <w:sz w:val="18"/>
                <w:szCs w:val="18"/>
                <w:color w:val="auto"/>
              </w:rPr>
            </w:pPr>
          </w:p>
        </w:tc>
      </w:tr>
      <w:tr>
        <w:trPr>
          <w:trHeight w:val="223"/>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Six Months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761</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9"/>
                <w:szCs w:val="19"/>
                <w:color w:val="auto"/>
              </w:rPr>
            </w:pPr>
          </w:p>
        </w:tc>
      </w:tr>
      <w:tr>
        <w:trPr>
          <w:trHeight w:val="587"/>
        </w:trPr>
        <w:tc>
          <w:tcPr>
            <w:tcW w:w="3040" w:type="dxa"/>
            <w:vAlign w:val="bottom"/>
            <w:gridSpan w:val="3"/>
          </w:tcPr>
          <w:p>
            <w:pPr>
              <w:spacing w:after="0"/>
              <w:rPr>
                <w:sz w:val="20"/>
                <w:szCs w:val="20"/>
                <w:color w:val="auto"/>
              </w:rPr>
            </w:pPr>
            <w:r>
              <w:rPr>
                <w:rFonts w:ascii="Arial" w:cs="Arial" w:eastAsia="Arial" w:hAnsi="Arial"/>
                <w:sz w:val="16"/>
                <w:szCs w:val="16"/>
                <w:b w:val="1"/>
                <w:bCs w:val="1"/>
                <w:color w:val="auto"/>
              </w:rPr>
              <w:t>6.  Intangible Assets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5"/>
        </w:trPr>
        <w:tc>
          <w:tcPr>
            <w:tcW w:w="3040" w:type="dxa"/>
            <w:vAlign w:val="bottom"/>
            <w:gridSpan w:val="3"/>
          </w:tcPr>
          <w:p>
            <w:pPr>
              <w:spacing w:after="0"/>
              <w:rPr>
                <w:sz w:val="20"/>
                <w:szCs w:val="20"/>
                <w:color w:val="auto"/>
              </w:rPr>
            </w:pPr>
            <w:r>
              <w:rPr>
                <w:rFonts w:ascii="Arial" w:cs="Arial" w:eastAsia="Arial" w:hAnsi="Arial"/>
                <w:sz w:val="16"/>
                <w:szCs w:val="16"/>
                <w:color w:val="auto"/>
              </w:rPr>
              <w:t>Intangible assets consist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 30, 2024</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Dec. 31, 2023</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Gross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Net Book</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6"/>
                <w:szCs w:val="16"/>
                <w:color w:val="auto"/>
              </w:rPr>
              <w:t>Gross</w:t>
            </w:r>
          </w:p>
        </w:tc>
        <w:tc>
          <w:tcPr>
            <w:tcW w:w="1120" w:type="dxa"/>
            <w:vAlign w:val="bottom"/>
            <w:gridSpan w:val="3"/>
          </w:tcPr>
          <w:p>
            <w:pPr>
              <w:jc w:val="center"/>
              <w:spacing w:after="0"/>
              <w:rPr>
                <w:sz w:val="20"/>
                <w:szCs w:val="20"/>
                <w:color w:val="auto"/>
              </w:rPr>
            </w:pPr>
            <w:r>
              <w:rPr>
                <w:rFonts w:ascii="Arial" w:cs="Arial" w:eastAsia="Arial" w:hAnsi="Arial"/>
                <w:sz w:val="16"/>
                <w:szCs w:val="16"/>
                <w:color w:val="auto"/>
              </w:rPr>
              <w:t>Accumulated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Net Book</w:t>
            </w:r>
          </w:p>
        </w:tc>
        <w:tc>
          <w:tcPr>
            <w:tcW w:w="100" w:type="dxa"/>
            <w:vAlign w:val="bottom"/>
          </w:tcPr>
          <w:p>
            <w:pPr>
              <w:spacing w:after="0"/>
              <w:rPr>
                <w:sz w:val="18"/>
                <w:szCs w:val="18"/>
                <w:color w:val="auto"/>
              </w:rPr>
            </w:pPr>
          </w:p>
        </w:tc>
      </w:tr>
      <w:tr>
        <w:trPr>
          <w:trHeight w:val="217"/>
        </w:trPr>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8"/>
              </w:rPr>
              <w:t>Book Value</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Value</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Book Value</w:t>
            </w:r>
          </w:p>
        </w:tc>
        <w:tc>
          <w:tcPr>
            <w:tcW w:w="220" w:type="dxa"/>
            <w:vAlign w:val="bottom"/>
          </w:tcPr>
          <w:p>
            <w:pPr>
              <w:spacing w:after="0"/>
              <w:rPr>
                <w:sz w:val="18"/>
                <w:szCs w:val="18"/>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Amortization</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Value</w:t>
            </w:r>
          </w:p>
        </w:tc>
        <w:tc>
          <w:tcPr>
            <w:tcW w:w="100" w:type="dxa"/>
            <w:vAlign w:val="bottom"/>
          </w:tcPr>
          <w:p>
            <w:pPr>
              <w:spacing w:after="0"/>
              <w:rPr>
                <w:sz w:val="18"/>
                <w:szCs w:val="18"/>
                <w:color w:val="auto"/>
              </w:rPr>
            </w:pPr>
          </w:p>
        </w:tc>
      </w:tr>
      <w:tr>
        <w:trPr>
          <w:trHeight w:val="210"/>
        </w:trPr>
        <w:tc>
          <w:tcPr>
            <w:tcW w:w="30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Customer relationships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1,887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754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1,133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1,887</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709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Technology/technical know-how</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821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1,516</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770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8"/>
                <w:szCs w:val="18"/>
                <w:color w:val="auto"/>
              </w:rPr>
            </w:pPr>
          </w:p>
        </w:tc>
      </w:tr>
      <w:tr>
        <w:trPr>
          <w:trHeight w:val="216"/>
        </w:trPr>
        <w:tc>
          <w:tcPr>
            <w:tcW w:w="30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Tradenames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513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795</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847</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1,582</w:t>
            </w:r>
          </w:p>
        </w:tc>
        <w:tc>
          <w:tcPr>
            <w:tcW w:w="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797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18"/>
                <w:szCs w:val="18"/>
                <w:color w:val="auto"/>
              </w:rPr>
            </w:pPr>
          </w:p>
        </w:tc>
      </w:tr>
      <w:tr>
        <w:trPr>
          <w:trHeight w:val="250"/>
        </w:trPr>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5,902</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2,704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3,198</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5,780</w:t>
            </w:r>
          </w:p>
        </w:tc>
        <w:tc>
          <w:tcPr>
            <w:tcW w:w="2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2,541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7"/>
        </w:trPr>
        <w:tc>
          <w:tcPr>
            <w:tcW w:w="4180" w:type="dxa"/>
            <w:vAlign w:val="bottom"/>
            <w:gridSpan w:val="5"/>
          </w:tcPr>
          <w:p>
            <w:pPr>
              <w:spacing w:after="0"/>
              <w:rPr>
                <w:sz w:val="20"/>
                <w:szCs w:val="20"/>
                <w:color w:val="auto"/>
              </w:rPr>
            </w:pPr>
            <w:r>
              <w:rPr>
                <w:rFonts w:ascii="Arial" w:cs="Arial" w:eastAsia="Arial" w:hAnsi="Arial"/>
                <w:sz w:val="16"/>
                <w:szCs w:val="16"/>
                <w:color w:val="auto"/>
              </w:rPr>
              <w:t>Amortization expense charged to income was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4"/>
                <w:szCs w:val="24"/>
                <w:color w:val="auto"/>
              </w:rPr>
            </w:pPr>
          </w:p>
        </w:tc>
      </w:tr>
      <w:tr>
        <w:trPr>
          <w:trHeight w:val="209"/>
        </w:trPr>
        <w:tc>
          <w:tcPr>
            <w:tcW w:w="30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Second Quarter</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19"/>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82</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FF0FC"/>
          </w:tcPr>
          <w:p>
            <w:pPr>
              <w:spacing w:after="0"/>
              <w:rPr>
                <w:sz w:val="18"/>
                <w:szCs w:val="18"/>
                <w:color w:val="auto"/>
              </w:rPr>
            </w:pPr>
          </w:p>
        </w:tc>
      </w:tr>
      <w:tr>
        <w:trPr>
          <w:trHeight w:val="223"/>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Six Months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-1092200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-1075055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-1092200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-1075055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-1092200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-1075055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-1092200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-1075055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-1092200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-1075055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-1092200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-1075055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Based on the carrying value of intangible assets at June 30, 2024, amortization expense for the subsequent five years is estimated to be: remaining two quarters of 2024—$167 million; 2025—$314 million; 2026—$305 million; 2027—$301 million; 2028—$292 million; and 2029—$279 million.</w:t>
      </w:r>
    </w:p>
    <w:p>
      <w:pPr>
        <w:spacing w:after="0" w:line="156"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Long-term Debt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consists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Jun. 30,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240"/>
              <w:spacing w:after="0"/>
              <w:rPr>
                <w:sz w:val="20"/>
                <w:szCs w:val="20"/>
                <w:color w:val="auto"/>
              </w:rPr>
            </w:pPr>
            <w:r>
              <w:rPr>
                <w:rFonts w:ascii="Arial" w:cs="Arial" w:eastAsia="Arial" w:hAnsi="Arial"/>
                <w:sz w:val="16"/>
                <w:szCs w:val="16"/>
                <w:color w:val="auto"/>
              </w:rPr>
              <w:t>Dec. 31,</w:t>
            </w:r>
          </w:p>
        </w:tc>
      </w:tr>
      <w:tr>
        <w:trPr>
          <w:trHeight w:val="217"/>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10"/>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3.90%</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2028</w:t>
            </w:r>
          </w:p>
        </w:tc>
        <w:tc>
          <w:tcPr>
            <w:tcW w:w="38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1,473</w:t>
            </w:r>
          </w:p>
        </w:tc>
        <w:tc>
          <w:tcPr>
            <w:tcW w:w="5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2.65%</w:t>
            </w:r>
          </w:p>
        </w:tc>
        <w:tc>
          <w:tcPr>
            <w:tcW w:w="3600" w:type="dxa"/>
            <w:vAlign w:val="bottom"/>
          </w:tcPr>
          <w:p>
            <w:pPr>
              <w:ind w:left="20"/>
              <w:spacing w:after="0"/>
              <w:rPr>
                <w:sz w:val="20"/>
                <w:szCs w:val="20"/>
                <w:color w:val="auto"/>
              </w:rPr>
            </w:pPr>
            <w:r>
              <w:rPr>
                <w:rFonts w:ascii="Arial" w:cs="Arial" w:eastAsia="Arial" w:hAnsi="Arial"/>
                <w:sz w:val="16"/>
                <w:szCs w:val="16"/>
                <w:color w:val="auto"/>
              </w:rPr>
              <w:t>Senior Notes due 2030</w:t>
            </w: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1.375% Guaranteed Notes due 2026</w:t>
            </w:r>
          </w:p>
        </w:tc>
        <w:tc>
          <w:tcPr>
            <w:tcW w:w="3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1,067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2.00%</w:t>
            </w:r>
          </w:p>
        </w:tc>
        <w:tc>
          <w:tcPr>
            <w:tcW w:w="3600" w:type="dxa"/>
            <w:vAlign w:val="bottom"/>
          </w:tcPr>
          <w:p>
            <w:pPr>
              <w:ind w:left="20"/>
              <w:spacing w:after="0"/>
              <w:rPr>
                <w:sz w:val="20"/>
                <w:szCs w:val="20"/>
                <w:color w:val="auto"/>
              </w:rPr>
            </w:pPr>
            <w:r>
              <w:rPr>
                <w:rFonts w:ascii="Arial" w:cs="Arial" w:eastAsia="Arial" w:hAnsi="Arial"/>
                <w:sz w:val="16"/>
                <w:szCs w:val="16"/>
                <w:color w:val="auto"/>
              </w:rPr>
              <w:t>Guaranteed Notes due 2032</w:t>
            </w: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0.25%</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2027</w:t>
            </w:r>
          </w:p>
        </w:tc>
        <w:tc>
          <w:tcPr>
            <w:tcW w:w="3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960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0.50%</w:t>
            </w:r>
          </w:p>
        </w:tc>
        <w:tc>
          <w:tcPr>
            <w:tcW w:w="3600" w:type="dxa"/>
            <w:vAlign w:val="bottom"/>
          </w:tcPr>
          <w:p>
            <w:pPr>
              <w:ind w:left="20"/>
              <w:spacing w:after="0"/>
              <w:rPr>
                <w:sz w:val="20"/>
                <w:szCs w:val="20"/>
                <w:color w:val="auto"/>
              </w:rPr>
            </w:pPr>
            <w:r>
              <w:rPr>
                <w:rFonts w:ascii="Arial" w:cs="Arial" w:eastAsia="Arial" w:hAnsi="Arial"/>
                <w:sz w:val="16"/>
                <w:szCs w:val="16"/>
                <w:color w:val="auto"/>
              </w:rPr>
              <w:t>Notes due 2031</w:t>
            </w: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4.30%</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2029</w:t>
            </w:r>
          </w:p>
        </w:tc>
        <w:tc>
          <w:tcPr>
            <w:tcW w:w="3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1.00%</w:t>
            </w:r>
          </w:p>
        </w:tc>
        <w:tc>
          <w:tcPr>
            <w:tcW w:w="3600" w:type="dxa"/>
            <w:vAlign w:val="bottom"/>
          </w:tcPr>
          <w:p>
            <w:pPr>
              <w:ind w:left="20"/>
              <w:spacing w:after="0"/>
              <w:rPr>
                <w:sz w:val="20"/>
                <w:szCs w:val="20"/>
                <w:color w:val="auto"/>
              </w:rPr>
            </w:pPr>
            <w:r>
              <w:rPr>
                <w:rFonts w:ascii="Arial" w:cs="Arial" w:eastAsia="Arial" w:hAnsi="Arial"/>
                <w:sz w:val="16"/>
                <w:szCs w:val="16"/>
                <w:color w:val="auto"/>
              </w:rPr>
              <w:t>Guaranteed Notes due 2026</w:t>
            </w: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4.00%</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2025</w:t>
            </w:r>
          </w:p>
        </w:tc>
        <w:tc>
          <w:tcPr>
            <w:tcW w:w="3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1.40%</w:t>
            </w:r>
          </w:p>
        </w:tc>
        <w:tc>
          <w:tcPr>
            <w:tcW w:w="3600" w:type="dxa"/>
            <w:vAlign w:val="bottom"/>
          </w:tcPr>
          <w:p>
            <w:pPr>
              <w:ind w:left="20"/>
              <w:spacing w:after="0"/>
              <w:rPr>
                <w:sz w:val="20"/>
                <w:szCs w:val="20"/>
                <w:color w:val="auto"/>
              </w:rPr>
            </w:pPr>
            <w:r>
              <w:rPr>
                <w:rFonts w:ascii="Arial" w:cs="Arial" w:eastAsia="Arial" w:hAnsi="Arial"/>
                <w:sz w:val="16"/>
                <w:szCs w:val="16"/>
                <w:color w:val="auto"/>
              </w:rPr>
              <w:t>Senior Notes due 2025</w:t>
            </w: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4.50%</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2028</w:t>
            </w:r>
          </w:p>
        </w:tc>
        <w:tc>
          <w:tcPr>
            <w:tcW w:w="3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4.85%</w:t>
            </w:r>
          </w:p>
        </w:tc>
        <w:tc>
          <w:tcPr>
            <w:tcW w:w="3600" w:type="dxa"/>
            <w:vAlign w:val="bottom"/>
          </w:tcPr>
          <w:p>
            <w:pPr>
              <w:ind w:left="20"/>
              <w:spacing w:after="0"/>
              <w:rPr>
                <w:sz w:val="20"/>
                <w:szCs w:val="20"/>
                <w:color w:val="auto"/>
              </w:rPr>
            </w:pPr>
            <w:r>
              <w:rPr>
                <w:rFonts w:ascii="Arial" w:cs="Arial" w:eastAsia="Arial" w:hAnsi="Arial"/>
                <w:sz w:val="16"/>
                <w:szCs w:val="16"/>
                <w:color w:val="auto"/>
              </w:rPr>
              <w:t>Senior Notes due 2033</w:t>
            </w: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5.00%</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2027</w:t>
            </w:r>
          </w:p>
        </w:tc>
        <w:tc>
          <w:tcPr>
            <w:tcW w:w="3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5.00%</w:t>
            </w:r>
          </w:p>
        </w:tc>
        <w:tc>
          <w:tcPr>
            <w:tcW w:w="3600" w:type="dxa"/>
            <w:vAlign w:val="bottom"/>
          </w:tcPr>
          <w:p>
            <w:pPr>
              <w:ind w:left="20"/>
              <w:spacing w:after="0"/>
              <w:rPr>
                <w:sz w:val="20"/>
                <w:szCs w:val="20"/>
                <w:color w:val="auto"/>
              </w:rPr>
            </w:pPr>
            <w:r>
              <w:rPr>
                <w:rFonts w:ascii="Arial" w:cs="Arial" w:eastAsia="Arial" w:hAnsi="Arial"/>
                <w:sz w:val="16"/>
                <w:szCs w:val="16"/>
                <w:color w:val="auto"/>
              </w:rPr>
              <w:t>Senior Notes due 2029</w:t>
            </w: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5.00%</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Notes due 2034</w:t>
            </w:r>
          </w:p>
        </w:tc>
        <w:tc>
          <w:tcPr>
            <w:tcW w:w="3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489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6"/>
                <w:szCs w:val="16"/>
                <w:color w:val="auto"/>
              </w:rPr>
              <w:t>7.00%</w:t>
            </w:r>
          </w:p>
        </w:tc>
        <w:tc>
          <w:tcPr>
            <w:tcW w:w="3600" w:type="dxa"/>
            <w:vAlign w:val="bottom"/>
          </w:tcPr>
          <w:p>
            <w:pPr>
              <w:ind w:left="20"/>
              <w:spacing w:after="0"/>
              <w:rPr>
                <w:sz w:val="20"/>
                <w:szCs w:val="20"/>
                <w:color w:val="auto"/>
              </w:rPr>
            </w:pPr>
            <w:r>
              <w:rPr>
                <w:rFonts w:ascii="Arial" w:cs="Arial" w:eastAsia="Arial" w:hAnsi="Arial"/>
                <w:sz w:val="16"/>
                <w:szCs w:val="16"/>
                <w:color w:val="auto"/>
              </w:rPr>
              <w:t>Notes due 2038</w:t>
            </w: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r>
      <w:tr>
        <w:trPr>
          <w:trHeight w:val="216"/>
        </w:trPr>
        <w:tc>
          <w:tcPr>
            <w:tcW w:w="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5.95%</w:t>
            </w:r>
          </w:p>
        </w:tc>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due 2041</w:t>
            </w:r>
          </w:p>
        </w:tc>
        <w:tc>
          <w:tcPr>
            <w:tcW w:w="3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FF0FC"/>
          </w:tcPr>
          <w:p>
            <w:pPr>
              <w:spacing w:after="0"/>
              <w:rPr>
                <w:sz w:val="18"/>
                <w:szCs w:val="18"/>
                <w:color w:val="auto"/>
              </w:rPr>
            </w:pPr>
          </w:p>
        </w:tc>
      </w:tr>
      <w:tr>
        <w:trPr>
          <w:trHeight w:val="216"/>
        </w:trPr>
        <w:tc>
          <w:tcPr>
            <w:tcW w:w="50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5.13%</w:t>
            </w:r>
          </w:p>
        </w:tc>
        <w:tc>
          <w:tcPr>
            <w:tcW w:w="360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Notes due 2043</w:t>
            </w:r>
          </w:p>
        </w:tc>
        <w:tc>
          <w:tcPr>
            <w:tcW w:w="35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3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FF0FC"/>
            </w:tcBorders>
          </w:tcPr>
          <w:p>
            <w:pPr>
              <w:spacing w:after="0"/>
              <w:rPr>
                <w:sz w:val="18"/>
                <w:szCs w:val="18"/>
                <w:color w:val="auto"/>
              </w:rPr>
            </w:pPr>
          </w:p>
        </w:tc>
      </w:tr>
      <w:tr>
        <w:trPr>
          <w:trHeight w:val="250"/>
        </w:trPr>
        <w:tc>
          <w:tcPr>
            <w:tcW w:w="500" w:type="dxa"/>
            <w:vAlign w:val="bottom"/>
            <w:tcBorders>
              <w:bottom w:val="single" w:sz="8" w:color="CFF0FC"/>
            </w:tcBorders>
            <w:shd w:val="clear" w:color="auto" w:fill="CFF0FC"/>
          </w:tcPr>
          <w:p>
            <w:pPr>
              <w:spacing w:after="0"/>
              <w:rPr>
                <w:sz w:val="21"/>
                <w:szCs w:val="21"/>
                <w:color w:val="auto"/>
              </w:rPr>
            </w:pPr>
          </w:p>
        </w:tc>
        <w:tc>
          <w:tcPr>
            <w:tcW w:w="3600" w:type="dxa"/>
            <w:vAlign w:val="bottom"/>
            <w:tcBorders>
              <w:bottom w:val="single" w:sz="8" w:color="CFF0FC"/>
            </w:tcBorders>
            <w:shd w:val="clear" w:color="auto" w:fill="CFF0FC"/>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12,156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3"/>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560" w:type="dxa"/>
            <w:vAlign w:val="bottom"/>
          </w:tcPr>
          <w:p>
            <w:pPr>
              <w:jc w:val="right"/>
              <w:ind w:right="1879"/>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1"/>
        </w:trPr>
        <w:tc>
          <w:tcPr>
            <w:tcW w:w="5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-916305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-899795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-1062355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825" w:gutter="0" w:footer="0" w:header="0"/>
        </w:sectPr>
      </w:pPr>
    </w:p>
    <w:bookmarkStart w:id="11" w:name="page12"/>
    <w:bookmarkEnd w:id="11"/>
    <w:p>
      <w:pPr>
        <w:jc w:val="both"/>
        <w:ind w:right="20"/>
        <w:spacing w:after="0" w:line="286" w:lineRule="auto"/>
        <w:rPr>
          <w:sz w:val="20"/>
          <w:szCs w:val="20"/>
          <w:color w:val="auto"/>
        </w:rPr>
      </w:pPr>
      <w:r>
        <w:rPr>
          <w:rFonts w:ascii="Arial" w:cs="Arial" w:eastAsia="Arial" w:hAnsi="Arial"/>
          <w:sz w:val="16"/>
          <w:szCs w:val="16"/>
          <w:color w:val="auto"/>
        </w:rPr>
        <w:t xml:space="preserve">The estimated fair value of SLB’s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based on quoted market prices at June 30, 2024 and December 31, 2023, was $11.3 billion and $10.2 billion, respectively.</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At June 30, 2024, SLB had committed credit facility agreements aggregating $5.0 billion with commercial banks, of which $4.6 billion was available and unused. These committed facilities, of which $2.0 billion matures in February 2027 and $3.0 billion matures in December 2028, support commercial paper programs in the United States and Europe. Borrowings under the commercial paper programs at June 30, 2024 were $374 million, all of which were classified in </w:t>
      </w:r>
      <w:r>
        <w:rPr>
          <w:rFonts w:ascii="Arial" w:cs="Arial" w:eastAsia="Arial" w:hAnsi="Arial"/>
          <w:sz w:val="16"/>
          <w:szCs w:val="16"/>
          <w:i w:val="1"/>
          <w:iCs w:val="1"/>
          <w:color w:val="auto"/>
        </w:rPr>
        <w:t>Short-term borrowings and current portion of long-term debt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There were no borrowings under the commercial paper programs at December 31, 2023.</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Schlumberger Limited fully and unconditionally guarantees the securities issued by certain of its subsidiaries, including securities issued by Schlumberger Investment S.A. and Schlumberger Finance Canada Ltd., both indirect wholly-owned subsidiaries of Schlumberger Limited.</w:t>
      </w:r>
    </w:p>
    <w:p>
      <w:pPr>
        <w:spacing w:after="0" w:line="156"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 and Hedging Activities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functional currency is primarily the US dollar.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Changes in foreign currency exchange rates expose SLB to risks on future cash flows relating to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are reclassified into earnings in the same period or periods that the hedged item is recognized in earnings.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SLB’s outstanding cross-currency interest rate swaps as of June 30, 2024, were as follows:</w:t>
      </w:r>
    </w:p>
    <w:p>
      <w:pPr>
        <w:spacing w:after="0" w:line="113" w:lineRule="exact"/>
        <w:rPr>
          <w:sz w:val="20"/>
          <w:szCs w:val="20"/>
          <w:color w:val="auto"/>
        </w:rPr>
      </w:pPr>
    </w:p>
    <w:p>
      <w:pPr>
        <w:jc w:val="both"/>
        <w:ind w:left="1020" w:hanging="503"/>
        <w:spacing w:after="0" w:line="251"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During 2019, a US-dollar functional currency subsidiary of SLB issued €1.5 billion of Euro-denominated debt. SLB entered into cross-currency interest rate swaps in order to hedge changes in the US dollar value of its €0.5 billion 0.00% Notes due 2024, €0.5 billion 0.25% Notes due 2027 and €0.5 billion 0.50% Notes due 2031. These cross-currency interest rate swaps effectively convert the Euro-denominated notes to US-dollar denominated debt with fixed annual interest rates of 2.29%, 2.51% and 2.76%, respectively.</w:t>
      </w:r>
    </w:p>
    <w:p>
      <w:pPr>
        <w:spacing w:after="0" w:line="1" w:lineRule="exact"/>
        <w:rPr>
          <w:rFonts w:ascii="Times New Roman" w:cs="Times New Roman" w:eastAsia="Times New Roman" w:hAnsi="Times New Roman"/>
          <w:sz w:val="16"/>
          <w:szCs w:val="16"/>
          <w:color w:val="auto"/>
        </w:rPr>
      </w:pPr>
    </w:p>
    <w:p>
      <w:pPr>
        <w:jc w:val="both"/>
        <w:ind w:left="1020" w:hanging="503"/>
        <w:spacing w:after="0" w:line="246"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€0.8 billion of Euro-denominated debt. SLB entered into cross-currency interest rate swaps to hedge changes in the US dollar value of its €0.4 billion of 0.25% Notes due 2027 and €0.4 billion of 0.50% Notes due 2031. These cross-currency interest rate swaps effectively convert the Euro-denominated notes to US-dollar denominated debt with fixed annual interest rates of 1.87% and 2.20%, respectively.</w:t>
      </w:r>
    </w:p>
    <w:p>
      <w:pPr>
        <w:jc w:val="both"/>
        <w:ind w:left="1020" w:hanging="503"/>
        <w:spacing w:after="0" w:line="246"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€2.0 billion of Euro-denominated debt. SLB entered into cross-currency interest rate swaps to hedge changes in the US dollar value of its €1.0 billion of 1.375% Guaranteed Notes due 2026 and €1.0 billion of 2.00% Guaranteed Notes due 2032. These cross-currency interest rate swaps effectively convert the Euro-denominated notes to US-dollar denominated debt with fixed annual interest rates of 2.77% and 3.49%, respectively.</w:t>
      </w:r>
    </w:p>
    <w:p>
      <w:pPr>
        <w:jc w:val="both"/>
        <w:ind w:left="1020" w:hanging="503"/>
        <w:spacing w:after="0" w:line="254"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Canadian dollar functional currency subsidiary of SLB issued $0.5 billion of US dollar denominated debt. SLB entered into cross-currency interest rate swaps to hedge changes in the US dollar value of its $0.5 billion 1.40% Senior Notes due 2025. These cross-currency interest rate swaps effectively convert the US dollar notes to Canadian dollar denominated debt with a fixed annual interest rate of 1.73%.</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summary of the amounts included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relating to cross currency interest rate swaps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27"/>
        </w:trPr>
        <w:tc>
          <w:tcPr>
            <w:tcW w:w="7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 30, 2024</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Dec. 31, 2023</w:t>
            </w:r>
          </w:p>
        </w:tc>
        <w:tc>
          <w:tcPr>
            <w:tcW w:w="100" w:type="dxa"/>
            <w:vAlign w:val="bottom"/>
          </w:tcPr>
          <w:p>
            <w:pPr>
              <w:spacing w:after="0"/>
              <w:rPr>
                <w:sz w:val="24"/>
                <w:szCs w:val="24"/>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Accounts payable and accrued liabilities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i w:val="1"/>
                <w:iCs w:val="1"/>
                <w:color w:val="auto"/>
              </w:rPr>
              <w:t>Other Assets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Other Liabilities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158</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8"/>
                <w:szCs w:val="18"/>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were determined using a model with inputs that are observable in the market or can be derived or corroborated by observable data.</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SLB has entered into derivative contracts that hedge the price of oil related to approximately 75% of the projected oil production for the third and fourth quarters of 2024, approximately 50% for the first quarter of 2025, and approximately 25% for the second quarter of 2025 for one of its Asset Performance Solutions ("APS") projects. These contracts are accounted for as cash flow hedges, with changes in the fair value of the hedge recorded in </w:t>
      </w:r>
      <w:r>
        <w:rPr>
          <w:rFonts w:ascii="Arial" w:cs="Arial" w:eastAsia="Arial" w:hAnsi="Arial"/>
          <w:sz w:val="16"/>
          <w:szCs w:val="16"/>
          <w:i w:val="1"/>
          <w:iCs w:val="1"/>
          <w:color w:val="auto"/>
        </w:rPr>
        <w:t>Accumulated</w:t>
      </w:r>
      <w:r>
        <w:rPr>
          <w:rFonts w:ascii="Arial" w:cs="Arial" w:eastAsia="Arial" w:hAnsi="Arial"/>
          <w:sz w:val="16"/>
          <w:szCs w:val="16"/>
          <w:color w:val="auto"/>
        </w:rPr>
        <w:t xml:space="preserve"> </w:t>
      </w:r>
      <w:r>
        <w:rPr>
          <w:rFonts w:ascii="Arial" w:cs="Arial" w:eastAsia="Arial" w:hAnsi="Arial"/>
          <w:sz w:val="16"/>
          <w:szCs w:val="16"/>
          <w:i w:val="1"/>
          <w:iCs w:val="1"/>
          <w:color w:val="auto"/>
        </w:rPr>
        <w:t>other comprehensive loss</w:t>
      </w:r>
      <w:r>
        <w:rPr>
          <w:rFonts w:ascii="Arial" w:cs="Arial" w:eastAsia="Arial" w:hAnsi="Arial"/>
          <w:sz w:val="16"/>
          <w:szCs w:val="16"/>
          <w:color w:val="auto"/>
        </w:rPr>
        <w:t>. Amounts recorded in</w:t>
      </w:r>
      <w:r>
        <w:rPr>
          <w:rFonts w:ascii="Arial" w:cs="Arial" w:eastAsia="Arial" w:hAnsi="Arial"/>
          <w:sz w:val="16"/>
          <w:szCs w:val="16"/>
          <w:i w:val="1"/>
          <w:iCs w:val="1"/>
          <w:color w:val="auto"/>
        </w:rPr>
        <w:t xml:space="preserve"> Accumulated other comprehensive loss </w:t>
      </w:r>
      <w:r>
        <w:rPr>
          <w:rFonts w:ascii="Arial" w:cs="Arial" w:eastAsia="Arial" w:hAnsi="Arial"/>
          <w:sz w:val="16"/>
          <w:szCs w:val="16"/>
          <w:color w:val="auto"/>
        </w:rPr>
        <w:t>are reclassified to earnings in the same period or periods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hedged item is recognized in earnings.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2" w:name="page13"/>
    <w:bookmarkEnd w:id="12"/>
    <w:p>
      <w:pPr>
        <w:jc w:val="both"/>
        <w:spacing w:after="0" w:line="266" w:lineRule="auto"/>
        <w:rPr>
          <w:sz w:val="20"/>
          <w:szCs w:val="20"/>
          <w:color w:val="auto"/>
        </w:rPr>
      </w:pPr>
      <w:r>
        <w:rPr>
          <w:rFonts w:ascii="Arial" w:cs="Arial" w:eastAsia="Arial" w:hAnsi="Arial"/>
          <w:sz w:val="16"/>
          <w:szCs w:val="16"/>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the fair value of the hedged item.</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Foreign currency forward contracts were outstanding for the US dollar equivalent of $6.3 billion and $5.4 billion in various foreign currencies as of June 30, 2024 and December 31, 2023, respectively.</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than the previously mentioned cross-currency interest rate swaps, the fair value of the other outstanding derivatives was not material as of June 30, 2024 and December 31, 2023.</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effect of derivative instruments designated as cash flow hedges, and those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right"/>
              <w:ind w:right="220"/>
              <w:spacing w:after="0"/>
              <w:rPr>
                <w:sz w:val="20"/>
                <w:szCs w:val="20"/>
                <w:color w:val="auto"/>
              </w:rPr>
            </w:pPr>
            <w:r>
              <w:rPr>
                <w:rFonts w:ascii="Arial" w:cs="Arial" w:eastAsia="Arial" w:hAnsi="Arial"/>
                <w:sz w:val="14"/>
                <w:szCs w:val="14"/>
                <w:i w:val="1"/>
                <w:iCs w:val="1"/>
                <w:color w:val="auto"/>
              </w:rPr>
              <w:t>(Stated in millions)</w:t>
            </w:r>
          </w:p>
        </w:tc>
        <w:tc>
          <w:tcPr>
            <w:tcW w:w="2800" w:type="dxa"/>
            <w:vAlign w:val="bottom"/>
          </w:tcPr>
          <w:p>
            <w:pPr>
              <w:spacing w:after="0"/>
              <w:rPr>
                <w:sz w:val="16"/>
                <w:szCs w:val="16"/>
                <w:color w:val="auto"/>
              </w:rPr>
            </w:pPr>
          </w:p>
        </w:tc>
      </w:tr>
      <w:tr>
        <w:trPr>
          <w:trHeight w:val="440"/>
        </w:trPr>
        <w:tc>
          <w:tcPr>
            <w:tcW w:w="4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Gain (Loss) Recognized in Income</w:t>
            </w: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0"/>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Second Quarter</w:t>
            </w:r>
          </w:p>
        </w:tc>
        <w:tc>
          <w:tcPr>
            <w:tcW w:w="180" w:type="dxa"/>
            <w:vAlign w:val="bottom"/>
          </w:tcPr>
          <w:p>
            <w:pPr>
              <w:spacing w:after="0"/>
              <w:rPr>
                <w:sz w:val="18"/>
                <w:szCs w:val="18"/>
                <w:color w:val="auto"/>
              </w:rPr>
            </w:pPr>
          </w:p>
        </w:tc>
        <w:tc>
          <w:tcPr>
            <w:tcW w:w="16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Six Months</w:t>
            </w: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82"/>
        </w:trPr>
        <w:tc>
          <w:tcPr>
            <w:tcW w:w="4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tcPr>
          <w:p>
            <w:pPr>
              <w:ind w:left="20"/>
              <w:spacing w:after="0" w:line="182" w:lineRule="exact"/>
              <w:rPr>
                <w:sz w:val="20"/>
                <w:szCs w:val="20"/>
                <w:color w:val="auto"/>
              </w:rPr>
            </w:pPr>
            <w:r>
              <w:rPr>
                <w:rFonts w:ascii="Arial" w:cs="Arial" w:eastAsia="Arial" w:hAnsi="Arial"/>
                <w:sz w:val="16"/>
                <w:szCs w:val="16"/>
                <w:color w:val="auto"/>
              </w:rPr>
              <w:t>Consolidated Statement of Income</w:t>
            </w:r>
          </w:p>
        </w:tc>
      </w:tr>
      <w:tr>
        <w:trPr>
          <w:trHeight w:val="217"/>
        </w:trPr>
        <w:tc>
          <w:tcPr>
            <w:tcW w:w="4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8"/>
                <w:szCs w:val="18"/>
                <w:color w:val="auto"/>
              </w:rPr>
            </w:pP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Classification</w:t>
            </w:r>
          </w:p>
        </w:tc>
      </w:tr>
      <w:tr>
        <w:trPr>
          <w:trHeight w:val="209"/>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0" w:type="dxa"/>
            <w:vAlign w:val="bottom"/>
            <w:shd w:val="clear" w:color="auto" w:fill="CFF0FC"/>
          </w:tcPr>
          <w:p>
            <w:pPr>
              <w:spacing w:after="0"/>
              <w:rPr>
                <w:sz w:val="18"/>
                <w:szCs w:val="18"/>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6"/>
                <w:szCs w:val="16"/>
                <w:color w:val="auto"/>
              </w:rPr>
              <w:t>Cross-currency interest rate swaps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(52 )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(146 )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6"/>
                <w:szCs w:val="16"/>
                <w:i w:val="1"/>
                <w:iCs w:val="1"/>
                <w:color w:val="auto"/>
              </w:rPr>
              <w:t>Cost of services/sales</w:t>
            </w:r>
          </w:p>
        </w:tc>
      </w:tr>
      <w:tr>
        <w:trPr>
          <w:trHeight w:val="216"/>
        </w:trPr>
        <w:tc>
          <w:tcPr>
            <w:tcW w:w="4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Cross-currency interest rate swaps</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(22 )</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(22 )</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(44 )</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(44 )</w:t>
            </w:r>
          </w:p>
        </w:tc>
        <w:tc>
          <w:tcPr>
            <w:tcW w:w="28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Interest expense</w:t>
            </w:r>
          </w:p>
        </w:tc>
      </w:tr>
      <w:tr>
        <w:trPr>
          <w:trHeight w:val="216"/>
        </w:trPr>
        <w:tc>
          <w:tcPr>
            <w:tcW w:w="4200" w:type="dxa"/>
            <w:vAlign w:val="bottom"/>
          </w:tcPr>
          <w:p>
            <w:pPr>
              <w:ind w:left="200"/>
              <w:spacing w:after="0"/>
              <w:rPr>
                <w:sz w:val="20"/>
                <w:szCs w:val="20"/>
                <w:color w:val="auto"/>
              </w:rPr>
            </w:pPr>
            <w:r>
              <w:rPr>
                <w:rFonts w:ascii="Arial" w:cs="Arial" w:eastAsia="Arial" w:hAnsi="Arial"/>
                <w:sz w:val="16"/>
                <w:szCs w:val="16"/>
                <w:color w:val="auto"/>
              </w:rPr>
              <w:t>Commodity contracts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(10 )</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r>
      <w:tr>
        <w:trPr>
          <w:trHeight w:val="216"/>
        </w:trPr>
        <w:tc>
          <w:tcPr>
            <w:tcW w:w="4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exchange contracts</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8"/>
                <w:szCs w:val="18"/>
                <w:color w:val="auto"/>
              </w:rPr>
            </w:pPr>
          </w:p>
        </w:tc>
        <w:tc>
          <w:tcPr>
            <w:tcW w:w="28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Cost of services/sales</w:t>
            </w:r>
          </w:p>
        </w:tc>
      </w:tr>
      <w:tr>
        <w:trPr>
          <w:trHeight w:val="216"/>
        </w:trPr>
        <w:tc>
          <w:tcPr>
            <w:tcW w:w="4200" w:type="dxa"/>
            <w:vAlign w:val="bottom"/>
          </w:tcPr>
          <w:p>
            <w:pPr>
              <w:ind w:left="200"/>
              <w:spacing w:after="0"/>
              <w:rPr>
                <w:sz w:val="20"/>
                <w:szCs w:val="20"/>
                <w:color w:val="auto"/>
              </w:rPr>
            </w:pPr>
            <w:r>
              <w:rPr>
                <w:rFonts w:ascii="Arial" w:cs="Arial" w:eastAsia="Arial" w:hAnsi="Arial"/>
                <w:sz w:val="16"/>
                <w:szCs w:val="16"/>
                <w:color w:val="auto"/>
              </w:rPr>
              <w:t>Foreign exchange contracts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r>
      <w:tr>
        <w:trPr>
          <w:trHeight w:val="20"/>
        </w:trPr>
        <w:tc>
          <w:tcPr>
            <w:tcW w:w="4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50"/>
        </w:trPr>
        <w:tc>
          <w:tcPr>
            <w:tcW w:w="4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(80 )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(196 )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220" w:type="dxa"/>
            <w:vAlign w:val="bottom"/>
            <w:shd w:val="clear" w:color="auto" w:fill="CFF0FC"/>
          </w:tcPr>
          <w:p>
            <w:pPr>
              <w:spacing w:after="0"/>
              <w:rPr>
                <w:sz w:val="21"/>
                <w:szCs w:val="21"/>
                <w:color w:val="auto"/>
              </w:rPr>
            </w:pPr>
          </w:p>
        </w:tc>
        <w:tc>
          <w:tcPr>
            <w:tcW w:w="2800" w:type="dxa"/>
            <w:vAlign w:val="bottom"/>
            <w:shd w:val="clear" w:color="auto" w:fill="CFF0FC"/>
          </w:tcPr>
          <w:p>
            <w:pPr>
              <w:spacing w:after="0"/>
              <w:rPr>
                <w:sz w:val="21"/>
                <w:szCs w:val="21"/>
                <w:color w:val="auto"/>
              </w:rPr>
            </w:pPr>
          </w:p>
        </w:tc>
      </w:tr>
      <w:tr>
        <w:trPr>
          <w:trHeight w:val="196"/>
        </w:trPr>
        <w:tc>
          <w:tcPr>
            <w:tcW w:w="42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Derivatives not designated as hedges:</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0" w:type="dxa"/>
            <w:vAlign w:val="bottom"/>
            <w:tcBorders>
              <w:top w:val="single" w:sz="8" w:color="CFF0FC"/>
            </w:tcBorders>
          </w:tcPr>
          <w:p>
            <w:pPr>
              <w:spacing w:after="0"/>
              <w:rPr>
                <w:sz w:val="17"/>
                <w:szCs w:val="17"/>
                <w:color w:val="auto"/>
              </w:rPr>
            </w:pPr>
          </w:p>
        </w:tc>
      </w:tr>
      <w:tr>
        <w:trPr>
          <w:trHeight w:val="237"/>
        </w:trPr>
        <w:tc>
          <w:tcPr>
            <w:tcW w:w="4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exchange contracts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(26 )</w:t>
            </w:r>
          </w:p>
        </w:tc>
        <w:tc>
          <w:tcPr>
            <w:tcW w:w="280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Cost of services/sales</w:t>
            </w: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-325120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-307975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-325120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-307975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-325120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-307975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-325120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-307975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-24765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-8255</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 issued a credit default swap ("CDS") to a third-party financial institution that has a notional amount outstanding, as of June 30, 2024, of $463 million. The CDS related to a secured borrowing provided by the financial institution to SLB's primary customer in Mexico. The secured borrowing was utilized by this customer to pay certain of SLB's outstanding receivables. The notional amount of the CDS reduces on a monthly basis over its remaining 20-month term. The fair value of this derivative liability was not material at June 30, 2024.</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July 2024, SLB issued a CDS to a different third-party financial institution for a notional amount of $550 million relating to a borrowing provided by the financial institution to SLB's primary customer in Mexico. This borrowing was utilized by the customer to pay certain of SLB's outstanding receivables. The notional amount of this CDS reduces on a monthly basis over its 24-month term.</w:t>
      </w:r>
    </w:p>
    <w:p>
      <w:pPr>
        <w:spacing w:after="0" w:line="171"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Contingencies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p>
      <w:pPr>
        <w:ind w:left="360" w:hanging="352"/>
        <w:spacing w:after="0"/>
        <w:tabs>
          <w:tab w:leader="none" w:pos="3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Segment Information</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Second Quarter 2024</w:t>
            </w:r>
          </w:p>
        </w:tc>
        <w:tc>
          <w:tcPr>
            <w:tcW w:w="180" w:type="dxa"/>
            <w:vAlign w:val="bottom"/>
          </w:tcPr>
          <w:p>
            <w:pPr>
              <w:spacing w:after="0"/>
              <w:rPr>
                <w:sz w:val="24"/>
                <w:szCs w:val="24"/>
                <w:color w:val="auto"/>
              </w:rPr>
            </w:pPr>
          </w:p>
        </w:tc>
        <w:tc>
          <w:tcPr>
            <w:tcW w:w="2620" w:type="dxa"/>
            <w:vAlign w:val="bottom"/>
            <w:gridSpan w:val="5"/>
          </w:tcPr>
          <w:p>
            <w:pPr>
              <w:jc w:val="right"/>
              <w:ind w:right="680"/>
              <w:spacing w:after="0"/>
              <w:rPr>
                <w:sz w:val="20"/>
                <w:szCs w:val="20"/>
                <w:color w:val="auto"/>
              </w:rPr>
            </w:pPr>
            <w:r>
              <w:rPr>
                <w:rFonts w:ascii="Arial" w:cs="Arial" w:eastAsia="Arial" w:hAnsi="Arial"/>
                <w:sz w:val="16"/>
                <w:szCs w:val="16"/>
                <w:color w:val="auto"/>
              </w:rPr>
              <w:t>Second Quarter 2023</w:t>
            </w:r>
          </w:p>
        </w:tc>
      </w:tr>
      <w:tr>
        <w:trPr>
          <w:trHeight w:val="209"/>
        </w:trPr>
        <w:tc>
          <w:tcPr>
            <w:tcW w:w="5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Income</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8"/>
                <w:szCs w:val="18"/>
                <w:color w:val="auto"/>
              </w:rPr>
            </w:pPr>
          </w:p>
        </w:tc>
      </w:t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Before Taxes</w:t>
            </w:r>
          </w:p>
        </w:tc>
        <w:tc>
          <w:tcPr>
            <w:tcW w:w="1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Before Taxes</w:t>
            </w:r>
          </w:p>
        </w:tc>
      </w:tr>
      <w:tr>
        <w:trPr>
          <w:trHeight w:val="20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1,050</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325</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947</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3,411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742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(166 )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(62 )</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(166 )</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(56 )</w:t>
            </w:r>
          </w:p>
        </w:tc>
      </w:tr>
      <w:tr>
        <w:trPr>
          <w:trHeight w:val="209"/>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1,854</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Borders>
              <w:top w:val="single" w:sz="8" w:color="CFF0FC"/>
            </w:tcBorders>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(191 )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(183 )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(129 )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(124 )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(142 )</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49"/>
        </w:trPr>
        <w:tc>
          <w:tcPr>
            <w:tcW w:w="5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9,139</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1,421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8,099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-864870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2" w:lineRule="exact"/>
        <w:rPr>
          <w:sz w:val="20"/>
          <w:szCs w:val="20"/>
          <w:color w:val="auto"/>
        </w:rPr>
      </w:pPr>
    </w:p>
    <w:p>
      <w:pPr>
        <w:ind w:left="380" w:hanging="372"/>
        <w:spacing w:after="0" w:line="222" w:lineRule="auto"/>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($9 million in 2024; $- million in 2023).</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($3 million in both 2024 and 2023).</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28"/>
        </w:trPr>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Six Months 2024</w:t>
            </w:r>
          </w:p>
        </w:tc>
        <w:tc>
          <w:tcPr>
            <w:tcW w:w="180" w:type="dxa"/>
            <w:vAlign w:val="bottom"/>
          </w:tcPr>
          <w:p>
            <w:pPr>
              <w:spacing w:after="0"/>
              <w:rPr>
                <w:sz w:val="24"/>
                <w:szCs w:val="24"/>
                <w:color w:val="auto"/>
              </w:rPr>
            </w:pPr>
          </w:p>
        </w:tc>
        <w:tc>
          <w:tcPr>
            <w:tcW w:w="2620" w:type="dxa"/>
            <w:vAlign w:val="bottom"/>
            <w:gridSpan w:val="5"/>
          </w:tcPr>
          <w:p>
            <w:pPr>
              <w:jc w:val="right"/>
              <w:ind w:right="860"/>
              <w:spacing w:after="0"/>
              <w:rPr>
                <w:sz w:val="20"/>
                <w:szCs w:val="20"/>
                <w:color w:val="auto"/>
              </w:rPr>
            </w:pPr>
            <w:r>
              <w:rPr>
                <w:rFonts w:ascii="Arial" w:cs="Arial" w:eastAsia="Arial" w:hAnsi="Arial"/>
                <w:sz w:val="16"/>
                <w:szCs w:val="16"/>
                <w:color w:val="auto"/>
              </w:rPr>
              <w:t>Six Months 2023</w:t>
            </w:r>
          </w:p>
        </w:tc>
      </w:tr>
      <w:tr>
        <w:trPr>
          <w:trHeight w:val="209"/>
        </w:trPr>
        <w:tc>
          <w:tcPr>
            <w:tcW w:w="5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Income</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8"/>
                <w:szCs w:val="18"/>
                <w:color w:val="auto"/>
              </w:rPr>
            </w:pPr>
          </w:p>
        </w:tc>
      </w:t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Before Taxes</w:t>
            </w:r>
          </w:p>
        </w:tc>
        <w:tc>
          <w:tcPr>
            <w:tcW w:w="1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Before Taxes</w:t>
            </w: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2,003</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579</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1,840</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6,779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1,432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1,403</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5,843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(323 )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(97 )</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(294 )</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(49 )</w:t>
            </w:r>
          </w:p>
        </w:tc>
      </w:tr>
      <w:tr>
        <w:trPr>
          <w:trHeight w:val="210"/>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3,502</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2,972</w:t>
            </w:r>
          </w:p>
        </w:tc>
        <w:tc>
          <w:tcPr>
            <w:tcW w:w="100" w:type="dxa"/>
            <w:vAlign w:val="bottom"/>
            <w:tcBorders>
              <w:top w:val="single" w:sz="8" w:color="CFF0FC"/>
            </w:tcBorders>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(382 )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(353 )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(238 )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(237 )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(167 )</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r>
      <w:tr>
        <w:trPr>
          <w:trHeight w:val="250"/>
        </w:trPr>
        <w:tc>
          <w:tcPr>
            <w:tcW w:w="5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17,846</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2,778</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15,835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-864870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ind w:left="380" w:hanging="372"/>
        <w:spacing w:after="0" w:line="222"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($13 million in 2024; $- million in 2023).</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($7 million in both 2024 and 2023).</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area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44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Second Quarter</w:t>
            </w:r>
          </w:p>
        </w:tc>
        <w:tc>
          <w:tcPr>
            <w:tcW w:w="4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Six Months</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4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0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 America</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1,644</w:t>
            </w:r>
          </w:p>
        </w:tc>
        <w:tc>
          <w:tcPr>
            <w:tcW w:w="1060" w:type="dxa"/>
            <w:vAlign w:val="bottom"/>
            <w:gridSpan w:val="2"/>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1,746</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3,242</w:t>
            </w:r>
          </w:p>
        </w:tc>
        <w:tc>
          <w:tcPr>
            <w:tcW w:w="6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3,443</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1,742</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1,624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3,395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Europe &amp; Africa </w:t>
            </w:r>
            <w:r>
              <w:rPr>
                <w:rFonts w:ascii="Arial" w:cs="Arial" w:eastAsia="Arial" w:hAnsi="Arial"/>
                <w:sz w:val="21"/>
                <w:szCs w:val="21"/>
                <w:color w:val="auto"/>
                <w:vertAlign w:val="superscript"/>
              </w:rPr>
              <w:t>(1)</w:t>
            </w: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2,442</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2,031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4,764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4,005</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Middle East &amp; Asia</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3,268</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2,642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6,348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5,035</w:t>
            </w:r>
          </w:p>
        </w:tc>
        <w:tc>
          <w:tcPr>
            <w:tcW w:w="100" w:type="dxa"/>
            <w:vAlign w:val="bottom"/>
          </w:tcPr>
          <w:p>
            <w:pPr>
              <w:spacing w:after="0"/>
              <w:rPr>
                <w:sz w:val="18"/>
                <w:szCs w:val="18"/>
                <w:color w:val="auto"/>
              </w:rPr>
            </w:pPr>
          </w:p>
        </w:tc>
      </w:tr>
      <w:tr>
        <w:trPr>
          <w:trHeight w:val="216"/>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43</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97</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9,139</w:t>
            </w:r>
          </w:p>
        </w:tc>
        <w:tc>
          <w:tcPr>
            <w:tcW w:w="1060" w:type="dxa"/>
            <w:vAlign w:val="bottom"/>
            <w:gridSpan w:val="2"/>
          </w:tcPr>
          <w:p>
            <w:pPr>
              <w:jc w:val="right"/>
              <w:ind w:right="61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8,099</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17,846</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15,835</w:t>
            </w:r>
          </w:p>
        </w:tc>
        <w:tc>
          <w:tcPr>
            <w:tcW w:w="1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4"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Russia and the Caspian region.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114"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North America and International revenue disaggregated by segment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left="99"/>
              <w:spacing w:after="0"/>
              <w:rPr>
                <w:sz w:val="20"/>
                <w:szCs w:val="20"/>
                <w:color w:val="auto"/>
              </w:rPr>
            </w:pPr>
            <w:r>
              <w:rPr>
                <w:rFonts w:ascii="Arial" w:cs="Arial" w:eastAsia="Arial" w:hAnsi="Arial"/>
                <w:sz w:val="16"/>
                <w:szCs w:val="16"/>
                <w:b w:val="1"/>
                <w:bCs w:val="1"/>
                <w:color w:val="auto"/>
              </w:rPr>
              <w:t>Second Quarter 2024</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North</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America</w:t>
            </w:r>
          </w:p>
        </w:tc>
        <w:tc>
          <w:tcPr>
            <w:tcW w:w="12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International</w:t>
            </w:r>
          </w:p>
        </w:tc>
        <w:tc>
          <w:tcPr>
            <w:tcW w:w="880" w:type="dxa"/>
            <w:vAlign w:val="bottom"/>
          </w:tcPr>
          <w:p>
            <w:pPr>
              <w:ind w:left="40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291</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757</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1,050</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1,684</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1,819</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592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2,768</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3,411</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2,378</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3,025</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(13 )</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(135 )</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(18 )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(166 )</w:t>
            </w:r>
          </w:p>
        </w:tc>
      </w:tr>
      <w:tr>
        <w:trPr>
          <w:trHeight w:val="209"/>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1,644</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7,452</w:t>
            </w:r>
          </w:p>
        </w:tc>
        <w:tc>
          <w:tcPr>
            <w:tcW w:w="26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9,139</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7"/>
        </w:trPr>
        <w:tc>
          <w:tcPr>
            <w:tcW w:w="5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left="79"/>
              <w:spacing w:after="0"/>
              <w:rPr>
                <w:sz w:val="20"/>
                <w:szCs w:val="20"/>
                <w:color w:val="auto"/>
              </w:rPr>
            </w:pPr>
            <w:r>
              <w:rPr>
                <w:rFonts w:ascii="Arial" w:cs="Arial" w:eastAsia="Arial" w:hAnsi="Arial"/>
                <w:sz w:val="16"/>
                <w:szCs w:val="16"/>
                <w:color w:val="auto"/>
              </w:rPr>
              <w:t>Second Quarter 2023</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color w:val="auto"/>
              </w:rPr>
              <w:t>North</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color w:val="auto"/>
              </w:rPr>
              <w:t>America</w:t>
            </w:r>
          </w:p>
        </w:tc>
        <w:tc>
          <w:tcPr>
            <w:tcW w:w="12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color w:val="auto"/>
              </w:rPr>
              <w:t>International</w:t>
            </w:r>
          </w:p>
        </w:tc>
        <w:tc>
          <w:tcPr>
            <w:tcW w:w="880" w:type="dxa"/>
            <w:vAlign w:val="bottom"/>
          </w:tcPr>
          <w:p>
            <w:pPr>
              <w:ind w:left="40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color w:val="auto"/>
              </w:rPr>
              <w:t>Total</w:t>
            </w:r>
          </w:p>
        </w:tc>
      </w:tr>
      <w:tr>
        <w:trPr>
          <w:trHeight w:val="211"/>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712</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FF0FC"/>
          </w:tcPr>
          <w:p>
            <w:pPr>
              <w:spacing w:after="0"/>
              <w:rPr>
                <w:sz w:val="18"/>
                <w:szCs w:val="18"/>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1,512</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18"/>
                <w:szCs w:val="18"/>
                <w:color w:val="auto"/>
              </w:rPr>
            </w:pPr>
          </w:p>
        </w:tc>
      </w:tr>
      <w:tr>
        <w:trPr>
          <w:trHeight w:val="217"/>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2,582</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3,362</w:t>
            </w:r>
          </w:p>
        </w:tc>
        <w:tc>
          <w:tcPr>
            <w:tcW w:w="100" w:type="dxa"/>
            <w:vAlign w:val="bottom"/>
            <w:shd w:val="clear" w:color="auto" w:fill="CFF0FC"/>
          </w:tcPr>
          <w:p>
            <w:pPr>
              <w:spacing w:after="0"/>
              <w:rPr>
                <w:sz w:val="18"/>
                <w:szCs w:val="18"/>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1,628</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2,313</w:t>
            </w:r>
          </w:p>
        </w:tc>
        <w:tc>
          <w:tcPr>
            <w:tcW w:w="100" w:type="dxa"/>
            <w:vAlign w:val="bottom"/>
          </w:tcPr>
          <w:p>
            <w:pPr>
              <w:spacing w:after="0"/>
              <w:rPr>
                <w:sz w:val="18"/>
                <w:szCs w:val="18"/>
                <w:color w:val="auto"/>
              </w:rPr>
            </w:pPr>
          </w:p>
        </w:tc>
      </w:tr>
      <w:tr>
        <w:trPr>
          <w:trHeight w:val="217"/>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(137 )</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(166 )</w:t>
            </w:r>
          </w:p>
        </w:tc>
      </w:tr>
      <w:tr>
        <w:trPr>
          <w:trHeight w:val="209"/>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1,746</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6,297</w:t>
            </w:r>
          </w:p>
        </w:tc>
        <w:tc>
          <w:tcPr>
            <w:tcW w:w="26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8,099</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4"/>
        </w:trPr>
        <w:tc>
          <w:tcPr>
            <w:tcW w:w="5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left="79"/>
              <w:spacing w:after="0"/>
              <w:rPr>
                <w:sz w:val="20"/>
                <w:szCs w:val="20"/>
                <w:color w:val="auto"/>
              </w:rPr>
            </w:pPr>
            <w:r>
              <w:rPr>
                <w:rFonts w:ascii="Arial" w:cs="Arial" w:eastAsia="Arial" w:hAnsi="Arial"/>
                <w:sz w:val="16"/>
                <w:szCs w:val="16"/>
                <w:b w:val="1"/>
                <w:bCs w:val="1"/>
                <w:color w:val="auto"/>
              </w:rPr>
              <w:t>Six Months 2024</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North</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America</w:t>
            </w:r>
          </w:p>
        </w:tc>
        <w:tc>
          <w:tcPr>
            <w:tcW w:w="12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International</w:t>
            </w:r>
          </w:p>
        </w:tc>
        <w:tc>
          <w:tcPr>
            <w:tcW w:w="880" w:type="dxa"/>
            <w:vAlign w:val="bottom"/>
          </w:tcPr>
          <w:p>
            <w:pPr>
              <w:ind w:left="400"/>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527</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1,474</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2,003</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3,276</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3,544</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1,196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5,475</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6,779</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4,543</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5,843</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(31 )</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(261 )</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(31 )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(323 )</w:t>
            </w:r>
          </w:p>
        </w:tc>
      </w:tr>
      <w:tr>
        <w:trPr>
          <w:trHeight w:val="209"/>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3,242</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14,507</w:t>
            </w:r>
          </w:p>
        </w:tc>
        <w:tc>
          <w:tcPr>
            <w:tcW w:w="26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17,846</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left="79"/>
              <w:spacing w:after="0"/>
              <w:rPr>
                <w:sz w:val="20"/>
                <w:szCs w:val="20"/>
                <w:color w:val="auto"/>
              </w:rPr>
            </w:pPr>
            <w:r>
              <w:rPr>
                <w:rFonts w:ascii="Arial" w:cs="Arial" w:eastAsia="Arial" w:hAnsi="Arial"/>
                <w:sz w:val="16"/>
                <w:szCs w:val="16"/>
                <w:color w:val="auto"/>
              </w:rPr>
              <w:t>Six Months 2023</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color w:val="auto"/>
              </w:rPr>
              <w:t>North</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color w:val="auto"/>
              </w:rPr>
              <w:t>America</w:t>
            </w:r>
          </w:p>
        </w:tc>
        <w:tc>
          <w:tcPr>
            <w:tcW w:w="12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color w:val="auto"/>
              </w:rPr>
              <w:t>International</w:t>
            </w:r>
          </w:p>
        </w:tc>
        <w:tc>
          <w:tcPr>
            <w:tcW w:w="880" w:type="dxa"/>
            <w:vAlign w:val="bottom"/>
          </w:tcPr>
          <w:p>
            <w:pPr>
              <w:ind w:left="40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color w:val="auto"/>
              </w:rPr>
              <w:t>Total</w:t>
            </w:r>
          </w:p>
        </w:tc>
      </w:tr>
      <w:tr>
        <w:trPr>
          <w:trHeight w:val="211"/>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1,354</w:t>
            </w: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1,840</w:t>
            </w:r>
          </w:p>
        </w:tc>
        <w:tc>
          <w:tcPr>
            <w:tcW w:w="100" w:type="dxa"/>
            <w:vAlign w:val="bottom"/>
            <w:shd w:val="clear" w:color="auto" w:fill="CFF0FC"/>
          </w:tcPr>
          <w:p>
            <w:pPr>
              <w:spacing w:after="0"/>
              <w:rPr>
                <w:sz w:val="18"/>
                <w:szCs w:val="18"/>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2,892</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3,146</w:t>
            </w:r>
          </w:p>
        </w:tc>
        <w:tc>
          <w:tcPr>
            <w:tcW w:w="100" w:type="dxa"/>
            <w:vAlign w:val="bottom"/>
          </w:tcPr>
          <w:p>
            <w:pPr>
              <w:spacing w:after="0"/>
              <w:rPr>
                <w:sz w:val="18"/>
                <w:szCs w:val="18"/>
                <w:color w:val="auto"/>
              </w:rPr>
            </w:pPr>
          </w:p>
        </w:tc>
      </w:tr>
      <w:tr>
        <w:trPr>
          <w:trHeight w:val="217"/>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5,075</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6,623</w:t>
            </w:r>
          </w:p>
        </w:tc>
        <w:tc>
          <w:tcPr>
            <w:tcW w:w="100" w:type="dxa"/>
            <w:vAlign w:val="bottom"/>
            <w:shd w:val="clear" w:color="auto" w:fill="CFF0FC"/>
          </w:tcPr>
          <w:p>
            <w:pPr>
              <w:spacing w:after="0"/>
              <w:rPr>
                <w:sz w:val="18"/>
                <w:szCs w:val="18"/>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3,202</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4,520</w:t>
            </w:r>
          </w:p>
        </w:tc>
        <w:tc>
          <w:tcPr>
            <w:tcW w:w="100" w:type="dxa"/>
            <w:vAlign w:val="bottom"/>
          </w:tcPr>
          <w:p>
            <w:pPr>
              <w:spacing w:after="0"/>
              <w:rPr>
                <w:sz w:val="18"/>
                <w:szCs w:val="18"/>
                <w:color w:val="auto"/>
              </w:rPr>
            </w:pPr>
          </w:p>
        </w:tc>
      </w:tr>
      <w:tr>
        <w:trPr>
          <w:trHeight w:val="217"/>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(29 )</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(241 )</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(24 )</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(294 )</w:t>
            </w:r>
          </w:p>
        </w:tc>
      </w:tr>
      <w:tr>
        <w:trPr>
          <w:trHeight w:val="209"/>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3,443</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12,282</w:t>
            </w:r>
          </w:p>
        </w:tc>
        <w:tc>
          <w:tcPr>
            <w:tcW w:w="26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15,835</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-4911090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-4911090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-4911090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-4911090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-3350895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-3350895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-3350895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-1731010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-1731010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-1731010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Revenue in excess of billings related to contracts where revenue is recognized over time was $0.4 billion at both June 30, 2024 and December 31,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Such amounts are included within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Total backlog was $5.1 billion at June 30, 2024, of which approximately 60% is expected to be recognized as revenue over the next 12 months.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Billings and cash collections in excess of revenue was $2.0 billion at both June 30, 2024 and December 31, 2023. Such amounts are included within </w:t>
      </w:r>
      <w:r>
        <w:rPr>
          <w:rFonts w:ascii="Arial" w:cs="Arial" w:eastAsia="Arial" w:hAnsi="Arial"/>
          <w:sz w:val="16"/>
          <w:szCs w:val="16"/>
          <w:i w:val="1"/>
          <w:iCs w:val="1"/>
          <w:color w:val="auto"/>
        </w:rPr>
        <w:t xml:space="preserve">Accounts payable and accrued liabilities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Balance Sheet</w:t>
      </w:r>
      <w:r>
        <w:rPr>
          <w:rFonts w:ascii="Arial" w:cs="Arial" w:eastAsia="Arial" w:hAnsi="Arial"/>
          <w:sz w:val="16"/>
          <w:szCs w:val="16"/>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Item 2. Management’s Discussion and Analysis of Financial Condition and Results of Operations.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Second Quarter 2024 Compared to First Quarter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27"/>
        </w:trPr>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Second Quarter 2024</w:t>
            </w:r>
          </w:p>
        </w:tc>
        <w:tc>
          <w:tcPr>
            <w:tcW w:w="180" w:type="dxa"/>
            <w:vAlign w:val="bottom"/>
          </w:tcPr>
          <w:p>
            <w:pPr>
              <w:spacing w:after="0"/>
              <w:rPr>
                <w:sz w:val="24"/>
                <w:szCs w:val="24"/>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6"/>
                <w:szCs w:val="16"/>
                <w:color w:val="auto"/>
              </w:rPr>
              <w:t>First Quarter 2024</w:t>
            </w:r>
          </w:p>
        </w:tc>
      </w:tr>
      <w:tr>
        <w:trPr>
          <w:trHeight w:val="209"/>
        </w:trPr>
        <w:tc>
          <w:tcPr>
            <w:tcW w:w="5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Income</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8"/>
                <w:szCs w:val="18"/>
                <w:color w:val="auto"/>
              </w:rPr>
            </w:pPr>
          </w:p>
        </w:tc>
      </w:t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Before Taxes</w:t>
            </w:r>
          </w:p>
        </w:tc>
        <w:tc>
          <w:tcPr>
            <w:tcW w:w="1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Before Taxes</w:t>
            </w: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1,050</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325</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953</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3,411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742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(166 )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(62 )</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(157 )</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(34 )</w:t>
            </w:r>
          </w:p>
        </w:tc>
      </w:tr>
      <w:tr>
        <w:trPr>
          <w:trHeight w:val="209"/>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1,854</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1,649</w:t>
            </w:r>
          </w:p>
        </w:tc>
        <w:tc>
          <w:tcPr>
            <w:tcW w:w="100" w:type="dxa"/>
            <w:vAlign w:val="bottom"/>
            <w:tcBorders>
              <w:top w:val="single" w:sz="8" w:color="CFF0FC"/>
            </w:tcBorders>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(191 )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(191 )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(129 )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(110 )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(142 )</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(25 )</w:t>
            </w:r>
          </w:p>
        </w:tc>
      </w:tr>
      <w:tr>
        <w:trPr>
          <w:trHeight w:val="249"/>
        </w:trPr>
        <w:tc>
          <w:tcPr>
            <w:tcW w:w="5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9,139</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1,421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8,707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-864870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3" w:lineRule="exact"/>
        <w:rPr>
          <w:sz w:val="20"/>
          <w:szCs w:val="20"/>
          <w:color w:val="auto"/>
        </w:rPr>
      </w:pPr>
    </w:p>
    <w:p>
      <w:pPr>
        <w:ind w:left="380" w:hanging="372"/>
        <w:spacing w:after="0" w:line="222"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($9 million in the second quarter of 2024; $4 million in the first quarter of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($3 million in both the first and second quarter of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Second-quarter 2024 results reflected broad-based sequential international revenue growth and margin expansion across all Divisions. SLB's Core Divisions —Reservoir Performance, Well Construction, and Production Systems—continued to build on their positive momentum and its digital business accelerated, resulting in the highest quarterly international revenue since 2014. These results demonstrate SLB’s strong position in key, resilient markets, as it continues to benefit from elevated activity in the Middle East &amp; Asia, particularly in gas, and SLB’s clients’ increased investments in deepwater basins, exploration, and digital.</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Second-quarter 2024 global revenue of $9.1 billion grew 5% sequentially, led by the Middle East &amp; Asia which increased 6%. The increase in this area was driven by capacity expansions, gas development projects, and production and recovery. SLB also continued to benefit from its enhanced offshore exposure, particularly in deepwater basins across Latin America, Europe &amp; Africa, and in the US Gulf of Mexico. Consequently, pretax operating margin improved sequentially in each of the four Divisions.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Looking ahead to the second half of the year, SLB expects ongoing momentum in the international markets, strong digital sales, and its cost efficiency programs will unlock further margin expansion. Beyond 2024, the fundamentals of this cycle remain in place, and there is a long tailwind of growth opportunities, including long-cycle gas and deepwater projects, production and recovery activity, and the secular trends of digital and decarbonization. This represents a strong backdrop for SLB to continue its margin expansion journey.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Digital &amp; Integration revenue of $1.1 billion increased 10% sequentially due to higher digital revenue while Asset Performance Solutions (“APS”) revenue was flat. Growth in digital revenue was driven by the increased adoption of SLB’s digital solutions and higher exploration data license sales.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Digital &amp; Integration pretax operating margin of 31% expanded 435 basis points (“bps”) sequentially, primarily due to improved profitability in digital following strong exploration data license sales and higher uptake of digital solutions.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Reservoir Performance revenue of $1.8 billion grew 5% sequentially due to increased intervention and stimulation activity across all geographic areas, with approximately 70% of the growth coming from the Middle East &amp; Asia.</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Reservoir Performance pretax operating margin of 21% increased 98 bps sequentially with profitability improving across the international markets driven by higher activity.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Well Construction revenue of $3.4 billion increased 1% sequentially primarily driven by strong measurements and fluids activity internationally.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Well Construction pretax operating margin of 22% expanded 125 bps sequentially due to the international activity increases in measurements and fluids.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Production Systems revenue of $3.0 billion increased 7% sequentially driven by the international markets with strong activity in Europe &amp; Africa, followed by Latin America and the Middle East &amp; Asia.</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Production Systems pretax operating margin of 16% expanded 146 bps sequentially due to improved profitability in subsea production systems and artificial lift.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Six Months 2024 Compared to Six Months 2023</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40"/>
        </w:trPr>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Six Months 2024</w:t>
            </w:r>
          </w:p>
        </w:tc>
        <w:tc>
          <w:tcPr>
            <w:tcW w:w="180" w:type="dxa"/>
            <w:vAlign w:val="bottom"/>
          </w:tcPr>
          <w:p>
            <w:pPr>
              <w:spacing w:after="0"/>
              <w:rPr>
                <w:sz w:val="24"/>
                <w:szCs w:val="24"/>
                <w:color w:val="auto"/>
              </w:rPr>
            </w:pPr>
          </w:p>
        </w:tc>
        <w:tc>
          <w:tcPr>
            <w:tcW w:w="2620" w:type="dxa"/>
            <w:vAlign w:val="bottom"/>
            <w:gridSpan w:val="5"/>
          </w:tcPr>
          <w:p>
            <w:pPr>
              <w:jc w:val="right"/>
              <w:ind w:right="860"/>
              <w:spacing w:after="0"/>
              <w:rPr>
                <w:sz w:val="20"/>
                <w:szCs w:val="20"/>
                <w:color w:val="auto"/>
              </w:rPr>
            </w:pPr>
            <w:r>
              <w:rPr>
                <w:rFonts w:ascii="Arial" w:cs="Arial" w:eastAsia="Arial" w:hAnsi="Arial"/>
                <w:sz w:val="16"/>
                <w:szCs w:val="16"/>
                <w:color w:val="auto"/>
              </w:rPr>
              <w:t>Six Months 2023</w:t>
            </w:r>
          </w:p>
        </w:tc>
      </w:tr>
      <w:tr>
        <w:trPr>
          <w:trHeight w:val="209"/>
        </w:trPr>
        <w:tc>
          <w:tcPr>
            <w:tcW w:w="5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Income</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Income</w:t>
            </w:r>
          </w:p>
        </w:tc>
        <w:tc>
          <w:tcPr>
            <w:tcW w:w="100" w:type="dxa"/>
            <w:vAlign w:val="bottom"/>
          </w:tcPr>
          <w:p>
            <w:pPr>
              <w:spacing w:after="0"/>
              <w:rPr>
                <w:sz w:val="18"/>
                <w:szCs w:val="18"/>
                <w:color w:val="auto"/>
              </w:rPr>
            </w:pPr>
          </w:p>
        </w:tc>
      </w:t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Revenue</w:t>
            </w: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Before Taxes</w:t>
            </w:r>
          </w:p>
        </w:tc>
        <w:tc>
          <w:tcPr>
            <w:tcW w:w="1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Before Taxes</w:t>
            </w:r>
          </w:p>
        </w:tc>
      </w:tr>
      <w:tr>
        <w:trPr>
          <w:trHeight w:val="20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Digital &amp; Integration</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2,003</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579</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1,840</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6,779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1,432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1,403</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5,843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(323 )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(97 )</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(294 )</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(49 )</w:t>
            </w:r>
          </w:p>
        </w:tc>
      </w:tr>
      <w:tr>
        <w:trPr>
          <w:trHeight w:val="210"/>
        </w:trPr>
        <w:tc>
          <w:tcPr>
            <w:tcW w:w="54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3,502</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2,972</w:t>
            </w:r>
          </w:p>
        </w:tc>
        <w:tc>
          <w:tcPr>
            <w:tcW w:w="100" w:type="dxa"/>
            <w:vAlign w:val="bottom"/>
            <w:tcBorders>
              <w:top w:val="single" w:sz="8" w:color="CFF0FC"/>
            </w:tcBorders>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(382 )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(353 )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(238 )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(237 )</w:t>
            </w:r>
          </w:p>
        </w:tc>
      </w:tr>
      <w:tr>
        <w:trPr>
          <w:trHeight w:val="216"/>
        </w:trPr>
        <w:tc>
          <w:tcPr>
            <w:tcW w:w="54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(167 )</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r>
      <w:tr>
        <w:trPr>
          <w:trHeight w:val="249"/>
        </w:trPr>
        <w:tc>
          <w:tcPr>
            <w:tcW w:w="5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17,846</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2,778</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15,835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-864870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ind w:left="380" w:hanging="372"/>
        <w:spacing w:after="0" w:line="222"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($13 million in 2024; $- million in 2023).</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($7 million in both 2024 and 2023).</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Six-month 2024 revenue of $17.8 billion increased 13% year on year. Approximately 50% of the year-on-year revenue increase came from the acquisition of the Aker subsea business in the fourth quarter of 2023.</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International revenue grew by 18% year on year. Excluding the contribution of the acquired Aker subsea business, international revenue increased by 11% driven by higher activity in the Middle East &amp; Asia. North America revenue decreased by 6% primarily due to lower drilling in US land.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Digital &amp; Integration revenue of $2.0 billion increased 9% year on year due to digital growing in line with SLB’s ambition of full-year growth in the high-teens.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Digital &amp; Integration pretax operating margin of 29% contracted 298 bps year on year due to the effects of higher APS amortization expense and lower gas prices.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Reservoir Performance revenue of $3.5 billion increased 13% year on year due to increased stimulation and intervention activity, with approximately 75% of the revenue growth coming from the Middle East &amp; Asia.</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Reservoir Performance pretax operating margin of 20% expanded 276 bps year on year on improved profitability in the international markets driven by higher activity and improved pricing from increased technology intensity.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Well Construction revenue of $6.8 billion increased 2% year on year. This revenue increase was driven by 8% growth internationally, primarily in the Middle East &amp; Asia, partially offset by a 16% reduction in North America largely due to lower drilling in US land.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Well Construction pretax operating margin of 21% was essentially flat year on year.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Production Systems revenue of $5.8 billion increased 29% year on year mainly due to the acquisition of the Aker subsea business. Excluding the effects of the Aker subsea acquisition, revenue grew 8% year on year driven by a 13% increase in international sales. Organic year-on-year growth was led by strong international sales of artificial lift, surface production systems, and completions.</w:t>
      </w:r>
    </w:p>
    <w:p>
      <w:pPr>
        <w:spacing w:after="0" w:line="144"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Production Systems pretax operating margin of 15% expanded 425 bps year on year driven by a favorable activity mix, execution efficiency, and conversion of improved-price backlog.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Interest and Other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&amp; other income </w:t>
      </w:r>
      <w:r>
        <w:rPr>
          <w:rFonts w:ascii="Arial" w:cs="Arial" w:eastAsia="Arial" w:hAnsi="Arial"/>
          <w:sz w:val="16"/>
          <w:szCs w:val="16"/>
          <w:color w:val="auto"/>
        </w:rPr>
        <w:t>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gridSpan w:val="4"/>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99"/>
        </w:trPr>
        <w:tc>
          <w:tcPr>
            <w:tcW w:w="5740" w:type="dxa"/>
            <w:vAlign w:val="bottom"/>
          </w:tcPr>
          <w:p>
            <w:pPr>
              <w:spacing w:after="0"/>
              <w:rPr>
                <w:sz w:val="24"/>
                <w:szCs w:val="24"/>
                <w:color w:val="auto"/>
              </w:rPr>
            </w:pPr>
          </w:p>
        </w:tc>
        <w:tc>
          <w:tcPr>
            <w:tcW w:w="940" w:type="dxa"/>
            <w:vAlign w:val="bottom"/>
          </w:tcPr>
          <w:p>
            <w:pPr>
              <w:jc w:val="center"/>
              <w:ind w:left="119"/>
              <w:spacing w:after="0"/>
              <w:rPr>
                <w:sz w:val="20"/>
                <w:szCs w:val="20"/>
                <w:color w:val="auto"/>
              </w:rPr>
            </w:pPr>
            <w:r>
              <w:rPr>
                <w:rFonts w:ascii="Arial" w:cs="Arial" w:eastAsia="Arial" w:hAnsi="Arial"/>
                <w:sz w:val="16"/>
                <w:szCs w:val="16"/>
                <w:b w:val="1"/>
                <w:bCs w:val="1"/>
                <w:color w:val="auto"/>
              </w:rPr>
              <w:t>Second</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Six Months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rPr>
                <w:sz w:val="17"/>
                <w:szCs w:val="17"/>
                <w:color w:val="auto"/>
              </w:rPr>
            </w:pPr>
          </w:p>
        </w:tc>
        <w:tc>
          <w:tcPr>
            <w:tcW w:w="940" w:type="dxa"/>
            <w:vAlign w:val="bottom"/>
          </w:tcPr>
          <w:p>
            <w:pPr>
              <w:jc w:val="center"/>
              <w:ind w:left="159"/>
              <w:spacing w:after="0"/>
              <w:rPr>
                <w:sz w:val="20"/>
                <w:szCs w:val="20"/>
                <w:color w:val="auto"/>
              </w:rPr>
            </w:pPr>
            <w:r>
              <w:rPr>
                <w:rFonts w:ascii="Arial" w:cs="Arial" w:eastAsia="Arial" w:hAnsi="Arial"/>
                <w:sz w:val="16"/>
                <w:szCs w:val="16"/>
                <w:b w:val="1"/>
                <w:bCs w:val="1"/>
                <w:color w:val="auto"/>
              </w:rPr>
              <w:t>Quarter</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color w:val="auto"/>
              </w:rPr>
              <w:t>First Quarter</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vMerge w:val="continue"/>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94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of equity method investments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93</w:t>
            </w:r>
          </w:p>
        </w:tc>
        <w:tc>
          <w:tcPr>
            <w:tcW w:w="60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sale of Liberty shares</w:t>
            </w:r>
          </w:p>
        </w:tc>
        <w:tc>
          <w:tcPr>
            <w:tcW w:w="9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w:t>
            </w:r>
          </w:p>
        </w:tc>
        <w:tc>
          <w:tcPr>
            <w:tcW w:w="2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Other</w:t>
      </w:r>
    </w:p>
    <w:p>
      <w:pPr>
        <w:spacing w:after="0" w:line="111"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second quarter and first quarter of 2024 and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of 2024 and 2023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00" w:type="dxa"/>
            <w:vAlign w:val="bottom"/>
          </w:tcPr>
          <w:p>
            <w:pPr>
              <w:spacing w:after="0"/>
              <w:rPr>
                <w:sz w:val="19"/>
                <w:szCs w:val="19"/>
                <w:color w:val="auto"/>
              </w:rPr>
            </w:pPr>
          </w:p>
        </w:tc>
        <w:tc>
          <w:tcPr>
            <w:tcW w:w="920" w:type="dxa"/>
            <w:vAlign w:val="bottom"/>
          </w:tcPr>
          <w:p>
            <w:pPr>
              <w:jc w:val="center"/>
              <w:ind w:left="179"/>
              <w:spacing w:after="0"/>
              <w:rPr>
                <w:sz w:val="20"/>
                <w:szCs w:val="20"/>
                <w:color w:val="auto"/>
              </w:rPr>
            </w:pPr>
            <w:r>
              <w:rPr>
                <w:rFonts w:ascii="Arial" w:cs="Arial" w:eastAsia="Arial" w:hAnsi="Arial"/>
                <w:sz w:val="16"/>
                <w:szCs w:val="16"/>
                <w:b w:val="1"/>
                <w:bCs w:val="1"/>
                <w:color w:val="auto"/>
              </w:rPr>
              <w:t>Second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First</w:t>
            </w:r>
          </w:p>
        </w:tc>
        <w:tc>
          <w:tcPr>
            <w:tcW w:w="1760" w:type="dxa"/>
            <w:vAlign w:val="bottom"/>
            <w:gridSpan w:val="3"/>
            <w:vMerge w:val="restart"/>
          </w:tcPr>
          <w:p>
            <w:pPr>
              <w:ind w:left="860"/>
              <w:spacing w:after="0"/>
              <w:rPr>
                <w:sz w:val="20"/>
                <w:szCs w:val="20"/>
                <w:color w:val="auto"/>
              </w:rPr>
            </w:pPr>
            <w:r>
              <w:rPr>
                <w:rFonts w:ascii="Arial" w:cs="Arial" w:eastAsia="Arial" w:hAnsi="Arial"/>
                <w:sz w:val="16"/>
                <w:szCs w:val="16"/>
                <w:b w:val="1"/>
                <w:bCs w:val="1"/>
                <w:color w:val="auto"/>
              </w:rPr>
              <w:t>Six Months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920" w:type="dxa"/>
            <w:vAlign w:val="bottom"/>
          </w:tcPr>
          <w:p>
            <w:pPr>
              <w:jc w:val="center"/>
              <w:ind w:left="179"/>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Quarter</w:t>
            </w:r>
          </w:p>
        </w:tc>
        <w:tc>
          <w:tcPr>
            <w:tcW w:w="1760" w:type="dxa"/>
            <w:vAlign w:val="bottom"/>
            <w:tcBorders>
              <w:bottom w:val="single" w:sz="8" w:color="auto"/>
            </w:tcBorders>
            <w:gridSpan w:val="3"/>
            <w:vMerge w:val="continue"/>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92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Research &amp; engineering</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2.1 %</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2.1 %</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2.1 %</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23"/>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General &amp; administrative</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1.0 %</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1.4 %</w:t>
            </w:r>
          </w:p>
        </w:tc>
        <w:tc>
          <w:tcPr>
            <w:tcW w:w="14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1.2 %</w:t>
            </w:r>
          </w:p>
        </w:tc>
        <w:tc>
          <w:tcPr>
            <w:tcW w:w="3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Charges and Credits</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SLB recorded charges and credits during the first six months of 2024 and 2023. These charges and credits, which are summarized below, are more fully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SLB did not record any charges or credits during the second quarter of 2023.</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255" w:lineRule="exact"/>
        <w:rPr>
          <w:sz w:val="20"/>
          <w:szCs w:val="20"/>
          <w:color w:val="auto"/>
        </w:rPr>
      </w:pPr>
    </w:p>
    <w:p>
      <w:pPr>
        <w:ind w:left="9940"/>
        <w:spacing w:after="0"/>
        <w:rPr>
          <w:sz w:val="20"/>
          <w:szCs w:val="20"/>
          <w:color w:val="auto"/>
        </w:rPr>
      </w:pPr>
      <w:r>
        <w:rPr>
          <w:rFonts w:ascii="Arial" w:cs="Arial" w:eastAsia="Arial" w:hAnsi="Arial"/>
          <w:sz w:val="14"/>
          <w:szCs w:val="14"/>
          <w:i w:val="1"/>
          <w:iCs w:val="1"/>
          <w:color w:val="auto"/>
        </w:rPr>
        <w:t>(Stated in millions)</w:t>
      </w:r>
    </w:p>
    <w:p>
      <w:pPr>
        <w:spacing w:after="0" w:line="251" w:lineRule="exact"/>
        <w:rPr>
          <w:sz w:val="20"/>
          <w:szCs w:val="20"/>
          <w:color w:val="auto"/>
        </w:rPr>
      </w:pPr>
    </w:p>
    <w:p>
      <w:pPr>
        <w:ind w:left="8640"/>
        <w:spacing w:after="0"/>
        <w:rPr>
          <w:sz w:val="20"/>
          <w:szCs w:val="20"/>
          <w:color w:val="auto"/>
        </w:rPr>
      </w:pPr>
      <w:r>
        <w:rPr>
          <w:rFonts w:ascii="Arial" w:cs="Arial" w:eastAsia="Arial" w:hAnsi="Arial"/>
          <w:sz w:val="16"/>
          <w:szCs w:val="16"/>
          <w:color w:val="auto"/>
        </w:rPr>
        <w:t>Noncontrolling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Pretax Charge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211"/>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First quarter:</w:t>
            </w:r>
          </w:p>
        </w:tc>
        <w:tc>
          <w:tcPr>
            <w:tcW w:w="210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200"/>
              <w:spacing w:after="0"/>
              <w:rPr>
                <w:sz w:val="20"/>
                <w:szCs w:val="20"/>
                <w:color w:val="auto"/>
              </w:rPr>
            </w:pPr>
            <w:r>
              <w:rPr>
                <w:rFonts w:ascii="Arial" w:cs="Arial" w:eastAsia="Arial" w:hAnsi="Arial"/>
                <w:sz w:val="16"/>
                <w:szCs w:val="16"/>
                <w:color w:val="auto"/>
              </w:rPr>
              <w:t>Merger &amp; integration</w:t>
            </w:r>
          </w:p>
        </w:tc>
        <w:tc>
          <w:tcPr>
            <w:tcW w:w="26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52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Second quarter:</w:t>
            </w:r>
          </w:p>
        </w:tc>
        <w:tc>
          <w:tcPr>
            <w:tcW w:w="2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40" w:type="dxa"/>
            <w:vAlign w:val="bottom"/>
          </w:tcPr>
          <w:p>
            <w:pPr>
              <w:ind w:left="200"/>
              <w:spacing w:after="0"/>
              <w:rPr>
                <w:sz w:val="20"/>
                <w:szCs w:val="20"/>
                <w:color w:val="auto"/>
              </w:rPr>
            </w:pPr>
            <w:r>
              <w:rPr>
                <w:rFonts w:ascii="Arial" w:cs="Arial" w:eastAsia="Arial" w:hAnsi="Arial"/>
                <w:sz w:val="16"/>
                <w:szCs w:val="16"/>
                <w:color w:val="auto"/>
              </w:rPr>
              <w:t>Workforce reductions</w:t>
            </w:r>
          </w:p>
        </w:tc>
        <w:tc>
          <w:tcPr>
            <w:tcW w:w="2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Merger &amp; integration</w:t>
            </w:r>
          </w:p>
        </w:tc>
        <w:tc>
          <w:tcPr>
            <w:tcW w:w="21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1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6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36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205" w:right="29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6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Pretax Credit</w:t>
            </w: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Tax Expense</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Net</w:t>
            </w:r>
          </w:p>
        </w:tc>
        <w:tc>
          <w:tcPr>
            <w:tcW w:w="100" w:type="dxa"/>
            <w:vAlign w:val="bottom"/>
          </w:tcPr>
          <w:p>
            <w:pPr>
              <w:spacing w:after="0"/>
              <w:rPr>
                <w:sz w:val="24"/>
                <w:szCs w:val="24"/>
                <w:color w:val="auto"/>
              </w:rPr>
            </w:pPr>
          </w:p>
        </w:tc>
      </w:tr>
      <w:tr>
        <w:trPr>
          <w:trHeight w:val="211"/>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Gain on sale of Liberty shares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(36 )   $</w:t>
            </w: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(8 )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(28 )</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Liquidity and Capital Resources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components of liquidity as well as changes in liquidity are as follows:</w:t>
      </w:r>
    </w:p>
    <w:p>
      <w:pPr>
        <w:spacing w:after="0" w:line="241" w:lineRule="exact"/>
        <w:rPr>
          <w:sz w:val="20"/>
          <w:szCs w:val="20"/>
          <w:color w:val="auto"/>
        </w:rPr>
      </w:pPr>
    </w:p>
    <w:p>
      <w:pPr>
        <w:ind w:left="9940"/>
        <w:spacing w:after="0"/>
        <w:rPr>
          <w:sz w:val="20"/>
          <w:szCs w:val="20"/>
          <w:color w:val="auto"/>
        </w:rPr>
      </w:pPr>
      <w:r>
        <w:rPr>
          <w:rFonts w:ascii="Arial" w:cs="Arial" w:eastAsia="Arial" w:hAnsi="Arial"/>
          <w:sz w:val="14"/>
          <w:szCs w:val="14"/>
          <w:i w:val="1"/>
          <w:iCs w:val="1"/>
          <w:color w:val="auto"/>
        </w:rPr>
        <w:t>(Stated in millions)</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Components of Liquidity: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Short-term investments</w:t>
      </w:r>
    </w:p>
    <w:p>
      <w:pPr>
        <w:spacing w:after="0" w:line="32" w:lineRule="exact"/>
        <w:rPr>
          <w:sz w:val="20"/>
          <w:szCs w:val="20"/>
          <w:color w:val="auto"/>
        </w:rPr>
      </w:pPr>
    </w:p>
    <w:p>
      <w:pPr>
        <w:ind w:left="20" w:right="1540"/>
        <w:spacing w:after="0" w:line="299" w:lineRule="auto"/>
        <w:rPr>
          <w:sz w:val="20"/>
          <w:szCs w:val="20"/>
          <w:color w:val="auto"/>
        </w:rPr>
      </w:pPr>
      <w:r>
        <w:rPr>
          <w:rFonts w:ascii="Arial" w:cs="Arial" w:eastAsia="Arial" w:hAnsi="Arial"/>
          <w:sz w:val="16"/>
          <w:szCs w:val="16"/>
          <w:color w:val="auto"/>
        </w:rPr>
        <w:t>Short-term borrowings and current portion of long-term debt Long-term debt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Net debt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40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Jun. 30,</w:t>
            </w:r>
          </w:p>
        </w:tc>
        <w:tc>
          <w:tcPr>
            <w:tcW w:w="240" w:type="dxa"/>
            <w:vAlign w:val="bottom"/>
          </w:tcPr>
          <w:p>
            <w:pPr>
              <w:spacing w:after="0"/>
              <w:rPr>
                <w:sz w:val="18"/>
                <w:szCs w:val="18"/>
                <w:color w:val="auto"/>
              </w:rPr>
            </w:pPr>
          </w:p>
        </w:tc>
        <w:tc>
          <w:tcPr>
            <w:tcW w:w="1360" w:type="dxa"/>
            <w:vAlign w:val="bottom"/>
            <w:gridSpan w:val="2"/>
          </w:tcPr>
          <w:p>
            <w:pPr>
              <w:jc w:val="right"/>
              <w:ind w:right="559"/>
              <w:spacing w:after="0"/>
              <w:rPr>
                <w:sz w:val="20"/>
                <w:szCs w:val="20"/>
                <w:color w:val="auto"/>
              </w:rPr>
            </w:pPr>
            <w:r>
              <w:rPr>
                <w:rFonts w:ascii="Arial" w:cs="Arial" w:eastAsia="Arial" w:hAnsi="Arial"/>
                <w:sz w:val="16"/>
                <w:szCs w:val="16"/>
                <w:color w:val="auto"/>
              </w:rPr>
              <w:t>Jun. 30,</w:t>
            </w:r>
          </w:p>
        </w:tc>
        <w:tc>
          <w:tcPr>
            <w:tcW w:w="240" w:type="dxa"/>
            <w:vAlign w:val="bottom"/>
          </w:tcPr>
          <w:p>
            <w:pPr>
              <w:spacing w:after="0"/>
              <w:rPr>
                <w:sz w:val="18"/>
                <w:szCs w:val="18"/>
                <w:color w:val="auto"/>
              </w:rPr>
            </w:pPr>
          </w:p>
        </w:tc>
        <w:tc>
          <w:tcPr>
            <w:tcW w:w="1160" w:type="dxa"/>
            <w:vAlign w:val="bottom"/>
            <w:gridSpan w:val="2"/>
          </w:tcPr>
          <w:p>
            <w:pPr>
              <w:jc w:val="right"/>
              <w:ind w:right="359"/>
              <w:spacing w:after="0"/>
              <w:rPr>
                <w:sz w:val="20"/>
                <w:szCs w:val="20"/>
                <w:color w:val="auto"/>
              </w:rPr>
            </w:pPr>
            <w:r>
              <w:rPr>
                <w:rFonts w:ascii="Arial" w:cs="Arial" w:eastAsia="Arial" w:hAnsi="Arial"/>
                <w:sz w:val="16"/>
                <w:szCs w:val="16"/>
                <w:color w:val="auto"/>
              </w:rPr>
              <w:t>Dec. 31,</w:t>
            </w:r>
          </w:p>
        </w:tc>
      </w:tr>
      <w:tr>
        <w:trPr>
          <w:trHeight w:val="217"/>
        </w:trPr>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60" w:type="dxa"/>
            <w:vAlign w:val="bottom"/>
          </w:tcPr>
          <w:p>
            <w:pPr>
              <w:spacing w:after="0"/>
              <w:rPr>
                <w:sz w:val="18"/>
                <w:szCs w:val="18"/>
                <w:color w:val="auto"/>
              </w:rPr>
            </w:pPr>
          </w:p>
        </w:tc>
      </w:tr>
      <w:tr>
        <w:trPr>
          <w:trHeight w:val="209"/>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2,953</w:t>
            </w:r>
          </w:p>
        </w:tc>
        <w:tc>
          <w:tcPr>
            <w:tcW w:w="2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1,930</w:t>
            </w:r>
          </w:p>
        </w:tc>
        <w:tc>
          <w:tcPr>
            <w:tcW w:w="26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2,900</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1,089</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(1,033 )</w:t>
            </w:r>
          </w:p>
        </w:tc>
        <w:tc>
          <w:tcPr>
            <w:tcW w:w="240" w:type="dxa"/>
            <w:vAlign w:val="bottom"/>
          </w:tcPr>
          <w:p>
            <w:pPr>
              <w:spacing w:after="0"/>
              <w:rPr>
                <w:sz w:val="18"/>
                <w:szCs w:val="18"/>
                <w:color w:val="auto"/>
              </w:rPr>
            </w:pPr>
          </w:p>
        </w:tc>
        <w:tc>
          <w:tcPr>
            <w:tcW w:w="1360" w:type="dxa"/>
            <w:vAlign w:val="bottom"/>
            <w:gridSpan w:val="2"/>
          </w:tcPr>
          <w:p>
            <w:pPr>
              <w:jc w:val="right"/>
              <w:ind w:right="119"/>
              <w:spacing w:after="0"/>
              <w:rPr>
                <w:sz w:val="20"/>
                <w:szCs w:val="20"/>
                <w:color w:val="auto"/>
              </w:rPr>
            </w:pPr>
            <w:r>
              <w:rPr>
                <w:rFonts w:ascii="Arial" w:cs="Arial" w:eastAsia="Arial" w:hAnsi="Arial"/>
                <w:sz w:val="16"/>
                <w:szCs w:val="16"/>
                <w:color w:val="auto"/>
              </w:rPr>
              <w:t>(1,993 )</w:t>
            </w: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(1,123 )</w:t>
            </w:r>
          </w:p>
        </w:tc>
      </w:tr>
      <w:tr>
        <w:trPr>
          <w:trHeight w:val="217"/>
        </w:trPr>
        <w:tc>
          <w:tcPr>
            <w:tcW w:w="240" w:type="dxa"/>
            <w:vAlign w:val="bottom"/>
          </w:tcPr>
          <w:p>
            <w:pPr>
              <w:spacing w:after="0"/>
              <w:rPr>
                <w:sz w:val="18"/>
                <w:szCs w:val="18"/>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(12,156 )</w:t>
            </w:r>
          </w:p>
        </w:tc>
        <w:tc>
          <w:tcPr>
            <w:tcW w:w="240" w:type="dxa"/>
            <w:vAlign w:val="bottom"/>
          </w:tcPr>
          <w:p>
            <w:pPr>
              <w:spacing w:after="0"/>
              <w:rPr>
                <w:sz w:val="18"/>
                <w:szCs w:val="18"/>
                <w:color w:val="auto"/>
              </w:rPr>
            </w:pPr>
          </w:p>
        </w:tc>
        <w:tc>
          <w:tcPr>
            <w:tcW w:w="1360" w:type="dxa"/>
            <w:vAlign w:val="bottom"/>
            <w:gridSpan w:val="2"/>
          </w:tcPr>
          <w:p>
            <w:pPr>
              <w:jc w:val="right"/>
              <w:ind w:right="119"/>
              <w:spacing w:after="0"/>
              <w:rPr>
                <w:sz w:val="20"/>
                <w:szCs w:val="20"/>
                <w:color w:val="auto"/>
              </w:rPr>
            </w:pPr>
            <w:r>
              <w:rPr>
                <w:rFonts w:ascii="Arial" w:cs="Arial" w:eastAsia="Arial" w:hAnsi="Arial"/>
                <w:sz w:val="16"/>
                <w:szCs w:val="16"/>
                <w:color w:val="auto"/>
              </w:rPr>
              <w:t>(11,342 )</w:t>
            </w: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(10,842 )</w:t>
            </w:r>
          </w:p>
        </w:tc>
      </w:tr>
      <w:tr>
        <w:trPr>
          <w:trHeight w:val="210"/>
        </w:trPr>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(9,186</w:t>
            </w:r>
          </w:p>
        </w:tc>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(10,141</w:t>
            </w:r>
          </w:p>
        </w:tc>
        <w:tc>
          <w:tcPr>
            <w:tcW w:w="260" w:type="dxa"/>
            <w:vAlign w:val="bottom"/>
          </w:tcPr>
          <w:p>
            <w:pPr>
              <w:jc w:val="right"/>
              <w:ind w:right="119"/>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(7,976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-719455</wp:posOffset>
            </wp:positionV>
            <wp:extent cx="71323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-445135</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-161925</wp:posOffset>
            </wp:positionV>
            <wp:extent cx="7132320"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680"/>
          </w:cols>
          <w:pgMar w:left="320" w:top="1205" w:right="339" w:bottom="1440" w:gutter="0" w:footer="0" w:header="0"/>
          <w:type w:val="continuous"/>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Six Months Ended Jun. 30,</w:t>
            </w:r>
          </w:p>
        </w:tc>
      </w:tr>
      <w:tr>
        <w:trPr>
          <w:trHeight w:val="209"/>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Changes in Liquidity:</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2,243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Charges and credits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167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(36 )</w:t>
            </w:r>
          </w:p>
        </w:tc>
      </w:tr>
      <w:tr>
        <w:trPr>
          <w:trHeight w:val="216"/>
        </w:trPr>
        <w:tc>
          <w:tcPr>
            <w:tcW w:w="766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1,231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Earnings of equity method investments, less dividends received</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(79 )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taxes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(29 )</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173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in working capital</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(2,044 )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(1,286 )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(53 )</w:t>
            </w:r>
          </w:p>
        </w:tc>
      </w:tr>
      <w:tr>
        <w:trPr>
          <w:trHeight w:val="210"/>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operations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1,763</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(862 )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(881 )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APS investments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(256 )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(253 )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Exploration data costs capitalized</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(91 )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(83 )</w:t>
            </w:r>
          </w:p>
        </w:tc>
      </w:tr>
      <w:tr>
        <w:trPr>
          <w:trHeight w:val="210"/>
        </w:trPr>
        <w:tc>
          <w:tcPr>
            <w:tcW w:w="7660" w:type="dxa"/>
            <w:vAlign w:val="bottom"/>
            <w:tcBorders>
              <w:bottom w:val="single" w:sz="8" w:color="CFF0FC"/>
            </w:tcBorders>
            <w:shd w:val="clear" w:color="auto" w:fill="CFF0FC"/>
          </w:tcPr>
          <w:p>
            <w:pPr>
              <w:ind w:left="20"/>
              <w:spacing w:after="0" w:line="210"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1"/>
                <w:szCs w:val="21"/>
                <w:b w:val="1"/>
                <w:bCs w:val="1"/>
                <w:color w:val="auto"/>
                <w:vertAlign w:val="superscript"/>
              </w:rPr>
              <w:t>(3)</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554</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(751 )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(605 )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repurchase program</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(735 )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(443 )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employee stock plans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Taxes paid on net settled stock-based compensation awards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(78 )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(144 )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Business acquisitions and investments, net of cash acquired</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(505 )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(262 )</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 of Liberty shares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(167 )</w:t>
            </w:r>
          </w:p>
        </w:tc>
      </w:tr>
      <w:tr>
        <w:trPr>
          <w:trHeight w:val="20"/>
        </w:trPr>
        <w:tc>
          <w:tcPr>
            <w:tcW w:w="7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Increase in net debt before impact of changes in foreign exchange rates</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(1,381 )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(639 )</w:t>
            </w: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Impact of changes in foreign exchange rates on net debt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171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(170 )</w:t>
            </w:r>
          </w:p>
        </w:tc>
      </w:tr>
      <w:tr>
        <w:trPr>
          <w:trHeight w:val="20"/>
        </w:trPr>
        <w:tc>
          <w:tcPr>
            <w:tcW w:w="7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Increase in net debt</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(1,210 )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(809 )</w:t>
            </w:r>
          </w:p>
        </w:tc>
      </w:tr>
      <w:tr>
        <w:trPr>
          <w:trHeight w:val="216"/>
        </w:trPr>
        <w:tc>
          <w:tcPr>
            <w:tcW w:w="76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Net debt, beginning of period </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(7,976 )</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(9,332 )</w:t>
            </w:r>
          </w:p>
        </w:tc>
      </w:tr>
      <w:tr>
        <w:trPr>
          <w:trHeight w:val="20"/>
        </w:trPr>
        <w:tc>
          <w:tcPr>
            <w:tcW w:w="7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6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b w:val="1"/>
                <w:bCs w:val="1"/>
                <w:color w:val="auto"/>
              </w:rPr>
              <w:t xml:space="preserve">Net debt, end of period </w:t>
            </w:r>
            <w:r>
              <w:rPr>
                <w:rFonts w:ascii="Arial" w:cs="Arial" w:eastAsia="Arial" w:hAnsi="Arial"/>
                <w:sz w:val="21"/>
                <w:szCs w:val="21"/>
                <w:b w:val="1"/>
                <w:bCs w:val="1"/>
                <w:color w:val="auto"/>
                <w:vertAlign w:val="superscript"/>
              </w:rPr>
              <w:t>(1)</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(9,186 )</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(10,141 )</w:t>
            </w:r>
          </w:p>
        </w:tc>
      </w:tr>
      <w:tr>
        <w:trPr>
          <w:trHeight w:val="20"/>
        </w:trPr>
        <w:tc>
          <w:tcPr>
            <w:tcW w:w="76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-2270760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-1704975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both"/>
        <w:ind w:left="380" w:hanging="372"/>
        <w:spacing w:after="0" w:line="228"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79"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79" w:lineRule="exact"/>
        <w:rPr>
          <w:rFonts w:ascii="Arial" w:cs="Arial" w:eastAsia="Arial" w:hAnsi="Arial"/>
          <w:sz w:val="19"/>
          <w:szCs w:val="19"/>
          <w:color w:val="auto"/>
          <w:vertAlign w:val="superscript"/>
        </w:rPr>
      </w:pPr>
    </w:p>
    <w:p>
      <w:pPr>
        <w:jc w:val="both"/>
        <w:ind w:left="380" w:hanging="372"/>
        <w:spacing w:after="0" w:line="233"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Key liquidity events during the first six months of 2024 and 2023 included:</w:t>
      </w:r>
    </w:p>
    <w:p>
      <w:pPr>
        <w:spacing w:after="0" w:line="113" w:lineRule="exact"/>
        <w:rPr>
          <w:sz w:val="20"/>
          <w:szCs w:val="20"/>
          <w:color w:val="auto"/>
        </w:rPr>
      </w:pPr>
    </w:p>
    <w:p>
      <w:pPr>
        <w:ind w:left="380" w:hanging="372"/>
        <w:spacing w:after="0" w:line="285" w:lineRule="auto"/>
        <w:tabs>
          <w:tab w:leader="none" w:pos="3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Working capital consumed $2.0 billion of liquidity during the six months ended June 30, 2024 compared to $1.3 billion during six months ended June 30, 2023 primarily driven by receivables and accounts payable offset in part by improved inventory efficiency.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19" w:name="page20"/>
    <w:bookmarkEnd w:id="19"/>
    <w:p>
      <w:pPr>
        <w:jc w:val="both"/>
        <w:ind w:left="380" w:hanging="372"/>
        <w:spacing w:after="0" w:line="266" w:lineRule="auto"/>
        <w:tabs>
          <w:tab w:leader="none" w:pos="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Capital investments (consisting of capital expenditures, APS investments and exploration data capitalized) were $1.2 billion during the first six months of 2024 compared to $1.2 billion during the first six months of 2023. Capital investments for the full year 2024 are expected to be approximately $2.6 billion, which is the same level as the full year 2023.</w:t>
      </w:r>
    </w:p>
    <w:p>
      <w:pPr>
        <w:spacing w:after="0" w:line="62" w:lineRule="exact"/>
        <w:rPr>
          <w:rFonts w:ascii="Times New Roman" w:cs="Times New Roman" w:eastAsia="Times New Roman" w:hAnsi="Times New Roman"/>
          <w:sz w:val="16"/>
          <w:szCs w:val="16"/>
          <w:color w:val="auto"/>
        </w:rPr>
      </w:pPr>
    </w:p>
    <w:p>
      <w:pPr>
        <w:jc w:val="both"/>
        <w:ind w:left="380" w:hanging="372"/>
        <w:spacing w:after="0" w:line="266" w:lineRule="auto"/>
        <w:tabs>
          <w:tab w:leader="none" w:pos="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In January 2024, SLB announced a 10% increase to its quarterly cash dividend from $0.25 per share of outstanding common stock to $0.275 per share, beginning with the dividend payable in April 2024. Dividends paid during the first six months of 2024 and 2023 were $751 million and $605 million, respectively.</w:t>
      </w:r>
    </w:p>
    <w:p>
      <w:pPr>
        <w:spacing w:after="0" w:line="62" w:lineRule="exact"/>
        <w:rPr>
          <w:rFonts w:ascii="Times New Roman" w:cs="Times New Roman" w:eastAsia="Times New Roman" w:hAnsi="Times New Roman"/>
          <w:sz w:val="16"/>
          <w:szCs w:val="16"/>
          <w:color w:val="auto"/>
        </w:rPr>
      </w:pPr>
    </w:p>
    <w:p>
      <w:pPr>
        <w:ind w:left="380" w:hanging="372"/>
        <w:spacing w:after="0" w:line="262" w:lineRule="auto"/>
        <w:tabs>
          <w:tab w:leader="none" w:pos="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As of June 30, 2024, SLB had cumulatively repurchased approximately $2.5 billion of SLB common stock under its $10 billion share repurchase program.</w:t>
      </w:r>
    </w:p>
    <w:p>
      <w:pPr>
        <w:spacing w:after="0" w:line="284"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The following table summarizes the activity under the share repurchase program:</w:t>
      </w:r>
    </w:p>
    <w:p>
      <w:pPr>
        <w:spacing w:after="0" w:line="214" w:lineRule="exact"/>
        <w:rPr>
          <w:sz w:val="20"/>
          <w:szCs w:val="20"/>
          <w:color w:val="auto"/>
        </w:rPr>
      </w:pPr>
    </w:p>
    <w:tbl>
      <w:tblPr>
        <w:tblLayout w:type="fixed"/>
        <w:tblInd w:w="420" w:type="dxa"/>
        <w:tblCellMar>
          <w:top w:w="0" w:type="dxa"/>
          <w:left w:w="0" w:type="dxa"/>
          <w:bottom w:w="0" w:type="dxa"/>
          <w:right w:w="0" w:type="dxa"/>
        </w:tblCellMar>
      </w:tblPr>
      <w:tr>
        <w:trPr>
          <w:trHeight w:val="188"/>
        </w:trPr>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8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26"/>
        </w:trPr>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Total cost</w:t>
            </w: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240" w:type="dxa"/>
            <w:vAlign w:val="bottom"/>
          </w:tcPr>
          <w:p>
            <w:pPr>
              <w:spacing w:after="0"/>
              <w:rPr>
                <w:sz w:val="24"/>
                <w:szCs w:val="2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Average price</w:t>
            </w:r>
          </w:p>
        </w:tc>
      </w:t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of shares</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paid per</w:t>
            </w:r>
          </w:p>
        </w:tc>
      </w:tr>
      <w:tr>
        <w:trPr>
          <w:trHeight w:val="217"/>
        </w:trPr>
        <w:tc>
          <w:tcPr>
            <w:tcW w:w="6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purchased</w:t>
            </w:r>
          </w:p>
        </w:tc>
        <w:tc>
          <w:tcPr>
            <w:tcW w:w="2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share</w:t>
            </w:r>
          </w:p>
        </w:tc>
        <w:tc>
          <w:tcPr>
            <w:tcW w:w="80" w:type="dxa"/>
            <w:vAlign w:val="bottom"/>
          </w:tcPr>
          <w:p>
            <w:pPr>
              <w:spacing w:after="0"/>
              <w:rPr>
                <w:sz w:val="18"/>
                <w:szCs w:val="18"/>
                <w:color w:val="auto"/>
              </w:rPr>
            </w:pPr>
          </w:p>
        </w:tc>
      </w:tr>
      <w:tr>
        <w:trPr>
          <w:trHeight w:val="209"/>
        </w:trPr>
        <w:tc>
          <w:tcPr>
            <w:tcW w:w="6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Six months ended June 30, 2024</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735</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15.3</w:t>
            </w:r>
          </w:p>
        </w:tc>
        <w:tc>
          <w:tcPr>
            <w:tcW w:w="4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48.01</w:t>
            </w:r>
          </w:p>
        </w:tc>
        <w:tc>
          <w:tcPr>
            <w:tcW w:w="80" w:type="dxa"/>
            <w:vAlign w:val="bottom"/>
            <w:shd w:val="clear" w:color="auto" w:fill="CFF0FC"/>
          </w:tcPr>
          <w:p>
            <w:pPr>
              <w:spacing w:after="0"/>
              <w:rPr>
                <w:sz w:val="18"/>
                <w:szCs w:val="18"/>
                <w:color w:val="auto"/>
              </w:rPr>
            </w:pPr>
          </w:p>
        </w:tc>
      </w:tr>
      <w:tr>
        <w:trPr>
          <w:trHeight w:val="215"/>
        </w:trPr>
        <w:tc>
          <w:tcPr>
            <w:tcW w:w="6080" w:type="dxa"/>
            <w:vAlign w:val="bottom"/>
          </w:tcPr>
          <w:p>
            <w:pPr>
              <w:spacing w:after="0"/>
              <w:rPr>
                <w:sz w:val="20"/>
                <w:szCs w:val="20"/>
                <w:color w:val="auto"/>
              </w:rPr>
            </w:pPr>
            <w:r>
              <w:rPr>
                <w:rFonts w:ascii="Arial" w:cs="Arial" w:eastAsia="Arial" w:hAnsi="Arial"/>
                <w:sz w:val="16"/>
                <w:szCs w:val="16"/>
                <w:color w:val="auto"/>
              </w:rPr>
              <w:t>Six months ended June 30, 2023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4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49.95</w:t>
            </w:r>
          </w:p>
        </w:tc>
        <w:tc>
          <w:tcPr>
            <w:tcW w:w="80" w:type="dxa"/>
            <w:vAlign w:val="bottom"/>
          </w:tcPr>
          <w:p>
            <w:pPr>
              <w:spacing w:after="0"/>
              <w:rPr>
                <w:sz w:val="18"/>
                <w:szCs w:val="18"/>
                <w:color w:val="auto"/>
              </w:rPr>
            </w:pPr>
          </w:p>
        </w:tc>
      </w:tr>
    </w:tbl>
    <w:p>
      <w:pPr>
        <w:spacing w:after="0" w:line="95" w:lineRule="exact"/>
        <w:rPr>
          <w:sz w:val="20"/>
          <w:szCs w:val="20"/>
          <w:color w:val="auto"/>
        </w:rPr>
      </w:pPr>
    </w:p>
    <w:p>
      <w:pPr>
        <w:ind w:left="380" w:hanging="372"/>
        <w:spacing w:after="0" w:line="285" w:lineRule="auto"/>
        <w:tabs>
          <w:tab w:leader="none" w:pos="38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2024, SLB issued $500 million of 5.00% Senior Notes due 2027, $500 million of 5.00% Senior Notes due 2029, and $500 million of 5.00% Senior Notes due 2034.</w:t>
      </w:r>
    </w:p>
    <w:p>
      <w:pPr>
        <w:spacing w:after="0" w:line="48" w:lineRule="exact"/>
        <w:rPr>
          <w:rFonts w:ascii="Times New Roman" w:cs="Times New Roman" w:eastAsia="Times New Roman" w:hAnsi="Times New Roman"/>
          <w:sz w:val="16"/>
          <w:szCs w:val="16"/>
          <w:color w:val="auto"/>
        </w:rPr>
      </w:pPr>
    </w:p>
    <w:p>
      <w:pPr>
        <w:jc w:val="both"/>
        <w:ind w:left="380" w:hanging="372"/>
        <w:spacing w:after="0" w:line="256" w:lineRule="auto"/>
        <w:tabs>
          <w:tab w:leader="none" w:pos="38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2024, SLB and Aker Carbon Capture ASA (“ACC”) announced the closing of their previously announced joint venture. The new company combines technology portfolios, expertise, and operation platforms to support accelerated carbon capture adoption for industrial decarbonization at scale. At closing, SLB paid NOK 4.1 billion ($0.4 billion) in cash to ACC for the purchase of 80% of the shares in Aker Carbon Capture Holdings AS (“ACCH”), which held the business of ACC. ACC is also entitled to performance-based payments of up to NOK 1.4 billion if certain targets are met over the period from 2025 to 2027.</w:t>
      </w:r>
    </w:p>
    <w:p>
      <w:pPr>
        <w:spacing w:after="0" w:line="70" w:lineRule="exact"/>
        <w:rPr>
          <w:rFonts w:ascii="Times New Roman" w:cs="Times New Roman" w:eastAsia="Times New Roman" w:hAnsi="Times New Roman"/>
          <w:sz w:val="16"/>
          <w:szCs w:val="16"/>
          <w:color w:val="auto"/>
        </w:rPr>
      </w:pPr>
    </w:p>
    <w:p>
      <w:pPr>
        <w:jc w:val="both"/>
        <w:ind w:left="380"/>
        <w:spacing w:after="0" w:line="259" w:lineRule="auto"/>
        <w:rPr>
          <w:rFonts w:ascii="Times New Roman" w:cs="Times New Roman" w:eastAsia="Times New Roman" w:hAnsi="Times New Roman"/>
          <w:sz w:val="16"/>
          <w:szCs w:val="16"/>
          <w:color w:val="auto"/>
        </w:rPr>
      </w:pPr>
      <w:r>
        <w:rPr>
          <w:rFonts w:ascii="Arial" w:cs="Arial" w:eastAsia="Arial" w:hAnsi="Arial"/>
          <w:sz w:val="16"/>
          <w:szCs w:val="16"/>
          <w:color w:val="auto"/>
        </w:rPr>
        <w:t>After a lock-up period of three years, ACC is entitled to sell its 20% interest in ACCH to SLB during a period of six months for a price based on the fair market value of the combined business subject to a floor of NOK 1.0 billion and a ceiling of NOK 2.1 billion (the “put option”). Additionally, after the expiration of the put option, SLB has the right to purchase ACC’s 20% interest in the combined business during the following six months for a price based on the fair market value of the combined business subject to a floor of NOK 1.5 billion and a ceiling of NOK 2.6 billion.</w:t>
      </w:r>
    </w:p>
    <w:p>
      <w:pPr>
        <w:spacing w:after="0" w:line="69"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first quarter of 2023, SLB sold all of its remaining approximately 9 million shares in Liberty and received proceeds of $137 million.</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April 2024, SLB announced that it is raising its 2024 target for total returns of capital to shareholders (consisting of dividends and share repurchases) from $2.5 billion to $3 billion. The targeted $0.5 billion increase will be in the form of additional share repurchases. SLB also set its target for total returns of capital to shareholders in 2025 at $4 billion.</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June 30, 2024, SLB had $4.0 billion of cash and short-term investments on hand and committed debt facility agreements with commercial banks aggregating $5.0 billion, $4.6 billion of which was available and unused. SLB believes these amounts are sufficient to meet future business requirements for at least the next 12 months and beyond.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 has a global footprint in more than 100 countries. As of June 30, 2024, only three of those countries individually accounted for greater than 5% of SLB’s net receivable balance. One of these countries, Mexico, represented greater than 10% of such receivables. As of June 30, 2024, Mexico represented 15% of SLB's net accounts receivable balance. In July 2024, SLB issued a credit default swap ("CDS") to a third-party financial institution for a notional amount of $550 million relating to a borrowing provided by the financial institution to SLB's primary customer in Mexico. This borrowing was utilized by the customer to pay approximately $645 million of SLB's outstanding receivables in July 2024. SLB’s receivables from its primary customer in Mexico are not in dispute and SLB has not historically had any material write-offs due to uncollectible accounts receivable relating to this customer.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second-quarter 2024 Form 10-Q,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capital allocation plans, including dividend plans and share repurchase programs; SLB’s APS projects, joint ventures, and other alliances; the impact of the ongoing conflict in Ukraine on global energy supply; access to raw materials; future global economic and geopolitical conditions;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0" w:name="page21"/>
    <w:bookmarkEnd w:id="20"/>
    <w:p>
      <w:pPr>
        <w:jc w:val="both"/>
        <w:spacing w:after="0" w:line="250" w:lineRule="auto"/>
        <w:rPr>
          <w:sz w:val="20"/>
          <w:szCs w:val="20"/>
          <w:color w:val="auto"/>
        </w:rPr>
      </w:pPr>
      <w:r>
        <w:rPr>
          <w:rFonts w:ascii="Arial" w:cs="Arial" w:eastAsia="Arial" w:hAnsi="Arial"/>
          <w:sz w:val="16"/>
          <w:szCs w:val="16"/>
          <w:color w:val="auto"/>
        </w:rPr>
        <w:t>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Form 10-Q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10-Q are made as of July 24, 2024, and SLB disclaims any intention or obligation to update publicly or revise such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Quantitative and Qualitative Disclosures about Market Risk.</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quantitative and qualitative disclosures about market risk affecting SLB, see Item 7A, “Quantitative and Qualitative Disclosures about Market Risk,” of the SLB Annual Report on Form 10-K for the fiscal year ended December 31, 2023. SLB’s exposure to market risk has not changed materially since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Controls and Procedures.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SLB’s internal control over financial reporting during the quarter to which this report relates that has materially affected, or is reasonably likely to materially affect, SLB’s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with respect to this Item 1 is set forth under Note 9—Contingencies, in the accompanying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the date of this filing, there have been no material changes from the risk factors disclosed in Part 1, Item 1A, of SLB’s Annual Report on Form 10-K for the fiscal year ended December 31, 2023, other than the risk factors disclosed in Item 1A of SLB’s Quarterly Report on Form 10-Q filed on April 24, 2024, which is hereby incorporated by reference into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Unregistered Sales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Issuer Repurchases of Equity Securities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January 21, 2016, the SLB Board of Directors approved a $10 billion share repurchase program for SLB common stock. As of June 30, 2024, SLB had repurchased $2.5 billion of SLB common stock under this program.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SLB's common stock repurchase activity for the three months ended June 30, 2024 was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gridSpan w:val="7"/>
          </w:tcPr>
          <w:p>
            <w:pPr>
              <w:ind w:left="1020"/>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399"/>
        </w:trPr>
        <w:tc>
          <w:tcPr>
            <w:tcW w:w="5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Total number</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5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rPr>
              <w:t>Maximum</w:t>
            </w:r>
          </w:p>
        </w:tc>
      </w:tr>
      <w:tr>
        <w:trPr>
          <w:trHeight w:val="189"/>
        </w:trPr>
        <w:tc>
          <w:tcPr>
            <w:tcW w:w="5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purchased as</w:t>
            </w:r>
          </w:p>
        </w:tc>
        <w:tc>
          <w:tcPr>
            <w:tcW w:w="24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color w:val="auto"/>
              </w:rPr>
              <w:t>value of shares</w:t>
            </w:r>
          </w:p>
        </w:tc>
      </w:tr>
      <w:tr>
        <w:trPr>
          <w:trHeight w:val="189"/>
        </w:trPr>
        <w:tc>
          <w:tcPr>
            <w:tcW w:w="5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part of publicly</w:t>
            </w:r>
          </w:p>
        </w:tc>
        <w:tc>
          <w:tcPr>
            <w:tcW w:w="24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color w:val="auto"/>
              </w:rPr>
              <w:t>that may yet be</w:t>
            </w:r>
          </w:p>
        </w:tc>
      </w:tr>
      <w:tr>
        <w:trPr>
          <w:trHeight w:val="189"/>
        </w:trPr>
        <w:tc>
          <w:tcPr>
            <w:tcW w:w="5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Total number</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announced plans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purchased</w:t>
            </w:r>
          </w:p>
        </w:tc>
      </w:tr>
      <w:tr>
        <w:trPr>
          <w:trHeight w:val="189"/>
        </w:trPr>
        <w:tc>
          <w:tcPr>
            <w:tcW w:w="5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of shares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Average price</w:t>
            </w: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8"/>
              </w:rPr>
              <w:t>or</w:t>
            </w:r>
          </w:p>
        </w:tc>
        <w:tc>
          <w:tcPr>
            <w:tcW w:w="24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under the plans</w:t>
            </w:r>
          </w:p>
        </w:tc>
      </w:tr>
      <w:tr>
        <w:trPr>
          <w:trHeight w:val="216"/>
        </w:trPr>
        <w:tc>
          <w:tcPr>
            <w:tcW w:w="52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purchased</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9"/>
              </w:rPr>
              <w:t>paid per share</w:t>
            </w:r>
          </w:p>
        </w:tc>
        <w:tc>
          <w:tcPr>
            <w:tcW w:w="2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programs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9"/>
              </w:rPr>
              <w:t>or programs</w:t>
            </w:r>
          </w:p>
        </w:tc>
        <w:tc>
          <w:tcPr>
            <w:tcW w:w="100" w:type="dxa"/>
            <w:vAlign w:val="bottom"/>
          </w:tcPr>
          <w:p>
            <w:pPr>
              <w:spacing w:after="0"/>
              <w:rPr>
                <w:sz w:val="18"/>
                <w:szCs w:val="18"/>
                <w:color w:val="auto"/>
              </w:rPr>
            </w:pPr>
          </w:p>
        </w:tc>
      </w:tr>
      <w:tr>
        <w:trPr>
          <w:trHeight w:val="210"/>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April 2024</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8,008,018</w:t>
            </w:r>
          </w:p>
        </w:tc>
        <w:tc>
          <w:tcPr>
            <w:tcW w:w="100" w:type="dxa"/>
            <w:vAlign w:val="bottom"/>
            <w:shd w:val="clear" w:color="auto" w:fill="CFF0FC"/>
          </w:tcPr>
          <w:p>
            <w:pPr>
              <w:spacing w:after="0"/>
              <w:rPr>
                <w:sz w:val="18"/>
                <w:szCs w:val="18"/>
                <w:color w:val="auto"/>
              </w:rPr>
            </w:pP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May 2024</w:t>
            </w:r>
          </w:p>
        </w:tc>
        <w:tc>
          <w:tcPr>
            <w:tcW w:w="1320" w:type="dxa"/>
            <w:vAlign w:val="bottom"/>
          </w:tcPr>
          <w:p>
            <w:pPr>
              <w:jc w:val="right"/>
              <w:spacing w:after="0"/>
              <w:rPr>
                <w:sz w:val="20"/>
                <w:szCs w:val="20"/>
                <w:color w:val="auto"/>
              </w:rPr>
            </w:pPr>
            <w:r>
              <w:rPr>
                <w:rFonts w:ascii="Arial" w:cs="Arial" w:eastAsia="Arial" w:hAnsi="Arial"/>
                <w:sz w:val="16"/>
                <w:szCs w:val="16"/>
                <w:color w:val="auto"/>
              </w:rPr>
              <w:t>1,800.0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48.12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1,800.0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7,921,411</w:t>
            </w:r>
          </w:p>
        </w:tc>
        <w:tc>
          <w:tcPr>
            <w:tcW w:w="100" w:type="dxa"/>
            <w:vAlign w:val="bottom"/>
          </w:tcPr>
          <w:p>
            <w:pPr>
              <w:spacing w:after="0"/>
              <w:rPr>
                <w:sz w:val="18"/>
                <w:szCs w:val="18"/>
                <w:color w:val="auto"/>
              </w:rPr>
            </w:pPr>
          </w:p>
        </w:tc>
      </w:tr>
      <w:tr>
        <w:trPr>
          <w:trHeight w:val="217"/>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June 2024</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8,117.9</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46.58</w:t>
            </w: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8,117.9</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7,543,249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9,917.9</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46.86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9,917.9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-170815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Defaults Upon Senior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r>
        <w:rPr>
          <w:rFonts w:ascii="Arial" w:cs="Arial" w:eastAsia="Arial" w:hAnsi="Arial"/>
          <w:sz w:val="16"/>
          <w:szCs w:val="16"/>
          <w:b w:val="1"/>
          <w:b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Other Information.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2013, SLB completed the wind down of its service operations in Iran. Prior to this, certain non-US subsidiaries provided oilfield services to the National Iranian Oil Company and certain of its affiliates (“NIOC”).</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SLB’s residual transactions or dealings with the government of Iran during the second quarter of 2024 consisted of payments of taxes and other typical governmental charges. Certain non-US subsidiaries of SLB maintain depository accounts at the Dubai branch of Bank Saderat Iran (“Saderat”), and at Bank Tejarat (“Tejarat”) in Tehran and in Kish for the deposit by NIOC of amounts owed to non-US subsidiaries of SLB for prior services rendered in Iran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auto"/>
        </w:rPr>
        <w:t>Item 6. Exhibits.</w:t>
      </w:r>
    </w:p>
    <w:p>
      <w:pPr>
        <w:spacing w:after="0" w:line="208" w:lineRule="exact"/>
        <w:rPr>
          <w:sz w:val="20"/>
          <w:szCs w:val="20"/>
          <w:color w:val="auto"/>
        </w:rPr>
      </w:pPr>
    </w:p>
    <w:p>
      <w:pPr>
        <w:ind w:left="460" w:right="20" w:firstLine="2"/>
        <w:spacing w:after="0" w:line="286" w:lineRule="auto"/>
        <w:tabs>
          <w:tab w:leader="none" w:pos="728" w:val="left"/>
        </w:tabs>
        <w:numPr>
          <w:ilvl w:val="0"/>
          <w:numId w:val="22"/>
        </w:numPr>
        <w:rPr>
          <w:rFonts w:ascii="Arial" w:cs="Arial" w:eastAsia="Arial" w:hAnsi="Arial"/>
          <w:sz w:val="16"/>
          <w:szCs w:val="16"/>
          <w:u w:val="single" w:color="auto"/>
          <w:color w:val="0000FF"/>
        </w:rPr>
      </w:pPr>
      <w:hyperlink r:id="rId254">
        <w:r>
          <w:rPr>
            <w:rFonts w:ascii="Arial" w:cs="Arial" w:eastAsia="Arial" w:hAnsi="Arial"/>
            <w:sz w:val="16"/>
            <w:szCs w:val="16"/>
            <w:color w:val="auto"/>
          </w:rPr>
          <w:t>Exhibit 2—</w:t>
        </w:r>
        <w:r>
          <w:rPr>
            <w:rFonts w:ascii="Arial" w:cs="Arial" w:eastAsia="Arial" w:hAnsi="Arial"/>
            <w:sz w:val="16"/>
            <w:szCs w:val="16"/>
            <w:u w:val="single" w:color="auto"/>
            <w:color w:val="0000FF"/>
          </w:rPr>
          <w:t>Agreement and Plan of Merger among Schlumberger Limited, Sodium Holdco, Inc., Sodium Merger Sub, Inc., and ChampionX</w:t>
        </w:r>
      </w:hyperlink>
      <w:r>
        <w:rPr>
          <w:rFonts w:ascii="Arial" w:cs="Arial" w:eastAsia="Arial" w:hAnsi="Arial"/>
          <w:sz w:val="16"/>
          <w:szCs w:val="16"/>
          <w:color w:val="auto"/>
        </w:rPr>
        <w:t xml:space="preserve"> </w:t>
      </w:r>
      <w:hyperlink r:id="rId254">
        <w:r>
          <w:rPr>
            <w:rFonts w:ascii="Arial" w:cs="Arial" w:eastAsia="Arial" w:hAnsi="Arial"/>
            <w:sz w:val="16"/>
            <w:szCs w:val="16"/>
            <w:u w:val="single" w:color="auto"/>
            <w:color w:val="0000FF"/>
          </w:rPr>
          <w:t>Corporation, dated April 2, 2024 (incorporated by reference to Exhibit 2 to SLB’s Current Report on Form 8-K/A filed on April 3, 2024).</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61404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614045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-45720</wp:posOffset>
            </wp:positionV>
            <wp:extent cx="60477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6047740" cy="8890"/>
                    </a:xfrm>
                    <a:prstGeom prst="rect">
                      <a:avLst/>
                    </a:prstGeom>
                    <a:noFill/>
                  </pic:spPr>
                </pic:pic>
              </a:graphicData>
            </a:graphic>
          </wp:anchor>
        </w:drawing>
      </w:r>
    </w:p>
    <w:p>
      <w:pPr>
        <w:spacing w:after="0" w:line="136" w:lineRule="exact"/>
        <w:rPr>
          <w:rFonts w:ascii="Arial" w:cs="Arial" w:eastAsia="Arial" w:hAnsi="Arial"/>
          <w:sz w:val="16"/>
          <w:szCs w:val="16"/>
          <w:color w:val="auto"/>
        </w:rPr>
      </w:pPr>
    </w:p>
    <w:p>
      <w:pPr>
        <w:jc w:val="both"/>
        <w:ind w:left="460" w:right="20"/>
        <w:spacing w:after="0" w:line="286" w:lineRule="auto"/>
        <w:rPr>
          <w:rFonts w:ascii="Arial" w:cs="Arial" w:eastAsia="Arial" w:hAnsi="Arial"/>
          <w:sz w:val="16"/>
          <w:szCs w:val="16"/>
          <w:u w:val="single" w:color="auto"/>
          <w:color w:val="0000FF"/>
        </w:rPr>
      </w:pPr>
      <w:hyperlink r:id="rId257">
        <w:r>
          <w:rPr>
            <w:rFonts w:ascii="Arial" w:cs="Arial" w:eastAsia="Arial" w:hAnsi="Arial"/>
            <w:sz w:val="16"/>
            <w:szCs w:val="16"/>
            <w:color w:val="auto"/>
          </w:rPr>
          <w:t>Exhibit 3.1—</w:t>
        </w:r>
        <w:r>
          <w:rPr>
            <w:rFonts w:ascii="Arial" w:cs="Arial" w:eastAsia="Arial" w:hAnsi="Arial"/>
            <w:sz w:val="16"/>
            <w:szCs w:val="16"/>
            <w:u w:val="single" w:color="auto"/>
            <w:color w:val="0000FF"/>
          </w:rPr>
          <w:t>Articles of Incorporation of Schlumberger Limited (Schlumberger N.V.) (incorporated by reference to Exhibit 3.1 to SLB’s Current Report</w:t>
        </w:r>
      </w:hyperlink>
      <w:r>
        <w:rPr>
          <w:rFonts w:ascii="Arial" w:cs="Arial" w:eastAsia="Arial" w:hAnsi="Arial"/>
          <w:sz w:val="16"/>
          <w:szCs w:val="16"/>
          <w:color w:val="auto"/>
        </w:rPr>
        <w:t xml:space="preserve"> </w:t>
      </w:r>
      <w:hyperlink r:id="rId257">
        <w:r>
          <w:rPr>
            <w:rFonts w:ascii="Arial" w:cs="Arial" w:eastAsia="Arial" w:hAnsi="Arial"/>
            <w:sz w:val="16"/>
            <w:szCs w:val="16"/>
            <w:u w:val="single" w:color="auto"/>
            <w:color w:val="0000FF"/>
          </w:rPr>
          <w:t>on Form 8-K filed on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-165735</wp:posOffset>
            </wp:positionV>
            <wp:extent cx="6243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-45720</wp:posOffset>
            </wp:positionV>
            <wp:extent cx="15722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1572260" cy="8255"/>
                    </a:xfrm>
                    <a:prstGeom prst="rect">
                      <a:avLst/>
                    </a:prstGeom>
                    <a:noFill/>
                  </pic:spPr>
                </pic:pic>
              </a:graphicData>
            </a:graphic>
          </wp:anchor>
        </w:drawing>
      </w:r>
    </w:p>
    <w:p>
      <w:pPr>
        <w:spacing w:after="0" w:line="163" w:lineRule="exact"/>
        <w:rPr>
          <w:sz w:val="20"/>
          <w:szCs w:val="20"/>
          <w:color w:val="auto"/>
        </w:rPr>
      </w:pPr>
    </w:p>
    <w:p>
      <w:pPr>
        <w:jc w:val="both"/>
        <w:ind w:left="460" w:right="20"/>
        <w:spacing w:after="0" w:line="286" w:lineRule="auto"/>
        <w:rPr>
          <w:rFonts w:ascii="Arial" w:cs="Arial" w:eastAsia="Arial" w:hAnsi="Arial"/>
          <w:sz w:val="16"/>
          <w:szCs w:val="16"/>
          <w:u w:val="single" w:color="auto"/>
          <w:color w:val="0000FF"/>
        </w:rPr>
      </w:pPr>
      <w:hyperlink r:id="rId260">
        <w:r>
          <w:rPr>
            <w:rFonts w:ascii="Arial" w:cs="Arial" w:eastAsia="Arial" w:hAnsi="Arial"/>
            <w:sz w:val="16"/>
            <w:szCs w:val="16"/>
            <w:color w:val="auto"/>
          </w:rPr>
          <w:t>Exhibit 3.2—</w:t>
        </w:r>
        <w:r>
          <w:rPr>
            <w:rFonts w:ascii="Arial" w:cs="Arial" w:eastAsia="Arial" w:hAnsi="Arial"/>
            <w:sz w:val="16"/>
            <w:szCs w:val="16"/>
            <w:u w:val="single" w:color="auto"/>
            <w:color w:val="0000FF"/>
          </w:rPr>
          <w:t>Amended and Restated By-Laws of Schlumberger Limited (Schlumberger N.V.) (incorporated by reference to Exhibit 3 to SLB’s Current</w:t>
        </w:r>
      </w:hyperlink>
      <w:r>
        <w:rPr>
          <w:rFonts w:ascii="Arial" w:cs="Arial" w:eastAsia="Arial" w:hAnsi="Arial"/>
          <w:sz w:val="16"/>
          <w:szCs w:val="16"/>
          <w:color w:val="auto"/>
        </w:rPr>
        <w:t xml:space="preserve"> </w:t>
      </w:r>
      <w:hyperlink r:id="rId260">
        <w:r>
          <w:rPr>
            <w:rFonts w:ascii="Arial" w:cs="Arial" w:eastAsia="Arial" w:hAnsi="Arial"/>
            <w:sz w:val="16"/>
            <w:szCs w:val="16"/>
            <w:u w:val="single" w:color="auto"/>
            <w:color w:val="0000FF"/>
          </w:rPr>
          <w:t>Report on Form 8-K filed on April 21,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-165735</wp:posOffset>
            </wp:positionV>
            <wp:extent cx="62439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624395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-45720</wp:posOffset>
            </wp:positionV>
            <wp:extent cx="19665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1966595" cy="8890"/>
                    </a:xfrm>
                    <a:prstGeom prst="rect">
                      <a:avLst/>
                    </a:prstGeom>
                    <a:noFill/>
                  </pic:spPr>
                </pic:pic>
              </a:graphicData>
            </a:graphic>
          </wp:anchor>
        </w:drawing>
      </w:r>
    </w:p>
    <w:p>
      <w:pPr>
        <w:spacing w:after="0" w:line="163" w:lineRule="exact"/>
        <w:rPr>
          <w:sz w:val="20"/>
          <w:szCs w:val="20"/>
          <w:color w:val="auto"/>
        </w:rPr>
      </w:pPr>
    </w:p>
    <w:p>
      <w:pPr>
        <w:jc w:val="both"/>
        <w:ind w:left="460" w:right="20"/>
        <w:spacing w:after="0" w:line="266" w:lineRule="auto"/>
        <w:rPr>
          <w:rFonts w:ascii="Arial" w:cs="Arial" w:eastAsia="Arial" w:hAnsi="Arial"/>
          <w:sz w:val="16"/>
          <w:szCs w:val="16"/>
          <w:u w:val="single" w:color="auto"/>
          <w:color w:val="0000FF"/>
        </w:rPr>
      </w:pPr>
      <w:hyperlink r:id="rId263">
        <w:r>
          <w:rPr>
            <w:rFonts w:ascii="Arial" w:cs="Arial" w:eastAsia="Arial" w:hAnsi="Arial"/>
            <w:sz w:val="16"/>
            <w:szCs w:val="16"/>
            <w:color w:val="auto"/>
          </w:rPr>
          <w:t>Exhibit 4.1—</w:t>
        </w:r>
        <w:r>
          <w:rPr>
            <w:rFonts w:ascii="Arial" w:cs="Arial" w:eastAsia="Arial" w:hAnsi="Arial"/>
            <w:sz w:val="16"/>
            <w:szCs w:val="16"/>
            <w:u w:val="single" w:color="auto"/>
            <w:color w:val="0000FF"/>
          </w:rPr>
          <w:t>Indenture dated as of December 3, 2013, by and among Schlumberger Investment S.A., as issuer, Schlumberger Limited (Schlumberger</w:t>
        </w:r>
      </w:hyperlink>
      <w:r>
        <w:rPr>
          <w:rFonts w:ascii="Arial" w:cs="Arial" w:eastAsia="Arial" w:hAnsi="Arial"/>
          <w:sz w:val="16"/>
          <w:szCs w:val="16"/>
          <w:color w:val="auto"/>
        </w:rPr>
        <w:t xml:space="preserve"> </w:t>
      </w:r>
      <w:hyperlink r:id="rId263">
        <w:r>
          <w:rPr>
            <w:rFonts w:ascii="Arial" w:cs="Arial" w:eastAsia="Arial" w:hAnsi="Arial"/>
            <w:sz w:val="16"/>
            <w:szCs w:val="16"/>
            <w:u w:val="single" w:color="auto"/>
            <w:color w:val="0000FF"/>
          </w:rPr>
          <w:t>N.V.), as guarantor, and The Bank of New York Mellon, as trustee (incorporated by reference to Exhibit 4.1 to SLB’s Current Report on Form 8-K filed</w:t>
        </w:r>
      </w:hyperlink>
      <w:r>
        <w:rPr>
          <w:rFonts w:ascii="Arial" w:cs="Arial" w:eastAsia="Arial" w:hAnsi="Arial"/>
          <w:sz w:val="16"/>
          <w:szCs w:val="16"/>
          <w:u w:val="single" w:color="auto"/>
          <w:color w:val="0000FF"/>
        </w:rPr>
        <w:t xml:space="preserve"> </w:t>
      </w:r>
      <w:hyperlink r:id="rId263">
        <w:r>
          <w:rPr>
            <w:rFonts w:ascii="Arial" w:cs="Arial" w:eastAsia="Arial" w:hAnsi="Arial"/>
            <w:sz w:val="16"/>
            <w:szCs w:val="16"/>
            <w:u w:val="single" w:color="auto"/>
            <w:color w:val="0000FF"/>
          </w:rPr>
          <w:t>on December 3, 2013)</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876935</wp:posOffset>
            </wp:positionH>
            <wp:positionV relativeFrom="paragraph">
              <wp:posOffset>-276225</wp:posOffset>
            </wp:positionV>
            <wp:extent cx="62464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624649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-156210</wp:posOffset>
            </wp:positionV>
            <wp:extent cx="683450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6834505"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-36195</wp:posOffset>
            </wp:positionV>
            <wp:extent cx="10236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178" w:lineRule="exact"/>
        <w:rPr>
          <w:rFonts w:ascii="Arial" w:cs="Arial" w:eastAsia="Arial" w:hAnsi="Arial"/>
          <w:sz w:val="16"/>
          <w:szCs w:val="16"/>
          <w:color w:val="auto"/>
        </w:rPr>
      </w:pPr>
    </w:p>
    <w:p>
      <w:pPr>
        <w:jc w:val="both"/>
        <w:ind w:left="460" w:right="20"/>
        <w:spacing w:after="0" w:line="266" w:lineRule="auto"/>
        <w:rPr>
          <w:rFonts w:ascii="Arial" w:cs="Arial" w:eastAsia="Arial" w:hAnsi="Arial"/>
          <w:sz w:val="16"/>
          <w:szCs w:val="16"/>
          <w:u w:val="single" w:color="auto"/>
          <w:color w:val="0000FF"/>
        </w:rPr>
      </w:pPr>
      <w:hyperlink r:id="rId267">
        <w:r>
          <w:rPr>
            <w:rFonts w:ascii="Arial" w:cs="Arial" w:eastAsia="Arial" w:hAnsi="Arial"/>
            <w:sz w:val="16"/>
            <w:szCs w:val="16"/>
            <w:color w:val="auto"/>
          </w:rPr>
          <w:t>Exhibit 4.2—</w:t>
        </w:r>
        <w:r>
          <w:rPr>
            <w:rFonts w:ascii="Arial" w:cs="Arial" w:eastAsia="Arial" w:hAnsi="Arial"/>
            <w:sz w:val="16"/>
            <w:szCs w:val="16"/>
            <w:u w:val="single" w:color="auto"/>
            <w:color w:val="0000FF"/>
          </w:rPr>
          <w:t>Second Supplemental Indenture dated as of June 26, 2020, by and among Schlumberger Investment S.A., as issuer, Schlumberger</w:t>
        </w:r>
      </w:hyperlink>
      <w:r>
        <w:rPr>
          <w:rFonts w:ascii="Arial" w:cs="Arial" w:eastAsia="Arial" w:hAnsi="Arial"/>
          <w:sz w:val="16"/>
          <w:szCs w:val="16"/>
          <w:color w:val="auto"/>
        </w:rPr>
        <w:t xml:space="preserve"> </w:t>
      </w:r>
      <w:hyperlink r:id="rId267">
        <w:r>
          <w:rPr>
            <w:rFonts w:ascii="Arial" w:cs="Arial" w:eastAsia="Arial" w:hAnsi="Arial"/>
            <w:sz w:val="16"/>
            <w:szCs w:val="16"/>
            <w:u w:val="single" w:color="auto"/>
            <w:color w:val="0000FF"/>
          </w:rPr>
          <w:t>Limited (Schlumberger N.V.), as guarantor, and The Bank of New York Mellon, as trustee (incorporated by reference to Exhibit 4.1 to SLB’s Current</w:t>
        </w:r>
      </w:hyperlink>
      <w:r>
        <w:rPr>
          <w:rFonts w:ascii="Arial" w:cs="Arial" w:eastAsia="Arial" w:hAnsi="Arial"/>
          <w:sz w:val="16"/>
          <w:szCs w:val="16"/>
          <w:u w:val="single" w:color="auto"/>
          <w:color w:val="0000FF"/>
        </w:rPr>
        <w:t xml:space="preserve"> </w:t>
      </w:r>
      <w:hyperlink r:id="rId267">
        <w:r>
          <w:rPr>
            <w:rFonts w:ascii="Arial" w:cs="Arial" w:eastAsia="Arial" w:hAnsi="Arial"/>
            <w:sz w:val="16"/>
            <w:szCs w:val="16"/>
            <w:u w:val="single" w:color="auto"/>
            <w:color w:val="0000FF"/>
          </w:rPr>
          <w:t>Report on Form 8-K filed on June 26, 2020)</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885190</wp:posOffset>
            </wp:positionH>
            <wp:positionV relativeFrom="paragraph">
              <wp:posOffset>-276225</wp:posOffset>
            </wp:positionV>
            <wp:extent cx="62388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623887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-156210</wp:posOffset>
            </wp:positionV>
            <wp:extent cx="68287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6828790"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-36195</wp:posOffset>
            </wp:positionV>
            <wp:extent cx="19843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1984375" cy="8255"/>
                    </a:xfrm>
                    <a:prstGeom prst="rect">
                      <a:avLst/>
                    </a:prstGeom>
                    <a:noFill/>
                  </pic:spPr>
                </pic:pic>
              </a:graphicData>
            </a:graphic>
          </wp:anchor>
        </w:drawing>
      </w:r>
    </w:p>
    <w:p>
      <w:pPr>
        <w:spacing w:after="0" w:line="178" w:lineRule="exact"/>
        <w:rPr>
          <w:rFonts w:ascii="Arial" w:cs="Arial" w:eastAsia="Arial" w:hAnsi="Arial"/>
          <w:sz w:val="16"/>
          <w:szCs w:val="16"/>
          <w:color w:val="auto"/>
        </w:rPr>
      </w:pPr>
    </w:p>
    <w:p>
      <w:pPr>
        <w:jc w:val="both"/>
        <w:ind w:left="460" w:right="20"/>
        <w:spacing w:after="0" w:line="266" w:lineRule="auto"/>
        <w:rPr>
          <w:rFonts w:ascii="Arial" w:cs="Arial" w:eastAsia="Arial" w:hAnsi="Arial"/>
          <w:sz w:val="16"/>
          <w:szCs w:val="16"/>
          <w:u w:val="single" w:color="auto"/>
          <w:color w:val="0000FF"/>
        </w:rPr>
      </w:pPr>
      <w:hyperlink r:id="rId271">
        <w:r>
          <w:rPr>
            <w:rFonts w:ascii="Arial" w:cs="Arial" w:eastAsia="Arial" w:hAnsi="Arial"/>
            <w:sz w:val="16"/>
            <w:szCs w:val="16"/>
            <w:color w:val="0000FF"/>
          </w:rPr>
          <w:t>Exhibit 4.3—</w:t>
        </w:r>
        <w:r>
          <w:rPr>
            <w:rFonts w:ascii="Arial" w:cs="Arial" w:eastAsia="Arial" w:hAnsi="Arial"/>
            <w:sz w:val="16"/>
            <w:szCs w:val="16"/>
            <w:u w:val="single" w:color="auto"/>
            <w:color w:val="0000FF"/>
          </w:rPr>
          <w:t>Fourth Supplemental Indenture dated as of May 29, 2024, among Schlumberger Investment S.A., as issuer, Schlumberger Limited</w:t>
        </w:r>
      </w:hyperlink>
      <w:r>
        <w:rPr>
          <w:rFonts w:ascii="Arial" w:cs="Arial" w:eastAsia="Arial" w:hAnsi="Arial"/>
          <w:sz w:val="16"/>
          <w:szCs w:val="16"/>
          <w:color w:val="0000FF"/>
        </w:rPr>
        <w:t xml:space="preserve"> </w:t>
      </w:r>
      <w:hyperlink r:id="rId271">
        <w:r>
          <w:rPr>
            <w:rFonts w:ascii="Arial" w:cs="Arial" w:eastAsia="Arial" w:hAnsi="Arial"/>
            <w:sz w:val="16"/>
            <w:szCs w:val="16"/>
            <w:u w:val="single" w:color="auto"/>
            <w:color w:val="0000FF"/>
          </w:rPr>
          <w:t>(Schlumberger N.V.), as guarantor, and The Bank of New York Mellon, as trustee (including form of global notes representing 5.000% Senior Notes</w:t>
        </w:r>
      </w:hyperlink>
      <w:r>
        <w:rPr>
          <w:rFonts w:ascii="Arial" w:cs="Arial" w:eastAsia="Arial" w:hAnsi="Arial"/>
          <w:sz w:val="16"/>
          <w:szCs w:val="16"/>
          <w:u w:val="single" w:color="auto"/>
          <w:color w:val="0000FF"/>
        </w:rPr>
        <w:t xml:space="preserve"> </w:t>
      </w:r>
      <w:hyperlink r:id="rId271">
        <w:r>
          <w:rPr>
            <w:rFonts w:ascii="Arial" w:cs="Arial" w:eastAsia="Arial" w:hAnsi="Arial"/>
            <w:sz w:val="16"/>
            <w:szCs w:val="16"/>
            <w:u w:val="single" w:color="auto"/>
            <w:color w:val="0000FF"/>
          </w:rPr>
          <w:t>due 2034) (incorporated by reference to Exhibit 4.1 to SLB’s Current Report on Form 8-K filed on May 29, 2024)</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894080</wp:posOffset>
            </wp:positionH>
            <wp:positionV relativeFrom="paragraph">
              <wp:posOffset>-276225</wp:posOffset>
            </wp:positionV>
            <wp:extent cx="62325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623252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-156210</wp:posOffset>
            </wp:positionV>
            <wp:extent cx="68313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683133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-36195</wp:posOffset>
            </wp:positionV>
            <wp:extent cx="50869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5086985" cy="8255"/>
                    </a:xfrm>
                    <a:prstGeom prst="rect">
                      <a:avLst/>
                    </a:prstGeom>
                    <a:noFill/>
                  </pic:spPr>
                </pic:pic>
              </a:graphicData>
            </a:graphic>
          </wp:anchor>
        </w:drawing>
      </w:r>
    </w:p>
    <w:p>
      <w:pPr>
        <w:spacing w:after="0" w:line="178" w:lineRule="exact"/>
        <w:rPr>
          <w:rFonts w:ascii="Arial" w:cs="Arial" w:eastAsia="Arial" w:hAnsi="Arial"/>
          <w:sz w:val="16"/>
          <w:szCs w:val="16"/>
          <w:color w:val="0000FF"/>
        </w:rPr>
      </w:pPr>
    </w:p>
    <w:p>
      <w:pPr>
        <w:ind w:left="580" w:hanging="118"/>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Exhibit 22—</w:t>
      </w:r>
      <w:r>
        <w:rPr>
          <w:rFonts w:ascii="Arial" w:cs="Arial" w:eastAsia="Arial" w:hAnsi="Arial"/>
          <w:sz w:val="16"/>
          <w:szCs w:val="16"/>
          <w:u w:val="single" w:color="auto"/>
          <w:color w:val="0000FF"/>
        </w:rPr>
        <w:t>Issuers of Registered Guaranteed Debt Securities</w:t>
      </w:r>
    </w:p>
    <w:p>
      <w:pPr>
        <w:spacing w:after="0" w:line="248" w:lineRule="exact"/>
        <w:rPr>
          <w:rFonts w:ascii="Arial" w:cs="Arial" w:eastAsia="Arial" w:hAnsi="Arial"/>
          <w:sz w:val="16"/>
          <w:szCs w:val="16"/>
          <w:color w:val="auto"/>
        </w:rPr>
      </w:pPr>
    </w:p>
    <w:p>
      <w:pPr>
        <w:ind w:left="460" w:right="20" w:firstLine="2"/>
        <w:spacing w:after="0" w:line="286" w:lineRule="auto"/>
        <w:tabs>
          <w:tab w:leader="none" w:pos="5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Exhibit 31.1—</w:t>
      </w:r>
      <w:r>
        <w:rPr>
          <w:rFonts w:ascii="Arial" w:cs="Arial" w:eastAsia="Arial" w:hAnsi="Arial"/>
          <w:sz w:val="16"/>
          <w:szCs w:val="16"/>
          <w:u w:val="single" w:color="auto"/>
          <w:color w:val="0000FF"/>
        </w:rPr>
        <w:t>Certification of Chief Executive Officer pursuant to Rule 13a-14(a) of the Securities Exchange Act of 1934, as amended, as adopted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pursuant to Section 302 of the Sarbanes-Oxley Act of 2002</w:t>
      </w:r>
    </w:p>
    <w:p>
      <w:pPr>
        <w:spacing w:after="0" w:line="182" w:lineRule="exact"/>
        <w:rPr>
          <w:rFonts w:ascii="Arial" w:cs="Arial" w:eastAsia="Arial" w:hAnsi="Arial"/>
          <w:sz w:val="16"/>
          <w:szCs w:val="16"/>
          <w:color w:val="auto"/>
        </w:rPr>
      </w:pPr>
    </w:p>
    <w:p>
      <w:pPr>
        <w:ind w:left="460" w:right="20" w:firstLine="2"/>
        <w:spacing w:after="0" w:line="286" w:lineRule="auto"/>
        <w:tabs>
          <w:tab w:leader="none" w:pos="5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Exhibit 31.2—</w:t>
      </w:r>
      <w:r>
        <w:rPr>
          <w:rFonts w:ascii="Arial" w:cs="Arial" w:eastAsia="Arial" w:hAnsi="Arial"/>
          <w:sz w:val="16"/>
          <w:szCs w:val="16"/>
          <w:u w:val="single" w:color="auto"/>
          <w:color w:val="0000FF"/>
        </w:rPr>
        <w:t>Certification of Chief Financial Officer pursuant to Rule 13a-14(a) of the Securities Exchange Act of 1934, as amended, as adopted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pursuant to Section 302 of the Sarbanes-Oxley Act of 2002</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916940</wp:posOffset>
            </wp:positionH>
            <wp:positionV relativeFrom="paragraph">
              <wp:posOffset>-834390</wp:posOffset>
            </wp:positionV>
            <wp:extent cx="22701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2270125" cy="8890"/>
                    </a:xfrm>
                    <a:prstGeom prst="rect">
                      <a:avLst/>
                    </a:prstGeom>
                    <a:noFill/>
                  </pic:spPr>
                </pic:pic>
              </a:graphicData>
            </a:graphic>
          </wp:anchor>
        </w:drawing>
        <w:drawing>
          <wp:anchor simplePos="0" relativeHeight="251657728" behindDoc="1" locked="0" layoutInCell="0" allowOverlap="1">
            <wp:simplePos x="0" y="0"/>
            <wp:positionH relativeFrom="column">
              <wp:posOffset>1010920</wp:posOffset>
            </wp:positionH>
            <wp:positionV relativeFrom="paragraph">
              <wp:posOffset>-560070</wp:posOffset>
            </wp:positionV>
            <wp:extent cx="6116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611632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-440055</wp:posOffset>
            </wp:positionV>
            <wp:extent cx="2687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2687320" cy="8255"/>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-165735</wp:posOffset>
            </wp:positionV>
            <wp:extent cx="61080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6108065"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-45720</wp:posOffset>
            </wp:positionV>
            <wp:extent cx="2687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2687320" cy="8890"/>
                    </a:xfrm>
                    <a:prstGeom prst="rect">
                      <a:avLst/>
                    </a:prstGeom>
                    <a:noFill/>
                  </pic:spPr>
                </pic:pic>
              </a:graphicData>
            </a:graphic>
          </wp:anchor>
        </w:drawing>
      </w:r>
    </w:p>
    <w:p>
      <w:pPr>
        <w:spacing w:after="0" w:line="163" w:lineRule="exact"/>
        <w:rPr>
          <w:rFonts w:ascii="Arial" w:cs="Arial" w:eastAsia="Arial" w:hAnsi="Arial"/>
          <w:sz w:val="16"/>
          <w:szCs w:val="16"/>
          <w:color w:val="0000FF"/>
        </w:rPr>
      </w:pPr>
    </w:p>
    <w:p>
      <w:pPr>
        <w:ind w:left="460" w:right="20" w:firstLine="2"/>
        <w:spacing w:after="0" w:line="286" w:lineRule="auto"/>
        <w:tabs>
          <w:tab w:leader="none" w:pos="645"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Exhibit 32.1—</w:t>
      </w:r>
      <w:r>
        <w:rPr>
          <w:rFonts w:ascii="Arial" w:cs="Arial" w:eastAsia="Arial" w:hAnsi="Arial"/>
          <w:sz w:val="16"/>
          <w:szCs w:val="16"/>
          <w:u w:val="single" w:color="auto"/>
          <w:color w:val="0000FF"/>
        </w:rPr>
        <w:t>Certification of Chief Executive Officer pursuant to 18 U.S.C. Section 1350, as adopted pursuant to Section 906 of the Sarbanes-Oxley Act of 2002</w:t>
      </w:r>
    </w:p>
    <w:p>
      <w:pPr>
        <w:spacing w:after="0" w:line="182" w:lineRule="exact"/>
        <w:rPr>
          <w:rFonts w:ascii="Arial" w:cs="Arial" w:eastAsia="Arial" w:hAnsi="Arial"/>
          <w:sz w:val="16"/>
          <w:szCs w:val="16"/>
          <w:color w:val="auto"/>
        </w:rPr>
      </w:pPr>
    </w:p>
    <w:p>
      <w:pPr>
        <w:ind w:left="460" w:right="20" w:firstLine="2"/>
        <w:spacing w:after="0" w:line="286" w:lineRule="auto"/>
        <w:tabs>
          <w:tab w:leader="none" w:pos="631"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Exhibit 32.2—</w:t>
      </w:r>
      <w:r>
        <w:rPr>
          <w:rFonts w:ascii="Arial" w:cs="Arial" w:eastAsia="Arial" w:hAnsi="Arial"/>
          <w:sz w:val="16"/>
          <w:szCs w:val="16"/>
          <w:u w:val="single" w:color="auto"/>
          <w:color w:val="0000FF"/>
        </w:rPr>
        <w:t>Certification of Chief Financial Officer pursuant to 18 U.S.C. Section 1350, as adopted pursuant to Section 906 of the Sarbanes-Oxley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Act of 2002</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1059815</wp:posOffset>
            </wp:positionH>
            <wp:positionV relativeFrom="paragraph">
              <wp:posOffset>-560070</wp:posOffset>
            </wp:positionV>
            <wp:extent cx="60623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6062345"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-440055</wp:posOffset>
            </wp:positionV>
            <wp:extent cx="81153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81153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-165735</wp:posOffset>
            </wp:positionV>
            <wp:extent cx="608520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6085205" cy="88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-45720</wp:posOffset>
            </wp:positionV>
            <wp:extent cx="5200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520065" cy="8255"/>
                    </a:xfrm>
                    <a:prstGeom prst="rect">
                      <a:avLst/>
                    </a:prstGeom>
                    <a:noFill/>
                  </pic:spPr>
                </pic:pic>
              </a:graphicData>
            </a:graphic>
          </wp:anchor>
        </w:drawing>
      </w:r>
    </w:p>
    <w:p>
      <w:pPr>
        <w:spacing w:after="0" w:line="163" w:lineRule="exact"/>
        <w:rPr>
          <w:rFonts w:ascii="Arial" w:cs="Arial" w:eastAsia="Arial" w:hAnsi="Arial"/>
          <w:sz w:val="16"/>
          <w:szCs w:val="16"/>
          <w:color w:val="0000FF"/>
        </w:rPr>
      </w:pPr>
    </w:p>
    <w:p>
      <w:pPr>
        <w:ind w:left="580" w:hanging="118"/>
        <w:spacing w:after="0"/>
        <w:tabs>
          <w:tab w:leader="none" w:pos="5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Exhibit 95—</w:t>
      </w:r>
      <w:r>
        <w:rPr>
          <w:rFonts w:ascii="Arial" w:cs="Arial" w:eastAsia="Arial" w:hAnsi="Arial"/>
          <w:sz w:val="16"/>
          <w:szCs w:val="16"/>
          <w:u w:val="single" w:color="auto"/>
          <w:color w:val="0000FF"/>
        </w:rPr>
        <w:t>Mine Safety Disclosures</w:t>
      </w:r>
    </w:p>
    <w:p>
      <w:pPr>
        <w:spacing w:after="0" w:line="248" w:lineRule="exact"/>
        <w:rPr>
          <w:rFonts w:ascii="Arial" w:cs="Arial" w:eastAsia="Arial" w:hAnsi="Arial"/>
          <w:sz w:val="16"/>
          <w:szCs w:val="16"/>
          <w:color w:val="auto"/>
        </w:rPr>
      </w:pPr>
    </w:p>
    <w:p>
      <w:pPr>
        <w:ind w:left="460" w:right="20" w:firstLine="2"/>
        <w:spacing w:after="0" w:line="286" w:lineRule="auto"/>
        <w:tabs>
          <w:tab w:leader="none" w:pos="58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Exhibit 101.INS—Inline XBRL Instance Document – the instance document does not appear in the Interactive Data File because XBRL tags are embedded within the Inline XBRL document</w:t>
      </w:r>
    </w:p>
    <w:p>
      <w:pPr>
        <w:spacing w:after="0" w:line="182" w:lineRule="exact"/>
        <w:rPr>
          <w:rFonts w:ascii="Arial" w:cs="Arial" w:eastAsia="Arial" w:hAnsi="Arial"/>
          <w:sz w:val="16"/>
          <w:szCs w:val="16"/>
          <w:color w:val="auto"/>
        </w:rPr>
      </w:pPr>
    </w:p>
    <w:p>
      <w:pPr>
        <w:ind w:left="580" w:hanging="118"/>
        <w:spacing w:after="0"/>
        <w:tabs>
          <w:tab w:leader="none" w:pos="5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Exhibit 101.SCH—Inline XBRL Taxonomy Extension Schema Document</w:t>
      </w:r>
    </w:p>
    <w:p>
      <w:pPr>
        <w:spacing w:after="0" w:line="248" w:lineRule="exact"/>
        <w:rPr>
          <w:rFonts w:ascii="Arial" w:cs="Arial" w:eastAsia="Arial" w:hAnsi="Arial"/>
          <w:sz w:val="16"/>
          <w:szCs w:val="16"/>
          <w:color w:val="auto"/>
        </w:rPr>
      </w:pPr>
    </w:p>
    <w:p>
      <w:pPr>
        <w:ind w:left="580" w:hanging="118"/>
        <w:spacing w:after="0"/>
        <w:tabs>
          <w:tab w:leader="none" w:pos="5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Exhibit 101.CAL—Inline XBRL Taxonomy Extension Calculation Linkbase Document</w:t>
      </w:r>
    </w:p>
    <w:p>
      <w:pPr>
        <w:spacing w:after="0" w:line="248" w:lineRule="exact"/>
        <w:rPr>
          <w:rFonts w:ascii="Arial" w:cs="Arial" w:eastAsia="Arial" w:hAnsi="Arial"/>
          <w:sz w:val="16"/>
          <w:szCs w:val="16"/>
          <w:color w:val="auto"/>
        </w:rPr>
      </w:pPr>
    </w:p>
    <w:p>
      <w:pPr>
        <w:ind w:left="580" w:hanging="118"/>
        <w:spacing w:after="0"/>
        <w:tabs>
          <w:tab w:leader="none" w:pos="5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Exhibit 101.DEF—Inline XBRL Taxonomy Extension Definition Linkbase Document</w:t>
      </w:r>
    </w:p>
    <w:p>
      <w:pPr>
        <w:spacing w:after="0" w:line="248" w:lineRule="exact"/>
        <w:rPr>
          <w:rFonts w:ascii="Arial" w:cs="Arial" w:eastAsia="Arial" w:hAnsi="Arial"/>
          <w:sz w:val="16"/>
          <w:szCs w:val="16"/>
          <w:color w:val="auto"/>
        </w:rPr>
      </w:pPr>
    </w:p>
    <w:p>
      <w:pPr>
        <w:ind w:left="580" w:hanging="118"/>
        <w:spacing w:after="0"/>
        <w:tabs>
          <w:tab w:leader="none" w:pos="5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Exhibit 101.LAB—Inline XBRL Taxonomy Extension Label Linkbase Document</w:t>
      </w:r>
    </w:p>
    <w:p>
      <w:pPr>
        <w:spacing w:after="0" w:line="248" w:lineRule="exact"/>
        <w:rPr>
          <w:rFonts w:ascii="Arial" w:cs="Arial" w:eastAsia="Arial" w:hAnsi="Arial"/>
          <w:sz w:val="16"/>
          <w:szCs w:val="16"/>
          <w:color w:val="auto"/>
        </w:rPr>
      </w:pPr>
    </w:p>
    <w:p>
      <w:pPr>
        <w:ind w:left="580" w:hanging="118"/>
        <w:spacing w:after="0"/>
        <w:tabs>
          <w:tab w:leader="none" w:pos="5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Exhibit 101.PRE—Inline XBRL Taxonomy Extension Presentation Linkbase Document</w:t>
      </w:r>
    </w:p>
    <w:p>
      <w:pPr>
        <w:spacing w:after="0" w:line="248" w:lineRule="exact"/>
        <w:rPr>
          <w:rFonts w:ascii="Arial" w:cs="Arial" w:eastAsia="Arial" w:hAnsi="Arial"/>
          <w:sz w:val="16"/>
          <w:szCs w:val="16"/>
          <w:color w:val="auto"/>
        </w:rPr>
      </w:pPr>
    </w:p>
    <w:p>
      <w:pPr>
        <w:ind w:right="4060" w:firstLine="462"/>
        <w:spacing w:after="0" w:line="449" w:lineRule="auto"/>
        <w:tabs>
          <w:tab w:leader="none" w:pos="562"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Exhibit 104—Cover Page Interactive Data File (embedded within the Inline XBRL document) * Filed with this Form 10-Q.</w:t>
      </w:r>
    </w:p>
    <w:p>
      <w:pPr>
        <w:ind w:left="180" w:hanging="172"/>
        <w:spacing w:after="0"/>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Furnished with this Form 10-Q.</w:t>
      </w:r>
    </w:p>
    <w:p>
      <w:pPr>
        <w:spacing w:after="0" w:line="113" w:lineRule="exact"/>
        <w:rPr>
          <w:rFonts w:ascii="Arial" w:cs="Arial" w:eastAsia="Arial" w:hAnsi="Arial"/>
          <w:sz w:val="16"/>
          <w:szCs w:val="16"/>
          <w:color w:val="auto"/>
        </w:rPr>
      </w:pPr>
    </w:p>
    <w:p>
      <w:pPr>
        <w:ind w:firstLine="8"/>
        <w:spacing w:after="0" w:line="286" w:lineRule="auto"/>
        <w:tabs>
          <w:tab w:leader="none" w:pos="2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601(b)(2). SLB agrees to furnish supplementally a copy of all omitted exhibits and schedules to the SEC upon its request.</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916940</wp:posOffset>
            </wp:positionH>
            <wp:positionV relativeFrom="paragraph">
              <wp:posOffset>-2832100</wp:posOffset>
            </wp:positionV>
            <wp:extent cx="110299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28"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6"/>
          <w:szCs w:val="16"/>
          <w:color w:val="auto"/>
        </w:rPr>
        <w:t>(+) Management contracts or compensatory plans or arrangements.</w:t>
      </w:r>
    </w:p>
    <w:p>
      <w:pPr>
        <w:spacing w:after="0" w:line="113" w:lineRule="exact"/>
        <w:rPr>
          <w:rFonts w:ascii="Arial" w:cs="Arial" w:eastAsia="Arial" w:hAnsi="Arial"/>
          <w:sz w:val="16"/>
          <w:szCs w:val="16"/>
          <w:color w:val="0000FF"/>
        </w:rPr>
      </w:pPr>
    </w:p>
    <w:p>
      <w:pPr>
        <w:ind w:right="20"/>
        <w:spacing w:after="0" w:line="286" w:lineRule="auto"/>
        <w:rPr>
          <w:sz w:val="20"/>
          <w:szCs w:val="20"/>
          <w:color w:val="auto"/>
        </w:rPr>
      </w:pPr>
      <w:r>
        <w:rPr>
          <w:rFonts w:ascii="Arial" w:cs="Arial" w:eastAsia="Arial" w:hAnsi="Arial"/>
          <w:sz w:val="16"/>
          <w:szCs w:val="16"/>
          <w:color w:val="auto"/>
        </w:rPr>
        <w:t>The Exhibits filed herewith do not include certain instruments with respect to long-term debt of Schlumberger Limited and its subsidiaries, inasmuch as the total amount of debt authorized under any such instrument does not exceed 10 percent of the total assets of</w:t>
      </w:r>
    </w:p>
    <w:p>
      <w:pPr>
        <w:spacing w:after="0" w:line="156" w:lineRule="exact"/>
        <w:rPr>
          <w:rFonts w:ascii="Arial" w:cs="Arial" w:eastAsia="Arial" w:hAnsi="Arial"/>
          <w:sz w:val="16"/>
          <w:szCs w:val="16"/>
          <w:color w:val="0000FF"/>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3" w:name="page24"/>
    <w:bookmarkEnd w:id="23"/>
    <w:p>
      <w:pPr>
        <w:spacing w:after="0" w:line="286" w:lineRule="auto"/>
        <w:rPr>
          <w:sz w:val="20"/>
          <w:szCs w:val="20"/>
          <w:color w:val="auto"/>
        </w:rPr>
      </w:pPr>
      <w:r>
        <w:rPr>
          <w:rFonts w:ascii="Arial" w:cs="Arial" w:eastAsia="Arial" w:hAnsi="Arial"/>
          <w:sz w:val="16"/>
          <w:szCs w:val="16"/>
          <w:color w:val="auto"/>
        </w:rPr>
        <w:t>Schlumberger Limited and its subsidiaries on a consolidated basis. SLB agrees, pursuant to Item 601(b)(4)(iii) of Regulation S-K, that it will furnish a copy of any such instrument to the SEC upon request.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6"/>
          <w:szCs w:val="16"/>
          <w:color w:val="auto"/>
        </w:rPr>
        <w:t>SIGNATURE</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SCHLUMBERGER LIMITED</w:t>
      </w:r>
    </w:p>
    <w:p>
      <w:pPr>
        <w:spacing w:after="0" w:line="235" w:lineRule="exact"/>
        <w:rPr>
          <w:sz w:val="20"/>
          <w:szCs w:val="20"/>
          <w:color w:val="auto"/>
        </w:rPr>
      </w:pPr>
    </w:p>
    <w:p>
      <w:pPr>
        <w:ind w:left="20"/>
        <w:spacing w:after="0"/>
        <w:tabs>
          <w:tab w:leader="none" w:pos="560" w:val="left"/>
          <w:tab w:leader="none" w:pos="5740" w:val="left"/>
        </w:tabs>
        <w:rPr>
          <w:sz w:val="20"/>
          <w:szCs w:val="20"/>
          <w:color w:val="auto"/>
        </w:rPr>
      </w:pPr>
      <w:r>
        <w:rPr>
          <w:rFonts w:ascii="Arial" w:cs="Arial" w:eastAsia="Arial" w:hAnsi="Arial"/>
          <w:sz w:val="16"/>
          <w:szCs w:val="16"/>
          <w:color w:val="auto"/>
        </w:rPr>
        <w:t>Date:</w:t>
        <w:tab/>
        <w:t>July 24, 2024</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20955</wp:posOffset>
            </wp:positionV>
            <wp:extent cx="3488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6" w:lineRule="exact"/>
        <w:rPr>
          <w:sz w:val="20"/>
          <w:szCs w:val="20"/>
          <w:color w:val="auto"/>
        </w:rPr>
      </w:pPr>
    </w:p>
    <w:p>
      <w:pPr>
        <w:ind w:left="5760"/>
        <w:spacing w:after="0"/>
        <w:rPr>
          <w:sz w:val="20"/>
          <w:szCs w:val="20"/>
          <w:color w:val="auto"/>
        </w:rPr>
      </w:pPr>
      <w:r>
        <w:rPr>
          <w:rFonts w:ascii="Arial" w:cs="Arial" w:eastAsia="Arial" w:hAnsi="Arial"/>
          <w:sz w:val="16"/>
          <w:szCs w:val="16"/>
          <w:b w:val="1"/>
          <w:bCs w:val="1"/>
          <w:color w:val="auto"/>
        </w:rPr>
        <w:t>Howard Guild</w:t>
      </w:r>
    </w:p>
    <w:p>
      <w:pPr>
        <w:spacing w:after="0" w:line="39" w:lineRule="exact"/>
        <w:rPr>
          <w:sz w:val="20"/>
          <w:szCs w:val="20"/>
          <w:color w:val="auto"/>
        </w:rPr>
      </w:pPr>
    </w:p>
    <w:p>
      <w:pPr>
        <w:ind w:left="576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auto"/>
        </w:rPr>
        <w:t>Exhibit 22</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Issuers of Registered Guaranteed Debt Securities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June 30, 2024, (i) SISA was the issuer of its 4.500% Senior Notes due 2028, 2.650% Senior Notes due 2030, 4.850% Senior Notes due 2033, and 5.000% Senior Notes due 2034 (together, the “SISA Notes”), and (ii) SFCL was the issuer of its 1.400% Senior Notes due 2025 (the “SFCL Notes”). The Guarantor fully and unconditionally guarantees the SISA Notes and the SFCL Notes on a senior unsecured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p>
      <w:pPr>
        <w:ind w:left="1030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Olivier Le Peuch, certify that:</w:t>
      </w:r>
    </w:p>
    <w:p>
      <w:pPr>
        <w:spacing w:after="0" w:line="113" w:lineRule="exact"/>
        <w:rPr>
          <w:sz w:val="20"/>
          <w:szCs w:val="20"/>
          <w:color w:val="auto"/>
        </w:rPr>
      </w:pPr>
    </w:p>
    <w:p>
      <w:pPr>
        <w:ind w:left="560" w:hanging="178"/>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40" w:hanging="513"/>
        <w:spacing w:after="0" w:line="286"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firstLine="382"/>
        <w:spacing w:after="0" w:line="286" w:lineRule="auto"/>
        <w:tabs>
          <w:tab w:leader="none" w:pos="56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hanging="513"/>
        <w:spacing w:after="0" w:line="286" w:lineRule="auto"/>
        <w:tabs>
          <w:tab w:leader="none" w:pos="97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6"/>
          <w:szCs w:val="16"/>
          <w:color w:val="auto"/>
        </w:rPr>
        <w:t>Date: July 24, 2024</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20955</wp:posOffset>
            </wp:positionV>
            <wp:extent cx="2854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Olivier Le Peuch</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1036955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7" w:name="page28"/>
    <w:bookmarkEnd w:id="27"/>
    <w:p>
      <w:pPr>
        <w:ind w:left="1030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Stephane Biguet, certify that:</w:t>
      </w:r>
    </w:p>
    <w:p>
      <w:pPr>
        <w:spacing w:after="0" w:line="113" w:lineRule="exact"/>
        <w:rPr>
          <w:sz w:val="20"/>
          <w:szCs w:val="20"/>
          <w:color w:val="auto"/>
        </w:rPr>
      </w:pPr>
    </w:p>
    <w:p>
      <w:pPr>
        <w:ind w:left="560" w:hanging="178"/>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60" w:hanging="513"/>
        <w:spacing w:after="0" w:line="286"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firstLine="382"/>
        <w:spacing w:after="0" w:line="286" w:lineRule="auto"/>
        <w:tabs>
          <w:tab w:leader="none" w:pos="56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hanging="513"/>
        <w:spacing w:after="0" w:line="286" w:lineRule="auto"/>
        <w:tabs>
          <w:tab w:leader="none" w:pos="9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July 24, 2024</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20955</wp:posOffset>
            </wp:positionV>
            <wp:extent cx="28460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Stephane Biguet</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916940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28" w:name="page29"/>
    <w:bookmarkEnd w:id="28"/>
    <w:p>
      <w:pPr>
        <w:ind w:left="10300"/>
        <w:spacing w:after="0"/>
        <w:rPr>
          <w:sz w:val="20"/>
          <w:szCs w:val="20"/>
          <w:color w:val="auto"/>
        </w:rPr>
      </w:pPr>
      <w:r>
        <w:rPr>
          <w:rFonts w:ascii="Arial" w:cs="Arial" w:eastAsia="Arial" w:hAnsi="Arial"/>
          <w:sz w:val="16"/>
          <w:szCs w:val="16"/>
          <w:b w:val="1"/>
          <w:bCs w:val="1"/>
          <w:u w:val="single" w:color="auto"/>
          <w:color w:val="auto"/>
        </w:rPr>
        <w:t>Exhibit 32.1</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2024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6"/>
          <w:szCs w:val="16"/>
          <w:color w:val="auto"/>
        </w:rPr>
        <w:t>Date: July 24, 2024</w:t>
      </w:r>
      <w:r>
        <w:rPr>
          <w:sz w:val="20"/>
          <w:szCs w:val="20"/>
          <w:color w:val="auto"/>
        </w:rPr>
        <w:tab/>
      </w:r>
      <w:r>
        <w:rPr>
          <w:rFonts w:ascii="Arial" w:cs="Arial" w:eastAsia="Arial" w:hAnsi="Arial"/>
          <w:sz w:val="16"/>
          <w:szCs w:val="16"/>
          <w:color w:val="auto"/>
        </w:rPr>
        <w:t>/s/ Olivier Le Peuch</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-115570</wp:posOffset>
            </wp:positionV>
            <wp:extent cx="30861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Chief Executive Officer</w:t>
      </w:r>
    </w:p>
    <w:p>
      <w:pPr>
        <w:spacing w:after="0" w:line="23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9" w:name="page30"/>
    <w:bookmarkEnd w:id="29"/>
    <w:p>
      <w:pPr>
        <w:ind w:left="10300"/>
        <w:spacing w:after="0"/>
        <w:rPr>
          <w:sz w:val="20"/>
          <w:szCs w:val="20"/>
          <w:color w:val="auto"/>
        </w:rPr>
      </w:pPr>
      <w:r>
        <w:rPr>
          <w:rFonts w:ascii="Arial" w:cs="Arial" w:eastAsia="Arial" w:hAnsi="Arial"/>
          <w:sz w:val="16"/>
          <w:szCs w:val="16"/>
          <w:b w:val="1"/>
          <w:bCs w:val="1"/>
          <w:u w:val="single" w:color="auto"/>
          <w:color w:val="auto"/>
        </w:rPr>
        <w:t>Exhibit 32.2</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FINANCIAL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2024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6"/>
          <w:szCs w:val="16"/>
          <w:color w:val="auto"/>
        </w:rPr>
        <w:t>Date: July 24, 2024</w:t>
      </w:r>
      <w:r>
        <w:rPr>
          <w:sz w:val="20"/>
          <w:szCs w:val="20"/>
          <w:color w:val="auto"/>
        </w:rPr>
        <w:tab/>
      </w:r>
      <w:r>
        <w:rPr>
          <w:rFonts w:ascii="Arial" w:cs="Arial" w:eastAsia="Arial" w:hAnsi="Arial"/>
          <w:sz w:val="16"/>
          <w:szCs w:val="16"/>
          <w:color w:val="auto"/>
        </w:rPr>
        <w:t>/s/ Stephane Biguet</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-115570</wp:posOffset>
            </wp:positionV>
            <wp:extent cx="30861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1"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Executive Vice President and Chief Financial Officer</w:t>
      </w:r>
    </w:p>
    <w:p>
      <w:pPr>
        <w:spacing w:after="0" w:line="23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0" w:name="page31"/>
    <w:bookmarkEnd w:id="30"/>
    <w:p>
      <w:pPr>
        <w:ind w:left="10440"/>
        <w:spacing w:after="0"/>
        <w:rPr>
          <w:sz w:val="20"/>
          <w:szCs w:val="20"/>
          <w:color w:val="auto"/>
        </w:rPr>
      </w:pPr>
      <w:r>
        <w:rPr>
          <w:rFonts w:ascii="Arial" w:cs="Arial" w:eastAsia="Arial" w:hAnsi="Arial"/>
          <w:sz w:val="16"/>
          <w:szCs w:val="16"/>
          <w:b w:val="1"/>
          <w:bCs w:val="1"/>
          <w:u w:val="single" w:color="auto"/>
          <w:color w:val="auto"/>
        </w:rPr>
        <w:t>Exhibit 95</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Mine Safety Disclosure</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indirect subsidiaries of SLB. The disclosure is with respect to the three months ended June 30, 2024. Due to timing and other factors, the data may not agree with the mine data retrieval system maintained by the MSHA at www.MSHA.gov.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Three Months Ended June 30, 2024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whole dollars</w:t>
      </w:r>
      <w:r>
        <w:rPr>
          <w:rFonts w:ascii="Arial" w:cs="Arial" w:eastAsia="Arial" w:hAnsi="Arial"/>
          <w:sz w:val="16"/>
          <w:szCs w:val="16"/>
          <w:color w:val="auto"/>
        </w:rPr>
        <w:t>)</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40" w:type="dxa"/>
            <w:vAlign w:val="bottom"/>
          </w:tcPr>
          <w:p>
            <w:pPr>
              <w:jc w:val="center"/>
              <w:spacing w:after="0"/>
              <w:rPr>
                <w:sz w:val="20"/>
                <w:szCs w:val="20"/>
                <w:color w:val="auto"/>
              </w:rPr>
            </w:pPr>
            <w:r>
              <w:rPr>
                <w:rFonts w:ascii="Arial" w:cs="Arial" w:eastAsia="Arial" w:hAnsi="Arial"/>
                <w:sz w:val="14"/>
                <w:szCs w:val="14"/>
                <w:color w:val="auto"/>
              </w:rPr>
              <w:t>Potential to</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40" w:type="dxa"/>
            <w:vAlign w:val="bottom"/>
          </w:tcPr>
          <w:p>
            <w:pPr>
              <w:jc w:val="center"/>
              <w:spacing w:after="0"/>
              <w:rPr>
                <w:sz w:val="20"/>
                <w:szCs w:val="20"/>
                <w:color w:val="auto"/>
              </w:rPr>
            </w:pPr>
            <w:r>
              <w:rPr>
                <w:rFonts w:ascii="Arial" w:cs="Arial" w:eastAsia="Arial" w:hAnsi="Arial"/>
                <w:sz w:val="14"/>
                <w:szCs w:val="14"/>
                <w:color w:val="auto"/>
              </w:rPr>
              <w:t>Have</w:t>
            </w:r>
          </w:p>
        </w:tc>
        <w:tc>
          <w:tcPr>
            <w:tcW w:w="820" w:type="dxa"/>
            <w:vAlign w:val="bottom"/>
          </w:tcPr>
          <w:p>
            <w:pPr>
              <w:jc w:val="center"/>
              <w:spacing w:after="0"/>
              <w:rPr>
                <w:sz w:val="20"/>
                <w:szCs w:val="20"/>
                <w:color w:val="auto"/>
              </w:rPr>
            </w:pPr>
            <w:r>
              <w:rPr>
                <w:rFonts w:ascii="Arial" w:cs="Arial" w:eastAsia="Arial" w:hAnsi="Arial"/>
                <w:sz w:val="14"/>
                <w:szCs w:val="14"/>
                <w:color w:val="auto"/>
              </w:rPr>
              <w:t>Legal</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Pattern of</w:t>
            </w:r>
          </w:p>
        </w:tc>
        <w:tc>
          <w:tcPr>
            <w:tcW w:w="840" w:type="dxa"/>
            <w:vAlign w:val="bottom"/>
          </w:tcPr>
          <w:p>
            <w:pPr>
              <w:jc w:val="center"/>
              <w:spacing w:after="0"/>
              <w:rPr>
                <w:sz w:val="20"/>
                <w:szCs w:val="20"/>
                <w:color w:val="auto"/>
              </w:rPr>
            </w:pPr>
            <w:r>
              <w:rPr>
                <w:rFonts w:ascii="Arial" w:cs="Arial" w:eastAsia="Arial" w:hAnsi="Arial"/>
                <w:sz w:val="14"/>
                <w:szCs w:val="14"/>
                <w:color w:val="auto"/>
              </w:rPr>
              <w:t>Pattern</w:t>
            </w:r>
          </w:p>
        </w:tc>
        <w:tc>
          <w:tcPr>
            <w:tcW w:w="820" w:type="dxa"/>
            <w:vAlign w:val="bottom"/>
          </w:tcPr>
          <w:p>
            <w:pPr>
              <w:jc w:val="center"/>
              <w:spacing w:after="0"/>
              <w:rPr>
                <w:sz w:val="20"/>
                <w:szCs w:val="20"/>
                <w:color w:val="auto"/>
              </w:rPr>
            </w:pPr>
            <w:r>
              <w:rPr>
                <w:rFonts w:ascii="Arial" w:cs="Arial" w:eastAsia="Arial" w:hAnsi="Arial"/>
                <w:sz w:val="14"/>
                <w:szCs w:val="14"/>
                <w:color w:val="auto"/>
              </w:rPr>
              <w:t>Actions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Total Dollar</w:t>
            </w:r>
          </w:p>
        </w:tc>
        <w:tc>
          <w:tcPr>
            <w:tcW w:w="70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760" w:type="dxa"/>
            <w:vAlign w:val="bottom"/>
          </w:tcPr>
          <w:p>
            <w:pPr>
              <w:jc w:val="center"/>
              <w:spacing w:after="0"/>
              <w:rPr>
                <w:sz w:val="20"/>
                <w:szCs w:val="20"/>
                <w:color w:val="auto"/>
              </w:rPr>
            </w:pPr>
            <w:r>
              <w:rPr>
                <w:rFonts w:ascii="Arial" w:cs="Arial" w:eastAsia="Arial" w:hAnsi="Arial"/>
                <w:sz w:val="14"/>
                <w:szCs w:val="14"/>
                <w:color w:val="auto"/>
              </w:rPr>
              <w:t>Violations</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Under</w:t>
            </w:r>
          </w:p>
        </w:tc>
        <w:tc>
          <w:tcPr>
            <w:tcW w:w="820" w:type="dxa"/>
            <w:vAlign w:val="bottom"/>
          </w:tcPr>
          <w:p>
            <w:pPr>
              <w:jc w:val="center"/>
              <w:spacing w:after="0"/>
              <w:rPr>
                <w:sz w:val="20"/>
                <w:szCs w:val="20"/>
                <w:color w:val="auto"/>
              </w:rPr>
            </w:pPr>
            <w:r>
              <w:rPr>
                <w:rFonts w:ascii="Arial" w:cs="Arial" w:eastAsia="Arial" w:hAnsi="Arial"/>
                <w:sz w:val="14"/>
                <w:szCs w:val="14"/>
                <w:color w:val="auto"/>
              </w:rPr>
              <w:t>Pending as</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Legal</w:t>
            </w:r>
          </w:p>
        </w:tc>
        <w:tc>
          <w:tcPr>
            <w:tcW w:w="720" w:type="dxa"/>
            <w:vAlign w:val="bottom"/>
          </w:tcPr>
          <w:p>
            <w:pPr>
              <w:jc w:val="center"/>
              <w:spacing w:after="0"/>
              <w:rPr>
                <w:sz w:val="20"/>
                <w:szCs w:val="20"/>
                <w:color w:val="auto"/>
              </w:rPr>
            </w:pPr>
            <w:r>
              <w:rPr>
                <w:rFonts w:ascii="Arial" w:cs="Arial" w:eastAsia="Arial" w:hAnsi="Arial"/>
                <w:sz w:val="14"/>
                <w:szCs w:val="14"/>
                <w:color w:val="auto"/>
              </w:rPr>
              <w:t>Legal</w:t>
            </w:r>
          </w:p>
        </w:tc>
      </w:tr>
      <w:tr>
        <w:trPr>
          <w:trHeight w:val="162"/>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104(d)</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Value of MSHA</w:t>
            </w:r>
          </w:p>
        </w:tc>
        <w:tc>
          <w:tcPr>
            <w:tcW w:w="700" w:type="dxa"/>
            <w:vAlign w:val="bottom"/>
          </w:tcPr>
          <w:p>
            <w:pPr>
              <w:jc w:val="center"/>
              <w:spacing w:after="0"/>
              <w:rPr>
                <w:sz w:val="20"/>
                <w:szCs w:val="20"/>
                <w:color w:val="auto"/>
              </w:rPr>
            </w:pPr>
            <w:r>
              <w:rPr>
                <w:rFonts w:ascii="Arial" w:cs="Arial" w:eastAsia="Arial" w:hAnsi="Arial"/>
                <w:sz w:val="14"/>
                <w:szCs w:val="14"/>
                <w:color w:val="auto"/>
              </w:rPr>
              <w:t>Number</w:t>
            </w:r>
          </w:p>
        </w:tc>
        <w:tc>
          <w:tcPr>
            <w:tcW w:w="760" w:type="dxa"/>
            <w:vAlign w:val="bottom"/>
          </w:tcPr>
          <w:p>
            <w:pPr>
              <w:jc w:val="center"/>
              <w:spacing w:after="0"/>
              <w:rPr>
                <w:sz w:val="20"/>
                <w:szCs w:val="20"/>
                <w:color w:val="auto"/>
              </w:rPr>
            </w:pPr>
            <w:r>
              <w:rPr>
                <w:rFonts w:ascii="Arial" w:cs="Arial" w:eastAsia="Arial" w:hAnsi="Arial"/>
                <w:sz w:val="14"/>
                <w:szCs w:val="14"/>
                <w:color w:val="auto"/>
              </w:rPr>
              <w:t>Under</w:t>
            </w:r>
          </w:p>
        </w:tc>
        <w:tc>
          <w:tcPr>
            <w:tcW w:w="8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820" w:type="dxa"/>
            <w:vAlign w:val="bottom"/>
          </w:tcPr>
          <w:p>
            <w:pPr>
              <w:jc w:val="center"/>
              <w:spacing w:after="0"/>
              <w:rPr>
                <w:sz w:val="20"/>
                <w:szCs w:val="20"/>
                <w:color w:val="auto"/>
              </w:rPr>
            </w:pPr>
            <w:r>
              <w:rPr>
                <w:rFonts w:ascii="Arial" w:cs="Arial" w:eastAsia="Arial" w:hAnsi="Arial"/>
                <w:sz w:val="14"/>
                <w:szCs w:val="14"/>
                <w:color w:val="auto"/>
              </w:rPr>
              <w:t>of Last Day</w:t>
            </w:r>
          </w:p>
        </w:tc>
        <w:tc>
          <w:tcPr>
            <w:tcW w:w="640" w:type="dxa"/>
            <w:vAlign w:val="bottom"/>
          </w:tcPr>
          <w:p>
            <w:pPr>
              <w:jc w:val="center"/>
              <w:spacing w:after="0"/>
              <w:rPr>
                <w:sz w:val="20"/>
                <w:szCs w:val="20"/>
                <w:color w:val="auto"/>
              </w:rPr>
            </w:pPr>
            <w:r>
              <w:rPr>
                <w:rFonts w:ascii="Arial" w:cs="Arial" w:eastAsia="Arial" w:hAnsi="Arial"/>
                <w:sz w:val="14"/>
                <w:szCs w:val="14"/>
                <w:color w:val="auto"/>
              </w:rPr>
              <w:t>Actions</w:t>
            </w:r>
          </w:p>
        </w:tc>
        <w:tc>
          <w:tcPr>
            <w:tcW w:w="720" w:type="dxa"/>
            <w:vAlign w:val="bottom"/>
          </w:tcPr>
          <w:p>
            <w:pPr>
              <w:jc w:val="center"/>
              <w:spacing w:after="0"/>
              <w:rPr>
                <w:sz w:val="20"/>
                <w:szCs w:val="20"/>
                <w:color w:val="auto"/>
              </w:rPr>
            </w:pPr>
            <w:r>
              <w:rPr>
                <w:rFonts w:ascii="Arial" w:cs="Arial" w:eastAsia="Arial" w:hAnsi="Arial"/>
                <w:sz w:val="14"/>
                <w:szCs w:val="14"/>
                <w:color w:val="auto"/>
              </w:rPr>
              <w:t>Actions</w:t>
            </w:r>
          </w:p>
        </w:tc>
      </w:tr>
      <w:tr>
        <w:trPr>
          <w:trHeight w:val="144"/>
        </w:trPr>
        <w:tc>
          <w:tcPr>
            <w:tcW w:w="2060" w:type="dxa"/>
            <w:vAlign w:val="bottom"/>
          </w:tcPr>
          <w:p>
            <w:pPr>
              <w:ind w:left="220"/>
              <w:spacing w:after="0" w:line="145" w:lineRule="exact"/>
              <w:rPr>
                <w:sz w:val="20"/>
                <w:szCs w:val="20"/>
                <w:color w:val="auto"/>
              </w:rPr>
            </w:pPr>
            <w:r>
              <w:rPr>
                <w:rFonts w:ascii="Arial" w:cs="Arial" w:eastAsia="Arial" w:hAnsi="Arial"/>
                <w:sz w:val="14"/>
                <w:szCs w:val="14"/>
                <w:color w:val="auto"/>
              </w:rPr>
              <w:t>Mine or Operating Name/</w:t>
            </w:r>
          </w:p>
        </w:tc>
        <w:tc>
          <w:tcPr>
            <w:tcW w:w="900" w:type="dxa"/>
            <w:vAlign w:val="bottom"/>
          </w:tcPr>
          <w:p>
            <w:pPr>
              <w:jc w:val="center"/>
              <w:spacing w:after="0" w:line="145" w:lineRule="exact"/>
              <w:rPr>
                <w:sz w:val="20"/>
                <w:szCs w:val="20"/>
                <w:color w:val="auto"/>
              </w:rPr>
            </w:pPr>
            <w:r>
              <w:rPr>
                <w:rFonts w:ascii="Arial" w:cs="Arial" w:eastAsia="Arial" w:hAnsi="Arial"/>
                <w:sz w:val="14"/>
                <w:szCs w:val="14"/>
                <w:color w:val="auto"/>
              </w:rPr>
              <w:t>Section 104</w:t>
            </w:r>
          </w:p>
        </w:tc>
        <w:tc>
          <w:tcPr>
            <w:tcW w:w="640" w:type="dxa"/>
            <w:vAlign w:val="bottom"/>
          </w:tcPr>
          <w:p>
            <w:pPr>
              <w:ind w:left="80"/>
              <w:spacing w:after="0" w:line="145" w:lineRule="exact"/>
              <w:rPr>
                <w:sz w:val="20"/>
                <w:szCs w:val="20"/>
                <w:color w:val="auto"/>
              </w:rPr>
            </w:pPr>
            <w:r>
              <w:rPr>
                <w:rFonts w:ascii="Arial" w:cs="Arial" w:eastAsia="Arial" w:hAnsi="Arial"/>
                <w:sz w:val="14"/>
                <w:szCs w:val="14"/>
                <w:color w:val="auto"/>
              </w:rPr>
              <w:t>Section</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rPr>
              <w:t>Citations</w:t>
            </w: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580" w:type="dxa"/>
            <w:vAlign w:val="bottom"/>
          </w:tcPr>
          <w:p>
            <w:pPr>
              <w:ind w:left="60"/>
              <w:spacing w:after="0" w:line="145" w:lineRule="exact"/>
              <w:rPr>
                <w:sz w:val="20"/>
                <w:szCs w:val="20"/>
                <w:color w:val="auto"/>
              </w:rPr>
            </w:pPr>
            <w:r>
              <w:rPr>
                <w:rFonts w:ascii="Arial" w:cs="Arial" w:eastAsia="Arial" w:hAnsi="Arial"/>
                <w:sz w:val="14"/>
                <w:szCs w:val="14"/>
                <w:color w:val="auto"/>
              </w:rPr>
              <w:t>Section</w:t>
            </w: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rPr>
              <w:t>Assessments</w:t>
            </w:r>
          </w:p>
        </w:tc>
        <w:tc>
          <w:tcPr>
            <w:tcW w:w="700" w:type="dxa"/>
            <w:vAlign w:val="bottom"/>
          </w:tcPr>
          <w:p>
            <w:pPr>
              <w:jc w:val="center"/>
              <w:spacing w:after="0" w:line="145" w:lineRule="exact"/>
              <w:rPr>
                <w:sz w:val="20"/>
                <w:szCs w:val="20"/>
                <w:color w:val="auto"/>
              </w:rPr>
            </w:pPr>
            <w:r>
              <w:rPr>
                <w:rFonts w:ascii="Arial" w:cs="Arial" w:eastAsia="Arial" w:hAnsi="Arial"/>
                <w:sz w:val="14"/>
                <w:szCs w:val="14"/>
                <w:color w:val="auto"/>
              </w:rPr>
              <w:t>of Mining</w:t>
            </w:r>
          </w:p>
        </w:tc>
        <w:tc>
          <w:tcPr>
            <w:tcW w:w="76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840" w:type="dxa"/>
            <w:vAlign w:val="bottom"/>
          </w:tcPr>
          <w:p>
            <w:pPr>
              <w:jc w:val="center"/>
              <w:spacing w:after="0" w:line="145" w:lineRule="exact"/>
              <w:rPr>
                <w:sz w:val="20"/>
                <w:szCs w:val="20"/>
                <w:color w:val="auto"/>
              </w:rPr>
            </w:pPr>
            <w:r>
              <w:rPr>
                <w:rFonts w:ascii="Arial" w:cs="Arial" w:eastAsia="Arial" w:hAnsi="Arial"/>
                <w:sz w:val="14"/>
                <w:szCs w:val="14"/>
                <w:color w:val="auto"/>
              </w:rPr>
              <w:t>104(e)</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w w:val="99"/>
              </w:rPr>
              <w:t>of Period</w:t>
            </w:r>
          </w:p>
        </w:tc>
        <w:tc>
          <w:tcPr>
            <w:tcW w:w="640" w:type="dxa"/>
            <w:vAlign w:val="bottom"/>
          </w:tcPr>
          <w:p>
            <w:pPr>
              <w:jc w:val="center"/>
              <w:spacing w:after="0" w:line="145" w:lineRule="exact"/>
              <w:rPr>
                <w:sz w:val="20"/>
                <w:szCs w:val="20"/>
                <w:color w:val="auto"/>
              </w:rPr>
            </w:pPr>
            <w:r>
              <w:rPr>
                <w:rFonts w:ascii="Arial" w:cs="Arial" w:eastAsia="Arial" w:hAnsi="Arial"/>
                <w:sz w:val="14"/>
                <w:szCs w:val="14"/>
                <w:color w:val="auto"/>
              </w:rPr>
              <w:t>Initiated</w:t>
            </w: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rPr>
              <w:t>Resolved</w:t>
            </w:r>
          </w:p>
        </w:tc>
      </w:tr>
      <w:tr>
        <w:trPr>
          <w:trHeight w:val="180"/>
        </w:trPr>
        <w:tc>
          <w:tcPr>
            <w:tcW w:w="2060" w:type="dxa"/>
            <w:vAlign w:val="bottom"/>
          </w:tcPr>
          <w:p>
            <w:pPr>
              <w:ind w:left="140"/>
              <w:spacing w:after="0"/>
              <w:rPr>
                <w:sz w:val="20"/>
                <w:szCs w:val="20"/>
                <w:color w:val="auto"/>
              </w:rPr>
            </w:pPr>
            <w:r>
              <w:rPr>
                <w:rFonts w:ascii="Arial" w:cs="Arial" w:eastAsia="Arial" w:hAnsi="Arial"/>
                <w:sz w:val="14"/>
                <w:szCs w:val="14"/>
                <w:color w:val="auto"/>
              </w:rPr>
              <w:t>MSHA Identification Number</w:t>
            </w:r>
          </w:p>
        </w:tc>
        <w:tc>
          <w:tcPr>
            <w:tcW w:w="900" w:type="dxa"/>
            <w:vAlign w:val="bottom"/>
          </w:tcPr>
          <w:p>
            <w:pPr>
              <w:jc w:val="center"/>
              <w:spacing w:after="0"/>
              <w:rPr>
                <w:sz w:val="20"/>
                <w:szCs w:val="20"/>
                <w:color w:val="auto"/>
              </w:rPr>
            </w:pPr>
            <w:r>
              <w:rPr>
                <w:rFonts w:ascii="Arial" w:cs="Arial" w:eastAsia="Arial" w:hAnsi="Arial"/>
                <w:sz w:val="14"/>
                <w:szCs w:val="14"/>
                <w:color w:val="auto"/>
              </w:rPr>
              <w:t>S&amp;S</w:t>
            </w:r>
          </w:p>
        </w:tc>
        <w:tc>
          <w:tcPr>
            <w:tcW w:w="640" w:type="dxa"/>
            <w:vAlign w:val="bottom"/>
          </w:tcPr>
          <w:p>
            <w:pPr>
              <w:jc w:val="center"/>
              <w:spacing w:after="0"/>
              <w:rPr>
                <w:sz w:val="20"/>
                <w:szCs w:val="20"/>
                <w:color w:val="auto"/>
              </w:rPr>
            </w:pPr>
            <w:r>
              <w:rPr>
                <w:rFonts w:ascii="Arial" w:cs="Arial" w:eastAsia="Arial" w:hAnsi="Arial"/>
                <w:sz w:val="14"/>
                <w:szCs w:val="14"/>
                <w:color w:val="auto"/>
              </w:rPr>
              <w:t>104(b)</w:t>
            </w:r>
          </w:p>
        </w:tc>
        <w:tc>
          <w:tcPr>
            <w:tcW w:w="740" w:type="dxa"/>
            <w:vAlign w:val="bottom"/>
          </w:tcPr>
          <w:p>
            <w:pPr>
              <w:jc w:val="center"/>
              <w:spacing w:after="0"/>
              <w:rPr>
                <w:sz w:val="20"/>
                <w:szCs w:val="20"/>
                <w:color w:val="auto"/>
              </w:rPr>
            </w:pPr>
            <w:r>
              <w:rPr>
                <w:rFonts w:ascii="Arial" w:cs="Arial" w:eastAsia="Arial" w:hAnsi="Arial"/>
                <w:sz w:val="14"/>
                <w:szCs w:val="14"/>
                <w:color w:val="auto"/>
              </w:rPr>
              <w:t>and</w:t>
            </w:r>
          </w:p>
        </w:tc>
        <w:tc>
          <w:tcPr>
            <w:tcW w:w="780" w:type="dxa"/>
            <w:vAlign w:val="bottom"/>
          </w:tcPr>
          <w:p>
            <w:pPr>
              <w:jc w:val="center"/>
              <w:spacing w:after="0"/>
              <w:rPr>
                <w:sz w:val="20"/>
                <w:szCs w:val="20"/>
                <w:color w:val="auto"/>
              </w:rPr>
            </w:pPr>
            <w:r>
              <w:rPr>
                <w:rFonts w:ascii="Arial" w:cs="Arial" w:eastAsia="Arial" w:hAnsi="Arial"/>
                <w:sz w:val="14"/>
                <w:szCs w:val="14"/>
                <w:color w:val="auto"/>
              </w:rPr>
              <w:t>110(b)(2)</w:t>
            </w:r>
          </w:p>
        </w:tc>
        <w:tc>
          <w:tcPr>
            <w:tcW w:w="580" w:type="dxa"/>
            <w:vAlign w:val="bottom"/>
          </w:tcPr>
          <w:p>
            <w:pPr>
              <w:jc w:val="center"/>
              <w:spacing w:after="0"/>
              <w:rPr>
                <w:sz w:val="20"/>
                <w:szCs w:val="20"/>
                <w:color w:val="auto"/>
              </w:rPr>
            </w:pPr>
            <w:r>
              <w:rPr>
                <w:rFonts w:ascii="Arial" w:cs="Arial" w:eastAsia="Arial" w:hAnsi="Arial"/>
                <w:sz w:val="14"/>
                <w:szCs w:val="14"/>
                <w:color w:val="auto"/>
                <w:w w:val="98"/>
              </w:rPr>
              <w:t>107(a)</w:t>
            </w:r>
          </w:p>
        </w:tc>
        <w:tc>
          <w:tcPr>
            <w:tcW w:w="1060" w:type="dxa"/>
            <w:vAlign w:val="bottom"/>
          </w:tcPr>
          <w:p>
            <w:pPr>
              <w:jc w:val="center"/>
              <w:spacing w:after="0" w:line="180" w:lineRule="exact"/>
              <w:rPr>
                <w:sz w:val="20"/>
                <w:szCs w:val="20"/>
                <w:color w:val="auto"/>
              </w:rPr>
            </w:pPr>
            <w:r>
              <w:rPr>
                <w:rFonts w:ascii="Arial" w:cs="Arial" w:eastAsia="Arial" w:hAnsi="Arial"/>
                <w:sz w:val="14"/>
                <w:szCs w:val="14"/>
                <w:color w:val="auto"/>
                <w:w w:val="98"/>
              </w:rPr>
              <w:t xml:space="preserve">Proposed </w:t>
            </w:r>
            <w:r>
              <w:rPr>
                <w:rFonts w:ascii="Arial" w:cs="Arial" w:eastAsia="Arial" w:hAnsi="Arial"/>
                <w:sz w:val="19"/>
                <w:szCs w:val="19"/>
                <w:color w:val="auto"/>
                <w:w w:val="98"/>
                <w:vertAlign w:val="superscript"/>
              </w:rPr>
              <w:t>(1)</w:t>
            </w:r>
          </w:p>
        </w:tc>
        <w:tc>
          <w:tcPr>
            <w:tcW w:w="700" w:type="dxa"/>
            <w:vAlign w:val="bottom"/>
          </w:tcPr>
          <w:p>
            <w:pPr>
              <w:jc w:val="center"/>
              <w:spacing w:after="0"/>
              <w:rPr>
                <w:sz w:val="20"/>
                <w:szCs w:val="20"/>
                <w:color w:val="auto"/>
              </w:rPr>
            </w:pPr>
            <w:r>
              <w:rPr>
                <w:rFonts w:ascii="Arial" w:cs="Arial" w:eastAsia="Arial" w:hAnsi="Arial"/>
                <w:sz w:val="14"/>
                <w:szCs w:val="14"/>
                <w:color w:val="auto"/>
              </w:rPr>
              <w:t>Related</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104(e)</w:t>
            </w:r>
          </w:p>
        </w:tc>
        <w:tc>
          <w:tcPr>
            <w:tcW w:w="840" w:type="dxa"/>
            <w:vAlign w:val="bottom"/>
          </w:tcPr>
          <w:p>
            <w:pPr>
              <w:jc w:val="center"/>
              <w:spacing w:after="0"/>
              <w:rPr>
                <w:sz w:val="20"/>
                <w:szCs w:val="20"/>
                <w:color w:val="auto"/>
              </w:rPr>
            </w:pPr>
            <w:r>
              <w:rPr>
                <w:rFonts w:ascii="Arial" w:cs="Arial" w:eastAsia="Arial" w:hAnsi="Arial"/>
                <w:sz w:val="14"/>
                <w:szCs w:val="14"/>
                <w:color w:val="auto"/>
              </w:rPr>
              <w:t>(yes/no)</w:t>
            </w:r>
          </w:p>
        </w:tc>
        <w:tc>
          <w:tcPr>
            <w:tcW w:w="8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During</w:t>
            </w:r>
          </w:p>
        </w:tc>
        <w:tc>
          <w:tcPr>
            <w:tcW w:w="720" w:type="dxa"/>
            <w:vAlign w:val="bottom"/>
          </w:tcPr>
          <w:p>
            <w:pPr>
              <w:jc w:val="center"/>
              <w:spacing w:after="0"/>
              <w:rPr>
                <w:sz w:val="20"/>
                <w:szCs w:val="20"/>
                <w:color w:val="auto"/>
              </w:rPr>
            </w:pPr>
            <w:r>
              <w:rPr>
                <w:rFonts w:ascii="Arial" w:cs="Arial" w:eastAsia="Arial" w:hAnsi="Arial"/>
                <w:sz w:val="14"/>
                <w:szCs w:val="14"/>
                <w:color w:val="auto"/>
              </w:rPr>
              <w:t>During</w:t>
            </w:r>
          </w:p>
        </w:tc>
      </w:tr>
      <w:tr>
        <w:trPr>
          <w:trHeight w:val="185"/>
        </w:trPr>
        <w:tc>
          <w:tcPr>
            <w:tcW w:w="20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Citations</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Orders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Orders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Violations</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Orders</w:t>
            </w: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Fatalities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r>
      <w:tr>
        <w:trPr>
          <w:trHeight w:val="377"/>
        </w:trPr>
        <w:tc>
          <w:tcPr>
            <w:tcW w:w="2060" w:type="dxa"/>
            <w:vAlign w:val="bottom"/>
          </w:tcPr>
          <w:p>
            <w:pPr>
              <w:ind w:left="20"/>
              <w:spacing w:after="0"/>
              <w:rPr>
                <w:sz w:val="20"/>
                <w:szCs w:val="20"/>
                <w:color w:val="auto"/>
              </w:rPr>
            </w:pPr>
            <w:r>
              <w:rPr>
                <w:rFonts w:ascii="Arial" w:cs="Arial" w:eastAsia="Arial" w:hAnsi="Arial"/>
                <w:sz w:val="14"/>
                <w:szCs w:val="14"/>
                <w:color w:val="auto"/>
              </w:rPr>
              <w:t>Amelia Barite Plant/1600825</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12"/>
        </w:trPr>
        <w:tc>
          <w:tcPr>
            <w:tcW w:w="2060" w:type="dxa"/>
            <w:vAlign w:val="bottom"/>
          </w:tcPr>
          <w:p>
            <w:pPr>
              <w:ind w:left="20"/>
              <w:spacing w:after="0"/>
              <w:rPr>
                <w:sz w:val="20"/>
                <w:szCs w:val="20"/>
                <w:color w:val="auto"/>
              </w:rPr>
            </w:pPr>
            <w:r>
              <w:rPr>
                <w:rFonts w:ascii="Arial" w:cs="Arial" w:eastAsia="Arial" w:hAnsi="Arial"/>
                <w:sz w:val="14"/>
                <w:szCs w:val="14"/>
                <w:color w:val="auto"/>
              </w:rPr>
              <w:t>Battle Mountain Grinding</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060" w:type="dxa"/>
            <w:vAlign w:val="bottom"/>
          </w:tcPr>
          <w:p>
            <w:pPr>
              <w:ind w:left="20"/>
              <w:spacing w:after="0"/>
              <w:rPr>
                <w:sz w:val="20"/>
                <w:szCs w:val="20"/>
                <w:color w:val="auto"/>
              </w:rPr>
            </w:pPr>
            <w:r>
              <w:rPr>
                <w:rFonts w:ascii="Arial" w:cs="Arial" w:eastAsia="Arial" w:hAnsi="Arial"/>
                <w:sz w:val="14"/>
                <w:szCs w:val="14"/>
                <w:color w:val="auto"/>
              </w:rPr>
              <w:t>Plant/2600828</w:t>
            </w: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78"/>
        </w:trPr>
        <w:tc>
          <w:tcPr>
            <w:tcW w:w="2060" w:type="dxa"/>
            <w:vAlign w:val="bottom"/>
          </w:tcPr>
          <w:p>
            <w:pPr>
              <w:ind w:left="20"/>
              <w:spacing w:after="0"/>
              <w:rPr>
                <w:sz w:val="20"/>
                <w:szCs w:val="20"/>
                <w:color w:val="auto"/>
              </w:rPr>
            </w:pPr>
            <w:r>
              <w:rPr>
                <w:rFonts w:ascii="Arial" w:cs="Arial" w:eastAsia="Arial" w:hAnsi="Arial"/>
                <w:sz w:val="14"/>
                <w:szCs w:val="14"/>
                <w:color w:val="auto"/>
              </w:rPr>
              <w:t>Greystone Mine/2600411</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$147</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350"/>
        </w:trPr>
        <w:tc>
          <w:tcPr>
            <w:tcW w:w="2060" w:type="dxa"/>
            <w:vAlign w:val="bottom"/>
          </w:tcPr>
          <w:p>
            <w:pPr>
              <w:ind w:left="20"/>
              <w:spacing w:after="0"/>
              <w:rPr>
                <w:sz w:val="20"/>
                <w:szCs w:val="20"/>
                <w:color w:val="auto"/>
              </w:rPr>
            </w:pPr>
            <w:r>
              <w:rPr>
                <w:rFonts w:ascii="Arial" w:cs="Arial" w:eastAsia="Arial" w:hAnsi="Arial"/>
                <w:sz w:val="14"/>
                <w:szCs w:val="14"/>
                <w:color w:val="auto"/>
              </w:rPr>
              <w:t>Mountain Springs Beneficiation</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060" w:type="dxa"/>
            <w:vAlign w:val="bottom"/>
          </w:tcPr>
          <w:p>
            <w:pPr>
              <w:ind w:left="20"/>
              <w:spacing w:after="0"/>
              <w:rPr>
                <w:sz w:val="20"/>
                <w:szCs w:val="20"/>
                <w:color w:val="auto"/>
              </w:rPr>
            </w:pPr>
            <w:r>
              <w:rPr>
                <w:rFonts w:ascii="Arial" w:cs="Arial" w:eastAsia="Arial" w:hAnsi="Arial"/>
                <w:sz w:val="14"/>
                <w:szCs w:val="14"/>
                <w:color w:val="auto"/>
              </w:rPr>
              <w:t>Plant/2601390</w:t>
            </w: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282" w:lineRule="exact"/>
        <w:rPr>
          <w:sz w:val="20"/>
          <w:szCs w:val="20"/>
          <w:color w:val="auto"/>
        </w:rPr>
      </w:pPr>
    </w:p>
    <w:p>
      <w:pPr>
        <w:jc w:val="both"/>
        <w:ind w:left="1020" w:hanging="503"/>
        <w:spacing w:after="0" w:line="256" w:lineRule="auto"/>
        <w:tabs>
          <w:tab w:leader="none" w:pos="10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June 30, 2024, regardless of whether the assessment has been challenged or appealed, for citations and orders occurring during the quarter ended June 30, 2024.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4"/>
    </w:lvl>
  </w:abstractNum>
  <w:abstractNum w:abstractNumId="7">
    <w:nsid w:val="62BBD95A"/>
    <w:multiLevelType w:val="hybridMultilevel"/>
    <w:lvl w:ilvl="0">
      <w:lvlJc w:val="left"/>
      <w:lvlText w:val="%1."/>
      <w:numFmt w:val="decimal"/>
      <w:start w:val="7"/>
    </w:lvl>
  </w:abstractNum>
  <w:abstractNum w:abstractNumId="8">
    <w:nsid w:val="436C6125"/>
    <w:multiLevelType w:val="hybridMultilevel"/>
    <w:lvl w:ilvl="0">
      <w:lvlJc w:val="left"/>
      <w:lvlText w:val="%1."/>
      <w:numFmt w:val="decimal"/>
      <w:start w:val="8"/>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decimal"/>
      <w:start w:val="10"/>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lvl w:ilvl="1">
      <w:lvlJc w:val="left"/>
      <w:lvlText w:val="*"/>
      <w:numFmt w:val="bullet"/>
      <w:start w:val="1"/>
    </w:lvl>
  </w:abstractNum>
  <w:abstractNum w:abstractNumId="25">
    <w:nsid w:val="2901D82"/>
    <w:multiLevelType w:val="hybridMultilevel"/>
    <w:lvl w:ilvl="0">
      <w:lvlJc w:val="left"/>
      <w:lvlText w:val="**"/>
      <w:numFmt w:val="bullet"/>
      <w:start w:val="1"/>
    </w:lvl>
    <w:lvl w:ilvl="1">
      <w:lvlJc w:val="left"/>
      <w:lvlText w:val="*"/>
      <w:numFmt w:val="bullet"/>
      <w:start w:val="1"/>
    </w:lvl>
  </w:abstractNum>
  <w:abstractNum w:abstractNumId="26">
    <w:nsid w:val="3A95F874"/>
    <w:multiLevelType w:val="hybridMultilevel"/>
    <w:lvl w:ilvl="0">
      <w:lvlJc w:val="left"/>
      <w:lvlText w:val="***"/>
      <w:numFmt w:val="bullet"/>
      <w:start w:val="1"/>
    </w:lvl>
    <w:lvl w:ilvl="1">
      <w:lvlJc w:val="left"/>
      <w:lvlText w:val="*"/>
      <w:numFmt w:val="bullet"/>
      <w:start w:val="1"/>
    </w:lvl>
  </w:abstractNum>
  <w:abstractNum w:abstractNumId="27">
    <w:nsid w:val="8138641"/>
    <w:multiLevelType w:val="hybridMultilevel"/>
    <w:lvl w:ilvl="0">
      <w:lvlJc w:val="left"/>
      <w:lvlText w:val="%1."/>
      <w:numFmt w:val="decimal"/>
      <w:start w:val="1"/>
    </w:lvl>
    <w:lvl w:ilvl="1">
      <w:lvlJc w:val="left"/>
      <w:lvlText w:val="%2)"/>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54" Type="http://schemas.openxmlformats.org/officeDocument/2006/relationships/hyperlink" Target="https://www.sec.gov/Archives/edgar/data/87347/000119312524085160/d735749dex2.htm" TargetMode="External"/><Relationship Id="rId257" Type="http://schemas.openxmlformats.org/officeDocument/2006/relationships/hyperlink" Target="https://www.sec.gov/Archives/edgar/data/87347/000119312516532046/d176097dex31.htm" TargetMode="External"/><Relationship Id="rId260" Type="http://schemas.openxmlformats.org/officeDocument/2006/relationships/hyperlink" Target="https://www.sec.gov/Archives/edgar/data/87347/000119312523110532/d470769dex3.htm" TargetMode="External"/><Relationship Id="rId263" Type="http://schemas.openxmlformats.org/officeDocument/2006/relationships/hyperlink" Target="https://www.sec.gov/Archives/edgar/data/87347/000119312513460494/d637672dex41.htm" TargetMode="External"/><Relationship Id="rId267" Type="http://schemas.openxmlformats.org/officeDocument/2006/relationships/hyperlink" Target="https://www.sec.gov/Archives/edgar/data/87347/000119312520180957/d925505dex41.htm" TargetMode="External"/><Relationship Id="rId271" Type="http://schemas.openxmlformats.org/officeDocument/2006/relationships/hyperlink" Target="https://www.sec.gov/Archives/edgar/data/87347/000119312524149220/d80876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2024-07-24T10:58:50Z</dcterms:created>
  <dcterms:modified xsi:type="dcterms:W3CDTF">2024-07-24T10:58:50Z</dcterms:modified>
</cp:coreProperties>
</file>