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-233680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-617220</wp:posOffset>
            </wp:positionV>
            <wp:extent cx="57785" cy="630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795" cy="5648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Pafitis Demosthenis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1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-6" w:right="680" w:firstLine="6"/>
        <w:spacing w:after="0" w:line="23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37.02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RSU(Restricted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$0.01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6,720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-2061210</wp:posOffset>
            </wp:positionV>
            <wp:extent cx="28575" cy="2421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2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4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Unit)</w:t>
            </w:r>
          </w:p>
        </w:tc>
        <w:tc>
          <w:tcPr>
            <w:tcW w:w="6740" w:type="dxa"/>
            <w:vAlign w:val="bottom"/>
            <w:vMerge w:val="restart"/>
          </w:tcPr>
          <w:p>
            <w:pPr>
              <w:jc w:val="center"/>
              <w:ind w:righ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jc w:val="center"/>
              <w:ind w:right="10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jc w:val="center"/>
              <w:ind w:righ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on January 16, 2019, and vested 100% on January 16, 2022.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Samantha Blons,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635</wp:posOffset>
            </wp:positionV>
            <wp:extent cx="12700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8255</wp:posOffset>
            </wp:positionV>
            <wp:extent cx="477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2022-01-19T19:46:22Z</dcterms:created>
  <dcterms:modified xsi:type="dcterms:W3CDTF">2022-01-19T19:46:22Z</dcterms:modified>
</cp:coreProperties>
</file>