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Gatti Amerino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05/11/2016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0000FF"/>
              </w:rPr>
              <w:t>President, Production Group</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34"/>
              <w:spacing w:after="0"/>
              <w:rPr>
                <w:sz w:val="20"/>
                <w:szCs w:val="20"/>
                <w:color w:val="auto"/>
              </w:rPr>
            </w:pPr>
            <w:r>
              <w:rPr>
                <w:rFonts w:ascii="Arial" w:cs="Arial" w:eastAsia="Arial" w:hAnsi="Arial"/>
                <w:sz w:val="18"/>
                <w:szCs w:val="18"/>
                <w:color w:val="0000FF"/>
              </w:rPr>
              <w:t>5,526</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60" w:type="dxa"/>
            <w:vAlign w:val="bottom"/>
            <w:gridSpan w:val="6"/>
          </w:tcPr>
          <w:p>
            <w:pPr>
              <w:ind w:left="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01/17/2009</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2,354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01/17/2009</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5,646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07/17/2009</w:t>
            </w:r>
            <w:r>
              <w:rPr>
                <w:rFonts w:ascii="Arial" w:cs="Arial" w:eastAsia="Arial" w:hAnsi="Arial"/>
                <w:sz w:val="22"/>
                <w:szCs w:val="22"/>
                <w:color w:val="008000"/>
                <w:w w:val="86"/>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07/07/2018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97.225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10/22/2010</w:t>
            </w:r>
            <w:r>
              <w:rPr>
                <w:rFonts w:ascii="Arial" w:cs="Arial" w:eastAsia="Arial" w:hAnsi="Arial"/>
                <w:sz w:val="22"/>
                <w:szCs w:val="22"/>
                <w:color w:val="008000"/>
                <w:w w:val="86"/>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1,473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67.87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10/22/2010</w:t>
            </w:r>
            <w:r>
              <w:rPr>
                <w:rFonts w:ascii="Arial" w:cs="Arial" w:eastAsia="Arial" w:hAnsi="Arial"/>
                <w:sz w:val="22"/>
                <w:szCs w:val="22"/>
                <w:color w:val="008000"/>
                <w:w w:val="86"/>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13,527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67.87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20" w:type="dxa"/>
            <w:vAlign w:val="bottom"/>
            <w:gridSpan w:val="2"/>
            <w:vMerge w:val="restart"/>
          </w:tcPr>
          <w:p>
            <w:pPr>
              <w:jc w:val="center"/>
              <w:ind w:left="212"/>
              <w:spacing w:after="0"/>
              <w:rPr>
                <w:sz w:val="20"/>
                <w:szCs w:val="20"/>
                <w:color w:val="auto"/>
              </w:rPr>
            </w:pPr>
            <w:r>
              <w:rPr>
                <w:rFonts w:ascii="Arial" w:cs="Arial" w:eastAsia="Arial" w:hAnsi="Arial"/>
                <w:sz w:val="14"/>
                <w:szCs w:val="14"/>
                <w:color w:val="0000FF"/>
                <w:w w:val="84"/>
              </w:rPr>
              <w:t>07/22/2011</w:t>
            </w:r>
            <w:r>
              <w:rPr>
                <w:rFonts w:ascii="Arial" w:cs="Arial" w:eastAsia="Arial" w:hAnsi="Arial"/>
                <w:sz w:val="22"/>
                <w:szCs w:val="22"/>
                <w:color w:val="008000"/>
                <w:w w:val="84"/>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07/22/2020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1,637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61.07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12"/>
              <w:spacing w:after="0"/>
              <w:rPr>
                <w:sz w:val="20"/>
                <w:szCs w:val="20"/>
                <w:color w:val="auto"/>
              </w:rPr>
            </w:pPr>
            <w:r>
              <w:rPr>
                <w:rFonts w:ascii="Arial" w:cs="Arial" w:eastAsia="Arial" w:hAnsi="Arial"/>
                <w:sz w:val="14"/>
                <w:szCs w:val="14"/>
                <w:color w:val="0000FF"/>
                <w:w w:val="84"/>
              </w:rPr>
              <w:t>07/22/2011</w:t>
            </w:r>
            <w:r>
              <w:rPr>
                <w:rFonts w:ascii="Arial" w:cs="Arial" w:eastAsia="Arial" w:hAnsi="Arial"/>
                <w:sz w:val="22"/>
                <w:szCs w:val="22"/>
                <w:color w:val="008000"/>
                <w:w w:val="84"/>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07/22/2020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13,363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61.07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01/20/2012</w:t>
            </w:r>
            <w:r>
              <w:rPr>
                <w:rFonts w:ascii="Arial" w:cs="Arial" w:eastAsia="Arial" w:hAnsi="Arial"/>
                <w:sz w:val="22"/>
                <w:szCs w:val="22"/>
                <w:color w:val="008000"/>
                <w:w w:val="86"/>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1,192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01/20/2012</w:t>
            </w:r>
            <w:r>
              <w:rPr>
                <w:rFonts w:ascii="Arial" w:cs="Arial" w:eastAsia="Arial" w:hAnsi="Arial"/>
                <w:sz w:val="22"/>
                <w:szCs w:val="22"/>
                <w:color w:val="008000"/>
                <w:w w:val="86"/>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28,808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01/19/2013</w:t>
            </w:r>
            <w:r>
              <w:rPr>
                <w:rFonts w:ascii="Arial" w:cs="Arial" w:eastAsia="Arial" w:hAnsi="Arial"/>
                <w:sz w:val="22"/>
                <w:szCs w:val="22"/>
                <w:color w:val="008000"/>
                <w:w w:val="86"/>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1,386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01/19/2013</w:t>
            </w:r>
            <w:r>
              <w:rPr>
                <w:rFonts w:ascii="Arial" w:cs="Arial" w:eastAsia="Arial" w:hAnsi="Arial"/>
                <w:sz w:val="22"/>
                <w:szCs w:val="22"/>
                <w:color w:val="008000"/>
                <w:w w:val="86"/>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18,614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04/18/2014</w:t>
            </w:r>
            <w:r>
              <w:rPr>
                <w:rFonts w:ascii="Arial" w:cs="Arial" w:eastAsia="Arial" w:hAnsi="Arial"/>
                <w:sz w:val="22"/>
                <w:szCs w:val="22"/>
                <w:color w:val="008000"/>
                <w:w w:val="86"/>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1,409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0000FF"/>
                <w:w w:val="86"/>
              </w:rPr>
              <w:t>04/18/2014</w:t>
            </w:r>
            <w:r>
              <w:rPr>
                <w:rFonts w:ascii="Arial" w:cs="Arial" w:eastAsia="Arial" w:hAnsi="Arial"/>
                <w:sz w:val="22"/>
                <w:szCs w:val="22"/>
                <w:color w:val="008000"/>
                <w:w w:val="86"/>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18,591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220" w:type="dxa"/>
            <w:vAlign w:val="bottom"/>
            <w:gridSpan w:val="2"/>
            <w:vMerge w:val="restart"/>
          </w:tcPr>
          <w:p>
            <w:pPr>
              <w:jc w:val="center"/>
              <w:ind w:left="232"/>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81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381190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080" w:type="dxa"/>
            <w:vAlign w:val="bottom"/>
            <w:vMerge w:val="restart"/>
          </w:tcPr>
          <w:p>
            <w:pPr>
              <w:jc w:val="center"/>
              <w:ind w:left="54"/>
              <w:spacing w:after="0"/>
              <w:rPr>
                <w:sz w:val="20"/>
                <w:szCs w:val="20"/>
                <w:color w:val="auto"/>
              </w:rPr>
            </w:pPr>
            <w:r>
              <w:rPr>
                <w:rFonts w:ascii="Arial" w:cs="Arial" w:eastAsia="Arial" w:hAnsi="Arial"/>
                <w:sz w:val="14"/>
                <w:szCs w:val="14"/>
                <w:color w:val="0000FF"/>
                <w:w w:val="86"/>
              </w:rPr>
              <w:t>04/16/2015</w:t>
            </w:r>
            <w:r>
              <w:rPr>
                <w:rFonts w:ascii="Arial" w:cs="Arial" w:eastAsia="Arial" w:hAnsi="Arial"/>
                <w:sz w:val="22"/>
                <w:szCs w:val="22"/>
                <w:color w:val="008000"/>
                <w:w w:val="86"/>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6"/>
              </w:rPr>
              <w:t>994</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86"/>
              </w:rPr>
              <w:t>100.555</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0" w:type="dxa"/>
            <w:vAlign w:val="bottom"/>
          </w:tcPr>
          <w:p>
            <w:pPr>
              <w:ind w:left="60"/>
              <w:spacing w:after="0"/>
              <w:rPr>
                <w:sz w:val="20"/>
                <w:szCs w:val="20"/>
                <w:color w:val="auto"/>
              </w:rPr>
            </w:pPr>
            <w:r>
              <w:rPr>
                <w:rFonts w:ascii="Arial" w:cs="Arial" w:eastAsia="Arial" w:hAnsi="Arial"/>
                <w:sz w:val="18"/>
                <w:szCs w:val="18"/>
                <w:color w:val="0000FF"/>
                <w:w w:val="96"/>
              </w:rPr>
              <w:t>Nq Stock Option (Right to Buy) W/ Tandem</w:t>
            </w:r>
          </w:p>
        </w:tc>
        <w:tc>
          <w:tcPr>
            <w:tcW w:w="1080" w:type="dxa"/>
            <w:vAlign w:val="bottom"/>
            <w:vMerge w:val="restart"/>
          </w:tcPr>
          <w:p>
            <w:pPr>
              <w:jc w:val="center"/>
              <w:ind w:left="54"/>
              <w:spacing w:after="0"/>
              <w:rPr>
                <w:sz w:val="20"/>
                <w:szCs w:val="20"/>
                <w:color w:val="auto"/>
              </w:rPr>
            </w:pPr>
            <w:r>
              <w:rPr>
                <w:rFonts w:ascii="Arial" w:cs="Arial" w:eastAsia="Arial" w:hAnsi="Arial"/>
                <w:sz w:val="14"/>
                <w:szCs w:val="14"/>
                <w:color w:val="0000FF"/>
                <w:w w:val="86"/>
              </w:rPr>
              <w:t>04/16/2015</w:t>
            </w:r>
            <w:r>
              <w:rPr>
                <w:rFonts w:ascii="Arial" w:cs="Arial" w:eastAsia="Arial" w:hAnsi="Arial"/>
                <w:sz w:val="22"/>
                <w:szCs w:val="22"/>
                <w:color w:val="008000"/>
                <w:w w:val="86"/>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23,006</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86"/>
              </w:rPr>
              <w:t>100.555</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1080" w:type="dxa"/>
            <w:vAlign w:val="bottom"/>
            <w:vMerge w:val="restart"/>
          </w:tcPr>
          <w:p>
            <w:pPr>
              <w:jc w:val="center"/>
              <w:ind w:left="54"/>
              <w:spacing w:after="0"/>
              <w:rPr>
                <w:sz w:val="20"/>
                <w:szCs w:val="20"/>
                <w:color w:val="auto"/>
              </w:rPr>
            </w:pPr>
            <w:r>
              <w:rPr>
                <w:rFonts w:ascii="Arial" w:cs="Arial" w:eastAsia="Arial" w:hAnsi="Arial"/>
                <w:sz w:val="11"/>
                <w:szCs w:val="11"/>
                <w:color w:val="008000"/>
              </w:rPr>
              <w:t>(10)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1,900</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79"/>
              </w:rPr>
              <w:t>0</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14"/>
        </w:trPr>
        <w:tc>
          <w:tcPr>
            <w:tcW w:w="34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080" w:type="dxa"/>
            <w:vAlign w:val="bottom"/>
            <w:vMerge w:val="restart"/>
          </w:tcPr>
          <w:p>
            <w:pPr>
              <w:jc w:val="center"/>
              <w:ind w:left="54"/>
              <w:spacing w:after="0"/>
              <w:rPr>
                <w:sz w:val="20"/>
                <w:szCs w:val="20"/>
                <w:color w:val="auto"/>
              </w:rPr>
            </w:pPr>
            <w:r>
              <w:rPr>
                <w:rFonts w:ascii="Arial" w:cs="Arial" w:eastAsia="Arial" w:hAnsi="Arial"/>
                <w:sz w:val="14"/>
                <w:szCs w:val="14"/>
                <w:color w:val="0000FF"/>
                <w:w w:val="83"/>
              </w:rPr>
              <w:t>04/16/2016</w:t>
            </w:r>
            <w:r>
              <w:rPr>
                <w:rFonts w:ascii="Arial" w:cs="Arial" w:eastAsia="Arial" w:hAnsi="Arial"/>
                <w:sz w:val="22"/>
                <w:szCs w:val="22"/>
                <w:color w:val="008000"/>
                <w:w w:val="83"/>
                <w:vertAlign w:val="superscript"/>
              </w:rPr>
              <w:t>(11)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1,090</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91.74</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0" w:type="dxa"/>
            <w:vAlign w:val="bottom"/>
          </w:tcPr>
          <w:p>
            <w:pPr>
              <w:ind w:left="60"/>
              <w:spacing w:after="0"/>
              <w:rPr>
                <w:sz w:val="20"/>
                <w:szCs w:val="20"/>
                <w:color w:val="auto"/>
              </w:rPr>
            </w:pPr>
            <w:r>
              <w:rPr>
                <w:rFonts w:ascii="Arial" w:cs="Arial" w:eastAsia="Arial" w:hAnsi="Arial"/>
                <w:sz w:val="18"/>
                <w:szCs w:val="18"/>
                <w:color w:val="0000FF"/>
                <w:w w:val="96"/>
              </w:rPr>
              <w:t>Nq Stock Option (Right to Buy) W/ Tandem</w:t>
            </w:r>
          </w:p>
        </w:tc>
        <w:tc>
          <w:tcPr>
            <w:tcW w:w="1080" w:type="dxa"/>
            <w:vAlign w:val="bottom"/>
            <w:vMerge w:val="restart"/>
          </w:tcPr>
          <w:p>
            <w:pPr>
              <w:jc w:val="center"/>
              <w:ind w:left="54"/>
              <w:spacing w:after="0"/>
              <w:rPr>
                <w:sz w:val="20"/>
                <w:szCs w:val="20"/>
                <w:color w:val="auto"/>
              </w:rPr>
            </w:pPr>
            <w:r>
              <w:rPr>
                <w:rFonts w:ascii="Arial" w:cs="Arial" w:eastAsia="Arial" w:hAnsi="Arial"/>
                <w:sz w:val="14"/>
                <w:szCs w:val="14"/>
                <w:color w:val="0000FF"/>
                <w:w w:val="83"/>
              </w:rPr>
              <w:t>04/16/2016</w:t>
            </w:r>
            <w:r>
              <w:rPr>
                <w:rFonts w:ascii="Arial" w:cs="Arial" w:eastAsia="Arial" w:hAnsi="Arial"/>
                <w:sz w:val="22"/>
                <w:szCs w:val="22"/>
                <w:color w:val="008000"/>
                <w:w w:val="83"/>
                <w:vertAlign w:val="superscript"/>
              </w:rPr>
              <w:t>(11)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22,910</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88"/>
              </w:rPr>
              <w:t>91.74</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080" w:type="dxa"/>
            <w:vAlign w:val="bottom"/>
            <w:vMerge w:val="restart"/>
          </w:tcPr>
          <w:p>
            <w:pPr>
              <w:jc w:val="center"/>
              <w:ind w:left="54"/>
              <w:spacing w:after="0"/>
              <w:rPr>
                <w:sz w:val="20"/>
                <w:szCs w:val="20"/>
                <w:color w:val="auto"/>
              </w:rPr>
            </w:pPr>
            <w:r>
              <w:rPr>
                <w:rFonts w:ascii="Arial" w:cs="Arial" w:eastAsia="Arial" w:hAnsi="Arial"/>
                <w:sz w:val="14"/>
                <w:szCs w:val="14"/>
                <w:color w:val="0000FF"/>
                <w:w w:val="83"/>
              </w:rPr>
              <w:t>04/20/2017</w:t>
            </w:r>
            <w:r>
              <w:rPr>
                <w:rFonts w:ascii="Arial" w:cs="Arial" w:eastAsia="Arial" w:hAnsi="Arial"/>
                <w:sz w:val="22"/>
                <w:szCs w:val="22"/>
                <w:color w:val="008000"/>
                <w:w w:val="83"/>
                <w:vertAlign w:val="superscript"/>
              </w:rPr>
              <w:t>(12)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1,241</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87"/>
              </w:rPr>
              <w:t>80.525</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0" w:type="dxa"/>
            <w:vAlign w:val="bottom"/>
          </w:tcPr>
          <w:p>
            <w:pPr>
              <w:ind w:left="60"/>
              <w:spacing w:after="0"/>
              <w:rPr>
                <w:sz w:val="20"/>
                <w:szCs w:val="20"/>
                <w:color w:val="auto"/>
              </w:rPr>
            </w:pPr>
            <w:r>
              <w:rPr>
                <w:rFonts w:ascii="Arial" w:cs="Arial" w:eastAsia="Arial" w:hAnsi="Arial"/>
                <w:sz w:val="18"/>
                <w:szCs w:val="18"/>
                <w:color w:val="0000FF"/>
                <w:w w:val="96"/>
              </w:rPr>
              <w:t>Nq Stock Option (Right to Buy) W/ Tandem</w:t>
            </w:r>
          </w:p>
        </w:tc>
        <w:tc>
          <w:tcPr>
            <w:tcW w:w="1080" w:type="dxa"/>
            <w:vAlign w:val="bottom"/>
            <w:vMerge w:val="restart"/>
          </w:tcPr>
          <w:p>
            <w:pPr>
              <w:jc w:val="center"/>
              <w:ind w:left="54"/>
              <w:spacing w:after="0"/>
              <w:rPr>
                <w:sz w:val="20"/>
                <w:szCs w:val="20"/>
                <w:color w:val="auto"/>
              </w:rPr>
            </w:pPr>
            <w:r>
              <w:rPr>
                <w:rFonts w:ascii="Arial" w:cs="Arial" w:eastAsia="Arial" w:hAnsi="Arial"/>
                <w:sz w:val="14"/>
                <w:szCs w:val="14"/>
                <w:color w:val="0000FF"/>
                <w:w w:val="83"/>
              </w:rPr>
              <w:t>04/20/2017</w:t>
            </w:r>
            <w:r>
              <w:rPr>
                <w:rFonts w:ascii="Arial" w:cs="Arial" w:eastAsia="Arial" w:hAnsi="Arial"/>
                <w:sz w:val="22"/>
                <w:szCs w:val="22"/>
                <w:color w:val="008000"/>
                <w:w w:val="83"/>
                <w:vertAlign w:val="superscript"/>
              </w:rPr>
              <w:t>(12)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28,759</w:t>
            </w:r>
          </w:p>
        </w:tc>
        <w:tc>
          <w:tcPr>
            <w:tcW w:w="980" w:type="dxa"/>
            <w:vAlign w:val="bottom"/>
            <w:vMerge w:val="restart"/>
          </w:tcPr>
          <w:p>
            <w:pPr>
              <w:jc w:val="center"/>
              <w:ind w:right="52"/>
              <w:spacing w:after="0"/>
              <w:rPr>
                <w:sz w:val="20"/>
                <w:szCs w:val="20"/>
                <w:color w:val="auto"/>
              </w:rPr>
            </w:pPr>
            <w:r>
              <w:rPr>
                <w:rFonts w:ascii="Arial" w:cs="Arial" w:eastAsia="Arial" w:hAnsi="Arial"/>
                <w:sz w:val="18"/>
                <w:szCs w:val="18"/>
                <w:color w:val="0000FF"/>
                <w:w w:val="87"/>
              </w:rPr>
              <w:t>80.525</w:t>
            </w:r>
          </w:p>
        </w:tc>
        <w:tc>
          <w:tcPr>
            <w:tcW w:w="23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0" w:type="dxa"/>
            <w:vAlign w:val="bottom"/>
          </w:tcPr>
          <w:p>
            <w:pPr>
              <w:spacing w:after="0"/>
              <w:rPr>
                <w:sz w:val="1"/>
                <w:szCs w:val="1"/>
                <w:color w:val="auto"/>
              </w:rPr>
            </w:pPr>
          </w:p>
        </w:tc>
      </w:tr>
      <w:tr>
        <w:trPr>
          <w:trHeight w:val="170"/>
        </w:trPr>
        <w:tc>
          <w:tcPr>
            <w:tcW w:w="340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4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17, 2009.</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July 17, 2009.</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October 22, 2010.</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July 22, 2011.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20, 2012.</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19, 2013.</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18, 2014.</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3-year cliff vesting on July 18,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16, 2015.</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3-year cliff vesting on July 16, 2017.</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Became exercisable in five equal annual installments beginning April 16, 2016.</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Will become exercisable in five equal annual installments beginning April 20, 2017.</w:t>
      </w:r>
    </w:p>
    <w:p>
      <w:pPr>
        <w:spacing w:after="0" w:line="28" w:lineRule="exact"/>
        <w:rPr>
          <w:sz w:val="20"/>
          <w:szCs w:val="20"/>
          <w:color w:val="auto"/>
        </w:rPr>
      </w:pPr>
    </w:p>
    <w:tbl>
      <w:tblPr>
        <w:tblLayout w:type="fixed"/>
        <w:tblInd w:w="684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05/23/2016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sectPr>
      </w:pPr>
    </w:p>
    <w:bookmarkStart w:id="2" w:name="page3"/>
    <w:bookmarkEnd w:id="2"/>
    <w:p>
      <w:pPr>
        <w:ind w:right="4099"/>
        <w:spacing w:after="0" w:line="269"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394"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May 15, 2016</w:t>
            </w:r>
          </w:p>
        </w:tc>
        <w:tc>
          <w:tcPr>
            <w:tcW w:w="3280" w:type="dxa"/>
            <w:vAlign w:val="bottom"/>
          </w:tcPr>
          <w:p>
            <w:pPr>
              <w:ind w:left="1480"/>
              <w:spacing w:after="0"/>
              <w:rPr>
                <w:sz w:val="20"/>
                <w:szCs w:val="20"/>
                <w:color w:val="auto"/>
              </w:rPr>
            </w:pPr>
            <w:r>
              <w:rPr>
                <w:rFonts w:ascii="Courier New" w:cs="Courier New" w:eastAsia="Courier New" w:hAnsi="Courier New"/>
                <w:sz w:val="18"/>
                <w:szCs w:val="18"/>
                <w:color w:val="auto"/>
                <w:w w:val="96"/>
              </w:rPr>
              <w:t>/s/ Amerino Gatti</w:t>
            </w:r>
          </w:p>
        </w:tc>
      </w:tr>
      <w:tr>
        <w:trPr>
          <w:trHeight w:val="203"/>
        </w:trPr>
        <w:tc>
          <w:tcPr>
            <w:tcW w:w="2740" w:type="dxa"/>
            <w:vAlign w:val="bottom"/>
          </w:tcPr>
          <w:p>
            <w:pPr>
              <w:spacing w:after="0"/>
              <w:rPr>
                <w:sz w:val="17"/>
                <w:szCs w:val="17"/>
                <w:color w:val="auto"/>
              </w:rPr>
            </w:pPr>
          </w:p>
        </w:tc>
        <w:tc>
          <w:tcPr>
            <w:tcW w:w="3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Amerino Gatti</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75255"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2019-12-23T20:52:57Z</dcterms:created>
  <dcterms:modified xsi:type="dcterms:W3CDTF">2019-12-23T20:52:57Z</dcterms:modified>
</cp:coreProperties>
</file>