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Prechner Ugo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4,580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55.66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13,611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4,580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240 shares for the period ended June 30, 2023, that were acquired under the SLB discounted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receive, at settlement, one (1)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 award was granted July 22, 2020 and vested 100% on July 22, 2023.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40485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3479</Characters>
  <CharactersWithSpaces>4051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