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245110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35"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52-0684746</w:t>
      </w:r>
    </w:p>
    <w:p>
      <w:pPr>
        <w:spacing w:after="0" w:line="12" w:lineRule="exact"/>
        <w:rPr>
          <w:sz w:val="24"/>
          <w:szCs w:val="24"/>
          <w:color w:val="auto"/>
        </w:rPr>
      </w:pPr>
    </w:p>
    <w:p>
      <w:pPr>
        <w:sectPr>
          <w:pgSz w:w="11900" w:h="16838" w:orient="portrait"/>
          <w:cols w:equalWidth="0" w:num="3">
            <w:col w:w="4660" w:space="720"/>
            <w:col w:w="2720" w:space="720"/>
            <w:col w:w="2220"/>
          </w:cols>
          <w:pgMar w:left="440" w:top="335" w:right="41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760" w:space="720"/>
            <w:col w:w="2340"/>
          </w:cols>
          <w:pgMar w:left="440" w:top="335" w:right="419" w:bottom="1440" w:gutter="0" w:footer="0" w:header="0"/>
          <w:type w:val="continuous"/>
        </w:sectPr>
      </w:pP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42, rue Saint-Dominique, Paris, France 75007</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5599 San Felipe, Houston, Texas U.S.A. 77056</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62 Buckingham Gate, London, United Kingdom SW1E 6AJ</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Parkstraat 83, The Hague, The Netherlands 2514 JG</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 and zip or postal codes)</w:t>
      </w:r>
    </w:p>
    <w:p>
      <w:pPr>
        <w:sectPr>
          <w:pgSz w:w="11900" w:h="16838" w:orient="portrait"/>
          <w:cols w:equalWidth="0" w:num="1">
            <w:col w:w="11040"/>
          </w:cols>
          <w:pgMar w:left="440" w:top="335" w:right="419" w:bottom="1440" w:gutter="0" w:footer="0" w:header="0"/>
          <w:type w:val="continuous"/>
        </w:sectPr>
      </w:pP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243205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35" w:right="419" w:bottom="1440" w:gutter="0" w:footer="0" w:header="0"/>
          <w:type w:val="continuous"/>
        </w:sectPr>
      </w:pPr>
    </w:p>
    <w:bookmarkStart w:id="1" w:name="page2"/>
    <w:bookmarkEnd w:id="1"/>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7"/>
          <w:szCs w:val="17"/>
          <w:b w:val="1"/>
          <w:bCs w:val="1"/>
          <w:color w:val="auto"/>
        </w:rPr>
        <w:t>Amendment to Articles of Incorporation or By-laws; Change in Fiscal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ind w:right="720" w:firstLine="441"/>
        <w:spacing w:after="0" w:line="282" w:lineRule="auto"/>
        <w:rPr>
          <w:sz w:val="20"/>
          <w:szCs w:val="20"/>
          <w:color w:val="auto"/>
        </w:rPr>
      </w:pPr>
      <w:r>
        <w:rPr>
          <w:rFonts w:ascii="Times New Roman" w:cs="Times New Roman" w:eastAsia="Times New Roman" w:hAnsi="Times New Roman"/>
          <w:sz w:val="18"/>
          <w:szCs w:val="18"/>
          <w:color w:val="auto"/>
        </w:rPr>
        <w:t>On July 17, 2019, the Board of Directors of Schlumberger Limited (the “Board”) adopted amended and restated by-laws to remove the requirement that each quorum of the Board be constituted of a majority of non-U.S. citizens.</w:t>
      </w:r>
    </w:p>
    <w:p>
      <w:pPr>
        <w:spacing w:after="0" w:line="162"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The amended and restated by-laws became effective immediately upon their adoption by the Board. This description of the amendments to the by-laws is qualified in its entirety by reference to the text of the amended and restated by-laws, a copy of which is included as Exhibit 3 to this Current Report on Form 8-K.</w:t>
      </w:r>
    </w:p>
    <w:p>
      <w:pPr>
        <w:spacing w:after="0" w:line="32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440" w:hanging="436"/>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exhibit listed below is furnished pursuant to Item 9.01 of this Form 8-K.</w:t>
      </w:r>
    </w:p>
    <w:p>
      <w:pPr>
        <w:spacing w:after="0" w:line="239" w:lineRule="exact"/>
        <w:rPr>
          <w:sz w:val="20"/>
          <w:szCs w:val="20"/>
          <w:color w:val="auto"/>
        </w:rPr>
      </w:pPr>
    </w:p>
    <w:p>
      <w:pPr>
        <w:ind w:left="520" w:hanging="516"/>
        <w:spacing w:after="0"/>
        <w:tabs>
          <w:tab w:leader="none" w:pos="520" w:val="left"/>
        </w:tabs>
        <w:numPr>
          <w:ilvl w:val="0"/>
          <w:numId w:val="3"/>
        </w:numPr>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Amended and Restated By-laws of Schlumberger Limited (Schlumberger N.V.).</w:t>
        </w:r>
      </w:hyperlink>
    </w:p>
    <w:p>
      <w:pPr>
        <w:sectPr>
          <w:pgSz w:w="11900" w:h="16838" w:orient="portrait"/>
          <w:cols w:equalWidth="0" w:num="1">
            <w:col w:w="10860"/>
          </w:cols>
          <w:pgMar w:left="440" w:top="266" w:right="59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Saul R. Laureles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22, 2019</w:t>
      </w:r>
    </w:p>
    <w:p>
      <w:pPr>
        <w:sectPr>
          <w:pgSz w:w="11900" w:h="16838" w:orient="portrait"/>
          <w:cols w:equalWidth="0" w:num="1">
            <w:col w:w="10780"/>
          </w:cols>
          <w:pgMar w:left="440" w:top="266" w:right="6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 (</w:t>
      </w:r>
      <w:r>
        <w:rPr>
          <w:rFonts w:ascii="Times New Roman" w:cs="Times New Roman" w:eastAsia="Times New Roman" w:hAnsi="Times New Roman"/>
          <w:sz w:val="18"/>
          <w:szCs w:val="18"/>
          <w:b w:val="1"/>
          <w:bCs w:val="1"/>
          <w:i w:val="1"/>
          <w:iCs w:val="1"/>
          <w:u w:val="single" w:color="auto"/>
          <w:color w:val="auto"/>
        </w:rPr>
        <w:t>REGLEMENT</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39" w:lineRule="exact"/>
        <w:rPr>
          <w:sz w:val="20"/>
          <w:szCs w:val="20"/>
          <w:color w:val="auto"/>
        </w:rPr>
      </w:pPr>
    </w:p>
    <w:p>
      <w:pPr>
        <w:ind w:left="440"/>
        <w:spacing w:after="0" w:line="268" w:lineRule="auto"/>
        <w:rPr>
          <w:sz w:val="20"/>
          <w:szCs w:val="20"/>
          <w:color w:val="auto"/>
        </w:rPr>
      </w:pPr>
      <w:r>
        <w:rPr>
          <w:rFonts w:ascii="Times New Roman" w:cs="Times New Roman" w:eastAsia="Times New Roman" w:hAnsi="Times New Roman"/>
          <w:sz w:val="18"/>
          <w:szCs w:val="18"/>
          <w:color w:val="auto"/>
        </w:rPr>
        <w:t>(Certain provisions of these By-Laws correspond to provisions contained in the Company’s Articles of Incorporation, as amended (the “</w:t>
      </w:r>
      <w:r>
        <w:rPr>
          <w:rFonts w:ascii="Times New Roman" w:cs="Times New Roman" w:eastAsia="Times New Roman" w:hAnsi="Times New Roman"/>
          <w:sz w:val="18"/>
          <w:szCs w:val="18"/>
          <w:b w:val="1"/>
          <w:bCs w:val="1"/>
          <w:i w:val="1"/>
          <w:iCs w:val="1"/>
          <w:color w:val="auto"/>
        </w:rPr>
        <w:t>Articles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Incorporation</w:t>
      </w:r>
      <w:r>
        <w:rPr>
          <w:rFonts w:ascii="Times New Roman" w:cs="Times New Roman" w:eastAsia="Times New Roman" w:hAnsi="Times New Roman"/>
          <w:sz w:val="18"/>
          <w:szCs w:val="18"/>
          <w:color w:val="auto"/>
        </w:rPr>
        <w:t>”), and any amendment of such provisions of the By-Laws is subject to an appropriate amendment of the Articles of Incorporation.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These By-Laws constitute a </w:t>
      </w:r>
      <w:r>
        <w:rPr>
          <w:rFonts w:ascii="Times New Roman" w:cs="Times New Roman" w:eastAsia="Times New Roman" w:hAnsi="Times New Roman"/>
          <w:sz w:val="18"/>
          <w:szCs w:val="18"/>
          <w:i w:val="1"/>
          <w:iCs w:val="1"/>
          <w:color w:val="auto"/>
        </w:rPr>
        <w:t>reglement</w:t>
      </w:r>
      <w:r>
        <w:rPr>
          <w:rFonts w:ascii="Times New Roman" w:cs="Times New Roman" w:eastAsia="Times New Roman" w:hAnsi="Times New Roman"/>
          <w:sz w:val="18"/>
          <w:szCs w:val="18"/>
          <w:color w:val="auto"/>
        </w:rPr>
        <w:t xml:space="preserve"> as referred to in Article 2:1.6 of the Curaçao Civil Code.)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b w:val="1"/>
          <w:bCs w:val="1"/>
          <w:u w:val="single" w:color="auto"/>
          <w:color w:val="auto"/>
        </w:rPr>
        <w:t>Place of Meetings: Chairmanship of Meetings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All annual general meetings of stockholders (“</w:t>
      </w:r>
      <w:r>
        <w:rPr>
          <w:rFonts w:ascii="Times New Roman" w:cs="Times New Roman" w:eastAsia="Times New Roman" w:hAnsi="Times New Roman"/>
          <w:sz w:val="18"/>
          <w:szCs w:val="18"/>
          <w:b w:val="1"/>
          <w:bCs w:val="1"/>
          <w:i w:val="1"/>
          <w:iCs w:val="1"/>
          <w:color w:val="auto"/>
        </w:rPr>
        <w:t>Annual Meetings</w:t>
      </w:r>
      <w:r>
        <w:rPr>
          <w:rFonts w:ascii="Times New Roman" w:cs="Times New Roman" w:eastAsia="Times New Roman" w:hAnsi="Times New Roman"/>
          <w:sz w:val="18"/>
          <w:szCs w:val="18"/>
          <w:color w:val="auto"/>
        </w:rPr>
        <w:t>”) and all special general meetings of stockholders (“</w:t>
      </w:r>
      <w:r>
        <w:rPr>
          <w:rFonts w:ascii="Times New Roman" w:cs="Times New Roman" w:eastAsia="Times New Roman" w:hAnsi="Times New Roman"/>
          <w:sz w:val="18"/>
          <w:szCs w:val="18"/>
          <w:b w:val="1"/>
          <w:bCs w:val="1"/>
          <w:i w:val="1"/>
          <w:iCs w:val="1"/>
          <w:color w:val="auto"/>
        </w:rPr>
        <w:t>Special Meetings</w:t>
      </w:r>
      <w:r>
        <w:rPr>
          <w:rFonts w:ascii="Times New Roman" w:cs="Times New Roman" w:eastAsia="Times New Roman" w:hAnsi="Times New Roman"/>
          <w:sz w:val="18"/>
          <w:szCs w:val="18"/>
          <w:color w:val="auto"/>
        </w:rPr>
        <w:t>”) shall be held in Curaçao. All such meetings shall be presided over by the Chairman or, in his absence or disability, by a Chair designated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in the absence of such designation, by a Chair chosen at the meeting.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b w:val="1"/>
          <w:bCs w:val="1"/>
          <w:u w:val="single" w:color="auto"/>
          <w:color w:val="auto"/>
        </w:rPr>
        <w:t>Annual Meetings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Annual Meetings shall be held within the period required by applicable law, on a date determined from year to year by the Board, for the purpose of electing directors, reporting on the course of business during the preceding fiscal year, approving of the balance sheet and the profit and loss accounts for the preceding fiscal year, and for any other purposes required by law, and for such additional purposes as may be specified in the notice of such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b w:val="1"/>
          <w:bCs w:val="1"/>
          <w:u w:val="single" w:color="auto"/>
          <w:color w:val="auto"/>
        </w:rPr>
        <w:t>Special Meetings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Special Meetings may be called at any time by the Company (upon the direction of the Chairman, the Vice Chairman, the Chief Executive Officer, the President or the Board), or in the manner provided in Article 2:130 of the Civil Code of Curaçao, or by one or more stockholders who (a) meet the requirements of Article 11.3 of the Articles of Incorporation, and (b) deliver to the Secretary of the Company one or more written requests setting forth the information required under Section 1.9(b) of these By-Laws (each a “</w:t>
      </w:r>
      <w:r>
        <w:rPr>
          <w:rFonts w:ascii="Times New Roman" w:cs="Times New Roman" w:eastAsia="Times New Roman" w:hAnsi="Times New Roman"/>
          <w:sz w:val="18"/>
          <w:szCs w:val="18"/>
          <w:b w:val="1"/>
          <w:bCs w:val="1"/>
          <w:i w:val="1"/>
          <w:iCs w:val="1"/>
          <w:color w:val="auto"/>
        </w:rPr>
        <w:t>Special Meeting Request</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1.4 </w:t>
      </w:r>
      <w:r>
        <w:rPr>
          <w:rFonts w:ascii="Times New Roman" w:cs="Times New Roman" w:eastAsia="Times New Roman" w:hAnsi="Times New Roman"/>
          <w:sz w:val="18"/>
          <w:szCs w:val="18"/>
          <w:b w:val="1"/>
          <w:bCs w:val="1"/>
          <w:u w:val="single" w:color="auto"/>
          <w:color w:val="auto"/>
        </w:rPr>
        <w:t>Notice of Meeting</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All notices of Annual Meetings and of Special Meetings shall state the matters to be considered at the meeting. Written notice of general meetings of stockholders, whether Annual Meetings or Special Meetings, stating the time and place of the meeting, shall be given not fewer than 20 and not more than 60 days prior to the date of the meeting in question.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b w:val="1"/>
          <w:bCs w:val="1"/>
          <w:u w:val="single" w:color="auto"/>
          <w:color w:val="auto"/>
        </w:rPr>
        <w:t>Closing of Transfer Books or Fixing of Record Date</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For the purpose of determining stockholders entitled to notice of, or to vote at, any general meeting of stockholders, or entitled to receive payment of any dividend or other distribution or allotment of any rights, or the stockholders entitled to exercise any rights with respect to any change, conversion or exchange of shares, or in order to make a determination of stockholders for any other proper purpose, the Board may provide that the stock transfer books shall be closed for a stated period or that a record date be fixed. If the stock transfer books are closed for the purpose of determining stockholders entitled to notice of, or to vote at, a general meeting of stockholders, such books shall be closed for at least 10 days but not to exceed, in any case, 60 days immediately preceding such meeting. In lieu of closing the stock transfer books, the Board may fix in advance a date as the record date for any such determination of stockholders, such date in any case to be not more than 60 days and, in case of a general meeting of stockholders, not fewer than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or other distribution or allotment, the date on which notice of the meeting is mailed or the date on which the resolution of the Board declaring such dividend or other distribution or allotment is adopted, as the case may be, shall be the record date for such determination of stockholders. When a determination of stockholders entitled to vote at any general meeting of stockholders has been made as herein provided, such determination shall apply to any adjournment thereof, except where the determination has been made through the closing of stock transfer books, and the stated period of closing has expired.</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b w:val="1"/>
          <w:bCs w:val="1"/>
          <w:u w:val="single" w:color="auto"/>
          <w:color w:val="auto"/>
        </w:rPr>
        <w:t>Quorum</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Except as otherwise provided herein, no action may be taken at any general meeting of stockholders unless a quorum consisting of the holders of at least one-half of the outstanding shares entitling the holders thereof to vote at such meeting is present at such meeting in person or by proxy. If a quorum is not present in person or by proxy at any general meeting of stockholders, a second general meeting shall be called in the same manner as such original meeting of stockholders, to be held within two (2) months, at which second meeting, regardless of the number of shares represented (but subject to the provisions of Articles 18, 19 and 21 of the Articles of Incorporation), valid resolutions may be adopted with respect to any matter stated in the notice of the original meeting and also in the notice of such second meeting or which, by law, is required to be brought before the stockholders despite the absence of a quorum. Subject to the provisions of Articles 18, 19 and 21 of the Articles of Incorporation, a vote in favor by a majority of the votes cast (excluding any abstentions) shall be necessary to adopt any resolution at any general meeting of stockholders.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1.7 </w:t>
      </w:r>
      <w:r>
        <w:rPr>
          <w:rFonts w:ascii="Times New Roman" w:cs="Times New Roman" w:eastAsia="Times New Roman" w:hAnsi="Times New Roman"/>
          <w:sz w:val="18"/>
          <w:szCs w:val="18"/>
          <w:b w:val="1"/>
          <w:bCs w:val="1"/>
          <w:u w:val="single" w:color="auto"/>
          <w:color w:val="auto"/>
        </w:rPr>
        <w:t>Buy Out</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one person, or any two or more legal entities belonging to the same group, holding shares representing at least 90% of the equity of the Company, can require the remaining stockholders to transfer their shares as provided by and in accordance with the provisions of Article 2:250 of the Civil Code of Curaçao.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b w:val="1"/>
          <w:bCs w:val="1"/>
          <w:u w:val="single" w:color="auto"/>
          <w:color w:val="auto"/>
        </w:rPr>
        <w:t>Notices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or directors, any notice given by the Company will be effective if given by a form of electronic transmission.</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Whenever a notice or any other communication is required to be delivered under these By-Laws to the Secretary of the Company, such delivery will be effective if delivered to the Secretary at the principal executive office of the Company in Houston, Texas. All notices will be deemed given: (a) if by facsimile telecommunication, when transmitted to a number at which the recipient has consented to receive notice; (b) if by electronic mail, when sent or transmitted to an electronic mail address at which the recipient has consented to receive notice; (c) if by a posting on an electronic network together with separate notice to the recipient of such specific posting, upon the later of (i) such posting and (ii) the giving of such separate notice; and (d) if by any other form of electronic transmission, when sent or transmitted to the recipient. An affidavit that the notice has been given by a form of electronic transmission will, in the absence of fraud or bad faith,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1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For purposes of these By-Laws, “</w:t>
      </w:r>
      <w:r>
        <w:rPr>
          <w:rFonts w:ascii="Times New Roman" w:cs="Times New Roman" w:eastAsia="Times New Roman" w:hAnsi="Times New Roman"/>
          <w:sz w:val="18"/>
          <w:szCs w:val="18"/>
          <w:b w:val="1"/>
          <w:bCs w:val="1"/>
          <w:i w:val="1"/>
          <w:iCs w:val="1"/>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that creates a record that may be retained, retrieved, and reviewed by a recipient thereof. Any notice that is delivered by mail shall be deemed to be given when deposited in the mail, postage pre-paid, and directed to the recipient at his or her address as it appears on the records of the Company.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b w:val="1"/>
          <w:bCs w:val="1"/>
          <w:u w:val="single" w:color="auto"/>
          <w:color w:val="auto"/>
        </w:rPr>
        <w:t>Notice of Stockholder Business and Nominations</w:t>
      </w:r>
    </w:p>
    <w:p>
      <w:pPr>
        <w:spacing w:after="0" w:line="121" w:lineRule="exact"/>
        <w:rPr>
          <w:sz w:val="20"/>
          <w:szCs w:val="20"/>
          <w:color w:val="auto"/>
        </w:rPr>
      </w:pPr>
    </w:p>
    <w:p>
      <w:pPr>
        <w:ind w:left="380" w:hanging="376"/>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 of Stockholders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1436"/>
        <w:spacing w:after="0" w:line="256" w:lineRule="auto"/>
        <w:tabs>
          <w:tab w:leader="none" w:pos="178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and the proposal of business other than nominations to be considered by the stockholders may be made at an Annual Meeting only (A) by or at the direction of the Board, (B) by any stockholder of the Company who is a stockholder of record at the time the notice provided for in this Section 1.9(a) is delivered to the Secretary of the Company, who is entitled to vote at the meeting and who complies with the notice procedures set forth in this Section 1.9(a), or (C) in the case of stockholder nominations to be included in the Company’s proxy statement for an Annual Meeting, by an Eligible Stockholder (as defined below) who satisfies the notice, ownership and other requirements of Section 1.10 below.</w:t>
      </w:r>
    </w:p>
    <w:p>
      <w:pPr>
        <w:spacing w:after="0" w:line="187" w:lineRule="exact"/>
        <w:rPr>
          <w:rFonts w:ascii="Times New Roman" w:cs="Times New Roman" w:eastAsia="Times New Roman" w:hAnsi="Times New Roman"/>
          <w:sz w:val="18"/>
          <w:szCs w:val="18"/>
          <w:color w:val="auto"/>
        </w:rPr>
      </w:pPr>
    </w:p>
    <w:p>
      <w:pPr>
        <w:ind w:firstLine="1436"/>
        <w:spacing w:after="0" w:line="282" w:lineRule="auto"/>
        <w:tabs>
          <w:tab w:leader="none" w:pos="183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nominations or other business to be properly brought before an Annual Meeting by a stockholder pursuant to Section 1.9(a) (i)(B), the stockholder must have given timely notice thereof in writing to the Secretary of the Company and, in the case of business other than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6" w:name="page7"/>
    <w:bookmarkEnd w:id="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nominations, such business must be a proper subject for stockholder action. To be timely under this Section 1.9(a)(ii), a stockholder’s notice must be delivered to and received by the Secretary, by hand or by certified or registered mail, return receipt requested, not later than the close of business (as defined in Section 1.9(c)(ii) below) on the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nor earlier than the close of business on the 150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first anniversary of the preceding year’s Annual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date of the Annual Meeting is more than 30 days before or more than 30 days after such anniversary date, or if no Annual Meeting was held in the preceding year, notice by the stockholder to be timely must be so delivered not earlier than the close of business on the 120th day prior to such Annual Meeting and not later than the close of business on the later of the 90th day prior to such Annual Meeting or the 10th day following the date on which public announcement (as defined in Section 1.9(c)(ii) below) of the date of such meeting is first made by the Company. In no event will an adjournment or recess of an Annual Meeting, or a postponement of an Annual Meeting for which notice of the meeting has already been given to stockholders or with respect to which there has been a public announcement of the date of the meeting, commence a new time period (or extend any time period) for the giving of a stockholder’s notice as described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stockholder’s notice shall set forth:</w:t>
      </w:r>
    </w:p>
    <w:p>
      <w:pPr>
        <w:spacing w:after="0" w:line="225" w:lineRule="exact"/>
        <w:rPr>
          <w:sz w:val="20"/>
          <w:szCs w:val="20"/>
          <w:color w:val="auto"/>
        </w:rPr>
      </w:pPr>
    </w:p>
    <w:p>
      <w:pPr>
        <w:ind w:firstLine="885"/>
        <w:spacing w:after="0" w:line="252" w:lineRule="auto"/>
        <w:tabs>
          <w:tab w:leader="none" w:pos="1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or re-election as a director, (1) the name, birth date and year, principal occupation, citizenship and country of residence of such person, and all other information relating to such person that is required to be disclosed in solicitations of proxies for election of directors in an election contest, or is otherwise required, in each case pursuant to and in accordance with Regulation 14A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(2) a written representation and agreement of each director nominee, which shall be signed by each nominee and wherein such nominee shall represent and agree that such nominee: (a) consents to being named as a nominee (and, if nominated pursuant to Section 1.10 below, to being named in the Company’s proxy statement and form of proxy as a nominee) and to serving as a director if elected, and intends to serve as a director for the full term for which such person is standing for election if elected, (b) is not and will not become a party to any agreement, arrangement or understanding with, and has not given any commitment or assurance to, any person or entity (i) as to how the nominee, if elected as a director, shall act or vote on any issue or question that has not been disclosed to the Company in such representation, or (ii) that could limit or interfere with the nominee’s ability to comply, if elected as a director, with the nominee’s fiduciary duties under applicable law, (c) is not and will not become a party to any agreement, arrangement or understanding with any person or entity with respect to any direct or indirect compensation, reimbursement or indemnification in connection with service or action as a stockholder nominee that has not been disclosed to the Company, and is not and will not become a party to any agreement, arrangement or understanding with any person or entity other than the Company with respect to any direct or indirect compensation, reimbursement or indemnification in connection with service or action as a director, and (d) if elected as a director, shall comply with all of the Company’s corporate governance, conflict of interest, confidentiality, and stock ownership and trading policies and guidelines, and any other Company policies and guidelines applicable to directors; (3) all information required by the Company to determine whether each nominee: (a) is independent under New York Stock Exchange (the “</w:t>
      </w:r>
      <w:r>
        <w:rPr>
          <w:rFonts w:ascii="Times New Roman" w:cs="Times New Roman" w:eastAsia="Times New Roman" w:hAnsi="Times New Roman"/>
          <w:sz w:val="18"/>
          <w:szCs w:val="18"/>
          <w:b w:val="1"/>
          <w:bCs w:val="1"/>
          <w:i w:val="1"/>
          <w:iCs w:val="1"/>
          <w:color w:val="auto"/>
        </w:rPr>
        <w:t>NYSE</w:t>
      </w:r>
      <w:r>
        <w:rPr>
          <w:rFonts w:ascii="Times New Roman" w:cs="Times New Roman" w:eastAsia="Times New Roman" w:hAnsi="Times New Roman"/>
          <w:sz w:val="18"/>
          <w:szCs w:val="18"/>
          <w:color w:val="auto"/>
        </w:rPr>
        <w:t>”) listing standards, any applicable rules of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or the Company’s Corporate Governance Guidelines; (b) qualifies as independent under the audit committee independence requirements set forth in the rules of the NYSE, as a “non-employee director” under Exchange Act Rule 16b-3 (or any successor provision), or as an “outside director” for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7" w:name="page8"/>
    <w:bookmarkEnd w:id="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purposes of Section 162(m) of the Internal Revenue Code (or any successor provision); (c) is or has been, within the past three years, an officer, director or employee of a competitor, as defined in Section 8 of the Clayton Antitrust Act of 1914, as amended; (d) is a named subject of a pending criminal proceeding (excluding traffic violations and other minor offenses) or has been convicted in a criminal proceeding (excluding traffic violations and other minor offenses) within the past ten years; and (e) is subject to any order of the type specified in Rule 506(d) of Regulation D promulgated under the Securities Act of 1933, as amended; and (4) any such additional information as may be reasonably required by the Company to determine the eligibility of such person to serve as a director of the Company;</w:t>
      </w:r>
    </w:p>
    <w:p>
      <w:pPr>
        <w:spacing w:after="0" w:line="188" w:lineRule="exact"/>
        <w:rPr>
          <w:sz w:val="20"/>
          <w:szCs w:val="20"/>
          <w:color w:val="auto"/>
        </w:rPr>
      </w:pPr>
    </w:p>
    <w:p>
      <w:pPr>
        <w:ind w:right="100" w:firstLine="885"/>
        <w:spacing w:after="0" w:line="256" w:lineRule="auto"/>
        <w:tabs>
          <w:tab w:leader="none" w:pos="130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substantial interest (within the meaning of Item 5 of Schedule 14A (or any successor provision) under the Exchange Act) in such business of such stockholder and the beneficial owner (within the meaning of Section 13(d) of the Exchange Act), if any, on whose behalf the proposal is made;</w:t>
      </w:r>
    </w:p>
    <w:p>
      <w:pPr>
        <w:spacing w:after="0" w:line="187" w:lineRule="exact"/>
        <w:rPr>
          <w:rFonts w:ascii="Times New Roman" w:cs="Times New Roman" w:eastAsia="Times New Roman" w:hAnsi="Times New Roman"/>
          <w:sz w:val="18"/>
          <w:szCs w:val="18"/>
          <w:color w:val="auto"/>
        </w:rPr>
      </w:pPr>
    </w:p>
    <w:p>
      <w:pPr>
        <w:ind w:left="1300" w:hanging="415"/>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 and the beneficial owner, if any, on whose behalf the nomination is made or the other business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proposed:</w:t>
      </w:r>
    </w:p>
    <w:p>
      <w:pPr>
        <w:spacing w:after="0" w:line="206" w:lineRule="exact"/>
        <w:rPr>
          <w:rFonts w:ascii="Times New Roman" w:cs="Times New Roman" w:eastAsia="Times New Roman" w:hAnsi="Times New Roman"/>
          <w:sz w:val="18"/>
          <w:szCs w:val="18"/>
          <w:color w:val="auto"/>
        </w:rPr>
      </w:pPr>
    </w:p>
    <w:p>
      <w:pPr>
        <w:ind w:left="1820" w:hanging="384"/>
        <w:spacing w:after="0"/>
        <w:tabs>
          <w:tab w:leader="none" w:pos="18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stockholder, as they appear on the Company’s books, and the name and address of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w:t>
      </w:r>
    </w:p>
    <w:p>
      <w:pPr>
        <w:spacing w:after="0" w:line="206" w:lineRule="exact"/>
        <w:rPr>
          <w:rFonts w:ascii="Times New Roman" w:cs="Times New Roman" w:eastAsia="Times New Roman" w:hAnsi="Times New Roman"/>
          <w:sz w:val="18"/>
          <w:szCs w:val="18"/>
          <w:color w:val="auto"/>
        </w:rPr>
      </w:pPr>
    </w:p>
    <w:p>
      <w:pPr>
        <w:ind w:firstLine="1436"/>
        <w:spacing w:after="0" w:line="261" w:lineRule="auto"/>
        <w:tabs>
          <w:tab w:leader="none" w:pos="182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the Company that are owned of record by such stockholder and such beneficial owner as of the date of the notice, and a representation that the stockholder will notify the Company in writing within five business days after the record date for such meeting of the class or series and number of shares of stock of the Company owned of record by the stockholder and such beneficial owner as of the record date for the meeting (except as otherwise provided in Section 1.9(a)(iii) below), and</w:t>
      </w:r>
    </w:p>
    <w:p>
      <w:pPr>
        <w:spacing w:after="0" w:line="180" w:lineRule="exact"/>
        <w:rPr>
          <w:rFonts w:ascii="Times New Roman" w:cs="Times New Roman" w:eastAsia="Times New Roman" w:hAnsi="Times New Roman"/>
          <w:sz w:val="18"/>
          <w:szCs w:val="18"/>
          <w:color w:val="auto"/>
        </w:rPr>
      </w:pPr>
    </w:p>
    <w:p>
      <w:pPr>
        <w:ind w:right="600" w:firstLine="1436"/>
        <w:spacing w:after="0" w:line="282" w:lineRule="auto"/>
        <w:tabs>
          <w:tab w:leader="none" w:pos="182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that the stockholder (or a qualified representative (as defined in Section 1.9(c)(i) below) of the stockholder) intends to appear in person or by proxy at the meeting to make such nomination or propose such business;</w:t>
      </w:r>
    </w:p>
    <w:p>
      <w:pPr>
        <w:spacing w:after="0" w:line="161" w:lineRule="exact"/>
        <w:rPr>
          <w:rFonts w:ascii="Times New Roman" w:cs="Times New Roman" w:eastAsia="Times New Roman" w:hAnsi="Times New Roman"/>
          <w:sz w:val="18"/>
          <w:szCs w:val="18"/>
          <w:color w:val="auto"/>
        </w:rPr>
      </w:pPr>
    </w:p>
    <w:p>
      <w:pPr>
        <w:ind w:right="340" w:firstLine="885"/>
        <w:spacing w:after="0" w:line="266" w:lineRule="auto"/>
        <w:tabs>
          <w:tab w:leader="none" w:pos="131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 or, if the notice is given on behalf of a beneficial owner on whose behalf the nomination is made or the other business is proposed, as to such beneficial owner, and if such stockholder or beneficial owner is an entity, as to each director, executive, managing member or control person of such entity (any such individual or control person, a “</w:t>
      </w:r>
      <w:r>
        <w:rPr>
          <w:rFonts w:ascii="Times New Roman" w:cs="Times New Roman" w:eastAsia="Times New Roman" w:hAnsi="Times New Roman"/>
          <w:sz w:val="18"/>
          <w:szCs w:val="18"/>
          <w:b w:val="1"/>
          <w:bCs w:val="1"/>
          <w:i w:val="1"/>
          <w:iCs w:val="1"/>
          <w:color w:val="auto"/>
        </w:rPr>
        <w:t>control person</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right="100" w:firstLine="1436"/>
        <w:spacing w:after="0" w:line="258" w:lineRule="auto"/>
        <w:tabs>
          <w:tab w:leader="none" w:pos="182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the Company that are beneficially owned (as defined in Section 1.9(c)(iii) below) by such stockholder or beneficial owner and by any control person as of the date of the notice, and a written representation that the stockholder will notify the Company in writing within five business days after the record date for such meeting of the class or series and number of shares of stock of the Company beneficially owned by such stockholder or beneficial owner and by any control person as of the record date for the meeting (except as otherwise provided in Section 1.9(a)(iii) below);</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8" w:name="page9"/>
    <w:bookmarkEnd w:id="8"/>
    <w:p>
      <w:pPr>
        <w:ind w:left="-4" w:firstLine="1436"/>
        <w:spacing w:after="0" w:line="256" w:lineRule="auto"/>
        <w:tabs>
          <w:tab w:leader="none" w:pos="1819"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description of any agreement, arrangement or understanding with respect to the nomination or other business between or among such stockholder, beneficial owner or control person and any other person, including without limitation any agreements that would be required to be disclosed pursuant to Item 5 or Item 6 of Exchange Act Schedule 13D (regardless of whether the requirement to file a Schedule 13D is applicable) and a written representation that the stockholder will notify the Company in writing within five business days after the record date for such meeting of any such agreement, arrangement or understanding in effect as of the record date for the meeting (except as otherwise provided in Section 1.9(a)(iii) below);</w:t>
      </w:r>
    </w:p>
    <w:p>
      <w:pPr>
        <w:spacing w:after="0" w:line="187" w:lineRule="exact"/>
        <w:rPr>
          <w:rFonts w:ascii="Times New Roman" w:cs="Times New Roman" w:eastAsia="Times New Roman" w:hAnsi="Times New Roman"/>
          <w:sz w:val="18"/>
          <w:szCs w:val="18"/>
          <w:color w:val="auto"/>
        </w:rPr>
      </w:pPr>
    </w:p>
    <w:p>
      <w:pPr>
        <w:ind w:left="-4" w:right="60" w:firstLine="1436"/>
        <w:spacing w:after="0" w:line="255" w:lineRule="auto"/>
        <w:tabs>
          <w:tab w:leader="none" w:pos="1819"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(including any derivative or short positions, profit interests, options, hedging transactions, and borrowed or loaned shares) that has been entered into as of the date of the stockholder’s notice by, or on behalf of, such stockholder, beneficial owner or control person, the effect or intent of which is to mitigate loss, manage risk or benefit from changes in the share price of any class or series of the Company’s stock, or maintain, increase or decrease the voting power of the stockholder, beneficial owner or control person with respect to securities of the Company, and a written representation that the stockholder will notify the Company in writing within five business days after the record date for such meeting of any such agreement, arrangement or understanding in effect as of the record date for the meeting (except as otherwise provided in Section 1.9(a)(iii) below); and</w:t>
      </w:r>
    </w:p>
    <w:p>
      <w:pPr>
        <w:spacing w:after="0" w:line="189" w:lineRule="exact"/>
        <w:rPr>
          <w:rFonts w:ascii="Times New Roman" w:cs="Times New Roman" w:eastAsia="Times New Roman" w:hAnsi="Times New Roman"/>
          <w:sz w:val="18"/>
          <w:szCs w:val="18"/>
          <w:color w:val="auto"/>
        </w:rPr>
      </w:pPr>
    </w:p>
    <w:p>
      <w:pPr>
        <w:jc w:val="both"/>
        <w:ind w:left="-4" w:right="40" w:firstLine="1436"/>
        <w:spacing w:after="0" w:line="261" w:lineRule="auto"/>
        <w:tabs>
          <w:tab w:leader="none" w:pos="1819"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whether the stockholder or the beneficial owner, if any, will engage in a solicitation with respect to the nomination or other business and, if so, the name of each participant in such solicitation (as defined in Item 4 of Schedule 14A under the Exchange Act) and whether such person intends, or is part of a group that intends, to deliver a proxy statement or form of proxy to holders of at least a majority of the shares authorized to vote on any such matter.</w:t>
      </w:r>
    </w:p>
    <w:p>
      <w:pPr>
        <w:spacing w:after="0" w:line="180" w:lineRule="exact"/>
        <w:rPr>
          <w:rFonts w:ascii="Times New Roman" w:cs="Times New Roman" w:eastAsia="Times New Roman" w:hAnsi="Times New Roman"/>
          <w:sz w:val="18"/>
          <w:szCs w:val="18"/>
          <w:color w:val="auto"/>
        </w:rPr>
      </w:pPr>
    </w:p>
    <w:p>
      <w:pPr>
        <w:ind w:left="-4" w:right="200" w:firstLine="444"/>
        <w:spacing w:after="0" w:line="261" w:lineRule="auto"/>
        <w:tabs>
          <w:tab w:leader="none" w:pos="8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1.9(a) shall not apply to a stockholder (A) if the stockholder has notified the Company of his, her or its intention to present a stockholder proposal at an Annual Meeting or Special Meeting only pursuant to and in compliance with Rule 14a-8 under the Exchange Act and</w:t>
      </w:r>
    </w:p>
    <w:p>
      <w:pPr>
        <w:ind w:left="276" w:hanging="276"/>
        <w:spacing w:after="0"/>
        <w:tabs>
          <w:tab w:leader="none" w:pos="2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stockholder proposal has been included in a proxy statement that has been prepared by the Company to solicit proxies for such meeting.</w:t>
      </w:r>
    </w:p>
    <w:p>
      <w:pPr>
        <w:spacing w:after="0" w:line="207" w:lineRule="exact"/>
        <w:rPr>
          <w:sz w:val="20"/>
          <w:szCs w:val="20"/>
          <w:color w:val="auto"/>
        </w:rPr>
      </w:pPr>
    </w:p>
    <w:p>
      <w:pPr>
        <w:ind w:left="396" w:hanging="396"/>
        <w:spacing w:after="0"/>
        <w:tabs>
          <w:tab w:leader="none" w:pos="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 of Stockholders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80" w:firstLine="444"/>
        <w:spacing w:after="0" w:line="253" w:lineRule="auto"/>
        <w:tabs>
          <w:tab w:leader="none" w:pos="78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Only such business shall be conducted at a Special Meeting as shall have been brought before the meeting pursuant to the Company’s notice of meeting. A Special Meeting Request delivered to the Secretary of the Company pursuant to Section 1.3 shall: (A) state the business (including the identity of nominees for election as a director, if any) proposed to be acted on at the meeting; (B) bear the date of signature of each stockholder (or duly authorized agent) submitting the Special Meeting Request; (C) set forth the information required by Section 1.9(a)(ii) with respect to director nominations and any other business proposed to be presented at the Special Meeting, and with respect to each stockholder requesting the meeting and each other person (including any beneficial owner) on whose behalf the stockholder is acting, other than stockholders or beneficial owners who have provided such request solely in response to solicitation materials filed with the SEC pursuant to Exchange Act Rule 14a-6; (D) include documentary evidence that the requesting stockholders own the requisite percentage as of the ownership record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requesting stockholders are not the beneficial owners of the shares representing the requisite percentage, then to be valid, the Special Meeting Request must also include documentary evidence of the number of shares owned by the beneficial owners on whose behalf the Special Meeting Request is made as of the ownership record date;</w:t>
      </w:r>
    </w:p>
    <w:p>
      <w:pPr>
        <w:spacing w:after="0" w:line="125"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96"/>
          </w:cols>
          <w:pgMar w:left="444" w:top="270" w:right="459" w:bottom="1440" w:gutter="0" w:footer="0" w:header="0"/>
        </w:sectPr>
      </w:pPr>
    </w:p>
    <w:bookmarkStart w:id="9" w:name="page10"/>
    <w:bookmarkEnd w:id="9"/>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(E) be updated and supplemented as of the record date within five business days after the record date for determining the stockholders entitled to vote at the stockholder-requested Special Meeting (or by the opening of business on the date of the meeting, whichever is earlier, if the record date for determining the stockholders entitled to vote at the meeting is different from the record date for determining the stockholders entitled to notice of the meeting).</w:t>
      </w:r>
    </w:p>
    <w:p>
      <w:pPr>
        <w:spacing w:after="0" w:line="180" w:lineRule="exact"/>
        <w:rPr>
          <w:sz w:val="20"/>
          <w:szCs w:val="20"/>
          <w:color w:val="auto"/>
        </w:rPr>
      </w:pPr>
    </w:p>
    <w:p>
      <w:pPr>
        <w:ind w:right="20" w:firstLine="444"/>
        <w:spacing w:after="0" w:line="254" w:lineRule="auto"/>
        <w:tabs>
          <w:tab w:leader="none" w:pos="8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calls a Special Meeting (other than a stockholder-requested Special Meeting) for the purpose of electing one or more directors to the Board, any stockholder entitled to vote in such election of directors may nominate a person or persons (as the case may be) for election to such position(s) as specified in the Company’s notice of meeting, if the stockholder delivers a notice setting forth the information required by Section 1.9(a)(ii) with respect to the director nomination(s), and as to such stockholder and each other person (including any beneficial owner) on whose behalf the stockholder is acting, and such notice is delivered to the Secretary (A) not earlier than the close of business on the 120th day prior to such Special Meeting and not later than the close of business on the later of the 90th day prior to such Special Meeting or (B) the 10th day following the day on which public announcement is first made of the date of the Special Meeting and of the nominees proposed by the Board to be elected at such meeting. In no event will an adjournment, recess or postponement of a Special Meeting commence a new time period (or extend any time period) for the giving of a stockholder’s notice as described above.</w:t>
      </w:r>
    </w:p>
    <w:p>
      <w:pPr>
        <w:spacing w:after="0" w:line="189" w:lineRule="exact"/>
        <w:rPr>
          <w:rFonts w:ascii="Times New Roman" w:cs="Times New Roman" w:eastAsia="Times New Roman" w:hAnsi="Times New Roman"/>
          <w:sz w:val="18"/>
          <w:szCs w:val="18"/>
          <w:color w:val="auto"/>
        </w:rPr>
      </w:pPr>
    </w:p>
    <w:p>
      <w:pPr>
        <w:ind w:right="440" w:firstLine="444"/>
        <w:spacing w:after="0" w:line="266" w:lineRule="auto"/>
        <w:tabs>
          <w:tab w:leader="none" w:pos="8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By-Laws, in the case of a stockholder-requested Special Meeting, no stockholder may nominate a person for election to the Board or propose any other business to be considered at the meeting, except pursuant to the written request(s) delivered for such meeting pursuant to Section 1.3.</w:t>
      </w:r>
    </w:p>
    <w:p>
      <w:pPr>
        <w:spacing w:after="0" w:line="176" w:lineRule="exact"/>
        <w:rPr>
          <w:rFonts w:ascii="Times New Roman" w:cs="Times New Roman" w:eastAsia="Times New Roman" w:hAnsi="Times New Roman"/>
          <w:sz w:val="18"/>
          <w:szCs w:val="18"/>
          <w:color w:val="auto"/>
        </w:rPr>
      </w:pPr>
    </w:p>
    <w:p>
      <w:pPr>
        <w:ind w:left="380" w:hanging="376"/>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444"/>
        <w:spacing w:after="0" w:line="252" w:lineRule="auto"/>
        <w:tabs>
          <w:tab w:leader="none" w:pos="7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only such persons who are nominated in accordance with the procedures set forth in this Section 1.9 or Section 1.10 shall be eligible to be elected at any general meeting of stockholders of the Company to serve as directors and only such other business shall be conducted at such meeting of stockholders as shall have been brought before the meeting in accordance with the procedures set forth in this Section 1.9. Except as otherwise required by law, each of the Chairman or the chairman of the meeting shall have the power to determine whether a nomination or any other business proposed to be brought before the meeting was made or proposed, as the case may be, in accordance with the procedures set forth in this Section 1.9 or Section 1.10, as applicable (including whether a stockholder or beneficial owner solicited (or is part of a group which solicited) or did not so solicit, as the case may be, proxies in compliance with such stockholder’s representation as required by clause (a)(ii)(D)(4) of this Section 1.9). If any proposed nomination or other business is not in compliance with this Section 1.9 or Section 1.10, as applicable, then except as otherwise required by law, the chairman of the meeting shall have the power to declare that such nomination shall be disregarded or that such other business shall not be transacted. Notwithstanding the foregoing provisions of this Section 1.9 or Section 1.10, unless otherwise required by law, or otherwise determined by the Chairman or the chairman of the meeting, if the stockholder does not provide the information required under clauses (a)(ii) (C)(2) and (a)(ii)(D)(1)-(3) of this Section 1.9 to the Company within the time frames specified herein, or if the stockholder (or a qualified representative of the stockholder) does not appear at the Annual Meeting or Special Meeting to present a nomination or other business, such nomination shall be disregarded and such other business shall not be transacted, notwithstanding that proxies with respect to such vote may have been received by the Company. To be considered a “</w:t>
      </w:r>
      <w:r>
        <w:rPr>
          <w:rFonts w:ascii="Times New Roman" w:cs="Times New Roman" w:eastAsia="Times New Roman" w:hAnsi="Times New Roman"/>
          <w:sz w:val="18"/>
          <w:szCs w:val="18"/>
          <w:b w:val="1"/>
          <w:bCs w:val="1"/>
          <w:i w:val="1"/>
          <w:iCs w:val="1"/>
          <w:color w:val="auto"/>
        </w:rPr>
        <w:t>qualified representative</w:t>
      </w:r>
      <w:r>
        <w:rPr>
          <w:rFonts w:ascii="Times New Roman" w:cs="Times New Roman" w:eastAsia="Times New Roman" w:hAnsi="Times New Roman"/>
          <w:sz w:val="18"/>
          <w:szCs w:val="18"/>
          <w:color w:val="auto"/>
        </w:rPr>
        <w:t>” of a stockholder, a person must provide evidence that they are a duly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0" w:name="page11"/>
    <w:bookmarkEnd w:id="10"/>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authorized officer, manager or partner of such stockholder or authorized by a writing executed by such stockholder (or a reliable reproduction or electronic transmission of the writing) and delivered to the Secretary of the Company or to the chairman of the meeting prior to the making of such nomination or proposal at such meeting by such stockholder stating that such person is authorized to act for such stockholder as proxy at such general meeting of stockholders.</w:t>
      </w:r>
    </w:p>
    <w:p>
      <w:pPr>
        <w:spacing w:after="0" w:line="176" w:lineRule="exact"/>
        <w:rPr>
          <w:sz w:val="20"/>
          <w:szCs w:val="20"/>
          <w:color w:val="auto"/>
        </w:rPr>
      </w:pPr>
    </w:p>
    <w:p>
      <w:pPr>
        <w:ind w:right="40" w:firstLine="444"/>
        <w:spacing w:after="0" w:line="262" w:lineRule="auto"/>
        <w:tabs>
          <w:tab w:leader="none" w:pos="84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1.9, “</w:t>
      </w:r>
      <w:r>
        <w:rPr>
          <w:rFonts w:ascii="Times New Roman" w:cs="Times New Roman" w:eastAsia="Times New Roman" w:hAnsi="Times New Roman"/>
          <w:sz w:val="18"/>
          <w:szCs w:val="18"/>
          <w:b w:val="1"/>
          <w:bCs w:val="1"/>
          <w:i w:val="1"/>
          <w:iCs w:val="1"/>
          <w:color w:val="auto"/>
        </w:rPr>
        <w:t>close of business</w:t>
      </w:r>
      <w:r>
        <w:rPr>
          <w:rFonts w:ascii="Times New Roman" w:cs="Times New Roman" w:eastAsia="Times New Roman" w:hAnsi="Times New Roman"/>
          <w:sz w:val="18"/>
          <w:szCs w:val="18"/>
          <w:color w:val="auto"/>
        </w:rPr>
        <w:t>” means 6:00 p.m. local time at the principal executive office of the Company in Houston, Texas on any calendar day, whether or not the day is a business day, and a “</w:t>
      </w:r>
      <w:r>
        <w:rPr>
          <w:rFonts w:ascii="Times New Roman" w:cs="Times New Roman" w:eastAsia="Times New Roman" w:hAnsi="Times New Roman"/>
          <w:sz w:val="18"/>
          <w:szCs w:val="18"/>
          <w:b w:val="1"/>
          <w:bCs w:val="1"/>
          <w:i w:val="1"/>
          <w:iCs w:val="1"/>
          <w:color w:val="auto"/>
        </w:rPr>
        <w:t>public announcement</w:t>
      </w:r>
      <w:r>
        <w:rPr>
          <w:rFonts w:ascii="Times New Roman" w:cs="Times New Roman" w:eastAsia="Times New Roman" w:hAnsi="Times New Roman"/>
          <w:sz w:val="18"/>
          <w:szCs w:val="18"/>
          <w:color w:val="auto"/>
        </w:rPr>
        <w:t>” means disclosure in a press release reported by the Dow Jones News Service, Associated Press or a comparable national news service or in a document publicly filed by the Company with the SEC pursuant to Sections 13, 14 or 15(d) of the Exchange Act.</w:t>
      </w:r>
    </w:p>
    <w:p>
      <w:pPr>
        <w:spacing w:after="0" w:line="176" w:lineRule="exact"/>
        <w:rPr>
          <w:rFonts w:ascii="Times New Roman" w:cs="Times New Roman" w:eastAsia="Times New Roman" w:hAnsi="Times New Roman"/>
          <w:sz w:val="18"/>
          <w:szCs w:val="18"/>
          <w:color w:val="auto"/>
        </w:rPr>
      </w:pPr>
    </w:p>
    <w:p>
      <w:pPr>
        <w:ind w:firstLine="444"/>
        <w:spacing w:after="0" w:line="259" w:lineRule="auto"/>
        <w:tabs>
          <w:tab w:leader="none" w:pos="89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clause (a)(ii)(D)(1) of this Section 1.9, shares shall be treated as “</w:t>
      </w:r>
      <w:r>
        <w:rPr>
          <w:rFonts w:ascii="Times New Roman" w:cs="Times New Roman" w:eastAsia="Times New Roman" w:hAnsi="Times New Roman"/>
          <w:sz w:val="18"/>
          <w:szCs w:val="18"/>
          <w:b w:val="1"/>
          <w:bCs w:val="1"/>
          <w:i w:val="1"/>
          <w:iCs w:val="1"/>
          <w:color w:val="auto"/>
        </w:rPr>
        <w:t>beneficially owned</w:t>
      </w:r>
      <w:r>
        <w:rPr>
          <w:rFonts w:ascii="Times New Roman" w:cs="Times New Roman" w:eastAsia="Times New Roman" w:hAnsi="Times New Roman"/>
          <w:sz w:val="18"/>
          <w:szCs w:val="18"/>
          <w:color w:val="auto"/>
        </w:rPr>
        <w:t>” by a person if the person beneficially owns such shares, directly or indirectly, for purposes of Section 13(d) of the Exchange Act and Regulations 13D and 13G thereunder, or has or shares pursuant to any agreement, arrangement or understanding (whether or not in writing): (A) the right to acquire such shares (whether such right is exercisable immediately or only after the passage of time or the fulfillment of a condition or both), (B) the right to vote such shares, alone or in concert with others, or (C) investment power with respect to such shares, including the power to dispose of, or to direct the disposition of, such shares.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b w:val="1"/>
          <w:bCs w:val="1"/>
          <w:u w:val="single" w:color="auto"/>
          <w:color w:val="auto"/>
        </w:rPr>
        <w:t>Proxy Access for Director Nominations</w:t>
      </w:r>
    </w:p>
    <w:p>
      <w:pPr>
        <w:spacing w:after="0" w:line="121" w:lineRule="exact"/>
        <w:rPr>
          <w:sz w:val="20"/>
          <w:szCs w:val="20"/>
          <w:color w:val="auto"/>
        </w:rPr>
      </w:pPr>
    </w:p>
    <w:p>
      <w:pPr>
        <w:ind w:right="60" w:firstLine="4"/>
        <w:spacing w:after="0" w:line="261"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Subject to the terms and conditions of these By-Laws, in connection with an Annual Meeting at which directors are to be elected, the Company shall include (i) in its proxy statement for an Annual Meeting following the 2017 Annual Meeting and on its form of proxy the names of, and</w:t>
      </w:r>
    </w:p>
    <w:p>
      <w:pPr>
        <w:ind w:right="240" w:firstLine="4"/>
        <w:spacing w:after="0" w:line="255" w:lineRule="auto"/>
        <w:tabs>
          <w:tab w:leader="none" w:pos="2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proxy statement for an Annual Meeting following the 2017 Annual Meeting, the “</w:t>
      </w:r>
      <w:r>
        <w:rPr>
          <w:rFonts w:ascii="Times New Roman" w:cs="Times New Roman" w:eastAsia="Times New Roman" w:hAnsi="Times New Roman"/>
          <w:sz w:val="18"/>
          <w:szCs w:val="18"/>
          <w:b w:val="1"/>
          <w:bCs w:val="1"/>
          <w:i w:val="1"/>
          <w:iCs w:val="1"/>
          <w:color w:val="auto"/>
        </w:rPr>
        <w:t>Required Information</w:t>
      </w:r>
      <w:r>
        <w:rPr>
          <w:rFonts w:ascii="Times New Roman" w:cs="Times New Roman" w:eastAsia="Times New Roman" w:hAnsi="Times New Roman"/>
          <w:sz w:val="18"/>
          <w:szCs w:val="18"/>
          <w:color w:val="auto"/>
        </w:rPr>
        <w:t>” (as defined in Section 1.10(b)(iv) below) relating to an Authorized Number (as defined in Section 1.10(b)(i) below) of nominees for election to the Board submitted pursuant to this Section 1.10 (each, a “</w:t>
      </w:r>
      <w:r>
        <w:rPr>
          <w:rFonts w:ascii="Times New Roman" w:cs="Times New Roman" w:eastAsia="Times New Roman" w:hAnsi="Times New Roman"/>
          <w:sz w:val="18"/>
          <w:szCs w:val="18"/>
          <w:b w:val="1"/>
          <w:bCs w:val="1"/>
          <w:i w:val="1"/>
          <w:iCs w:val="1"/>
          <w:color w:val="auto"/>
        </w:rPr>
        <w:t>Stockholder Nominee</w:t>
      </w:r>
      <w:r>
        <w:rPr>
          <w:rFonts w:ascii="Times New Roman" w:cs="Times New Roman" w:eastAsia="Times New Roman" w:hAnsi="Times New Roman"/>
          <w:sz w:val="18"/>
          <w:szCs w:val="18"/>
          <w:color w:val="auto"/>
        </w:rPr>
        <w:t>”), if:</w:t>
      </w:r>
    </w:p>
    <w:p>
      <w:pPr>
        <w:spacing w:after="0" w:line="186" w:lineRule="exact"/>
        <w:rPr>
          <w:rFonts w:ascii="Times New Roman" w:cs="Times New Roman" w:eastAsia="Times New Roman" w:hAnsi="Times New Roman"/>
          <w:sz w:val="18"/>
          <w:szCs w:val="18"/>
          <w:color w:val="auto"/>
        </w:rPr>
      </w:pPr>
    </w:p>
    <w:p>
      <w:pPr>
        <w:ind w:left="800" w:hanging="356"/>
        <w:spacing w:after="0"/>
        <w:tabs>
          <w:tab w:leader="none" w:pos="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Nominee satisfies the eligibility requirements in this Section 1.10;</w:t>
      </w:r>
    </w:p>
    <w:p>
      <w:pPr>
        <w:spacing w:after="0" w:line="221" w:lineRule="exact"/>
        <w:rPr>
          <w:rFonts w:ascii="Times New Roman" w:cs="Times New Roman" w:eastAsia="Times New Roman" w:hAnsi="Times New Roman"/>
          <w:sz w:val="18"/>
          <w:szCs w:val="18"/>
          <w:color w:val="auto"/>
        </w:rPr>
      </w:pPr>
    </w:p>
    <w:p>
      <w:pPr>
        <w:ind w:right="160" w:firstLine="444"/>
        <w:spacing w:after="0" w:line="286" w:lineRule="auto"/>
        <w:tabs>
          <w:tab w:leader="none" w:pos="84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Nominee is identified in a timely written notice that satisfies this Section 1.10 (the “</w:t>
      </w:r>
      <w:r>
        <w:rPr>
          <w:rFonts w:ascii="Times New Roman" w:cs="Times New Roman" w:eastAsia="Times New Roman" w:hAnsi="Times New Roman"/>
          <w:sz w:val="18"/>
          <w:szCs w:val="18"/>
          <w:b w:val="1"/>
          <w:bCs w:val="1"/>
          <w:i w:val="1"/>
          <w:iCs w:val="1"/>
          <w:color w:val="auto"/>
        </w:rPr>
        <w:t>Stockholder Notice</w:t>
      </w:r>
      <w:r>
        <w:rPr>
          <w:rFonts w:ascii="Times New Roman" w:cs="Times New Roman" w:eastAsia="Times New Roman" w:hAnsi="Times New Roman"/>
          <w:sz w:val="18"/>
          <w:szCs w:val="18"/>
          <w:color w:val="auto"/>
        </w:rPr>
        <w:t>”) and is delivered by a stockholder that qualifies as, or is acting on behalf of, an Eligible Stockholder (as defined in Section 1.10(b)(ii) below);</w:t>
      </w:r>
    </w:p>
    <w:p>
      <w:pPr>
        <w:spacing w:after="0" w:line="158" w:lineRule="exact"/>
        <w:rPr>
          <w:rFonts w:ascii="Times New Roman" w:cs="Times New Roman" w:eastAsia="Times New Roman" w:hAnsi="Times New Roman"/>
          <w:sz w:val="18"/>
          <w:szCs w:val="18"/>
          <w:color w:val="auto"/>
        </w:rPr>
      </w:pPr>
    </w:p>
    <w:p>
      <w:pPr>
        <w:ind w:right="260" w:firstLine="444"/>
        <w:spacing w:after="0" w:line="282" w:lineRule="auto"/>
        <w:tabs>
          <w:tab w:leader="none" w:pos="89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Stockholder satisfies the requirements in this Section 1.10 and expressly elects at the time of the delivery of the Stockholder Notice to have the Stockholder Nominee included in the Company’s proxy materials; and</w:t>
      </w:r>
    </w:p>
    <w:p>
      <w:pPr>
        <w:spacing w:after="0" w:line="161"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requirements of these By-Laws are met.</w:t>
      </w:r>
    </w:p>
    <w:p>
      <w:pPr>
        <w:spacing w:after="0" w:line="225" w:lineRule="exact"/>
        <w:rPr>
          <w:rFonts w:ascii="Times New Roman" w:cs="Times New Roman" w:eastAsia="Times New Roman" w:hAnsi="Times New Roman"/>
          <w:sz w:val="18"/>
          <w:szCs w:val="18"/>
          <w:color w:val="auto"/>
        </w:rPr>
      </w:pPr>
    </w:p>
    <w:p>
      <w:pPr>
        <w:ind w:left="400" w:hanging="396"/>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444"/>
        <w:spacing w:after="0" w:line="261" w:lineRule="auto"/>
        <w:tabs>
          <w:tab w:leader="none" w:pos="79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Number</w:t>
      </w:r>
      <w:r>
        <w:rPr>
          <w:rFonts w:ascii="Times New Roman" w:cs="Times New Roman" w:eastAsia="Times New Roman" w:hAnsi="Times New Roman"/>
          <w:sz w:val="18"/>
          <w:szCs w:val="18"/>
          <w:color w:val="auto"/>
        </w:rPr>
        <w:t>. The maximum number of Stockholder Nominees that may be included in the Company’s proxy materials pursuant to this Section 1.10 with respect to an Annual Meeting (the “</w:t>
      </w:r>
      <w:r>
        <w:rPr>
          <w:rFonts w:ascii="Times New Roman" w:cs="Times New Roman" w:eastAsia="Times New Roman" w:hAnsi="Times New Roman"/>
          <w:sz w:val="18"/>
          <w:szCs w:val="18"/>
          <w:b w:val="1"/>
          <w:bCs w:val="1"/>
          <w:i w:val="1"/>
          <w:iCs w:val="1"/>
          <w:color w:val="auto"/>
        </w:rPr>
        <w:t>Authorized Number</w:t>
      </w:r>
      <w:r>
        <w:rPr>
          <w:rFonts w:ascii="Times New Roman" w:cs="Times New Roman" w:eastAsia="Times New Roman" w:hAnsi="Times New Roman"/>
          <w:sz w:val="18"/>
          <w:szCs w:val="18"/>
          <w:color w:val="auto"/>
        </w:rPr>
        <w:t xml:space="preserve">”) must not exceed the greater of (A) two (2) or (B) twenty percent (20%) of the number of directors in office as of the last day on which a Stockholder Notice may be delivered pursuant to this Section 1.10 with respect to the Annual Meeting, or if such amount is not a whole number, the closest whole number (rounding down) below twenty percent (20%); </w:t>
      </w:r>
      <w:r>
        <w:rPr>
          <w:rFonts w:ascii="Times New Roman" w:cs="Times New Roman" w:eastAsia="Times New Roman" w:hAnsi="Times New Roman"/>
          <w:sz w:val="18"/>
          <w:szCs w:val="18"/>
          <w:i w:val="1"/>
          <w:iCs w:val="1"/>
          <w:color w:val="auto"/>
        </w:rPr>
        <w:t>provided,</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1" w:name="page12"/>
    <w:bookmarkEnd w:id="11"/>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however, </w:t>
      </w:r>
      <w:r>
        <w:rPr>
          <w:rFonts w:ascii="Times New Roman" w:cs="Times New Roman" w:eastAsia="Times New Roman" w:hAnsi="Times New Roman"/>
          <w:sz w:val="18"/>
          <w:szCs w:val="18"/>
          <w:color w:val="auto"/>
        </w:rPr>
        <w:t>that the Authorized Number shall be reduced (A) by the number of directors in office or director nominees that in either case will be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Company’s proxy materials with respect to the Annual Meeting as an unopposed (by the Company) nominee pursuant to an agreement, arrangement or other understanding between the Company and a stockholder or group of stockholders (other than any such agreement, arrangement or understanding entered into in connection with an acquisition of capital stock, by the stockholder or group of stockholders, from the Company), provided that the Authorized Number shall not be reduced below one (1) pursuant to this clause (A), and (B) by any nominees who were previously elected to the Board as Stockholder Nominees at any of the preceding two Annual Meeting and who are nominated for election at the Annual Meeting by the Board as a Board nominee. In the event that one or more vacancies for any reason occurs after the date of the Stockholder Notice but before the Annual Meeting and the Board resolves to reduce the size of the Board in connection therewith, the Authorized Number shall be calculated based on the number of directors in office as so reduced.</w:t>
      </w:r>
    </w:p>
    <w:p>
      <w:pPr>
        <w:spacing w:after="0" w:line="191" w:lineRule="exact"/>
        <w:rPr>
          <w:sz w:val="20"/>
          <w:szCs w:val="20"/>
          <w:color w:val="auto"/>
        </w:rPr>
      </w:pPr>
    </w:p>
    <w:p>
      <w:pPr>
        <w:ind w:left="840" w:hanging="396"/>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Stockholder</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1320" w:hanging="435"/>
        <w:spacing w:after="0"/>
        <w:tabs>
          <w:tab w:leader="none" w:pos="13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qualify as an “</w:t>
      </w:r>
      <w:r>
        <w:rPr>
          <w:rFonts w:ascii="Times New Roman" w:cs="Times New Roman" w:eastAsia="Times New Roman" w:hAnsi="Times New Roman"/>
          <w:sz w:val="18"/>
          <w:szCs w:val="18"/>
          <w:b w:val="1"/>
          <w:bCs w:val="1"/>
          <w:i w:val="1"/>
          <w:iCs w:val="1"/>
          <w:color w:val="auto"/>
        </w:rPr>
        <w:t>Eligible Stockholder</w:t>
      </w:r>
      <w:r>
        <w:rPr>
          <w:rFonts w:ascii="Times New Roman" w:cs="Times New Roman" w:eastAsia="Times New Roman" w:hAnsi="Times New Roman"/>
          <w:sz w:val="18"/>
          <w:szCs w:val="18"/>
          <w:color w:val="auto"/>
        </w:rPr>
        <w:t>,” a stockholder or a group as described in this Section 1.10 must:</w:t>
      </w:r>
    </w:p>
    <w:p>
      <w:pPr>
        <w:spacing w:after="0" w:line="229" w:lineRule="exact"/>
        <w:rPr>
          <w:rFonts w:ascii="Times New Roman" w:cs="Times New Roman" w:eastAsia="Times New Roman" w:hAnsi="Times New Roman"/>
          <w:sz w:val="18"/>
          <w:szCs w:val="18"/>
          <w:color w:val="auto"/>
        </w:rPr>
      </w:pPr>
    </w:p>
    <w:p>
      <w:pPr>
        <w:jc w:val="both"/>
        <w:ind w:right="100" w:firstLine="1436"/>
        <w:spacing w:after="0" w:line="266" w:lineRule="auto"/>
        <w:tabs>
          <w:tab w:leader="none" w:pos="1823"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and have Owned (each as defined in Section 1.10(b)(iii) below), continuously for at least three years as of the date of the Stockholder Notice, a number of shares that represents at least three percent (3%) of the issued and outstanding shares of the Company that are entitled to vote generally in the election of directors as of the date of the Stockholder Notice (the “</w:t>
      </w:r>
      <w:r>
        <w:rPr>
          <w:rFonts w:ascii="Times New Roman" w:cs="Times New Roman" w:eastAsia="Times New Roman" w:hAnsi="Times New Roman"/>
          <w:sz w:val="18"/>
          <w:szCs w:val="18"/>
          <w:b w:val="1"/>
          <w:bCs w:val="1"/>
          <w:i w:val="1"/>
          <w:iCs w:val="1"/>
          <w:color w:val="auto"/>
        </w:rPr>
        <w:t>Required Shares</w:t>
      </w:r>
      <w:r>
        <w:rPr>
          <w:rFonts w:ascii="Times New Roman" w:cs="Times New Roman" w:eastAsia="Times New Roman" w:hAnsi="Times New Roman"/>
          <w:sz w:val="18"/>
          <w:szCs w:val="18"/>
          <w:color w:val="auto"/>
        </w:rPr>
        <w:t>”), and</w:t>
      </w:r>
    </w:p>
    <w:p>
      <w:pPr>
        <w:spacing w:after="0" w:line="176" w:lineRule="exact"/>
        <w:rPr>
          <w:rFonts w:ascii="Times New Roman" w:cs="Times New Roman" w:eastAsia="Times New Roman" w:hAnsi="Times New Roman"/>
          <w:sz w:val="18"/>
          <w:szCs w:val="18"/>
          <w:color w:val="auto"/>
        </w:rPr>
      </w:pPr>
    </w:p>
    <w:p>
      <w:pPr>
        <w:ind w:right="440" w:firstLine="1436"/>
        <w:spacing w:after="0" w:line="282" w:lineRule="auto"/>
        <w:tabs>
          <w:tab w:leader="none" w:pos="1823"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continue to Own the Required Shares through such Annual Meeting and satisfy the notice, ownership and other requirements of this Section 1.10.</w:t>
      </w:r>
    </w:p>
    <w:p>
      <w:pPr>
        <w:spacing w:after="0" w:line="161" w:lineRule="exact"/>
        <w:rPr>
          <w:rFonts w:ascii="Times New Roman" w:cs="Times New Roman" w:eastAsia="Times New Roman" w:hAnsi="Times New Roman"/>
          <w:sz w:val="18"/>
          <w:szCs w:val="18"/>
          <w:color w:val="auto"/>
        </w:rPr>
      </w:pPr>
    </w:p>
    <w:p>
      <w:pPr>
        <w:ind w:firstLine="885"/>
        <w:spacing w:after="0" w:line="256" w:lineRule="auto"/>
        <w:tabs>
          <w:tab w:leader="none" w:pos="130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satisfying the ownership requirements of this Section 1.10(b)(ii), a group of not more than 20 stockholders and beneficial owners may aggregate the number of shares of the Company that are entitled to vote generally in the election of directors that each group member has individually Owned continuously for at least three years as of the date of the Stockholder Notice if all other requirements and obligations for an Eligible Stockholder set forth in this Section 1.10 are satisfied by and as to each stockholder or beneficial owner comprising the group whose shares are aggregated. No shares may be attributed to more than one Eligible Stockholder, and no stockholder or beneficial owner, alone or together with any of its affiliates, may individually or as a member of a group qualify as or constitute more than one Eligible Stockholder under this Section 1.10.</w:t>
      </w:r>
    </w:p>
    <w:p>
      <w:pPr>
        <w:spacing w:after="0" w:line="187" w:lineRule="exact"/>
        <w:rPr>
          <w:rFonts w:ascii="Times New Roman" w:cs="Times New Roman" w:eastAsia="Times New Roman" w:hAnsi="Times New Roman"/>
          <w:sz w:val="18"/>
          <w:szCs w:val="18"/>
          <w:color w:val="auto"/>
        </w:rPr>
      </w:pPr>
    </w:p>
    <w:p>
      <w:pPr>
        <w:ind w:right="260" w:firstLine="885"/>
        <w:spacing w:after="0" w:line="258" w:lineRule="auto"/>
        <w:tabs>
          <w:tab w:leader="none" w:pos="129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group of any two or more funds shall be treated as only one stockholder or beneficial owner for this purpose if they are (1) under common management and investment control, (2) under common management and funded primarily by the same employer, or (3) part of a “group of investment companies,” as such term is defined in Section 12(d)(1)(G)(ii) of the Investment Company Act of 1940, as amended. For purposes of this Section 1.10, the terms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have the meanings ascribed to such terms under the rules and regulations promulgated under the Exchange Act.</w:t>
      </w:r>
    </w:p>
    <w:p>
      <w:pPr>
        <w:spacing w:after="0" w:line="183" w:lineRule="exact"/>
        <w:rPr>
          <w:rFonts w:ascii="Times New Roman" w:cs="Times New Roman" w:eastAsia="Times New Roman" w:hAnsi="Times New Roman"/>
          <w:sz w:val="18"/>
          <w:szCs w:val="18"/>
          <w:color w:val="auto"/>
        </w:rPr>
      </w:pPr>
    </w:p>
    <w:p>
      <w:pPr>
        <w:ind w:left="900" w:hanging="45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Ownership</w:t>
      </w:r>
      <w:r>
        <w:rPr>
          <w:rFonts w:ascii="Times New Roman" w:cs="Times New Roman" w:eastAsia="Times New Roman" w:hAnsi="Times New Roman"/>
          <w:sz w:val="18"/>
          <w:szCs w:val="18"/>
          <w:color w:val="auto"/>
        </w:rPr>
        <w:t>. For purposes of this Section 1.10 of the By-Laws:</w:t>
      </w:r>
    </w:p>
    <w:p>
      <w:pPr>
        <w:spacing w:after="0" w:line="221" w:lineRule="exact"/>
        <w:rPr>
          <w:rFonts w:ascii="Times New Roman" w:cs="Times New Roman" w:eastAsia="Times New Roman" w:hAnsi="Times New Roman"/>
          <w:sz w:val="18"/>
          <w:szCs w:val="18"/>
          <w:color w:val="auto"/>
        </w:rPr>
      </w:pPr>
    </w:p>
    <w:p>
      <w:pPr>
        <w:ind w:right="120" w:firstLine="885"/>
        <w:spacing w:after="0" w:line="268" w:lineRule="auto"/>
        <w:tabs>
          <w:tab w:leader="none" w:pos="130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or beneficial owner is deemed to “</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only those outstanding shares of the Company that are entitled to vote generally in the election of directors as to which the person possesses both (A) the full voting and investment rights pertaining to the shares and (B) the full</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68" w:right="439" w:bottom="1440" w:gutter="0" w:footer="0" w:header="0"/>
        </w:sectPr>
      </w:pPr>
    </w:p>
    <w:bookmarkStart w:id="12" w:name="page13"/>
    <w:bookmarkEnd w:id="1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economic interest in (including the opportunity for profit and risk of loss on) such shares, except that the number of shares calculated in accordance with clauses (A) and (B) will not include any shares (1) sold by such person in any transaction that has not been settled or closed, including any short sale,</w:t>
      </w:r>
    </w:p>
    <w:p>
      <w:pPr>
        <w:ind w:firstLine="4"/>
        <w:spacing w:after="0" w:line="252"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borrowed by the person for any purposes or purchased by the person pursuant to an agreement to resell, or (3) subject to any option, warrant, forward contract, swap, contract of sale, or other derivative or similar agreement entered into by the person, whether the instrument or agreement is to be settled with shares or with cash based on the notional amount or value of outstanding shares of the Company that are entitled to vote generally in the election of directors, if the instrument or agreement has, or is intended to have, or if exercised would have, the purpose or effect of either (x) reducing in any manner, to any extent or at any time in the future, the person’s full right to vote or direct the voting of the shares, or (y) hedging, offsetting or altering to any degree any gain or loss arising from the full economic ownership of the shares by the person. The terms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Owning</w:t>
      </w:r>
      <w:r>
        <w:rPr>
          <w:rFonts w:ascii="Times New Roman" w:cs="Times New Roman" w:eastAsia="Times New Roman" w:hAnsi="Times New Roman"/>
          <w:sz w:val="18"/>
          <w:szCs w:val="18"/>
          <w:color w:val="auto"/>
        </w:rPr>
        <w:t>” and other variations of the word “Own,” when used with respect to a stockholder or beneficial owner, have correlative meanings. For purposes of clauses (1) through (3), 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includes his, her or its affiliates.</w:t>
      </w:r>
    </w:p>
    <w:p>
      <w:pPr>
        <w:spacing w:after="0" w:line="183" w:lineRule="exact"/>
        <w:rPr>
          <w:rFonts w:ascii="Times New Roman" w:cs="Times New Roman" w:eastAsia="Times New Roman" w:hAnsi="Times New Roman"/>
          <w:sz w:val="18"/>
          <w:szCs w:val="18"/>
          <w:color w:val="auto"/>
        </w:rPr>
      </w:pPr>
    </w:p>
    <w:p>
      <w:pPr>
        <w:ind w:firstLine="885"/>
        <w:spacing w:after="0" w:line="262" w:lineRule="auto"/>
        <w:tabs>
          <w:tab w:leader="none" w:pos="1292"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or beneficial owner “</w:t>
      </w:r>
      <w:r>
        <w:rPr>
          <w:rFonts w:ascii="Times New Roman" w:cs="Times New Roman" w:eastAsia="Times New Roman" w:hAnsi="Times New Roman"/>
          <w:sz w:val="18"/>
          <w:szCs w:val="18"/>
          <w:b w:val="1"/>
          <w:bCs w:val="1"/>
          <w:i w:val="1"/>
          <w:iCs w:val="1"/>
          <w:color w:val="auto"/>
        </w:rPr>
        <w:t>Owns</w:t>
      </w:r>
      <w:r>
        <w:rPr>
          <w:rFonts w:ascii="Times New Roman" w:cs="Times New Roman" w:eastAsia="Times New Roman" w:hAnsi="Times New Roman"/>
          <w:sz w:val="18"/>
          <w:szCs w:val="18"/>
          <w:color w:val="auto"/>
        </w:rPr>
        <w:t>” shares held in the name of a nominee or other intermediary so long as the person retains both (1) the full voting and investment rights pertaining to the shares and (2) the full economic interest in the shares. The person’s Ownership of shares is deemed to continue during any period in which the person has delegated any voting power by means of a proxy, power of attorney, or other instrument or arrangement that is revocable at any time by the stockholder.</w:t>
      </w:r>
    </w:p>
    <w:p>
      <w:pPr>
        <w:spacing w:after="0" w:line="180" w:lineRule="exact"/>
        <w:rPr>
          <w:rFonts w:ascii="Times New Roman" w:cs="Times New Roman" w:eastAsia="Times New Roman" w:hAnsi="Times New Roman"/>
          <w:sz w:val="18"/>
          <w:szCs w:val="18"/>
          <w:color w:val="auto"/>
        </w:rPr>
      </w:pPr>
    </w:p>
    <w:p>
      <w:pPr>
        <w:ind w:right="120" w:firstLine="1877"/>
        <w:spacing w:after="0" w:line="258" w:lineRule="auto"/>
        <w:tabs>
          <w:tab w:leader="none" w:pos="2284"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or beneficial owner’s Ownership of shares shall be deemed to continue during any period in which the person has loaned the shares in the ordinary course of business if the person has the power to recall the loaned shares on not more than five business days’ notice and (1) the person recalls the loaned shares within five business days of being notified that its Stockholder Nominee is expected to be included in the Company’s proxy materials for the relevant Annual Meeting and (2) the person continuously holds the recalled shares through and as of the date of the Annual Meeting.</w:t>
      </w:r>
    </w:p>
    <w:p>
      <w:pPr>
        <w:spacing w:after="0" w:line="179" w:lineRule="exact"/>
        <w:rPr>
          <w:rFonts w:ascii="Times New Roman" w:cs="Times New Roman" w:eastAsia="Times New Roman" w:hAnsi="Times New Roman"/>
          <w:sz w:val="18"/>
          <w:szCs w:val="18"/>
          <w:color w:val="auto"/>
        </w:rPr>
      </w:pPr>
    </w:p>
    <w:p>
      <w:pPr>
        <w:ind w:right="180" w:firstLine="444"/>
        <w:spacing w:after="0" w:line="286" w:lineRule="auto"/>
        <w:tabs>
          <w:tab w:leader="none" w:pos="8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Information</w:t>
      </w:r>
      <w:r>
        <w:rPr>
          <w:rFonts w:ascii="Times New Roman" w:cs="Times New Roman" w:eastAsia="Times New Roman" w:hAnsi="Times New Roman"/>
          <w:sz w:val="18"/>
          <w:szCs w:val="18"/>
          <w:color w:val="auto"/>
        </w:rPr>
        <w:t>. For purposes of this Section 1.10, the “</w:t>
      </w:r>
      <w:r>
        <w:rPr>
          <w:rFonts w:ascii="Times New Roman" w:cs="Times New Roman" w:eastAsia="Times New Roman" w:hAnsi="Times New Roman"/>
          <w:sz w:val="18"/>
          <w:szCs w:val="18"/>
          <w:b w:val="1"/>
          <w:bCs w:val="1"/>
          <w:i w:val="1"/>
          <w:iCs w:val="1"/>
          <w:color w:val="auto"/>
        </w:rPr>
        <w:t>Required Information</w:t>
      </w:r>
      <w:r>
        <w:rPr>
          <w:rFonts w:ascii="Times New Roman" w:cs="Times New Roman" w:eastAsia="Times New Roman" w:hAnsi="Times New Roman"/>
          <w:sz w:val="18"/>
          <w:szCs w:val="18"/>
          <w:color w:val="auto"/>
        </w:rPr>
        <w:t>” referred to in Section 1.10(a) that the Company will include in its proxy statement is:</w:t>
      </w:r>
    </w:p>
    <w:p>
      <w:pPr>
        <w:spacing w:after="0" w:line="158" w:lineRule="exact"/>
        <w:rPr>
          <w:rFonts w:ascii="Times New Roman" w:cs="Times New Roman" w:eastAsia="Times New Roman" w:hAnsi="Times New Roman"/>
          <w:sz w:val="18"/>
          <w:szCs w:val="18"/>
          <w:color w:val="auto"/>
        </w:rPr>
      </w:pPr>
    </w:p>
    <w:p>
      <w:pPr>
        <w:ind w:right="40" w:firstLine="885"/>
        <w:spacing w:after="0" w:line="266" w:lineRule="auto"/>
        <w:tabs>
          <w:tab w:leader="none" w:pos="1311"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Schedule 14N provided with the Stockholder Notice concerning each Stockholder Nominee and the Eligible Stockholder that is required to be disclosed in the Company’s proxy statement by the applicable requirements of the Exchange Act and the rules and regulations thereunder, and</w:t>
      </w:r>
    </w:p>
    <w:p>
      <w:pPr>
        <w:spacing w:after="0" w:line="176" w:lineRule="exact"/>
        <w:rPr>
          <w:rFonts w:ascii="Times New Roman" w:cs="Times New Roman" w:eastAsia="Times New Roman" w:hAnsi="Times New Roman"/>
          <w:sz w:val="18"/>
          <w:szCs w:val="18"/>
          <w:color w:val="auto"/>
        </w:rPr>
      </w:pPr>
    </w:p>
    <w:p>
      <w:pPr>
        <w:ind w:right="40" w:firstLine="1877"/>
        <w:spacing w:after="0" w:line="266" w:lineRule="auto"/>
        <w:tabs>
          <w:tab w:leader="none" w:pos="2293"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Eligible Stockholder so elects, a written statement of the Eligible Stockholder (or, in the case of a group, a written statement of the group), not to exceed 500 words, in support of its Stockholder Nominee(s), which must be provided at the same time as the Stockholder Notice for inclusion in the Company’s proxy statement for the Annual Meeting (the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Section 1.10, the Company may omit from its proxy materials any information or Statement that it, in good faith, believes is untrue in any material respect (or omits a material fact necessary in order to make the statements made, in light of the circumstances under which they are made, not misleading) or would violate any applicable law, rule, regulation or listing standard. Nothing in this Section 1.10 shall limit the Company’s ability to solicit against and include in its proxy materials its own statements relating to any Eligible Stockholder or Stockholder Nominee.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13" w:name="page14"/>
    <w:bookmarkEnd w:id="13"/>
    <w:p>
      <w:pPr>
        <w:ind w:left="376" w:hanging="376"/>
        <w:spacing w:after="0"/>
        <w:tabs>
          <w:tab w:leader="none" w:pos="3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Notice and Other Information Requirements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right="60" w:firstLine="444"/>
        <w:spacing w:after="0" w:line="261" w:lineRule="auto"/>
        <w:tabs>
          <w:tab w:leader="none" w:pos="78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Notice shall set forth all information, representations and agreements required under Section 1.9(a)(ii), above, including the information required with respect to (i) any nominee for election as a director, (ii) any stockholder giving notice of an intent to nominate a candidate for election, and (iii) any stockholder, beneficial owner or other person on whose behalf the nomination is made under this Section 1.10. In addition, such Stockholder Notice must include:</w:t>
      </w:r>
    </w:p>
    <w:p>
      <w:pPr>
        <w:spacing w:after="0" w:line="180" w:lineRule="exact"/>
        <w:rPr>
          <w:rFonts w:ascii="Times New Roman" w:cs="Times New Roman" w:eastAsia="Times New Roman" w:hAnsi="Times New Roman"/>
          <w:sz w:val="18"/>
          <w:szCs w:val="18"/>
          <w:color w:val="auto"/>
        </w:rPr>
      </w:pPr>
    </w:p>
    <w:p>
      <w:pPr>
        <w:ind w:left="1316" w:hanging="435"/>
        <w:spacing w:after="0"/>
        <w:tabs>
          <w:tab w:leader="none" w:pos="1316"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Schedule 14N that has been or concurrently is filed with the SEC under the Exchange Act;</w:t>
      </w:r>
    </w:p>
    <w:p>
      <w:pPr>
        <w:spacing w:after="0" w:line="225" w:lineRule="exact"/>
        <w:rPr>
          <w:rFonts w:ascii="Times New Roman" w:cs="Times New Roman" w:eastAsia="Times New Roman" w:hAnsi="Times New Roman"/>
          <w:sz w:val="18"/>
          <w:szCs w:val="18"/>
          <w:color w:val="auto"/>
        </w:rPr>
      </w:pPr>
    </w:p>
    <w:p>
      <w:pPr>
        <w:ind w:left="-4" w:right="20" w:firstLine="1877"/>
        <w:spacing w:after="0" w:line="258" w:lineRule="auto"/>
        <w:tabs>
          <w:tab w:leader="none" w:pos="2290" w:val="left"/>
        </w:tabs>
        <w:numPr>
          <w:ilvl w:val="3"/>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of the Eligible Stockholder (and in the case of a group, the written statement of each stockholder or beneficial owner whose shares are aggregated for purposes of constituting an Eligible Stockholder), which statement(s) shall also be included in the Schedule 14N filed with the SEC: (1) setting forth and certifying to the number of shares of the Company that are entitled to vote generally in the election of directors the Eligible Stockholder Owns and has Owned (as defined in Section 1.10(b)(iii)) continuously for at least three years as of the date of the Stockholder Notice, and (2) agreeing to continue to Own such shares through the Annual Meeting;</w:t>
      </w:r>
    </w:p>
    <w:p>
      <w:pPr>
        <w:spacing w:after="0" w:line="184" w:lineRule="exact"/>
        <w:rPr>
          <w:sz w:val="20"/>
          <w:szCs w:val="20"/>
          <w:color w:val="auto"/>
        </w:rPr>
      </w:pPr>
    </w:p>
    <w:p>
      <w:pPr>
        <w:ind w:left="-4" w:right="360" w:firstLine="885"/>
        <w:spacing w:after="0" w:line="266" w:lineRule="auto"/>
        <w:tabs>
          <w:tab w:leader="none" w:pos="129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written statements from the record holder(s) of the Required Shares and from each intermediary through which the Required Shares are or have been held, in each case during the requisite three-year holding period, specifying the number of shares that the Eligible Stockholder Owns, and has Owned continuously in compliance with this Section 1.10;</w:t>
      </w:r>
    </w:p>
    <w:p>
      <w:pPr>
        <w:spacing w:after="0" w:line="176" w:lineRule="exact"/>
        <w:rPr>
          <w:rFonts w:ascii="Times New Roman" w:cs="Times New Roman" w:eastAsia="Times New Roman" w:hAnsi="Times New Roman"/>
          <w:sz w:val="18"/>
          <w:szCs w:val="18"/>
          <w:color w:val="auto"/>
        </w:rPr>
      </w:pPr>
    </w:p>
    <w:p>
      <w:pPr>
        <w:ind w:left="-4" w:right="100" w:firstLine="885"/>
        <w:spacing w:after="0" w:line="266" w:lineRule="auto"/>
        <w:tabs>
          <w:tab w:leader="none" w:pos="13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agreement of the Eligible Stockholder (and in the case of a group, the written agreement of each stockholder or beneficial owner whose shares are aggregated for purposes of constituting an Eligible Stockholder) addressed to the Company, setting forth the following additional agreements, representations and warranties:</w:t>
      </w:r>
    </w:p>
    <w:p>
      <w:pPr>
        <w:spacing w:after="0" w:line="176" w:lineRule="exact"/>
        <w:rPr>
          <w:rFonts w:ascii="Times New Roman" w:cs="Times New Roman" w:eastAsia="Times New Roman" w:hAnsi="Times New Roman"/>
          <w:sz w:val="18"/>
          <w:szCs w:val="18"/>
          <w:color w:val="auto"/>
        </w:rPr>
      </w:pPr>
    </w:p>
    <w:p>
      <w:pPr>
        <w:ind w:left="-4" w:right="160" w:firstLine="2318"/>
        <w:spacing w:after="0" w:line="261" w:lineRule="auto"/>
        <w:tabs>
          <w:tab w:leader="none" w:pos="2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provide (a) within five business days after the record date for the Annual Meeting both the information required under Section 1.9(a)(ii)(C) and Section 1.9(a)(ii)(D) and a statement in writing certifying the Eligible Stockholder’s continuous Ownership of the Required Shares, in each case, as of such date, and (b) immediate notice to the Company if the Eligible Stockholder ceases to Own any of the Required Shares prior to the Annual Meeting,</w:t>
      </w:r>
    </w:p>
    <w:p>
      <w:pPr>
        <w:spacing w:after="0" w:line="180" w:lineRule="exact"/>
        <w:rPr>
          <w:rFonts w:ascii="Times New Roman" w:cs="Times New Roman" w:eastAsia="Times New Roman" w:hAnsi="Times New Roman"/>
          <w:sz w:val="18"/>
          <w:szCs w:val="18"/>
          <w:color w:val="auto"/>
        </w:rPr>
      </w:pPr>
    </w:p>
    <w:p>
      <w:pPr>
        <w:ind w:left="-4" w:firstLine="2318"/>
        <w:spacing w:after="0" w:line="255" w:lineRule="auto"/>
        <w:tabs>
          <w:tab w:leader="none" w:pos="2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 acquired the Required Shares in the ordinary course of business and not with the intent to change or influence control at the Company, and does not currently have this intent, (b) has not nominated and shall not nominate for election to the Board at the Annual Meeting any person other than the Stockholder Nominee(s) being nominated pursuant to this Section 1.10, (c) has not engaged and shall not engage in, and has not been and shall not be a participant (as defined in Item 4 of Exchange Act Schedule 14A) in, a solicitation within the meaning of Exchange Act Rule 14a-1(l), in support of the election of any individual as a director at the Annual Meeting other than its Stockholder Nominee(s) or any nominee(s) of the Board, and (d) shall not distribute to any stockholder any form of proxy for the Annual Meeting other than the form distributed by the Company, and</w:t>
      </w:r>
    </w:p>
    <w:p>
      <w:pPr>
        <w:spacing w:after="0" w:line="189" w:lineRule="exact"/>
        <w:rPr>
          <w:rFonts w:ascii="Times New Roman" w:cs="Times New Roman" w:eastAsia="Times New Roman" w:hAnsi="Times New Roman"/>
          <w:sz w:val="18"/>
          <w:szCs w:val="18"/>
          <w:color w:val="auto"/>
        </w:rPr>
      </w:pPr>
    </w:p>
    <w:p>
      <w:pPr>
        <w:ind w:left="-4" w:right="100" w:firstLine="2318"/>
        <w:spacing w:after="0" w:line="282" w:lineRule="auto"/>
        <w:tabs>
          <w:tab w:leader="none" w:pos="2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(a) assume all liability for any legal or regulatory violation, and indemnify and hold harmless the Company and each of its directors, officers and employees individually against any liability, loss or damages in connection with any threatened or</w:t>
      </w:r>
    </w:p>
    <w:p>
      <w:pPr>
        <w:spacing w:after="0" w:line="94"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96"/>
          </w:cols>
          <w:pgMar w:left="444" w:top="270" w:right="459" w:bottom="1440" w:gutter="0" w:footer="0" w:header="0"/>
        </w:sectPr>
      </w:pPr>
    </w:p>
    <w:bookmarkStart w:id="14" w:name="page15"/>
    <w:bookmarkEnd w:id="14"/>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pending action, suit or proceeding, whether legal, administrative or investigative, against the Company or any of its directors, officers or employees, in each case arising out of stemming from the Eligible Stockholder’s communications with the stockholders of the Company or out of the information that the Eligible Stockholder provided to the Company, (b) comply with all laws, rules, regulations and listing standards applicable to its nomination or any solicitation in connection with the Annual Meeting, (c) file with the SEC any solicitation or other communication by or on behalf of the Eligible Stockholder relating to the Company’s Annual Meeting, one or more of the Company’s directors or director nominees or any Stockholder Nominee, regardless of whether the filing is required under Exchange Act Regulation 14A, or whether any exemption from filing is available for the materials under Exchange Act Regulation 14A, and (d) at the request of the Company, promptly, but in any event within five business days after such request (or by the day prior to the day of the Annual Meeting, if earlier), provide to the Company such additional information as reasonably requested by the Company.</w:t>
      </w:r>
    </w:p>
    <w:p>
      <w:pPr>
        <w:spacing w:after="0" w:line="189" w:lineRule="exact"/>
        <w:rPr>
          <w:sz w:val="20"/>
          <w:szCs w:val="20"/>
          <w:color w:val="auto"/>
        </w:rPr>
      </w:pPr>
    </w:p>
    <w:p>
      <w:pPr>
        <w:ind w:firstLine="885"/>
        <w:spacing w:after="0" w:line="258" w:lineRule="auto"/>
        <w:tabs>
          <w:tab w:leader="none" w:pos="129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nomination by a group, the designation by all group members of one group member that is authorized to act on behalf of all members of the group with respect to the nomination and matters related thereto, including withdrawal of the nomination, and the written agreement, representation, and warranty of the Eligible Stockholder that it shall provide, within five business days after the date of the Stockholder Notice, documentation reasonably satisfactory to the Company demonstrating that the number of stockholders or beneficial owners, or both, within such group does not exceed 20, including whether a group of funds qualifies as one stockholder or beneficial owner within the meaning of Section 1.10(b)(ii).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information provided pursuant to this Section 1.10(c)(i) shall be deemed part of the Stockholder Notice for purposes of this Section 1.10.</w:t>
      </w:r>
    </w:p>
    <w:p>
      <w:pPr>
        <w:spacing w:after="0" w:line="131" w:lineRule="exact"/>
        <w:rPr>
          <w:sz w:val="20"/>
          <w:szCs w:val="20"/>
          <w:color w:val="auto"/>
        </w:rPr>
      </w:pPr>
    </w:p>
    <w:p>
      <w:pPr>
        <w:ind w:left="860" w:right="40" w:hanging="424"/>
        <w:spacing w:after="0" w:line="253" w:lineRule="auto"/>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timely under this Section 1.10, the Stockholder Notice must be delivered by a stockholder to the Secretary of the Company not later than the close of business (as defined in Section 1.9(c)(ii) above) on the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nor earlier than the close of business on the 150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first anniversary of the date (as stated in the Company’s proxy materials) the definitive proxy statement was first released to stockholders in connection with the preceding year’s Annual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the Annual Meeting is more than 30 days before or after the anniversary of the previous year’s Annual Meeting, or if no Annual Meeting was held in the preceding year, to be timely, the Stockholder Notice must be so delivered not earlier than the close of business on the 150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such Annual Meeting and not later than the close of business on the later of the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such meeting or the 10th day following the day on which public announcement (as defined in Section 1.9(c)(ii) above) of the date of such meeting is first made by the Company. In no event shall an adjournment or recess of an Annual Meeting, or a postponement of an Annual Meeting for which notice has been given or with respect to which there has been a public announcement of the date of the meeting, commence a new time period (or extend any time period) for the giving of the Stockholder Notice as described above.</w:t>
      </w:r>
    </w:p>
    <w:p>
      <w:pPr>
        <w:spacing w:after="0" w:line="192" w:lineRule="exact"/>
        <w:rPr>
          <w:rFonts w:ascii="Times New Roman" w:cs="Times New Roman" w:eastAsia="Times New Roman" w:hAnsi="Times New Roman"/>
          <w:sz w:val="18"/>
          <w:szCs w:val="18"/>
          <w:color w:val="auto"/>
        </w:rPr>
      </w:pPr>
    </w:p>
    <w:p>
      <w:pPr>
        <w:jc w:val="both"/>
        <w:ind w:right="120" w:firstLine="444"/>
        <w:spacing w:after="0" w:line="261" w:lineRule="auto"/>
        <w:tabs>
          <w:tab w:leader="none" w:pos="8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Company, the Stockholder Nominee must promptly, but in any event within five business days after such request, submit all completed and signed questionnaires required of the Company’s nominees and provide to the Company such other information as it may reasonably request. The Company may request such additional information as necessary to permit the Board to determine if each Stockholder Nominee satisfies the requirements of this Section 1.10.</w:t>
      </w:r>
    </w:p>
    <w:p>
      <w:pPr>
        <w:spacing w:after="0" w:line="18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information or communications provided by the Eligible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15" w:name="page16"/>
    <w:bookmarkEnd w:id="15"/>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or any Stockholder Nominees to the Company or its stockholders is not, when provided, or thereafter ceases to be, true, correct and complete in all material respects (including omitting a material fact necessary to make the statements made, in light of the circumstances under which they were made, not misleading), such Eligible Stockholder or Stockholder Nominee, as the case may be, shall promptly notify the Secretary and provide the information that is required to make such information or communication true, correct, complete and not misleading; it being understood that providing any such notification shall not be deemed to cure any defect or limit the Company’s right to omit a Stockholder Nominee from its proxy materials as provided in this Section 1.10.</w:t>
      </w:r>
    </w:p>
    <w:p>
      <w:pPr>
        <w:spacing w:after="0" w:line="188" w:lineRule="exact"/>
        <w:rPr>
          <w:sz w:val="20"/>
          <w:szCs w:val="20"/>
          <w:color w:val="auto"/>
        </w:rPr>
      </w:pPr>
    </w:p>
    <w:p>
      <w:pPr>
        <w:ind w:left="400" w:hanging="396"/>
        <w:spacing w:after="0"/>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Proxy Access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444"/>
        <w:spacing w:after="0" w:line="266" w:lineRule="auto"/>
        <w:tabs>
          <w:tab w:leader="none" w:pos="79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 1.10, the Company may omit from its proxy materials any Stockholder Nominee, and such nomination shall be disregarded and no vote on such Stockholder Nominee shall occur, notwithstanding that proxies with respect to such vote may have been received by the Company, if:</w:t>
      </w:r>
    </w:p>
    <w:p>
      <w:pPr>
        <w:spacing w:after="0" w:line="176" w:lineRule="exact"/>
        <w:rPr>
          <w:rFonts w:ascii="Times New Roman" w:cs="Times New Roman" w:eastAsia="Times New Roman" w:hAnsi="Times New Roman"/>
          <w:sz w:val="18"/>
          <w:szCs w:val="18"/>
          <w:color w:val="auto"/>
        </w:rPr>
      </w:pPr>
    </w:p>
    <w:p>
      <w:pPr>
        <w:ind w:right="520" w:firstLine="885"/>
        <w:spacing w:after="0" w:line="261" w:lineRule="auto"/>
        <w:tabs>
          <w:tab w:leader="none" w:pos="1311"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Stockholder or Stockholder Nominee breaches any of its agreements, representations or warranties set forth in the Stockholder Notice or otherwise submitted pursuant to this Section 1.10, any of the information in the Stockholder Notice or otherwise submitted pursuant to this Section 1.10 was not, when provided, true, correct and complete, or the Eligible Stockholder or applicable Stockholder Nominee otherwise fails to comply with its obligations pursuant to these By-Laws, including, but not limited to, its obligations under this Section 1.10,</w:t>
      </w:r>
    </w:p>
    <w:p>
      <w:pPr>
        <w:spacing w:after="0" w:line="180" w:lineRule="exact"/>
        <w:rPr>
          <w:rFonts w:ascii="Times New Roman" w:cs="Times New Roman" w:eastAsia="Times New Roman" w:hAnsi="Times New Roman"/>
          <w:sz w:val="18"/>
          <w:szCs w:val="18"/>
          <w:color w:val="auto"/>
        </w:rPr>
      </w:pPr>
    </w:p>
    <w:p>
      <w:pPr>
        <w:ind w:right="20" w:firstLine="885"/>
        <w:spacing w:after="0" w:line="255" w:lineRule="auto"/>
        <w:tabs>
          <w:tab w:leader="none" w:pos="1301"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Nominee (1) is not independent under NYSE listing standards, any applicable rules of the SEC or the Company’s Corporate Governance Guidelines; (2) does not qualify as independent under the audit committee independence requirements set forth in the rules of the NYSE, as a “non-employee director” under Exchange Act Rule 16b-3 (or any successor provision), or as an “outside director” for the purposes of Section 162(m) of the Internal Revenue Code (or any successor provision); (3) is or has been, within the past three years, an officer or director of a competitor, as defined in Section 8 of the Clayton Antitrust Act of 1914, as amended; (4) is or has been, within the past three years, an officer, director or employee of the Eligible Stockholder nominating such person; (5) is a named subject of a pending criminal proceeding (excluding traffic violations and other minor offenses) or has been convicted in a criminal proceeding (excluding traffic violations and other minor offenses) within the past ten years; or (6) is subject to any order of the type specified in Rule 506(d) of Regulation D promulgated under the Securities Act of 1933, as amended,</w:t>
      </w:r>
    </w:p>
    <w:p>
      <w:pPr>
        <w:spacing w:after="0" w:line="185" w:lineRule="exact"/>
        <w:rPr>
          <w:rFonts w:ascii="Times New Roman" w:cs="Times New Roman" w:eastAsia="Times New Roman" w:hAnsi="Times New Roman"/>
          <w:sz w:val="18"/>
          <w:szCs w:val="18"/>
          <w:color w:val="auto"/>
        </w:rPr>
      </w:pPr>
    </w:p>
    <w:p>
      <w:pPr>
        <w:ind w:right="80" w:firstLine="885"/>
        <w:spacing w:after="0" w:line="282" w:lineRule="auto"/>
        <w:tabs>
          <w:tab w:leader="none" w:pos="1301"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a notice (whether or not subsequently withdrawn) that a stockholder intends to nominate any candidate for election to the Board pursuant to the advance notice requirements for stockholder nominees for director in Section 1.9(a), or</w:t>
      </w:r>
    </w:p>
    <w:p>
      <w:pPr>
        <w:spacing w:after="0" w:line="161" w:lineRule="exact"/>
        <w:rPr>
          <w:rFonts w:ascii="Times New Roman" w:cs="Times New Roman" w:eastAsia="Times New Roman" w:hAnsi="Times New Roman"/>
          <w:sz w:val="18"/>
          <w:szCs w:val="18"/>
          <w:color w:val="auto"/>
        </w:rPr>
      </w:pPr>
    </w:p>
    <w:p>
      <w:pPr>
        <w:ind w:left="1320" w:hanging="435"/>
        <w:spacing w:after="0"/>
        <w:tabs>
          <w:tab w:leader="none" w:pos="13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Stockholder Nominee to the Board would cause the Company to violate its Articles of Incorporation, these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By-Laws, or any applicable law, rule, regulation or listing standard.</w:t>
      </w:r>
    </w:p>
    <w:p>
      <w:pPr>
        <w:spacing w:after="0" w:line="207" w:lineRule="exact"/>
        <w:rPr>
          <w:sz w:val="20"/>
          <w:szCs w:val="20"/>
          <w:color w:val="auto"/>
        </w:rPr>
      </w:pPr>
    </w:p>
    <w:p>
      <w:pPr>
        <w:ind w:firstLine="1436"/>
        <w:spacing w:after="0" w:line="261" w:lineRule="auto"/>
        <w:tabs>
          <w:tab w:leader="none" w:pos="182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Stockholder submitting more than one Stockholder Nominee for inclusion in the Company’s proxy materials pursuant to this Section 1.10 shall rank such Stockholder Nominees based on the order that the Eligible Stockholder desires such Stockholder Nominees to be selected for inclusion in the Company’s proxy materials, and include such assigned rank in its Stockholder Notice submitted to the Company. If the number of Stockholder Nominees submitted by all Eligible Stockholders pursuant to this Section 1.10 for a particular Annual Meeting exceeds the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6" w:name="page17"/>
    <w:bookmarkEnd w:id="1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Authorized Number, the Stockholder Nominees to be included in the Company’s proxy materials shall be determined in accordance with the following provisions: one Stockholder Nominee who satisfies the eligibility requirements of this Section 1.10 shall be selected from each Eligible Stockholder for inclusion in the Company’s proxy materials until the Authorized Number is reached, going in order of the number (largest to smallest) of shares of the Company each Eligible Stockholder disclosed as Owned in its Stockholder Notice submitted to the Company and going in the order of the rank (highest to lowest) assigned to each Stockholder Nominee by such Eligible Stockholder. If the Authorized Number is not reached after one Stockholder Nominee who satisfies the eligibility requirements in this Section 1.10 has been selected from each Eligible Stockholder, this selection process shall continue as many times as necessary, following the same order each time, until the Authorized Number is reached. Following such determination, if any Stockholder Nominee who satisfies the eligibility requirements in this Section 1.10 thereafter is nominated by the Board, but thereafter is not included in the Company’s proxy materials or thereafter is not submitted for director election for any reason (including the Eligible Stockholder’s or Stockholder Nominee’s failure to comply with this Section 1.10), no other nominee or nominees shall be included in the Company’s proxy materials or otherwise submitted for election as a director at the applicable Annual Meeting in substitution for such Stockholder Nominee.</w:t>
      </w:r>
    </w:p>
    <w:p>
      <w:pPr>
        <w:spacing w:after="0" w:line="193" w:lineRule="exact"/>
        <w:rPr>
          <w:sz w:val="20"/>
          <w:szCs w:val="20"/>
          <w:color w:val="auto"/>
        </w:rPr>
      </w:pPr>
    </w:p>
    <w:p>
      <w:pPr>
        <w:ind w:left="1880" w:hanging="444"/>
        <w:spacing w:after="0"/>
        <w:tabs>
          <w:tab w:leader="none" w:pos="18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Nominee who is included in the Company’s proxy materials for a particular Annual Meeting but either</w:t>
      </w:r>
    </w:p>
    <w:p>
      <w:pPr>
        <w:spacing w:after="0" w:line="27" w:lineRule="exact"/>
        <w:rPr>
          <w:rFonts w:ascii="Times New Roman" w:cs="Times New Roman" w:eastAsia="Times New Roman" w:hAnsi="Times New Roman"/>
          <w:sz w:val="18"/>
          <w:szCs w:val="18"/>
          <w:color w:val="auto"/>
        </w:rPr>
      </w:pPr>
    </w:p>
    <w:p>
      <w:pPr>
        <w:ind w:right="60" w:firstLine="4"/>
        <w:spacing w:after="0" w:line="253" w:lineRule="auto"/>
        <w:tabs>
          <w:tab w:leader="none" w:pos="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withdraws from or becomes ineligible or unavailable for election at the Annual Meeting for any reason, including for the failure to comply with any provision of these By-Laws (provided that in no event shall any such withdrawal, ineligibility or unavailability commence a new time period (or extend any time period) for the giving of a Stockholder Notice) or (B) does not receive a number of votes cast in favor of his or her election at least equal to twenty-five percent (25%) of the shares present in person or represented by proxy and entitled to vote in the election of directors, shall be ineligible to be a Stockholder Nominee pursuant to this Section 1.10 for the next two Annual Meetings.</w:t>
      </w:r>
    </w:p>
    <w:p>
      <w:pPr>
        <w:spacing w:after="0" w:line="187" w:lineRule="exact"/>
        <w:rPr>
          <w:rFonts w:ascii="Times New Roman" w:cs="Times New Roman" w:eastAsia="Times New Roman" w:hAnsi="Times New Roman"/>
          <w:sz w:val="18"/>
          <w:szCs w:val="18"/>
          <w:color w:val="auto"/>
        </w:rPr>
      </w:pPr>
    </w:p>
    <w:p>
      <w:pPr>
        <w:ind w:right="40" w:firstLine="444"/>
        <w:spacing w:after="0" w:line="261" w:lineRule="auto"/>
        <w:tabs>
          <w:tab w:leader="none" w:pos="88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1.10, unless otherwise required by law or otherwise determined by the chairman of the meeting or the Board, if the stockholder delivering the Stockholder Notice (or a qualified representative of the stockholder, as defined in Section</w:t>
      </w:r>
    </w:p>
    <w:p>
      <w:pPr>
        <w:jc w:val="both"/>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1.9(c)(i)) does not appear at the Annual Meeting to present its Stockholder Nominee or Stockholder Nominees, such nomination or nominations shall be disregarded, notwithstanding that proxies with respect to the election of the Stockholder Nominee or Stockholder Nominees may have been received by the Company.</w:t>
      </w:r>
    </w:p>
    <w:p>
      <w:pPr>
        <w:spacing w:after="0" w:line="186" w:lineRule="exact"/>
        <w:rPr>
          <w:rFonts w:ascii="Times New Roman" w:cs="Times New Roman" w:eastAsia="Times New Roman" w:hAnsi="Times New Roman"/>
          <w:sz w:val="18"/>
          <w:szCs w:val="18"/>
          <w:color w:val="auto"/>
        </w:rPr>
      </w:pPr>
    </w:p>
    <w:p>
      <w:pPr>
        <w:jc w:val="both"/>
        <w:ind w:right="360" w:firstLine="444"/>
        <w:spacing w:after="0" w:line="266" w:lineRule="auto"/>
        <w:tabs>
          <w:tab w:leader="none" w:pos="82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Board’s power and authority to interpret any other provisions of these By-Laws, the Board (and any other person or body authorized by the Board) shall have the power and authority to interpret this Section 1.10 and to make any and all determinations necessary or advisable to apply this Section 1.10 to any persons, facts or circumstances, in each case acting in good faith.</w:t>
      </w:r>
    </w:p>
    <w:p>
      <w:pPr>
        <w:spacing w:after="0" w:line="176" w:lineRule="exact"/>
        <w:rPr>
          <w:rFonts w:ascii="Times New Roman" w:cs="Times New Roman" w:eastAsia="Times New Roman" w:hAnsi="Times New Roman"/>
          <w:sz w:val="18"/>
          <w:szCs w:val="18"/>
          <w:color w:val="auto"/>
        </w:rPr>
      </w:pPr>
    </w:p>
    <w:p>
      <w:pPr>
        <w:ind w:right="320" w:firstLine="444"/>
        <w:spacing w:after="0" w:line="282" w:lineRule="auto"/>
        <w:tabs>
          <w:tab w:leader="none" w:pos="88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applicable law, this Section 1.10 shall be the exclusive method for stockholders to include nominees for director election in the Company’s proxy materials.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BOARD OF DIRECTORS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b w:val="1"/>
          <w:bCs w:val="1"/>
          <w:u w:val="single" w:color="auto"/>
          <w:color w:val="auto"/>
        </w:rPr>
        <w:t>General Powers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overall management of all the affairs, property and business of the Company, including the supervision of the officers of the Company who shall directly manage the daily course of affairs of the Company, shall be vested in a Board who shall have and may exercise all powers except such as are exclusively conferred upon stockholders by law or by the Articles of Incorporation of the Company as from time to time amended. The Board may delegate such of its powers as it deems appropriate to committees consisting of one or more members of the Board and to the officers and other agents of the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b w:val="1"/>
          <w:bCs w:val="1"/>
          <w:u w:val="single" w:color="auto"/>
          <w:color w:val="auto"/>
        </w:rPr>
        <w:t>Chairman; Vice Chairman</w:t>
      </w:r>
    </w:p>
    <w:p>
      <w:pPr>
        <w:spacing w:after="0" w:line="121"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The Chairman shall be elected by the Board from among the directors. The Chairman shall preside at all meetings of the Board, and shall exercise such other powers and discharge such other responsibilities as may be assigned by the Board. The Chairman may but need not be an officer of, or employed in an executive or other capacity by, the Company. The Board may also elect a director of the Company to be Vice Chairman. The Vice Chairman shall perform such duties as may be assigned by the Chairman or by the Board, and shall, in the absence or disability of the Chairman, act for the Chairman. The Vice Chairman may but need not be an officer of, or employed in an executive or other capacity by, the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b w:val="1"/>
          <w:bCs w:val="1"/>
          <w:u w:val="single" w:color="auto"/>
          <w:color w:val="auto"/>
        </w:rPr>
        <w:t>Number, Tenure and Qualifications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directors shall, except as set forth in Section 1.9 above, be elected at an Annual Meeting by a majority of the votes cast, in person or by proxy, by the stockholders entitled to vote, except as provided in the Articles of Incorporation when the number of nominees exceeds the number of directors to be elected. The number of persons constituting the whole Board shall not be fewer than five nor more than 24, as fixed from time to time by the Board, subject to approval of stockholders of the Company at the Annual Meeting. The maximum number of persons constituting the whole Board shall, until changed at any succeeding Annual Meeting, be the number so fixed.</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the number of directors elected by stockholders is smaller than the maximum number of directors as fixed in accordance with the Articles of Incorporation, the Board shall be authorized, but not obligated, to appoint additional directors such that the total number of directors does not exceed the maximum number of directors as fixed by the Board and approved by stockholders of the Company, any such appointment to be effective until the next Annual Meeting.</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Directors may be suspended or dismissed at any general meeting of stockholders. A suspension automatically terminates if the person concerned has not been dismissed within two (2) months after the day of suspension. At any general meeting of stockholders at which action is taken to increase the number of the whole Board or to suspend or dismiss a director, or at any subsequent general meeting of stockholders, the stockholders may fill any vacancy or vacancies created by such action. Each director shall be elected to serve until the next Annual Meeting and until his or her successor shall be elected and qualified or until his or her death, resignation or removal. Directors need not be residents of Curaçao or stockholders of the Company.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66"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2.4 </w:t>
      </w:r>
      <w:r>
        <w:rPr>
          <w:rFonts w:ascii="Times New Roman" w:cs="Times New Roman" w:eastAsia="Times New Roman" w:hAnsi="Times New Roman"/>
          <w:sz w:val="18"/>
          <w:szCs w:val="18"/>
          <w:b w:val="1"/>
          <w:bCs w:val="1"/>
          <w:u w:val="single" w:color="auto"/>
          <w:color w:val="auto"/>
        </w:rPr>
        <w:t>Meetings of the Board</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directors may hold their meetings in or outside Curaçao.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The Chairman or, in the absence or disability of the Chairman, the Vice Chairman shall preside at their meetings. In the absence or disability of both the Chairman and the Vice Chairman, such meetings shall be presided over by such person as may be chosen by the Board. Regular meetings of the Board shall be held at such times as may from time to time be fixed by the Board. Notice need not be given of regular meetings of the Board held at the time fixed by the Board.</w:t>
      </w:r>
    </w:p>
    <w:p>
      <w:pPr>
        <w:spacing w:after="0" w:line="18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Special meetings of the Board may be held at any time upon the call of the Chairman or the Vice Chairman or of three directors by oral, electronic or written notice duly served on, sent or mailed to each director not less than three days before such meeting.</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first meeting of the Board following an Annual Meeting, whether a regular or special meeting of the Board, shall be an organizational meeting for the election of officers of the Company and at which any other matters may also be acted upon by the Board. Meetings may be held at any time without notice if all the directors are present or if those not present and who are entitled to notice under the provisions of this Section waive notice of the meeting in writing before or after the meeting. Matters to be acted upon by the Board at any regular or special meeting need not be specified in the notice thereof.</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b w:val="1"/>
          <w:bCs w:val="1"/>
          <w:u w:val="single" w:color="auto"/>
          <w:color w:val="auto"/>
        </w:rPr>
        <w:t>Action by Directors Without Meeting</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When action by the Board is required or permitted to be taken, action at a meeting may be dispensed with if all commercially reasonable efforts have been taken to notify all the directors and if three-fourths of the directors consent in writing, by telefax, electronic mail or other communication device to such action taken or being taken, and provided that all directors are promptly notified of such action taken or having been taken.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b w:val="1"/>
          <w:bCs w:val="1"/>
          <w:u w:val="single" w:color="auto"/>
          <w:color w:val="auto"/>
        </w:rPr>
        <w:t>Quorum</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A majority of the whole Board shall constitute a quorum for the conduct of any business. The action of the majority of the directors present in person or by proxy, as hereinafter provided, at a meeting at which a quorum is so present shall constitute the action of the Board. Directors may in writing, by telefax, electronic mail or other communication device, appoint a proxy to act at any meeting of the Board, such proxy to be restricted, however, to the particular meeting specified therein. Such proxy must be another director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at any meeting of the Board a director may not act as proxy for more than one director.</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66"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2.7 </w:t>
      </w:r>
      <w:r>
        <w:rPr>
          <w:rFonts w:ascii="Times New Roman" w:cs="Times New Roman" w:eastAsia="Times New Roman" w:hAnsi="Times New Roman"/>
          <w:sz w:val="18"/>
          <w:szCs w:val="18"/>
          <w:b w:val="1"/>
          <w:bCs w:val="1"/>
          <w:u w:val="single" w:color="auto"/>
          <w:color w:val="auto"/>
        </w:rPr>
        <w:t>Vacancies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the event that the office of any director becomes vacant for any reason, the remaining directors (or the remaining director, if there should be only one) may appoint one or more persons to fill the vacancy or vacancies thereby created on the Board until the next Annual Meeting,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at any time the number of directors then in office shall be reduced to less than a majority of the number constituting the whole Board, the remaining directors or director shall forthwith call a general meeting of stockholders for the purpose of filling the vacancies on the Board,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the event that all of the directors are prevented from or are incapable of acting as directors, the Company shall be temporarily managed by any person or persons previously appointed by the Board so to act, who shall forthwith call a general meeting of stockholders for the purpose of electing a Board. Until such general meeting of stockholders is held, the person so designated shall only take such acts of management that cannot suffer any delay. If no such general meeting of stockholders shall be called and if no such person shall have been appointed, any person or persons holding, in the aggregate, at least five percent of the outstanding shares of common stock of the Company may call a general meeting of stockholders for the purpose of electing a Board.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b w:val="1"/>
          <w:bCs w:val="1"/>
          <w:u w:val="single" w:color="auto"/>
          <w:color w:val="auto"/>
        </w:rPr>
        <w:t>Committees</w:t>
      </w:r>
    </w:p>
    <w:p>
      <w:pPr>
        <w:spacing w:after="0" w:line="121" w:lineRule="exact"/>
        <w:rPr>
          <w:sz w:val="20"/>
          <w:szCs w:val="20"/>
          <w:color w:val="auto"/>
        </w:rPr>
      </w:pPr>
    </w:p>
    <w:p>
      <w:pPr>
        <w:ind w:firstLine="4"/>
        <w:spacing w:after="0" w:line="254"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Committees consisting of one or more members of the Board may be established by the Board and shall have such general or limited powers or duties as the Board shall deem appropriate. A majority of any such committee composed of two or more members may determine its action at meetings and fix the time and place of its meetings, unless the Board shall otherwise provide.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When action by any committee is required or permitted to be taken, action at a meeting may be dispensed with if all members of the committee consent to such action. Members of a committee may, in writing or by telefax, electronic mail or other communication device, appoint a proxy to act at any meeting of the committee, such proxy to be restricted, however, to the particular meeting specified therein. Such proxy must be a director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at any committee meeting a director may not act as proxy for more than one committee member.</w:t>
      </w:r>
    </w:p>
    <w:p>
      <w:pPr>
        <w:spacing w:after="0" w:line="189" w:lineRule="exact"/>
        <w:rPr>
          <w:rFonts w:ascii="Times New Roman" w:cs="Times New Roman" w:eastAsia="Times New Roman" w:hAnsi="Times New Roman"/>
          <w:sz w:val="18"/>
          <w:szCs w:val="18"/>
          <w:color w:val="auto"/>
        </w:rPr>
      </w:pPr>
    </w:p>
    <w:p>
      <w:pPr>
        <w:ind w:left="400" w:hanging="396"/>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power at any time to change the members of any committee, to fill vacancies thereon, and to discharge any committee.</w:t>
      </w:r>
    </w:p>
    <w:p>
      <w:pPr>
        <w:spacing w:after="0" w:line="225" w:lineRule="exact"/>
        <w:rPr>
          <w:rFonts w:ascii="Times New Roman" w:cs="Times New Roman" w:eastAsia="Times New Roman" w:hAnsi="Times New Roman"/>
          <w:sz w:val="18"/>
          <w:szCs w:val="18"/>
          <w:color w:val="auto"/>
        </w:rPr>
      </w:pPr>
    </w:p>
    <w:p>
      <w:pPr>
        <w:ind w:right="160" w:firstLine="4"/>
        <w:spacing w:after="0" w:line="282" w:lineRule="auto"/>
        <w:tabs>
          <w:tab w:leader="none" w:pos="37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a standing Audit Committee, Compensation Committee, Finance Committee, Nominating and Governance Committee, and Science and Technology Committee.</w:t>
      </w:r>
    </w:p>
    <w:p>
      <w:pPr>
        <w:spacing w:after="0" w:line="161" w:lineRule="exact"/>
        <w:rPr>
          <w:rFonts w:ascii="Times New Roman" w:cs="Times New Roman" w:eastAsia="Times New Roman" w:hAnsi="Times New Roman"/>
          <w:sz w:val="18"/>
          <w:szCs w:val="18"/>
          <w:color w:val="auto"/>
        </w:rPr>
      </w:pPr>
    </w:p>
    <w:p>
      <w:pPr>
        <w:ind w:right="160" w:firstLine="4"/>
        <w:spacing w:after="0" w:line="282" w:lineRule="auto"/>
        <w:tabs>
          <w:tab w:leader="none" w:pos="3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adopt a charter for each committee for regulating the conduct of its affairs. Such charters must be consistent with these By-Laws and the Articles of Incorporation.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b w:val="1"/>
          <w:bCs w:val="1"/>
          <w:u w:val="single" w:color="auto"/>
          <w:color w:val="auto"/>
        </w:rPr>
        <w:t>Certain Claims Involving Directors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If the Board receives a written demand by a stockholder requesting the Board to bring a legal claim on behalf of the Company against one or more directors of the Company for breach of 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6" w:right="45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duty to the Company under applicable law, and if the demand gives notice to the Board, of evidence of the facts necessary to support each of the claims made therein, the Board shall conduct a review and evaluation of the demand to determine whether the bringing of a legal claim as requested in the demand would be in the best interests of the Company. The following procedural standards shall apply to the review and evaluation of the demand and determination of best interest by the Board:</w:t>
      </w:r>
    </w:p>
    <w:p>
      <w:pPr>
        <w:spacing w:after="0" w:line="180" w:lineRule="exact"/>
        <w:rPr>
          <w:sz w:val="20"/>
          <w:szCs w:val="20"/>
          <w:color w:val="auto"/>
        </w:rPr>
      </w:pPr>
    </w:p>
    <w:p>
      <w:pPr>
        <w:ind w:right="80" w:firstLine="444"/>
        <w:spacing w:after="0" w:line="266" w:lineRule="auto"/>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interested in one or more of the claims of breach of duty shall participate other than as described in clause (c) below, and if any of the directors interested in a claim is an officer of the Company, no director who is an officer of the Company shall participate other than as described in clause (c).</w:t>
      </w:r>
    </w:p>
    <w:p>
      <w:pPr>
        <w:spacing w:after="0" w:line="176" w:lineRule="exact"/>
        <w:rPr>
          <w:rFonts w:ascii="Times New Roman" w:cs="Times New Roman" w:eastAsia="Times New Roman" w:hAnsi="Times New Roman"/>
          <w:sz w:val="18"/>
          <w:szCs w:val="18"/>
          <w:color w:val="auto"/>
        </w:rPr>
      </w:pPr>
    </w:p>
    <w:p>
      <w:pPr>
        <w:ind w:right="200" w:firstLine="444"/>
        <w:spacing w:after="0" w:line="282" w:lineRule="auto"/>
        <w:tabs>
          <w:tab w:leader="none" w:pos="8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conducting the review and evaluation and making the determination shall be assisted by independent counsel of their choice, and such other independent agents, as they consider necessary.</w:t>
      </w:r>
    </w:p>
    <w:p>
      <w:pPr>
        <w:spacing w:after="0" w:line="161" w:lineRule="exact"/>
        <w:rPr>
          <w:rFonts w:ascii="Times New Roman" w:cs="Times New Roman" w:eastAsia="Times New Roman" w:hAnsi="Times New Roman"/>
          <w:sz w:val="18"/>
          <w:szCs w:val="18"/>
          <w:color w:val="auto"/>
        </w:rPr>
      </w:pPr>
    </w:p>
    <w:p>
      <w:pPr>
        <w:ind w:right="240" w:firstLine="444"/>
        <w:spacing w:after="0" w:line="282" w:lineRule="auto"/>
        <w:tabs>
          <w:tab w:leader="none" w:pos="81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interested in a claim shall have an adequate opportunity to present evidence and be heard by the directors making the review, evaluation and determination.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b w:val="1"/>
          <w:bCs w:val="1"/>
          <w:u w:val="single" w:color="auto"/>
          <w:color w:val="auto"/>
        </w:rPr>
        <w:t>Election and Term of Office</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The officers of the Company shall be elected or appointed by the Board and shall be a Chief Executive Officer, a Secretary and a Treasurer. The Board from time to time may also elect or appoint a President, a Chief Financial Officer, a Chief Accounting Officer, one or more Executive Vice Presidents, one or more Vice Presidents, and any such other officers, including assistant officers and agents, as the Board may deem advisable. Officers of the Company shall have such powers and duties as are specified in these By-Laws and such further powers and duties as are determined from time to time by the Board. Officers may but need not be directors of the Company. Two or more offices may be held by the same person;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officer shall execute, acknowledge or verify any instrument in more than one capacity if such instrument is required by law or by these By-Laws to be executed, acknowledged or verified by any two or more officers. The Board may grant general or specific authority to additional agents or to committees, giving such agents or committees such general or limited powers or duties as it may deem appropriate. All officers and agents shall serve at the pleasure of the Board and may be removed at any time by the Board, which shall have power to fill any vacancy which shall occur in any office by reason of death, resignation, removal or otherwise. Unless so removed, the terms of office of all officers and of all members of any committees of the Board shall continue until the appointment or election, as the case may be, of their successors or until the elimination of such offices or committees.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3.2 </w:t>
      </w:r>
      <w:r>
        <w:rPr>
          <w:rFonts w:ascii="Times New Roman" w:cs="Times New Roman" w:eastAsia="Times New Roman" w:hAnsi="Times New Roman"/>
          <w:sz w:val="18"/>
          <w:szCs w:val="18"/>
          <w:b w:val="1"/>
          <w:bCs w:val="1"/>
          <w:u w:val="single" w:color="auto"/>
          <w:color w:val="auto"/>
        </w:rPr>
        <w:t>Chief Executive Officer</w:t>
      </w:r>
    </w:p>
    <w:p>
      <w:pPr>
        <w:spacing w:after="0" w:line="12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Board shall at least annually elect or appoint a Chief Executive Officer of the Company. The Chief Executive Officer shall have general executive powers, be delegated the overall responsibility for the day-to-day management of the business of the Company and the implementation of the decisions taken by the Board as they relate to the strategic and operational direction of the Company. The Chief Executive shall determine which duties regarding the operational management of the Company and the business enterprises connected therewith will be carried out under his or her responsibility by one or more officers of the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b w:val="1"/>
          <w:bCs w:val="1"/>
          <w:u w:val="single" w:color="auto"/>
          <w:color w:val="auto"/>
        </w:rPr>
        <w:t>President</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Board may, from time to time, designate an officer of the Company to be the President of the Company. The President shall exercise such powers and discharge such responsibilities as may be assigned by the Board.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b w:val="1"/>
          <w:bCs w:val="1"/>
          <w:u w:val="single" w:color="auto"/>
          <w:color w:val="auto"/>
        </w:rPr>
        <w:t>Chief Operating Officer</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Board may, from time to time, designate an officer of the Company to be the Chief Operating Officer of the Company. The Chief Operating Officer shall have general executive powers and responsibility for the day-to-day management of the operations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b w:val="1"/>
          <w:bCs w:val="1"/>
          <w:u w:val="single" w:color="auto"/>
          <w:color w:val="auto"/>
        </w:rPr>
        <w:t>Chief Financial Officer</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Board shall at least annually elect or appoint a Chief Financial Officer of the Company. The Chief Financial Officer shall have the responsibility for formulating and managing the financial and fiscal, policies and procedures of the Company. The Chief Financial Officer shall generally perform all of the duties generally appertaining to the office of chief financial officer of a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b w:val="1"/>
          <w:bCs w:val="1"/>
          <w:u w:val="single" w:color="auto"/>
          <w:color w:val="auto"/>
        </w:rPr>
        <w:t>Vice Presidents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several Vice Presidents shall do and perform all such duties and services as shall be assigned to or required of them, from time to time, by the Board, the Chairman, the Vice Chairman or the Chief Executive Officer, and except as otherwise prescribed by the Board, shall have such powers and duties as generally pertain to the office of a vice president of a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b w:val="1"/>
          <w:bCs w:val="1"/>
          <w:u w:val="single" w:color="auto"/>
          <w:color w:val="auto"/>
        </w:rPr>
        <w:t>Secretary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Secretary shall attend to the giving of notice of all general meetings of stockholders and of the Board and shall keep and attest true records of all proceedings thereat. The Secretary shall have charge of the corporate seal and have authority to attest to any and all instruments or writings to which the same may be affixed. The Secretary shall have care and custody of documents, papers and records of the Company, shall have the power to sign stock certificates, and shall supervise the keeping of a record of the stockholders of the Company. The Secretary shall generally perform all of the duties usually appertaining to the office of the secretary of a company. In the absence of the Secretary, or if the office is vacant, an Assistant Secretary shall perform the duties of the Secretary, unless otherwise decided by the Board.</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66"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3.8 </w:t>
      </w:r>
      <w:r>
        <w:rPr>
          <w:rFonts w:ascii="Times New Roman" w:cs="Times New Roman" w:eastAsia="Times New Roman" w:hAnsi="Times New Roman"/>
          <w:sz w:val="18"/>
          <w:szCs w:val="18"/>
          <w:b w:val="1"/>
          <w:bCs w:val="1"/>
          <w:u w:val="single" w:color="auto"/>
          <w:color w:val="auto"/>
        </w:rPr>
        <w:t>Treasurer</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Treasurer shall have the care and custody of all monies, funds and securities of the Company and shall deposit or cause to be deposited all funds of the Company in and with such depositories as the Board shall designate from time to time. The Treasurer shall have the power to sign stock certificates, to endorse for deposit or collection or otherwise all checks, drafts, notes, bills of exchange or other commercial paper payable to the Company and to give proper receipts or discharges therefor, and shall generally perform all of the duties usually appertaining to the office of the treasurer of a company. In the absence of the Treasurer, or if the office is vacant, an Assistant Treasurer shall perform the duties of the Treasurer, unless otherwise decided by the Board.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b w:val="1"/>
          <w:bCs w:val="1"/>
          <w:u w:val="single" w:color="auto"/>
          <w:color w:val="auto"/>
        </w:rPr>
        <w:t>Salaries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salaries of the officers of the Company shall be fixed from time to time by the Compensation Committee of the Board or, in absence thereof, by the Board. No officer shall be prevented from receiving such salary by reason of the fact that he or she is also a director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b w:val="1"/>
          <w:bCs w:val="1"/>
          <w:u w:val="single" w:color="auto"/>
          <w:color w:val="auto"/>
        </w:rPr>
        <w:t>Checks, Notes, etc.</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All checks, drafts, notes, bills of exchange, acceptances and other instruments for the payment of money shall be signed by such officer or officers, person or persons, as may from time to time be thereunto authorized by the Board.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SHARES OF STOCK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b w:val="1"/>
          <w:bCs w:val="1"/>
          <w:u w:val="single" w:color="auto"/>
          <w:color w:val="auto"/>
        </w:rPr>
        <w:t>Registrar and Stock Certificates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interest of each stockholder of the Company shall be evidenced by certificates or by registration in book-entry accounts without certificates for shares of stock in such form as the appropriate officers of the Company may from time to time prescribe; provided that every stockholder shall be entitled to a certificate representing the stockholder’s ownership of shares of the Company. A register, which, provided a printed record can be produced therefrom, may be in electronic form (the “</w:t>
      </w:r>
      <w:r>
        <w:rPr>
          <w:rFonts w:ascii="Times New Roman" w:cs="Times New Roman" w:eastAsia="Times New Roman" w:hAnsi="Times New Roman"/>
          <w:sz w:val="18"/>
          <w:szCs w:val="18"/>
          <w:b w:val="1"/>
          <w:bCs w:val="1"/>
          <w:i w:val="1"/>
          <w:iCs w:val="1"/>
          <w:color w:val="auto"/>
        </w:rPr>
        <w:t>Register</w:t>
      </w:r>
      <w:r>
        <w:rPr>
          <w:rFonts w:ascii="Times New Roman" w:cs="Times New Roman" w:eastAsia="Times New Roman" w:hAnsi="Times New Roman"/>
          <w:sz w:val="18"/>
          <w:szCs w:val="18"/>
          <w:color w:val="auto"/>
        </w:rPr>
        <w:t>”), shall be kept by the Board or by a Registrar designated thereto by the Board. Each entry shall mention the name and address of the stockholder, the number of shares held and the numbers of the share certificates, if applicable, and such other information required to be included under Article 2:109 of the Civil Code of Curaçao.</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Register shall not be open for inspection by third parties or stockholders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Every transfer and devolution of a share shall be entered in the Register and every such entry shall</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66" w:right="439" w:bottom="1440" w:gutter="0" w:footer="0" w:header="0"/>
        </w:sectPr>
      </w:pPr>
    </w:p>
    <w:bookmarkStart w:id="23" w:name="page24"/>
    <w:bookmarkEnd w:id="23"/>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signed or otherwise acknowledged by or on behalf of the Board or by the Registrar. The shares of the stock of the Company shall be transferred on the books of the Company by the holder thereof in person or by his or her attorney, (a) upon surrender for cancellation of certificates for the same number of shares, with an assignment and power of transfer endorsed thereon or attached thereto, duly executed, with such proof of the authenticity of the transfer and payment of any applicable transfer taxes as the Company or its agents may reasonably require, or (b) by appropriate book-entry procedures.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Each certificate shall be signed by the Chairman or the Vice Chairman or the President or any Vice President and by the Secretary, Assistant Secretary or the Treasurer, and bear the corporate seal or a facsimile thereof, certifying the number of shares owned by the stockholder in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where such certificate is countersigned by a Registrar other than the Company, the signatures of the officers of the Company and the Registrar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certificate may be a facsimile, engraved, stamped or printed. In case any officer or officers or Registrar who shall have signed or whose facsimile signature or signatures shall have been used on any such certificate or certificates shall cease to be such officer or officers or Registrar, whether because of death, resignation or otherwise before such certificate or certificates shall have been delivered by the Company, such certificate or certificates may nevertheless be issued and delivered as though the person or persons who signed such certificate or certificates, or whose facsimile signature or signatures shall have been used thereon, had not ceased to be such officer or officers or Registrar.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b w:val="1"/>
          <w:bCs w:val="1"/>
          <w:u w:val="single" w:color="auto"/>
          <w:color w:val="auto"/>
        </w:rPr>
        <w:t>Lost Certificates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In case any certificate of stock shall be lost, stolen or destroyed, the Board or any officer of the Company to whom the Board has delegated authority may authorize the Registrar to issue and register a substitute certificate in place of the certificate of stock alleged to have been lost, stolen or destroyed, and may cause such substitute certificate to be countersigned and registered by the appropriate Registrar;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each such case, the applicant for a substitute certificate shall furnish to the Company and to such of its Registrars as may require the same, evidence, satisfactory to them, of the loss, theft or destruction of such certificate and of the ownership thereof and also such security or indemnity as may by them be required.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b w:val="1"/>
          <w:bCs w:val="1"/>
          <w:u w:val="single" w:color="auto"/>
          <w:color w:val="auto"/>
        </w:rPr>
        <w:t>Indemnification in Actions by Third Party</w:t>
      </w:r>
    </w:p>
    <w:p>
      <w:pPr>
        <w:spacing w:after="0" w:line="12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To the fullest extent permitted by applicable law, the Company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or officer, of the Company, or is or was a director of any subsidiary of the Company or an officer appointed or elected by the board of directors of the Company or of a subsidiary, or is or was any such officer or director of the Company or of a subsidiary of the Company serving at the request of the Company as a director, officer, employee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24" w:name="page25"/>
    <w:bookmarkEnd w:id="24"/>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with respect to proceedings to enforce rights to indemnification and advancement, the Company shall indemnify any such person in connection with a proceeding (or part thereof) initiated by such person (including claims and counterclaims, whether such counterclaims are asserted by</w:t>
      </w:r>
    </w:p>
    <w:p>
      <w:pPr>
        <w:spacing w:after="0" w:line="7" w:lineRule="exact"/>
        <w:rPr>
          <w:sz w:val="20"/>
          <w:szCs w:val="20"/>
          <w:color w:val="auto"/>
        </w:rPr>
      </w:pPr>
    </w:p>
    <w:p>
      <w:pPr>
        <w:ind w:right="20" w:firstLine="4"/>
        <w:spacing w:after="0" w:line="251" w:lineRule="auto"/>
        <w:tabs>
          <w:tab w:leader="none" w:pos="2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or (b) the Company in a proceeding initiated by such person) only if such proceeding (or part thereof) was authorized by the Board. The Company shall indemnify any present or former officer or director of the Company to the fullest extent allowed by the preceding provisions of this Section 5.1 in the event of a “Change of Control.”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in office immediately prior to such entity, person or organization attaining such percentage interest; (ii) the Company is a party to a merger, consolidation, share exchange, sale of assets or other reorganization, or a proxy contest, as a consequence of which members of the Board in office immediately prior to such transaction or event constitute less than a majority of the Board thereafter; or (iii) during any 15-month period, individuals who at the beginning of such period constituted the Board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b w:val="1"/>
          <w:bCs w:val="1"/>
          <w:u w:val="single" w:color="auto"/>
          <w:color w:val="auto"/>
        </w:rPr>
        <w:t>Indemnification In Actions by or in the Right of the Company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the fullest extent permitted by applicable law, the Company shall indemnify any current or former, director or officer of the Company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with respect to any claim, issue or matter as to which such person shall have been finally adjudged to be liable to the Company for improper conduct unless and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25" w:name="page26"/>
    <w:bookmarkEnd w:id="25"/>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Section 5.2 in the event of a Change of Control, as defined in Section 5.1.</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b w:val="1"/>
          <w:bCs w:val="1"/>
          <w:u w:val="single" w:color="auto"/>
          <w:color w:val="auto"/>
        </w:rPr>
        <w:t>Extension of Indemnification to Employees and Agents of the Company</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Any indemnification under Sections 5.1 and 5.2 (unless ordered by a court) may be extended to current or former employees or agents of the Company or a subsidiary of the Company only as authorized by the Chief Executive Officer or by contract approved, or by-laws, resolution or other action adopted or taken, by the Board or by the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b w:val="1"/>
          <w:bCs w:val="1"/>
          <w:u w:val="single" w:color="auto"/>
          <w:color w:val="auto"/>
        </w:rPr>
        <w:t>Advance of Reimbursement of Expenses and Undertaking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Expenses (including attorneys’ fees) incurred by a present or former director or a present officer of the Company or any subsidiary of the Company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Article V of these By-Laws. Such expenses (including attorneys’ fees) incurred by former officers or other employees and agents may be so paid upon such terms and conditions, if any, as the Company deems appropriate.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b w:val="1"/>
          <w:bCs w:val="1"/>
          <w:u w:val="single" w:color="auto"/>
          <w:color w:val="auto"/>
        </w:rPr>
        <w:t>Non-Exclusivity of By-Laws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the other Sections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b w:val="1"/>
          <w:bCs w:val="1"/>
          <w:u w:val="single" w:color="auto"/>
          <w:color w:val="auto"/>
        </w:rPr>
        <w:t>Insurance for Indemnification</w:t>
      </w:r>
    </w:p>
    <w:p>
      <w:pPr>
        <w:spacing w:after="0" w:line="12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or her status as such, whether or not the Company would have the power to indemnify such person against such liability under the provisions of Article V of these By-Laws.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5.7 </w:t>
      </w:r>
      <w:r>
        <w:rPr>
          <w:rFonts w:ascii="Times New Roman" w:cs="Times New Roman" w:eastAsia="Times New Roman" w:hAnsi="Times New Roman"/>
          <w:sz w:val="18"/>
          <w:szCs w:val="18"/>
          <w:b w:val="1"/>
          <w:bCs w:val="1"/>
          <w:u w:val="single" w:color="auto"/>
          <w:color w:val="auto"/>
        </w:rPr>
        <w:t>Definition of the Company</w:t>
      </w:r>
    </w:p>
    <w:p>
      <w:pPr>
        <w:spacing w:after="0" w:line="121"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For purposes of this Article V, references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V with respect to the resulting or surviving corporation as such person would have had with respect to such constituent corporation if its separate existence had continued.</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b w:val="1"/>
          <w:bCs w:val="1"/>
          <w:u w:val="single" w:color="auto"/>
          <w:color w:val="auto"/>
        </w:rPr>
        <w:t>Other Definitions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purposes of this Article V, references to “other enterprises” shall include employee benefit plans; references to “fines” shall include any excise taxes assessed on a person with respect to any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 V.</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b w:val="1"/>
          <w:bCs w:val="1"/>
          <w:u w:val="single" w:color="auto"/>
          <w:color w:val="auto"/>
        </w:rPr>
        <w:t>Good Faith Reliance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member of the Board, or a member of any committee designated by the Board, shall, in the performance of such member’s duties, be fully protected in relying in good faith upon the records of the Company and upon such information, opinions, reports or statements presented to the Company by any of the Company’s officers or employees, or committees of the Board, or by any other person as to matters the member reasonably believes are within such other person’s professional or expert competence and who has been selected with reasonable care by or on behalf of the Company.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b w:val="1"/>
          <w:bCs w:val="1"/>
          <w:u w:val="single" w:color="auto"/>
          <w:color w:val="auto"/>
        </w:rPr>
        <w:t>Fiscal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of the Company shall be the calendar year.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66"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6.2 </w:t>
      </w:r>
      <w:r>
        <w:rPr>
          <w:rFonts w:ascii="Times New Roman" w:cs="Times New Roman" w:eastAsia="Times New Roman" w:hAnsi="Times New Roman"/>
          <w:sz w:val="18"/>
          <w:szCs w:val="18"/>
          <w:b w:val="1"/>
          <w:bCs w:val="1"/>
          <w:u w:val="single" w:color="auto"/>
          <w:color w:val="auto"/>
        </w:rPr>
        <w:t>Corporate Seal</w:t>
      </w:r>
    </w:p>
    <w:p>
      <w:pPr>
        <w:spacing w:after="0" w:line="121"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Company shall have a corporate seal that shall have inscribed thereon the name of the Company, the word, “Curaçao”, and the year of its organization.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b w:val="1"/>
          <w:bCs w:val="1"/>
          <w:u w:val="single" w:color="auto"/>
          <w:color w:val="auto"/>
        </w:rPr>
        <w:t>Amendments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By-Laws may be altered, amended or repealed at any regular or special meeting of the Board, except, however, that no provision of these By-Laws which is included in, or the substance of which is expressed in, the provisions of the Articles of Incorporation shall be so altered, amended or repealed as to be inconsistent with the Articles of Incorporation. The amendment of these By-Laws to eliminate any provisions hereof the substance of which is also contained in the Articles of Incorporation shall not be deemed to render these By-Laws inconsistent with the Articles of Incorporation or to affect in any way the corresponding provisions of the Articles of Incorporation.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lowerLetter"/>
      <w:start w:val="4"/>
    </w:lvl>
  </w:abstractNum>
  <w:abstractNum w:abstractNumId="2">
    <w:nsid w:val="4E6AFB66"/>
    <w:multiLevelType w:val="hybridMultilevel"/>
    <w:lvl w:ilvl="0">
      <w:lvlJc w:val="left"/>
      <w:lvlText w:val="3"/>
      <w:numFmt w:val="bullet"/>
      <w:start w:val="1"/>
    </w:lvl>
  </w:abstractNum>
  <w:abstractNum w:abstractNumId="3">
    <w:nsid w:val="25E45D32"/>
    <w:multiLevelType w:val="hybridMultilevel"/>
    <w:lvl w:ilvl="0">
      <w:lvlJc w:val="left"/>
      <w:lvlText w:val="(%1)"/>
      <w:numFmt w:val="lowerLetter"/>
      <w:start w:val="1"/>
    </w:lvl>
    <w:lvl w:ilvl="1">
      <w:lvlJc w:val="left"/>
      <w:lvlText w:val="(%2)"/>
      <w:numFmt w:val="lowerRoman"/>
      <w:start w:val="1"/>
    </w:lvl>
  </w:abstractNum>
  <w:abstractNum w:abstractNumId="4">
    <w:nsid w:val="519B500D"/>
    <w:multiLevelType w:val="hybridMultilevel"/>
    <w:lvl w:ilvl="0">
      <w:lvlJc w:val="left"/>
      <w:lvlText w:val="(%1)"/>
      <w:numFmt w:val="upperLetter"/>
      <w:start w:val="1"/>
    </w:lvl>
  </w:abstractNum>
  <w:abstractNum w:abstractNumId="5">
    <w:nsid w:val="431BD7B7"/>
    <w:multiLevelType w:val="hybridMultilevel"/>
    <w:lvl w:ilvl="0">
      <w:lvlJc w:val="left"/>
      <w:lvlText w:val="(%1)"/>
      <w:numFmt w:val="upperLetter"/>
      <w:start w:val="2"/>
    </w:lvl>
    <w:lvl w:ilvl="1">
      <w:lvlJc w:val="left"/>
      <w:lvlText w:val="(%2)"/>
      <w:numFmt w:val="decimal"/>
      <w:start w:val="1"/>
    </w:lvl>
  </w:abstractNum>
  <w:abstractNum w:abstractNumId="6">
    <w:nsid w:val="3F2DBA31"/>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abstractNum>
  <w:abstractNum w:abstractNumId="7">
    <w:nsid w:val="7C83E458"/>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abstractNum>
  <w:abstractNum w:abstractNumId="8">
    <w:nsid w:val="257130A3"/>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9">
    <w:nsid w:val="62BBD95A"/>
    <w:multiLevelType w:val="hybridMultilevel"/>
    <w:lvl w:ilvl="0">
      <w:lvlJc w:val="left"/>
      <w:lvlText w:val="(%1)"/>
      <w:numFmt w:val="lowerLetter"/>
      <w:start w:val="2"/>
    </w:lvl>
    <w:lvl w:ilvl="1">
      <w:lvlJc w:val="left"/>
      <w:lvlText w:val="(%2)"/>
      <w:numFmt w:val="lowerLetter"/>
      <w:start w:val="9"/>
    </w:lvl>
  </w:abstractNum>
  <w:abstractNum w:abstractNumId="10">
    <w:nsid w:val="436C6125"/>
    <w:multiLevelType w:val="hybridMultilevel"/>
    <w:lvl w:ilvl="0">
      <w:lvlJc w:val="left"/>
      <w:lvlText w:val="%1"/>
      <w:numFmt w:val="lowerLetter"/>
      <w:start w:val="1"/>
    </w:lvl>
    <w:lvl w:ilvl="1">
      <w:lvlJc w:val="left"/>
      <w:lvlText w:val="(%2)"/>
      <w:numFmt w:val="lowerRoman"/>
      <w:start w:val="2"/>
    </w:lvl>
  </w:abstractNum>
  <w:abstractNum w:abstractNumId="11">
    <w:nsid w:val="628C895D"/>
    <w:multiLevelType w:val="hybridMultilevel"/>
    <w:lvl w:ilvl="0">
      <w:lvlJc w:val="left"/>
      <w:lvlText w:val="(%1)"/>
      <w:numFmt w:val="lowerLetter"/>
      <w:start w:val="3"/>
    </w:lvl>
    <w:lvl w:ilvl="1">
      <w:lvlJc w:val="left"/>
      <w:lvlText w:val="(%2)"/>
      <w:numFmt w:val="lowerRoman"/>
      <w:start w:val="1"/>
    </w:lvl>
  </w:abstractNum>
  <w:abstractNum w:abstractNumId="12">
    <w:nsid w:val="333AB105"/>
    <w:multiLevelType w:val="hybridMultilevel"/>
    <w:lvl w:ilvl="0">
      <w:lvlJc w:val="left"/>
      <w:lvlText w:val="(%1)"/>
      <w:numFmt w:val="lowerRoman"/>
      <w:start w:val="2"/>
    </w:lvl>
  </w:abstractNum>
  <w:abstractNum w:abstractNumId="13">
    <w:nsid w:val="721DA317"/>
    <w:multiLevelType w:val="hybridMultilevel"/>
    <w:lvl w:ilvl="0">
      <w:lvlJc w:val="left"/>
      <w:lvlText w:val="(%1)"/>
      <w:numFmt w:val="lowerLetter"/>
      <w:start w:val="1"/>
    </w:lvl>
    <w:lvl w:ilvl="1">
      <w:lvlJc w:val="left"/>
      <w:lvlText w:val="%2"/>
      <w:numFmt w:val="lowerRoman"/>
      <w:start w:val="1"/>
    </w:lvl>
  </w:abstractNum>
  <w:abstractNum w:abstractNumId="14">
    <w:nsid w:val="2443A858"/>
    <w:multiLevelType w:val="hybridMultilevel"/>
    <w:lvl w:ilvl="0">
      <w:lvlJc w:val="left"/>
      <w:lvlText w:val="(%1)"/>
      <w:numFmt w:val="lowerLetter"/>
      <w:start w:val="35"/>
    </w:lvl>
    <w:lvl w:ilvl="1">
      <w:lvlJc w:val="left"/>
      <w:lvlText w:val="(%2)"/>
      <w:numFmt w:val="lowerRoman"/>
      <w:start w:val="1"/>
    </w:lvl>
  </w:abstractNum>
  <w:abstractNum w:abstractNumId="15">
    <w:nsid w:val="2D1D5AE9"/>
    <w:multiLevelType w:val="hybridMultilevel"/>
    <w:lvl w:ilvl="0">
      <w:lvlJc w:val="left"/>
      <w:lvlText w:val="(%1)"/>
      <w:numFmt w:val="lowerLetter"/>
      <w:start w:val="2"/>
    </w:lvl>
    <w:lvl w:ilvl="1">
      <w:lvlJc w:val="left"/>
      <w:lvlText w:val="(%2)"/>
      <w:numFmt w:val="lowerRoman"/>
      <w:start w:val="1"/>
    </w:lvl>
  </w:abstractNum>
  <w:abstractNum w:abstractNumId="16">
    <w:nsid w:val="6763845E"/>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7">
    <w:nsid w:val="75A2A8D4"/>
    <w:multiLevelType w:val="hybridMultilevel"/>
    <w:lvl w:ilvl="0">
      <w:lvlJc w:val="left"/>
      <w:lvlText w:val="(%1)"/>
      <w:numFmt w:val="decimal"/>
      <w:start w:val="2"/>
    </w:lvl>
    <w:lvl w:ilvl="1">
      <w:lvlJc w:val="left"/>
      <w:lvlText w:val="(%2)"/>
      <w:numFmt w:val="lowerRoman"/>
      <w:start w:val="3"/>
    </w:lvl>
    <w:lvl w:ilvl="2">
      <w:lvlJc w:val="left"/>
      <w:lvlText w:val="(%3)"/>
      <w:numFmt w:val="upperLetter"/>
      <w:start w:val="2"/>
    </w:lvl>
    <w:lvl w:ilvl="3">
      <w:lvlJc w:val="left"/>
      <w:lvlText w:val="(%4)"/>
      <w:numFmt w:val="upperLetter"/>
      <w:start w:val="3"/>
    </w:lvl>
  </w:abstractNum>
  <w:abstractNum w:abstractNumId="18">
    <w:nsid w:val="8EDBDAB"/>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lvl w:ilvl="3">
      <w:lvlJc w:val="left"/>
      <w:lvlText w:val="(%4)"/>
      <w:numFmt w:val="upperLetter"/>
      <w:start w:val="2"/>
    </w:lvl>
  </w:abstractNum>
  <w:abstractNum w:abstractNumId="19">
    <w:nsid w:val="79838CB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upperLetter"/>
      <w:start w:val="2"/>
    </w:lvl>
  </w:abstractNum>
  <w:abstractNum w:abstractNumId="20">
    <w:nsid w:val="4353D0CD"/>
    <w:multiLevelType w:val="hybridMultilevel"/>
    <w:lvl w:ilvl="0">
      <w:lvlJc w:val="left"/>
      <w:lvlText w:val="(%1)"/>
      <w:numFmt w:val="upperLetter"/>
      <w:start w:val="3"/>
    </w:lvl>
    <w:lvl w:ilvl="1">
      <w:lvlJc w:val="left"/>
      <w:lvlText w:val="(%2)"/>
      <w:numFmt w:val="decimal"/>
      <w:start w:val="1"/>
    </w:lvl>
  </w:abstractNum>
  <w:abstractNum w:abstractNumId="21">
    <w:nsid w:val="B03E0C6"/>
    <w:multiLevelType w:val="hybridMultilevel"/>
    <w:lvl w:ilvl="0">
      <w:lvlJc w:val="left"/>
      <w:lvlText w:val="(%1)"/>
      <w:numFmt w:val="upperLetter"/>
      <w:start w:val="5"/>
    </w:lvl>
  </w:abstractNum>
  <w:abstractNum w:abstractNumId="22">
    <w:nsid w:val="189A769B"/>
    <w:multiLevelType w:val="hybridMultilevel"/>
    <w:lvl w:ilvl="0">
      <w:lvlJc w:val="left"/>
      <w:lvlText w:val="(%1)"/>
      <w:numFmt w:val="lowerRoman"/>
      <w:start w:val="2"/>
    </w:lvl>
  </w:abstractNum>
  <w:abstractNum w:abstractNumId="23">
    <w:nsid w:val="54E49EB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4">
    <w:nsid w:val="71F32454"/>
    <w:multiLevelType w:val="hybridMultilevel"/>
    <w:lvl w:ilvl="0">
      <w:lvlJc w:val="left"/>
      <w:lvlText w:val="(%1)"/>
      <w:numFmt w:val="lowerRoman"/>
      <w:start w:val="2"/>
    </w:lvl>
  </w:abstractNum>
  <w:abstractNum w:abstractNumId="25">
    <w:nsid w:val="2CA88611"/>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3"/>
    </w:lvl>
  </w:abstractNum>
  <w:abstractNum w:abstractNumId="26">
    <w:nsid w:val="836C40E"/>
    <w:multiLevelType w:val="hybridMultilevel"/>
    <w:lvl w:ilvl="0">
      <w:lvlJc w:val="left"/>
      <w:lvlText w:val="(%1)"/>
      <w:numFmt w:val="upperLetter"/>
      <w:start w:val="1"/>
    </w:lvl>
    <w:lvl w:ilvl="1">
      <w:lvlJc w:val="left"/>
      <w:lvlText w:val="(%2)"/>
      <w:numFmt w:val="lowerRoman"/>
      <w:start w:val="4"/>
    </w:lvl>
    <w:lvl w:ilvl="2">
      <w:lvlJc w:val="left"/>
      <w:lvlText w:val="%3"/>
      <w:numFmt w:val="lowerRoman"/>
      <w:start w:val="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2019-12-28T10:00:04Z</dcterms:created>
  <dcterms:modified xsi:type="dcterms:W3CDTF">2019-12-28T10:00:04Z</dcterms:modified>
</cp:coreProperties>
</file>