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46990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-98425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2013</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6"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1"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48895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Schlumberger N.V.</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(Schlumberger Limited)</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81280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29"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4740" w:type="dxa"/>
            <w:vAlign w:val="bottom"/>
          </w:tcPr>
          <w:p>
            <w:pPr>
              <w:jc w:val="center"/>
              <w:ind w:right="1649"/>
              <w:spacing w:after="0"/>
              <w:rPr>
                <w:sz w:val="20"/>
                <w:szCs w:val="20"/>
                <w:color w:val="auto"/>
              </w:rPr>
            </w:pPr>
            <w:r>
              <w:rPr>
                <w:rFonts w:ascii="Arial" w:cs="Arial" w:eastAsia="Arial" w:hAnsi="Arial"/>
                <w:sz w:val="16"/>
                <w:szCs w:val="16"/>
                <w:b w:val="1"/>
                <w:bCs w:val="1"/>
                <w:color w:val="auto"/>
                <w:w w:val="90"/>
              </w:rPr>
              <w:t>Curaçao</w:t>
            </w:r>
          </w:p>
        </w:tc>
        <w:tc>
          <w:tcPr>
            <w:tcW w:w="3460" w:type="dxa"/>
            <w:vAlign w:val="bottom"/>
          </w:tcPr>
          <w:p>
            <w:pPr>
              <w:jc w:val="center"/>
              <w:ind w:left="1650"/>
              <w:spacing w:after="0"/>
              <w:rPr>
                <w:sz w:val="20"/>
                <w:szCs w:val="20"/>
                <w:color w:val="auto"/>
              </w:rPr>
            </w:pPr>
            <w:r>
              <w:rPr>
                <w:rFonts w:ascii="Arial" w:cs="Arial" w:eastAsia="Arial" w:hAnsi="Arial"/>
                <w:sz w:val="16"/>
                <w:szCs w:val="16"/>
                <w:b w:val="1"/>
                <w:bCs w:val="1"/>
                <w:color w:val="auto"/>
                <w:w w:val="91"/>
              </w:rPr>
              <w:t>52-0684746</w:t>
            </w:r>
          </w:p>
        </w:tc>
        <w:tc>
          <w:tcPr>
            <w:tcW w:w="0" w:type="dxa"/>
            <w:vAlign w:val="bottom"/>
          </w:tcPr>
          <w:p>
            <w:pPr>
              <w:spacing w:after="0"/>
              <w:rPr>
                <w:sz w:val="1"/>
                <w:szCs w:val="1"/>
                <w:color w:val="auto"/>
              </w:rPr>
            </w:pPr>
          </w:p>
        </w:tc>
      </w:tr>
      <w:tr>
        <w:trPr>
          <w:trHeight w:val="158"/>
        </w:trPr>
        <w:tc>
          <w:tcPr>
            <w:tcW w:w="4740" w:type="dxa"/>
            <w:vAlign w:val="bottom"/>
          </w:tcPr>
          <w:p>
            <w:pPr>
              <w:jc w:val="center"/>
              <w:ind w:right="1669"/>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3460" w:type="dxa"/>
            <w:vAlign w:val="bottom"/>
          </w:tcPr>
          <w:p>
            <w:pPr>
              <w:jc w:val="center"/>
              <w:ind w:left="1650"/>
              <w:spacing w:after="0"/>
              <w:rPr>
                <w:sz w:val="20"/>
                <w:szCs w:val="20"/>
                <w:color w:val="auto"/>
              </w:rPr>
            </w:pPr>
            <w:r>
              <w:rPr>
                <w:rFonts w:ascii="Arial" w:cs="Arial" w:eastAsia="Arial" w:hAnsi="Arial"/>
                <w:sz w:val="13"/>
                <w:szCs w:val="13"/>
                <w:color w:val="auto"/>
                <w:w w:val="91"/>
              </w:rPr>
              <w:t>(IRS Employer Identification No.)</w:t>
            </w:r>
          </w:p>
        </w:tc>
        <w:tc>
          <w:tcPr>
            <w:tcW w:w="0" w:type="dxa"/>
            <w:vAlign w:val="bottom"/>
          </w:tcPr>
          <w:p>
            <w:pPr>
              <w:spacing w:after="0"/>
              <w:rPr>
                <w:sz w:val="1"/>
                <w:szCs w:val="1"/>
                <w:color w:val="auto"/>
              </w:rPr>
            </w:pPr>
          </w:p>
        </w:tc>
      </w:tr>
      <w:tr>
        <w:trPr>
          <w:trHeight w:val="184"/>
        </w:trPr>
        <w:tc>
          <w:tcPr>
            <w:tcW w:w="4740" w:type="dxa"/>
            <w:vAlign w:val="bottom"/>
          </w:tcPr>
          <w:p>
            <w:pPr>
              <w:jc w:val="center"/>
              <w:ind w:right="1649"/>
              <w:spacing w:after="0"/>
              <w:rPr>
                <w:sz w:val="20"/>
                <w:szCs w:val="20"/>
                <w:color w:val="auto"/>
              </w:rPr>
            </w:pPr>
            <w:r>
              <w:rPr>
                <w:rFonts w:ascii="Arial" w:cs="Arial" w:eastAsia="Arial" w:hAnsi="Arial"/>
                <w:sz w:val="14"/>
                <w:szCs w:val="14"/>
                <w:b w:val="1"/>
                <w:bCs w:val="1"/>
                <w:color w:val="auto"/>
                <w:w w:val="93"/>
              </w:rPr>
              <w:t>42, rue Saint-Dominique</w:t>
            </w:r>
          </w:p>
        </w:tc>
        <w:tc>
          <w:tcPr>
            <w:tcW w:w="3460" w:type="dxa"/>
            <w:vAlign w:val="bottom"/>
            <w:vMerge w:val="restart"/>
          </w:tcPr>
          <w:p>
            <w:pPr>
              <w:jc w:val="center"/>
              <w:ind w:left="1630"/>
              <w:spacing w:after="0"/>
              <w:rPr>
                <w:sz w:val="20"/>
                <w:szCs w:val="20"/>
                <w:color w:val="auto"/>
              </w:rPr>
            </w:pPr>
            <w:r>
              <w:rPr>
                <w:rFonts w:ascii="Arial" w:cs="Arial" w:eastAsia="Arial" w:hAnsi="Arial"/>
                <w:sz w:val="14"/>
                <w:szCs w:val="14"/>
                <w:b w:val="1"/>
                <w:bCs w:val="1"/>
                <w:color w:val="auto"/>
                <w:w w:val="92"/>
              </w:rPr>
              <w:t>75007</w:t>
            </w:r>
          </w:p>
        </w:tc>
        <w:tc>
          <w:tcPr>
            <w:tcW w:w="0" w:type="dxa"/>
            <w:vAlign w:val="bottom"/>
          </w:tcPr>
          <w:p>
            <w:pPr>
              <w:spacing w:after="0"/>
              <w:rPr>
                <w:sz w:val="1"/>
                <w:szCs w:val="1"/>
                <w:color w:val="auto"/>
              </w:rPr>
            </w:pPr>
          </w:p>
        </w:tc>
      </w:tr>
      <w:tr>
        <w:trPr>
          <w:trHeight w:val="186"/>
        </w:trPr>
        <w:tc>
          <w:tcPr>
            <w:tcW w:w="4740" w:type="dxa"/>
            <w:vAlign w:val="bottom"/>
          </w:tcPr>
          <w:p>
            <w:pPr>
              <w:jc w:val="center"/>
              <w:ind w:right="1649"/>
              <w:spacing w:after="0"/>
              <w:rPr>
                <w:sz w:val="20"/>
                <w:szCs w:val="20"/>
                <w:color w:val="auto"/>
              </w:rPr>
            </w:pPr>
            <w:r>
              <w:rPr>
                <w:rFonts w:ascii="Arial" w:cs="Arial" w:eastAsia="Arial" w:hAnsi="Arial"/>
                <w:sz w:val="14"/>
                <w:szCs w:val="14"/>
                <w:b w:val="1"/>
                <w:bCs w:val="1"/>
                <w:color w:val="auto"/>
                <w:w w:val="93"/>
              </w:rPr>
              <w:t>Paris, France</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40" w:type="dxa"/>
            <w:vAlign w:val="bottom"/>
          </w:tcPr>
          <w:p>
            <w:pPr>
              <w:jc w:val="center"/>
              <w:ind w:right="1649"/>
              <w:spacing w:after="0"/>
              <w:rPr>
                <w:sz w:val="20"/>
                <w:szCs w:val="20"/>
                <w:color w:val="auto"/>
              </w:rPr>
            </w:pPr>
            <w:r>
              <w:rPr>
                <w:rFonts w:ascii="Arial" w:cs="Arial" w:eastAsia="Arial" w:hAnsi="Arial"/>
                <w:sz w:val="14"/>
                <w:szCs w:val="14"/>
                <w:b w:val="1"/>
                <w:bCs w:val="1"/>
                <w:color w:val="auto"/>
                <w:w w:val="92"/>
              </w:rPr>
              <w:t>5599 San Felipe, 17</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60" w:type="dxa"/>
            <w:vAlign w:val="bottom"/>
            <w:vMerge w:val="restart"/>
          </w:tcPr>
          <w:p>
            <w:pPr>
              <w:jc w:val="center"/>
              <w:ind w:left="1630"/>
              <w:spacing w:after="0"/>
              <w:rPr>
                <w:sz w:val="20"/>
                <w:szCs w:val="20"/>
                <w:color w:val="auto"/>
              </w:rPr>
            </w:pPr>
            <w:r>
              <w:rPr>
                <w:rFonts w:ascii="Arial" w:cs="Arial" w:eastAsia="Arial" w:hAnsi="Arial"/>
                <w:sz w:val="14"/>
                <w:szCs w:val="14"/>
                <w:b w:val="1"/>
                <w:bCs w:val="1"/>
                <w:color w:val="auto"/>
                <w:w w:val="92"/>
              </w:rPr>
              <w:t>77056</w:t>
            </w:r>
          </w:p>
        </w:tc>
        <w:tc>
          <w:tcPr>
            <w:tcW w:w="0" w:type="dxa"/>
            <w:vAlign w:val="bottom"/>
          </w:tcPr>
          <w:p>
            <w:pPr>
              <w:spacing w:after="0"/>
              <w:rPr>
                <w:sz w:val="1"/>
                <w:szCs w:val="1"/>
                <w:color w:val="auto"/>
              </w:rPr>
            </w:pPr>
          </w:p>
        </w:tc>
      </w:tr>
      <w:tr>
        <w:trPr>
          <w:trHeight w:val="186"/>
        </w:trPr>
        <w:tc>
          <w:tcPr>
            <w:tcW w:w="4740" w:type="dxa"/>
            <w:vAlign w:val="bottom"/>
          </w:tcPr>
          <w:p>
            <w:pPr>
              <w:jc w:val="center"/>
              <w:ind w:right="1649"/>
              <w:spacing w:after="0"/>
              <w:rPr>
                <w:sz w:val="20"/>
                <w:szCs w:val="20"/>
                <w:color w:val="auto"/>
              </w:rPr>
            </w:pPr>
            <w:r>
              <w:rPr>
                <w:rFonts w:ascii="Arial" w:cs="Arial" w:eastAsia="Arial" w:hAnsi="Arial"/>
                <w:sz w:val="14"/>
                <w:szCs w:val="14"/>
                <w:b w:val="1"/>
                <w:bCs w:val="1"/>
                <w:color w:val="auto"/>
                <w:w w:val="91"/>
              </w:rPr>
              <w:t>Houston, Texas, United States of America</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40" w:type="dxa"/>
            <w:vAlign w:val="bottom"/>
          </w:tcPr>
          <w:p>
            <w:pPr>
              <w:jc w:val="center"/>
              <w:ind w:right="1649"/>
              <w:spacing w:after="0"/>
              <w:rPr>
                <w:sz w:val="20"/>
                <w:szCs w:val="20"/>
                <w:color w:val="auto"/>
              </w:rPr>
            </w:pPr>
            <w:r>
              <w:rPr>
                <w:rFonts w:ascii="Arial" w:cs="Arial" w:eastAsia="Arial" w:hAnsi="Arial"/>
                <w:sz w:val="14"/>
                <w:szCs w:val="14"/>
                <w:b w:val="1"/>
                <w:bCs w:val="1"/>
                <w:color w:val="auto"/>
                <w:w w:val="94"/>
              </w:rPr>
              <w:t>Parkstraat 83, The Hague,</w:t>
            </w:r>
          </w:p>
        </w:tc>
        <w:tc>
          <w:tcPr>
            <w:tcW w:w="3460" w:type="dxa"/>
            <w:vAlign w:val="bottom"/>
            <w:vMerge w:val="restart"/>
          </w:tcPr>
          <w:p>
            <w:pPr>
              <w:jc w:val="center"/>
              <w:ind w:left="1650"/>
              <w:spacing w:after="0"/>
              <w:rPr>
                <w:sz w:val="20"/>
                <w:szCs w:val="20"/>
                <w:color w:val="auto"/>
              </w:rPr>
            </w:pPr>
            <w:r>
              <w:rPr>
                <w:rFonts w:ascii="Arial" w:cs="Arial" w:eastAsia="Arial" w:hAnsi="Arial"/>
                <w:sz w:val="14"/>
                <w:szCs w:val="14"/>
                <w:b w:val="1"/>
                <w:bCs w:val="1"/>
                <w:color w:val="auto"/>
                <w:w w:val="93"/>
              </w:rPr>
              <w:t>2514 JG</w:t>
            </w:r>
          </w:p>
        </w:tc>
        <w:tc>
          <w:tcPr>
            <w:tcW w:w="0" w:type="dxa"/>
            <w:vAlign w:val="bottom"/>
          </w:tcPr>
          <w:p>
            <w:pPr>
              <w:spacing w:after="0"/>
              <w:rPr>
                <w:sz w:val="1"/>
                <w:szCs w:val="1"/>
                <w:color w:val="auto"/>
              </w:rPr>
            </w:pPr>
          </w:p>
        </w:tc>
      </w:tr>
      <w:tr>
        <w:trPr>
          <w:trHeight w:val="157"/>
        </w:trPr>
        <w:tc>
          <w:tcPr>
            <w:tcW w:w="4740" w:type="dxa"/>
            <w:vAlign w:val="bottom"/>
          </w:tcPr>
          <w:p>
            <w:pPr>
              <w:jc w:val="center"/>
              <w:ind w:right="1649"/>
              <w:spacing w:after="0" w:line="157" w:lineRule="exact"/>
              <w:rPr>
                <w:sz w:val="20"/>
                <w:szCs w:val="20"/>
                <w:color w:val="auto"/>
              </w:rPr>
            </w:pPr>
            <w:r>
              <w:rPr>
                <w:rFonts w:ascii="Arial" w:cs="Arial" w:eastAsia="Arial" w:hAnsi="Arial"/>
                <w:sz w:val="14"/>
                <w:szCs w:val="14"/>
                <w:b w:val="1"/>
                <w:bCs w:val="1"/>
                <w:color w:val="auto"/>
                <w:w w:val="92"/>
              </w:rPr>
              <w:t>The Netherlands</w:t>
            </w:r>
          </w:p>
        </w:tc>
        <w:tc>
          <w:tcPr>
            <w:tcW w:w="3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40" w:type="dxa"/>
            <w:vAlign w:val="bottom"/>
          </w:tcPr>
          <w:p>
            <w:pPr>
              <w:jc w:val="center"/>
              <w:ind w:right="1649"/>
              <w:spacing w:after="0"/>
              <w:rPr>
                <w:sz w:val="20"/>
                <w:szCs w:val="20"/>
                <w:color w:val="auto"/>
              </w:rPr>
            </w:pPr>
            <w:r>
              <w:rPr>
                <w:rFonts w:ascii="Arial" w:cs="Arial" w:eastAsia="Arial" w:hAnsi="Arial"/>
                <w:sz w:val="13"/>
                <w:szCs w:val="13"/>
                <w:color w:val="auto"/>
                <w:w w:val="88"/>
              </w:rPr>
              <w:t>(Addresses of principal executive offices)</w:t>
            </w:r>
          </w:p>
        </w:tc>
        <w:tc>
          <w:tcPr>
            <w:tcW w:w="3460" w:type="dxa"/>
            <w:vAlign w:val="bottom"/>
          </w:tcPr>
          <w:p>
            <w:pPr>
              <w:jc w:val="center"/>
              <w:ind w:left="1630"/>
              <w:spacing w:after="0"/>
              <w:rPr>
                <w:sz w:val="20"/>
                <w:szCs w:val="20"/>
                <w:color w:val="auto"/>
              </w:rPr>
            </w:pPr>
            <w:r>
              <w:rPr>
                <w:rFonts w:ascii="Arial" w:cs="Arial" w:eastAsia="Arial" w:hAnsi="Arial"/>
                <w:sz w:val="13"/>
                <w:szCs w:val="13"/>
                <w:color w:val="auto"/>
                <w:w w:val="88"/>
              </w:rPr>
              <w:t>(Zip Codes)</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 the United States, including area code, is: (713) 375-3400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04"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58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23"/>
        </w:trPr>
        <w:tc>
          <w:tcPr>
            <w:tcW w:w="4240" w:type="dxa"/>
            <w:vAlign w:val="bottom"/>
            <w:gridSpan w:val="3"/>
          </w:tcPr>
          <w:p>
            <w:pPr>
              <w:jc w:val="center"/>
              <w:ind w:right="1820"/>
              <w:spacing w:after="0" w:line="123" w:lineRule="exact"/>
              <w:rPr>
                <w:sz w:val="20"/>
                <w:szCs w:val="20"/>
                <w:color w:val="auto"/>
              </w:rPr>
            </w:pPr>
            <w:r>
              <w:rPr>
                <w:rFonts w:ascii="Arial" w:cs="Arial" w:eastAsia="Arial" w:hAnsi="Arial"/>
                <w:sz w:val="14"/>
                <w:szCs w:val="14"/>
                <w:color w:val="auto"/>
                <w:w w:val="91"/>
              </w:rPr>
              <w:t>Common Stock, par value $0.01 per share</w:t>
            </w:r>
          </w:p>
        </w:tc>
        <w:tc>
          <w:tcPr>
            <w:tcW w:w="2660" w:type="dxa"/>
            <w:vAlign w:val="bottom"/>
          </w:tcPr>
          <w:p>
            <w:pPr>
              <w:spacing w:after="0" w:line="123" w:lineRule="exact"/>
              <w:rPr>
                <w:sz w:val="20"/>
                <w:szCs w:val="20"/>
                <w:color w:val="auto"/>
              </w:rPr>
            </w:pPr>
            <w:r>
              <w:rPr>
                <w:rFonts w:ascii="Arial" w:cs="Arial" w:eastAsia="Arial" w:hAnsi="Arial"/>
                <w:sz w:val="14"/>
                <w:szCs w:val="14"/>
                <w:color w:val="auto"/>
              </w:rPr>
              <w:t>New York Stock Exchange</w:t>
            </w:r>
          </w:p>
        </w:tc>
      </w:tr>
      <w:tr>
        <w:trPr>
          <w:trHeight w:val="148"/>
        </w:trPr>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60" w:type="dxa"/>
            <w:vAlign w:val="bottom"/>
          </w:tcPr>
          <w:p>
            <w:pPr>
              <w:spacing w:after="0" w:line="148" w:lineRule="exact"/>
              <w:rPr>
                <w:sz w:val="20"/>
                <w:szCs w:val="20"/>
                <w:color w:val="auto"/>
              </w:rPr>
            </w:pPr>
            <w:r>
              <w:rPr>
                <w:rFonts w:ascii="Arial" w:cs="Arial" w:eastAsia="Arial" w:hAnsi="Arial"/>
                <w:sz w:val="14"/>
                <w:szCs w:val="14"/>
                <w:color w:val="auto"/>
              </w:rPr>
              <w:t>Euronext Paris</w:t>
            </w:r>
          </w:p>
        </w:tc>
      </w:tr>
      <w:tr>
        <w:trPr>
          <w:trHeight w:val="148"/>
        </w:trPr>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60" w:type="dxa"/>
            <w:vAlign w:val="bottom"/>
          </w:tcPr>
          <w:p>
            <w:pPr>
              <w:spacing w:after="0" w:line="148" w:lineRule="exact"/>
              <w:rPr>
                <w:sz w:val="20"/>
                <w:szCs w:val="20"/>
                <w:color w:val="auto"/>
              </w:rPr>
            </w:pPr>
            <w:r>
              <w:rPr>
                <w:rFonts w:ascii="Arial" w:cs="Arial" w:eastAsia="Arial" w:hAnsi="Arial"/>
                <w:sz w:val="14"/>
                <w:szCs w:val="14"/>
                <w:color w:val="auto"/>
              </w:rPr>
              <w:t>The London Stock Exchange</w:t>
            </w:r>
          </w:p>
        </w:tc>
      </w:tr>
      <w:tr>
        <w:trPr>
          <w:trHeight w:val="182"/>
        </w:trPr>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SIX Swiss Exchange</w:t>
            </w:r>
          </w:p>
        </w:tc>
      </w:tr>
    </w:tbl>
    <w:p>
      <w:pPr>
        <w:spacing w:after="0" w:line="43"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57785</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9" w:lineRule="exact"/>
        <w:rPr>
          <w:sz w:val="24"/>
          <w:szCs w:val="24"/>
          <w:color w:val="auto"/>
        </w:rPr>
      </w:pPr>
    </w:p>
    <w:p>
      <w:pPr>
        <w:ind w:right="366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jc w:val="both"/>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 w:lineRule="exact"/>
        <w:rPr>
          <w:sz w:val="24"/>
          <w:szCs w:val="24"/>
          <w:color w:val="auto"/>
        </w:rPr>
      </w:pPr>
    </w:p>
    <w:p>
      <w:pPr>
        <w:ind w:right="200"/>
        <w:spacing w:after="0" w:line="234"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2013, the aggregate market value of the common stock of the registrant held by non-affiliates of the registrant was approximately $94.8 billion.</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2013, the number of shares of common stock outstanding was 1,307,330,369.</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8" w:lineRule="exact"/>
        <w:rPr>
          <w:sz w:val="24"/>
          <w:szCs w:val="24"/>
          <w:color w:val="auto"/>
        </w:rPr>
      </w:pPr>
    </w:p>
    <w:p>
      <w:pPr>
        <w:jc w:val="both"/>
        <w:spacing w:after="0" w:line="237" w:lineRule="auto"/>
        <w:rPr>
          <w:sz w:val="20"/>
          <w:szCs w:val="20"/>
          <w:color w:val="auto"/>
        </w:rPr>
      </w:pPr>
      <w:r>
        <w:rPr>
          <w:rFonts w:ascii="Arial" w:cs="Arial" w:eastAsia="Arial" w:hAnsi="Arial"/>
          <w:sz w:val="14"/>
          <w:szCs w:val="14"/>
          <w:color w:val="auto"/>
        </w:rPr>
        <w:t>Certain information required to be furnished pursuant to Part III of this Form 10-K is set forth in, and is hereby incorporated by reference herein from, Schlumberger’s definitive proxy statement for its 2014 Annual General Meeting of Stockholders, to be filed by Schlumberger with the Securities and Exchange Commission pursuant to Regulation 14A within 120 days after December 31, 2013 (the “2014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60" w:type="dxa"/>
            <w:vAlign w:val="bottom"/>
            <w:gridSpan w:val="8"/>
          </w:tcPr>
          <w:p>
            <w:pPr>
              <w:jc w:val="center"/>
              <w:ind w:right="3980"/>
              <w:spacing w:after="0"/>
              <w:rPr>
                <w:sz w:val="20"/>
                <w:szCs w:val="20"/>
                <w:color w:val="auto"/>
              </w:rPr>
            </w:pPr>
            <w:r>
              <w:rPr>
                <w:rFonts w:ascii="Arial" w:cs="Arial" w:eastAsia="Arial" w:hAnsi="Arial"/>
                <w:sz w:val="18"/>
                <w:szCs w:val="18"/>
                <w:color w:val="auto"/>
                <w:w w:val="90"/>
              </w:rPr>
              <w:t>Table of Contents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gridSpan w:val="8"/>
          </w:tcPr>
          <w:p>
            <w:pPr>
              <w:jc w:val="center"/>
              <w:ind w:right="3980"/>
              <w:spacing w:after="0"/>
              <w:rPr>
                <w:sz w:val="20"/>
                <w:szCs w:val="20"/>
                <w:color w:val="auto"/>
              </w:rPr>
            </w:pPr>
            <w:r>
              <w:rPr>
                <w:rFonts w:ascii="Arial" w:cs="Arial" w:eastAsia="Arial" w:hAnsi="Arial"/>
                <w:sz w:val="18"/>
                <w:szCs w:val="18"/>
                <w:color w:val="auto"/>
                <w:w w:val="94"/>
              </w:rPr>
              <w:t>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6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8"/>
        </w:trPr>
        <w:tc>
          <w:tcPr>
            <w:tcW w:w="10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8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34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0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Unresolved Staff Comments</w:t>
              </w:r>
            </w:hyperlink>
          </w:p>
        </w:tc>
        <w:tc>
          <w:tcPr>
            <w:tcW w:w="79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98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6"/>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PART II</w:t>
              </w:r>
            </w:hyperlink>
          </w:p>
        </w:tc>
        <w:tc>
          <w:tcPr>
            <w:tcW w:w="4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98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Schlumberger’s Common Stock,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260" w:type="dxa"/>
            <w:vAlign w:val="bottom"/>
            <w:tcBorders>
              <w:top w:val="single" w:sz="8" w:color="0000EE"/>
            </w:tcBorders>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9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tcPr>
          <w:p>
            <w:pPr>
              <w:spacing w:after="0"/>
              <w:rPr>
                <w:sz w:val="24"/>
                <w:szCs w:val="24"/>
                <w:color w:val="auto"/>
              </w:rPr>
            </w:pPr>
          </w:p>
        </w:tc>
        <w:tc>
          <w:tcPr>
            <w:tcW w:w="564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Changes in and Disagreements with Accountants on Accounting and Financial Disclosure</w:t>
              </w:r>
            </w:hyperlink>
          </w:p>
        </w:tc>
        <w:tc>
          <w:tcPr>
            <w:tcW w:w="35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9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82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6"/>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9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 of Schlumberger</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Executive Compensation</w:t>
              </w:r>
            </w:hyperlink>
          </w:p>
        </w:tc>
        <w:tc>
          <w:tcPr>
            <w:tcW w:w="3520" w:type="dxa"/>
            <w:vAlign w:val="bottom"/>
            <w:tcBorders>
              <w:top w:val="single" w:sz="8" w:color="0000EE"/>
            </w:tcBorders>
            <w:gridSpan w:val="6"/>
          </w:tcPr>
          <w:p>
            <w:pPr>
              <w:spacing w:after="0"/>
              <w:rPr>
                <w:sz w:val="24"/>
                <w:szCs w:val="24"/>
                <w:color w:val="auto"/>
              </w:rPr>
            </w:pPr>
          </w:p>
        </w:tc>
        <w:tc>
          <w:tcPr>
            <w:tcW w:w="46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9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Certain Relationships and Related Transactions, and Director Independence</w:t>
              </w:r>
            </w:hyperlink>
          </w:p>
        </w:tc>
        <w:tc>
          <w:tcPr>
            <w:tcW w:w="1820" w:type="dxa"/>
            <w:vAlign w:val="bottom"/>
            <w:tcBorders>
              <w:top w:val="single" w:sz="8" w:color="0000EE"/>
            </w:tcBorders>
            <w:gridSpan w:val="3"/>
          </w:tcPr>
          <w:p>
            <w:pPr>
              <w:spacing w:after="0"/>
              <w:rPr>
                <w:sz w:val="24"/>
                <w:szCs w:val="24"/>
                <w:color w:val="auto"/>
              </w:rPr>
            </w:pPr>
          </w:p>
        </w:tc>
        <w:tc>
          <w:tcPr>
            <w:tcW w:w="27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9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6"/>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IV</w:t>
              </w:r>
            </w:hyperlink>
          </w:p>
        </w:tc>
        <w:tc>
          <w:tcPr>
            <w:tcW w:w="3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98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2380" w:type="dxa"/>
            <w:vAlign w:val="bottom"/>
            <w:tcBorders>
              <w:top w:val="single" w:sz="8" w:color="0000EE"/>
            </w:tcBorders>
            <w:gridSpan w:val="8"/>
          </w:tcPr>
          <w:p>
            <w:pPr>
              <w:spacing w:after="0"/>
              <w:rPr>
                <w:sz w:val="24"/>
                <w:szCs w:val="24"/>
                <w:color w:val="auto"/>
              </w:rPr>
            </w:pPr>
          </w:p>
        </w:tc>
        <w:tc>
          <w:tcPr>
            <w:tcW w:w="684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5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Arial" w:cs="Arial" w:eastAsia="Arial" w:hAnsi="Arial"/>
                <w:sz w:val="18"/>
                <w:szCs w:val="18"/>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incorporated in Curaçao) and its consolidated subsidiaries.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2013, the Company employed approximately 123,000 people of over 140 nationalities operating in approximately 85 countries. Schlumberger has principal executive offices in Paris, Houston and The Hague.</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role of the Groups and Technologies is to ensure that Schlumberger provides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finding and defining hydrocarbon resources. These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WesternGeco, Wireline, Testing Services, Schlumberger Information Solutions (SIS) and PetroTechnical Services. WesternGeco seismic acquisition services and PetroTechnical Services interpretation solutions combine to provide the industry’s most extensive multiclient library.</w:t>
      </w:r>
    </w:p>
    <w:p>
      <w:pPr>
        <w:spacing w:after="0" w:line="165" w:lineRule="exact"/>
        <w:rPr>
          <w:sz w:val="20"/>
          <w:szCs w:val="20"/>
          <w:color w:val="auto"/>
        </w:rPr>
      </w:pPr>
    </w:p>
    <w:p>
      <w:pPr>
        <w:jc w:val="both"/>
        <w:ind w:left="760" w:right="20" w:hanging="372"/>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WesternGeco </w:t>
      </w:r>
      <w:r>
        <w:rPr>
          <w:rFonts w:ascii="Arial" w:cs="Arial" w:eastAsia="Arial" w:hAnsi="Arial"/>
          <w:sz w:val="18"/>
          <w:szCs w:val="18"/>
          <w:color w:val="auto"/>
        </w:rPr>
        <w:t>is a leading geophysical services supplier, providing comprehensive worldwide reservoir imaging, monitoring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WesternGeco provides increasingly accurate measurements and images of subsurface geology and rock properties for both customer proprietary and multiclient surveys.</w:t>
      </w:r>
    </w:p>
    <w:p>
      <w:pPr>
        <w:ind w:left="760" w:right="20" w:hanging="372"/>
        <w:spacing w:after="0" w:line="24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Wireline </w:t>
      </w:r>
      <w:r>
        <w:rPr>
          <w:rFonts w:ascii="Arial" w:cs="Arial" w:eastAsia="Arial" w:hAnsi="Arial"/>
          <w:sz w:val="18"/>
          <w:szCs w:val="18"/>
          <w:color w:val="auto"/>
        </w:rPr>
        <w:t>provides the information necessary to evaluate subsurface formation rocks and fluids to plan and monitor well construction, and to monitor</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evaluate well production. Wireline offers both openhole and cased-hole services including wireline perforating.</w:t>
      </w:r>
    </w:p>
    <w:p>
      <w:pPr>
        <w:spacing w:after="0" w:line="1" w:lineRule="exact"/>
        <w:rPr>
          <w:rFonts w:ascii="Arial" w:cs="Arial" w:eastAsia="Arial" w:hAnsi="Arial"/>
          <w:sz w:val="18"/>
          <w:szCs w:val="18"/>
          <w:color w:val="auto"/>
        </w:rPr>
      </w:pPr>
    </w:p>
    <w:p>
      <w:pPr>
        <w:ind w:left="760" w:right="20" w:hanging="372"/>
        <w:spacing w:after="0" w:line="24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Testing Services </w:t>
      </w:r>
      <w:r>
        <w:rPr>
          <w:rFonts w:ascii="Arial" w:cs="Arial" w:eastAsia="Arial" w:hAnsi="Arial"/>
          <w:sz w:val="18"/>
          <w:szCs w:val="18"/>
          <w:color w:val="auto"/>
        </w:rPr>
        <w:t>provides exploration and production pressure and flow-rate measurement services both at the surface and downhole. The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also provides tubing-conveyed perforating services.</w:t>
      </w:r>
    </w:p>
    <w:p>
      <w:pPr>
        <w:spacing w:after="0" w:line="1" w:lineRule="exact"/>
        <w:rPr>
          <w:rFonts w:ascii="Arial" w:cs="Arial" w:eastAsia="Arial" w:hAnsi="Arial"/>
          <w:sz w:val="18"/>
          <w:szCs w:val="18"/>
          <w:color w:val="auto"/>
        </w:rPr>
      </w:pPr>
    </w:p>
    <w:p>
      <w:pPr>
        <w:ind w:left="760" w:right="20" w:hanging="372"/>
        <w:spacing w:after="0" w:line="24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Schlumberger Information Solutions </w:t>
      </w:r>
      <w:r>
        <w:rPr>
          <w:rFonts w:ascii="Arial" w:cs="Arial" w:eastAsia="Arial" w:hAnsi="Arial"/>
          <w:sz w:val="18"/>
          <w:szCs w:val="18"/>
          <w:color w:val="auto"/>
        </w:rPr>
        <w:t>provides software, consulting, information management and IT infrastructure services that support core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industry operational processes.</w:t>
      </w:r>
    </w:p>
    <w:p>
      <w:pPr>
        <w:spacing w:after="0" w:line="1" w:lineRule="exact"/>
        <w:rPr>
          <w:rFonts w:ascii="Arial" w:cs="Arial" w:eastAsia="Arial" w:hAnsi="Arial"/>
          <w:sz w:val="18"/>
          <w:szCs w:val="18"/>
          <w:color w:val="auto"/>
        </w:rPr>
      </w:pPr>
    </w:p>
    <w:p>
      <w:pPr>
        <w:jc w:val="both"/>
        <w:ind w:left="760" w:right="20" w:hanging="372"/>
        <w:spacing w:after="0" w:line="25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PetroTechnical Services </w:t>
      </w:r>
      <w:r>
        <w:rPr>
          <w:rFonts w:ascii="Arial" w:cs="Arial" w:eastAsia="Arial" w:hAnsi="Arial"/>
          <w:sz w:val="18"/>
          <w:szCs w:val="18"/>
          <w:color w:val="auto"/>
        </w:rPr>
        <w:t>supplies interpretation and integration of all exploration and production data types, as well as expert consulting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reservoir characterization, field development planning production enhancement and multi-disciplinary reservoir and production solutions. PetroTechnical Services offers the industry’s most extensive multiclient data library and provides industry petrotechnical training solutions.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 Consists of the principal Technologies involved in the drilling and positioning of oil and gas wells and comprises Bits &amp;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M-I SWACO, Geoservices, Drilling &amp; Measurements, Drilling Tools &amp; Remedial and Integrated Project Management well construction projects.</w:t>
      </w:r>
    </w:p>
    <w:p>
      <w:pPr>
        <w:spacing w:after="0" w:line="183" w:lineRule="exact"/>
        <w:rPr>
          <w:sz w:val="20"/>
          <w:szCs w:val="20"/>
          <w:color w:val="auto"/>
        </w:rPr>
      </w:pPr>
    </w:p>
    <w:p>
      <w:pPr>
        <w:jc w:val="both"/>
        <w:ind w:left="760" w:right="20" w:hanging="372"/>
        <w:spacing w:after="0" w:line="25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Bits &amp; Advanced Technologies </w:t>
      </w:r>
      <w:r>
        <w:rPr>
          <w:rFonts w:ascii="Arial" w:cs="Arial" w:eastAsia="Arial" w:hAnsi="Arial"/>
          <w:sz w:val="18"/>
          <w:szCs w:val="18"/>
          <w:color w:val="auto"/>
        </w:rPr>
        <w:t>designs, manufactures and markets roller cone and fixed cutter drill bits for all environments. The drill bits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for premium market segments where faster penetration rates and increased footage provide significant economic benefits in lowering overall well costs. The technologies leverage proprietary modeling and simulation software for the design of application-specific bits and cutting structures.</w:t>
      </w:r>
    </w:p>
    <w:p>
      <w:pPr>
        <w:spacing w:after="0" w:line="3" w:lineRule="exact"/>
        <w:rPr>
          <w:rFonts w:ascii="Arial" w:cs="Arial" w:eastAsia="Arial" w:hAnsi="Arial"/>
          <w:sz w:val="18"/>
          <w:szCs w:val="18"/>
          <w:color w:val="auto"/>
        </w:rPr>
      </w:pPr>
    </w:p>
    <w:p>
      <w:pPr>
        <w:ind w:left="760" w:right="20" w:hanging="37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M-I SWACO </w:t>
      </w:r>
      <w:r>
        <w:rPr>
          <w:rFonts w:ascii="Arial" w:cs="Arial" w:eastAsia="Arial" w:hAnsi="Arial"/>
          <w:sz w:val="18"/>
          <w:szCs w:val="18"/>
          <w:color w:val="auto"/>
        </w:rPr>
        <w:t>is the leading supplier of drilling fluid systems engineered to improve drilling performance by anticipating fluids-related problems,</w:t>
      </w:r>
      <w:r>
        <w:rPr>
          <w:rFonts w:ascii="Arial" w:cs="Arial" w:eastAsia="Arial" w:hAnsi="Arial"/>
          <w:sz w:val="18"/>
          <w:szCs w:val="18"/>
          <w:i w:val="1"/>
          <w:iCs w:val="1"/>
          <w:color w:val="auto"/>
        </w:rPr>
        <w:t xml:space="preserve"> </w:t>
      </w:r>
      <w:r>
        <w:rPr>
          <w:rFonts w:ascii="Arial" w:cs="Arial" w:eastAsia="Arial" w:hAnsi="Arial"/>
          <w:sz w:val="18"/>
          <w:szCs w:val="18"/>
          <w:color w:val="auto"/>
        </w:rPr>
        <w:t>fluid systems and specialty equipment designed to optimize wellbore productivity and production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4" w:right="239" w:bottom="1440" w:gutter="0" w:footer="0" w:header="0"/>
        </w:sectPr>
      </w:pPr>
    </w:p>
    <w:bookmarkStart w:id="3" w:name="page4"/>
    <w:bookmarkEnd w:id="3"/>
    <w:p>
      <w:pPr>
        <w:jc w:val="both"/>
        <w:ind w:left="760" w:right="20"/>
        <w:spacing w:after="0" w:line="255" w:lineRule="auto"/>
        <w:rPr>
          <w:sz w:val="20"/>
          <w:szCs w:val="20"/>
          <w:color w:val="auto"/>
        </w:rPr>
      </w:pPr>
      <w:r>
        <w:rPr>
          <w:rFonts w:ascii="Arial" w:cs="Arial" w:eastAsia="Arial" w:hAnsi="Arial"/>
          <w:sz w:val="18"/>
          <w:szCs w:val="18"/>
          <w:color w:val="auto"/>
        </w:rPr>
        <w:t>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1" w:lineRule="exact"/>
        <w:rPr>
          <w:sz w:val="20"/>
          <w:szCs w:val="20"/>
          <w:color w:val="auto"/>
        </w:rPr>
      </w:pPr>
    </w:p>
    <w:p>
      <w:pPr>
        <w:ind w:left="760" w:hanging="37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Geoservices </w:t>
      </w:r>
      <w:r>
        <w:rPr>
          <w:rFonts w:ascii="Arial" w:cs="Arial" w:eastAsia="Arial" w:hAnsi="Arial"/>
          <w:sz w:val="18"/>
          <w:szCs w:val="18"/>
          <w:color w:val="auto"/>
        </w:rPr>
        <w:t>supplies mud logging services for geological and drilling surveillance.</w:t>
      </w:r>
    </w:p>
    <w:p>
      <w:pPr>
        <w:spacing w:after="0" w:line="8" w:lineRule="exact"/>
        <w:rPr>
          <w:rFonts w:ascii="Arial" w:cs="Arial" w:eastAsia="Arial" w:hAnsi="Arial"/>
          <w:sz w:val="18"/>
          <w:szCs w:val="18"/>
          <w:color w:val="auto"/>
        </w:rPr>
      </w:pPr>
    </w:p>
    <w:p>
      <w:pPr>
        <w:ind w:left="760" w:right="20" w:hanging="372"/>
        <w:spacing w:after="0" w:line="24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Drilling &amp; Measurements </w:t>
      </w:r>
      <w:r>
        <w:rPr>
          <w:rFonts w:ascii="Arial" w:cs="Arial" w:eastAsia="Arial" w:hAnsi="Arial"/>
          <w:sz w:val="18"/>
          <w:szCs w:val="18"/>
          <w:color w:val="auto"/>
        </w:rPr>
        <w:t>provides directional drilling, measurement-while-drilling and logging-while-drilling services for all well profiles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engineering support.</w:t>
      </w:r>
    </w:p>
    <w:p>
      <w:pPr>
        <w:spacing w:after="0" w:line="1" w:lineRule="exact"/>
        <w:rPr>
          <w:rFonts w:ascii="Arial" w:cs="Arial" w:eastAsia="Arial" w:hAnsi="Arial"/>
          <w:sz w:val="18"/>
          <w:szCs w:val="18"/>
          <w:color w:val="auto"/>
        </w:rPr>
      </w:pPr>
    </w:p>
    <w:p>
      <w:pPr>
        <w:ind w:left="760" w:right="20" w:hanging="372"/>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Drilling Tools &amp; Remedial </w:t>
      </w:r>
      <w:r>
        <w:rPr>
          <w:rFonts w:ascii="Arial" w:cs="Arial" w:eastAsia="Arial" w:hAnsi="Arial"/>
          <w:sz w:val="18"/>
          <w:szCs w:val="18"/>
          <w:color w:val="auto"/>
        </w:rPr>
        <w:t>provides a wide variety of bottom hole assembly drilling tools, borehole enlargement technologies and impact tools,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comprehensive collection of tubulars and tubular services for oil and gas drilling operations.</w:t>
      </w:r>
    </w:p>
    <w:p>
      <w:pPr>
        <w:spacing w:after="0" w:line="400" w:lineRule="exact"/>
        <w:rPr>
          <w:sz w:val="20"/>
          <w:szCs w:val="20"/>
          <w:color w:val="auto"/>
        </w:rPr>
      </w:pPr>
    </w:p>
    <w:p>
      <w:pPr>
        <w:spacing w:after="0" w:line="306" w:lineRule="auto"/>
        <w:rPr>
          <w:sz w:val="20"/>
          <w:szCs w:val="20"/>
          <w:color w:val="auto"/>
        </w:rPr>
      </w:pPr>
      <w:r>
        <w:rPr>
          <w:rFonts w:ascii="Arial" w:cs="Arial" w:eastAsia="Arial" w:hAnsi="Arial"/>
          <w:sz w:val="17"/>
          <w:szCs w:val="17"/>
          <w:b w:val="1"/>
          <w:bCs w:val="1"/>
          <w:i w:val="1"/>
          <w:iCs w:val="1"/>
          <w:color w:val="auto"/>
        </w:rPr>
        <w:t xml:space="preserve">Production Group </w:t>
      </w:r>
      <w:r>
        <w:rPr>
          <w:rFonts w:ascii="Arial" w:cs="Arial" w:eastAsia="Arial" w:hAnsi="Arial"/>
          <w:sz w:val="17"/>
          <w:szCs w:val="17"/>
          <w:color w:val="auto"/>
        </w:rPr>
        <w:t>– Consists of the principal Technologies involved in the lifetime production of oil and gas reservoirs and includes Well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Artificial Lift, Well Intervention, Water Services, Carbon Services and Schlumberger Production Management field production projects.</w:t>
      </w:r>
    </w:p>
    <w:p>
      <w:pPr>
        <w:spacing w:after="0" w:line="148" w:lineRule="exact"/>
        <w:rPr>
          <w:sz w:val="20"/>
          <w:szCs w:val="20"/>
          <w:color w:val="auto"/>
        </w:rPr>
      </w:pPr>
    </w:p>
    <w:p>
      <w:pPr>
        <w:ind w:left="760" w:right="20" w:hanging="372"/>
        <w:spacing w:after="0" w:line="290"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Well Services </w:t>
      </w:r>
      <w:r>
        <w:rPr>
          <w:rFonts w:ascii="Arial" w:cs="Arial" w:eastAsia="Arial" w:hAnsi="Arial"/>
          <w:sz w:val="16"/>
          <w:szCs w:val="16"/>
          <w:color w:val="auto"/>
        </w:rPr>
        <w:t>provides services used during oil and gas well drilling and completion as well as those used to maintain optimal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life of a well. The services include pressure pumping, well cementing and stimulation operations as well as intervention activities.</w:t>
      </w:r>
    </w:p>
    <w:p>
      <w:pPr>
        <w:ind w:left="760" w:right="20" w:hanging="372"/>
        <w:spacing w:after="0" w:line="24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Completions </w:t>
      </w:r>
      <w:r>
        <w:rPr>
          <w:rFonts w:ascii="Arial" w:cs="Arial" w:eastAsia="Arial" w:hAnsi="Arial"/>
          <w:sz w:val="18"/>
          <w:szCs w:val="18"/>
          <w:color w:val="auto"/>
        </w:rPr>
        <w:t>supplies well completion services and equipment that include packers, safety valves, sand control technology as well as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well completions technology and equipment.</w:t>
      </w:r>
    </w:p>
    <w:p>
      <w:pPr>
        <w:spacing w:after="0" w:line="1" w:lineRule="exact"/>
        <w:rPr>
          <w:rFonts w:ascii="Arial" w:cs="Arial" w:eastAsia="Arial" w:hAnsi="Arial"/>
          <w:sz w:val="18"/>
          <w:szCs w:val="18"/>
          <w:color w:val="auto"/>
        </w:rPr>
      </w:pPr>
    </w:p>
    <w:p>
      <w:pPr>
        <w:ind w:left="760" w:right="20" w:hanging="372"/>
        <w:spacing w:after="0" w:line="24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Artificial Lift </w:t>
      </w:r>
      <w:r>
        <w:rPr>
          <w:rFonts w:ascii="Arial" w:cs="Arial" w:eastAsia="Arial" w:hAnsi="Arial"/>
          <w:sz w:val="18"/>
          <w:szCs w:val="18"/>
          <w:color w:val="auto"/>
        </w:rPr>
        <w:t>provides production equipment and optimization services using electrical submersible pumps and gas lift equipment,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horizontal pumping systems.</w:t>
      </w:r>
    </w:p>
    <w:p>
      <w:pPr>
        <w:spacing w:after="0" w:line="1" w:lineRule="exact"/>
        <w:rPr>
          <w:rFonts w:ascii="Arial" w:cs="Arial" w:eastAsia="Arial" w:hAnsi="Arial"/>
          <w:sz w:val="18"/>
          <w:szCs w:val="18"/>
          <w:color w:val="auto"/>
        </w:rPr>
      </w:pPr>
    </w:p>
    <w:p>
      <w:pPr>
        <w:ind w:left="760" w:right="20" w:hanging="372"/>
        <w:spacing w:after="0" w:line="24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Well Intervention </w:t>
      </w:r>
      <w:r>
        <w:rPr>
          <w:rFonts w:ascii="Arial" w:cs="Arial" w:eastAsia="Arial" w:hAnsi="Arial"/>
          <w:sz w:val="18"/>
          <w:szCs w:val="18"/>
          <w:color w:val="auto"/>
        </w:rPr>
        <w:t>develops coiled tubing equipment and services and provides slickline services for downhole mechanical well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reservoir monitoring and downhole data acquisition.</w:t>
      </w:r>
    </w:p>
    <w:p>
      <w:pPr>
        <w:spacing w:after="0" w:line="1" w:lineRule="exact"/>
        <w:rPr>
          <w:rFonts w:ascii="Arial" w:cs="Arial" w:eastAsia="Arial" w:hAnsi="Arial"/>
          <w:sz w:val="18"/>
          <w:szCs w:val="18"/>
          <w:color w:val="auto"/>
        </w:rPr>
      </w:pPr>
    </w:p>
    <w:p>
      <w:pPr>
        <w:ind w:left="760" w:hanging="37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Water Services </w:t>
      </w:r>
      <w:r>
        <w:rPr>
          <w:rFonts w:ascii="Arial" w:cs="Arial" w:eastAsia="Arial" w:hAnsi="Arial"/>
          <w:sz w:val="18"/>
          <w:szCs w:val="18"/>
          <w:color w:val="auto"/>
        </w:rPr>
        <w:t>specializes in the development, management and environmental protection of water resources.</w:t>
      </w:r>
    </w:p>
    <w:p>
      <w:pPr>
        <w:spacing w:after="0" w:line="8" w:lineRule="exact"/>
        <w:rPr>
          <w:rFonts w:ascii="Arial" w:cs="Arial" w:eastAsia="Arial" w:hAnsi="Arial"/>
          <w:sz w:val="18"/>
          <w:szCs w:val="18"/>
          <w:color w:val="auto"/>
        </w:rPr>
      </w:pPr>
    </w:p>
    <w:p>
      <w:pPr>
        <w:ind w:left="760" w:hanging="37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Carbon Services </w:t>
      </w:r>
      <w:r>
        <w:rPr>
          <w:rFonts w:ascii="Arial" w:cs="Arial" w:eastAsia="Arial" w:hAnsi="Arial"/>
          <w:sz w:val="18"/>
          <w:szCs w:val="18"/>
          <w:color w:val="auto"/>
        </w:rPr>
        <w:t>provides comprehensive geological storage solutions including storage site characterization for carbon dioxide.</w:t>
      </w:r>
    </w:p>
    <w:p>
      <w:pPr>
        <w:spacing w:after="0" w:line="209"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Schlumberger has a 40% equity ownership interest in OneSubsea</w:t>
      </w:r>
      <w:r>
        <w:rPr>
          <w:rFonts w:ascii="Arial" w:cs="Arial" w:eastAsia="Arial" w:hAnsi="Arial"/>
          <w:sz w:val="27"/>
          <w:szCs w:val="27"/>
          <w:color w:val="auto"/>
          <w:vertAlign w:val="superscript"/>
        </w:rPr>
        <w:t>TM</w:t>
      </w:r>
      <w:r>
        <w:rPr>
          <w:rFonts w:ascii="Arial" w:cs="Arial" w:eastAsia="Arial" w:hAnsi="Arial"/>
          <w:sz w:val="18"/>
          <w:szCs w:val="18"/>
          <w:color w:val="auto"/>
        </w:rPr>
        <w:t>, a joint venture with Cameron International Corporation (“Cameron”). The joint venture manufactures and develops products, systems and services for the subsea oil and gas market. Schlumberger’s 40% share of the net income of the joint venture is reflected in the results of the Production Group.</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 also offers customers its services through business models known as Integrated Project Management (IPM), for well construction projects, and Schlumberger Production Management (SPM), for field production projects. These models combine the required services and products of the Technologies with drilling rig management, specialized engineering and project management expertise to provide a complete solution to well construction and production improvement.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IPM projects are typically of multiyear duration and include start-up costs and significant third-party components that cover services that Schlumberger does not provide directly. Projects may be fixed price in nature and may contain penalties for non-performance.</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SPM commercial arrangements create alignment between Schlumberger and the asset holder and/or the operator whereby Schlumberger receives remuneration in line with its value creation. These projects are generally focused on developing and co-managing production of Schlumberger’s customers’ mature assets under long-term agreements. Schlumberger will invest its own services and products, and in some cases cash into the asset. Schlumberger is generally not paid for services and products at the time of providing the services or upon delivery of the products. Instead, Schlumberger is generally compensated on a fee-per-barrel basis for any incremental production Schlumberger helps deliver above a mutually agreed baseline.</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Managed outside the Group structure is Schlumberger Business Consulting, which helps oil and gas companies achieve fast and sustainable performance improvements.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Schlumberger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drilling and completion fluids, coiled-tubing, drill bits, measurement-while-drilling, logging-while-drilling and directional drilling services, mud logging, as well as fully computerized logging and geoscience software and computing services. A large proportion of Schlumberger offerings is non-rig related; consequently, revenue does not necessarily correlate to rig count fluctuations.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GENERAL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and its affiliates own and control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considered material to Schlumberger’s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which typically result in reduced levels of activity. Hurricanes and typhoons can disrupt coastal and offshore operations. Additionally, customer spending patterns for multiclient data, software and other oilfield services and products generally result in higher activity in the fourth quarter of each year as clients seek to utilize their annual budgets.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Backlog of Orders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2013, no single customer exceeded 10% of consolidated revenue. Other than WesternGeco, Schlumberger has no significant backlog due to the nature of its businesses. The WesternGeco backlog, which is based on signed contracts with customers, was $0.9 billion at December 31, 2013 ($1.0 billion at December 31,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Financial information by business segment and geographic area for the years ended December 31, 2013, 2012 and 2011 is provided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Schlumberger</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sets forth, as of January 31, 2014, the names and ages of the executive officers of Schlumberger, including all offices and positions held by each for at least the past five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326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Position and Five-Year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29"/>
        </w:trPr>
        <w:tc>
          <w:tcPr>
            <w:tcW w:w="3700" w:type="dxa"/>
            <w:vAlign w:val="bottom"/>
            <w:gridSpan w:val="2"/>
          </w:tcPr>
          <w:p>
            <w:pPr>
              <w:spacing w:after="0"/>
              <w:rPr>
                <w:sz w:val="20"/>
                <w:szCs w:val="20"/>
                <w:color w:val="auto"/>
              </w:rPr>
            </w:pPr>
            <w:r>
              <w:rPr>
                <w:rFonts w:ascii="Arial" w:cs="Arial" w:eastAsia="Arial" w:hAnsi="Arial"/>
                <w:sz w:val="18"/>
                <w:szCs w:val="18"/>
                <w:color w:val="auto"/>
              </w:rPr>
              <w:t>Paal Kibsgaard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5"/>
              </w:rPr>
              <w:t>Chief Executive Officer, since August 2011; Director since April 2011; Chief Operating Officer,</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February 2010 to July 2011; President Reservoir Characterization Group, May 2009 to February</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2010; Vice President Engineering, Manufacturing and Sustaining, November 2007 to May 2009.</w:t>
            </w:r>
          </w:p>
        </w:tc>
      </w:tr>
      <w:tr>
        <w:trPr>
          <w:trHeight w:val="458"/>
        </w:trPr>
        <w:tc>
          <w:tcPr>
            <w:tcW w:w="3700" w:type="dxa"/>
            <w:vAlign w:val="bottom"/>
            <w:gridSpan w:val="2"/>
          </w:tcPr>
          <w:p>
            <w:pPr>
              <w:spacing w:after="0"/>
              <w:rPr>
                <w:sz w:val="20"/>
                <w:szCs w:val="20"/>
                <w:color w:val="auto"/>
              </w:rPr>
            </w:pPr>
            <w:r>
              <w:rPr>
                <w:rFonts w:ascii="Arial" w:cs="Arial" w:eastAsia="Arial" w:hAnsi="Arial"/>
                <w:sz w:val="18"/>
                <w:szCs w:val="18"/>
                <w:color w:val="auto"/>
              </w:rPr>
              <w:t>Simon Ayat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Executive Vice President and Chief Financial Officer, since March 2007.</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Alexander Juden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2"/>
              </w:rPr>
              <w:t>Secretary and General Counsel, since April 2009; Director of Compliance, February 2005 to April</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2009.</w:t>
            </w:r>
          </w:p>
        </w:tc>
        <w:tc>
          <w:tcPr>
            <w:tcW w:w="3360" w:type="dxa"/>
            <w:vAlign w:val="bottom"/>
          </w:tcPr>
          <w:p>
            <w:pPr>
              <w:spacing w:after="0"/>
              <w:rPr>
                <w:sz w:val="19"/>
                <w:szCs w:val="19"/>
                <w:color w:val="auto"/>
              </w:rPr>
            </w:pP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1"/>
              </w:rPr>
              <w:t>Executive Vice President, Technology, since January 2011; President, Reservoir Characterization</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1"/>
              </w:rPr>
              <w:t>Group, February 2010 to August 2011; Vice President and Chief Technology Officer, April 2006 to</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February 2010.</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Jean-Francois Poupeau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Executive  Vice  President  Corporate  Development  and  Communications,  since  June  2012;</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2"/>
              </w:rPr>
              <w:t>President, Drilling Group, May 2010 to June 2012; President, Drilling &amp; Measurements, July 2007</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to April 2010.</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Khaled Al Mogharbel</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5"/>
              </w:rPr>
              <w:t>President, Drilling Group, since July 2013; President, Middle East, August 2011 to June 2013;</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Project – Gulfsands Petroleum – Syria, July 2009 to July 2011; Saudi Arabia and Bahrain</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GeoMarket Manager, May 2008 to June 2009.</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Stephane Biguet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1"/>
              </w:rPr>
              <w:t>Vice President Controller, Operations &amp; Integration, since November 2013; Vice President, Global</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2"/>
              </w:rPr>
              <w:t>Shared Services Organization, August 2011 to October 2013; Mergers and Acquisitions Director,</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February 2011 to July 2011; Controller, Reservoir Characterization Group, October 2008 to July</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2011.</w:t>
            </w:r>
          </w:p>
        </w:tc>
        <w:tc>
          <w:tcPr>
            <w:tcW w:w="3360" w:type="dxa"/>
            <w:vAlign w:val="bottom"/>
          </w:tcPr>
          <w:p>
            <w:pPr>
              <w:spacing w:after="0"/>
              <w:rPr>
                <w:sz w:val="19"/>
                <w:szCs w:val="19"/>
                <w:color w:val="auto"/>
              </w:rPr>
            </w:pP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Stephanie Cox</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2"/>
              </w:rPr>
              <w:t>Vice President Human Resources, since May 2009; North Gulf Coast GeoMarket Manager, April</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2006 to May 2009.</w:t>
            </w:r>
          </w:p>
        </w:tc>
      </w:tr>
      <w:tr>
        <w:trPr>
          <w:trHeight w:val="458"/>
        </w:trPr>
        <w:tc>
          <w:tcPr>
            <w:tcW w:w="3700" w:type="dxa"/>
            <w:vAlign w:val="bottom"/>
            <w:gridSpan w:val="2"/>
          </w:tcPr>
          <w:p>
            <w:pPr>
              <w:spacing w:after="0"/>
              <w:rPr>
                <w:sz w:val="20"/>
                <w:szCs w:val="20"/>
                <w:color w:val="auto"/>
              </w:rPr>
            </w:pPr>
            <w:r>
              <w:rPr>
                <w:rFonts w:ascii="Arial" w:cs="Arial" w:eastAsia="Arial" w:hAnsi="Arial"/>
                <w:sz w:val="18"/>
                <w:szCs w:val="18"/>
                <w:color w:val="auto"/>
              </w:rPr>
              <w:t>Mark Danton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Vice President – Director of Taxes, since January 1999.</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Sherif Foda</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President, Production Group, since July 2013; President, Europe and Africa, June 2011 to June</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2013; Saudi Arabia and Bahrain GeoMarket Manager, June 2009 to June 2011; Vice President,</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Coiled Tubing Services, August 2007 to May 2009.</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Aaron Gatt Floridia</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0"/>
              </w:rPr>
              <w:t>President, Reservoir Characterization Group, since August 2011; President Middle East, May 2009</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to July 2011; General Manager – AGO, January 2007 to April 2009.</w:t>
            </w:r>
          </w:p>
        </w:tc>
      </w:tr>
      <w:tr>
        <w:trPr>
          <w:trHeight w:val="458"/>
        </w:trPr>
        <w:tc>
          <w:tcPr>
            <w:tcW w:w="3700" w:type="dxa"/>
            <w:vAlign w:val="bottom"/>
            <w:gridSpan w:val="2"/>
          </w:tcPr>
          <w:p>
            <w:pPr>
              <w:spacing w:after="0"/>
              <w:rPr>
                <w:sz w:val="20"/>
                <w:szCs w:val="20"/>
                <w:color w:val="auto"/>
              </w:rPr>
            </w:pPr>
            <w:r>
              <w:rPr>
                <w:rFonts w:ascii="Arial" w:cs="Arial" w:eastAsia="Arial" w:hAnsi="Arial"/>
                <w:sz w:val="18"/>
                <w:szCs w:val="18"/>
                <w:color w:val="auto"/>
              </w:rPr>
              <w:t>Howard Guild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Chief Accounting Officer, since July 2005.</w:t>
            </w:r>
          </w:p>
        </w:tc>
      </w:tr>
      <w:tr>
        <w:trPr>
          <w:trHeight w:val="335"/>
        </w:trPr>
        <w:tc>
          <w:tcPr>
            <w:tcW w:w="3700" w:type="dxa"/>
            <w:vAlign w:val="bottom"/>
            <w:gridSpan w:val="2"/>
          </w:tcPr>
          <w:p>
            <w:pPr>
              <w:spacing w:after="0"/>
              <w:rPr>
                <w:sz w:val="20"/>
                <w:szCs w:val="20"/>
                <w:color w:val="auto"/>
              </w:rPr>
            </w:pPr>
            <w:r>
              <w:rPr>
                <w:rFonts w:ascii="Arial" w:cs="Arial" w:eastAsia="Arial" w:hAnsi="Arial"/>
                <w:sz w:val="18"/>
                <w:szCs w:val="18"/>
                <w:color w:val="auto"/>
              </w:rPr>
              <w:t>Imran Kizilbash</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4"/>
              </w:rPr>
              <w:t>Vice President and Treasurer, since November 2013; Controller, Operations &amp; Integration, July</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6"/>
              </w:rPr>
              <w:t>2013  to  October  2013;  Controller,  Operations,  January  2011  to  June  2013;  Controller,</w:t>
            </w:r>
          </w:p>
        </w:tc>
      </w:tr>
      <w:tr>
        <w:trPr>
          <w:trHeight w:val="215"/>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3"/>
              </w:rPr>
              <w:t>Schlumberger Limited, May 2009 to January 2011; President Reservoir Characterization Group,</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April 2006 to April 2009.</w:t>
            </w:r>
          </w:p>
        </w:tc>
      </w:tr>
      <w:tr>
        <w:trPr>
          <w:trHeight w:val="443"/>
        </w:trPr>
        <w:tc>
          <w:tcPr>
            <w:tcW w:w="3700" w:type="dxa"/>
            <w:vAlign w:val="bottom"/>
            <w:gridSpan w:val="2"/>
          </w:tcPr>
          <w:p>
            <w:pPr>
              <w:spacing w:after="0"/>
              <w:rPr>
                <w:sz w:val="20"/>
                <w:szCs w:val="20"/>
                <w:color w:val="auto"/>
              </w:rPr>
            </w:pPr>
            <w:r>
              <w:rPr>
                <w:rFonts w:ascii="Arial" w:cs="Arial" w:eastAsia="Arial" w:hAnsi="Arial"/>
                <w:sz w:val="18"/>
                <w:szCs w:val="18"/>
                <w:color w:val="auto"/>
              </w:rPr>
              <w:t>Patrick Schorn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w w:val="90"/>
              </w:rPr>
              <w:t>President, Operations and Integration, since July 2013; President, Production Group, January 2011</w:t>
            </w:r>
          </w:p>
        </w:tc>
      </w:tr>
      <w:tr>
        <w:trPr>
          <w:trHeight w:val="230"/>
        </w:trPr>
        <w:tc>
          <w:tcPr>
            <w:tcW w:w="4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to June 2013; President Well Services, May 2008 to January 2011.</w:t>
            </w:r>
          </w:p>
        </w:tc>
      </w:tr>
      <w:tr>
        <w:trPr>
          <w:trHeight w:val="458"/>
        </w:trPr>
        <w:tc>
          <w:tcPr>
            <w:tcW w:w="3700" w:type="dxa"/>
            <w:vAlign w:val="bottom"/>
            <w:gridSpan w:val="2"/>
          </w:tcPr>
          <w:p>
            <w:pPr>
              <w:spacing w:after="0"/>
              <w:rPr>
                <w:sz w:val="20"/>
                <w:szCs w:val="20"/>
                <w:color w:val="auto"/>
              </w:rPr>
            </w:pPr>
            <w:r>
              <w:rPr>
                <w:rFonts w:ascii="Arial" w:cs="Arial" w:eastAsia="Arial" w:hAnsi="Arial"/>
                <w:sz w:val="18"/>
                <w:szCs w:val="18"/>
                <w:color w:val="auto"/>
              </w:rPr>
              <w:t>Malcolm Theobald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4"/>
                <w:szCs w:val="24"/>
                <w:color w:val="auto"/>
              </w:rPr>
            </w:pPr>
          </w:p>
        </w:tc>
        <w:tc>
          <w:tcPr>
            <w:tcW w:w="7280" w:type="dxa"/>
            <w:vAlign w:val="bottom"/>
            <w:gridSpan w:val="3"/>
          </w:tcPr>
          <w:p>
            <w:pPr>
              <w:ind w:left="140"/>
              <w:spacing w:after="0"/>
              <w:rPr>
                <w:sz w:val="20"/>
                <w:szCs w:val="20"/>
                <w:color w:val="auto"/>
              </w:rPr>
            </w:pPr>
            <w:r>
              <w:rPr>
                <w:rFonts w:ascii="Arial" w:cs="Arial" w:eastAsia="Arial" w:hAnsi="Arial"/>
                <w:sz w:val="18"/>
                <w:szCs w:val="18"/>
                <w:color w:val="auto"/>
              </w:rPr>
              <w:t>Vice President Investor Relations, since June 2007.</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Schlumberger Internet website is </w:t>
      </w:r>
      <w:r>
        <w:rPr>
          <w:rFonts w:ascii="Arial" w:cs="Arial" w:eastAsia="Arial" w:hAnsi="Arial"/>
          <w:sz w:val="18"/>
          <w:szCs w:val="18"/>
          <w:u w:val="single" w:color="auto"/>
          <w:color w:val="auto"/>
        </w:rPr>
        <w:t>www.slb.com</w:t>
      </w:r>
      <w:r>
        <w:rPr>
          <w:rFonts w:ascii="Arial" w:cs="Arial" w:eastAsia="Arial" w:hAnsi="Arial"/>
          <w:sz w:val="18"/>
          <w:szCs w:val="18"/>
          <w:color w:val="auto"/>
        </w:rPr>
        <w:t xml:space="preserve">. Schlumberger uses its Investor Relations website, </w:t>
      </w:r>
      <w:r>
        <w:rPr>
          <w:rFonts w:ascii="Arial" w:cs="Arial" w:eastAsia="Arial" w:hAnsi="Arial"/>
          <w:sz w:val="18"/>
          <w:szCs w:val="18"/>
          <w:u w:val="single" w:color="auto"/>
          <w:color w:val="auto"/>
        </w:rPr>
        <w:t>www.slb.com/ir</w:t>
      </w:r>
      <w:r>
        <w:rPr>
          <w:rFonts w:ascii="Arial" w:cs="Arial" w:eastAsia="Arial" w:hAnsi="Arial"/>
          <w:sz w:val="18"/>
          <w:szCs w:val="18"/>
          <w:color w:val="auto"/>
        </w:rPr>
        <w:t xml:space="preserve">, as a routine channel for distribution of important information, including news releases, analyst presentations, and financial information. Schlumberger makes available free of charge on or through its Investor Relations website at </w:t>
      </w:r>
      <w:r>
        <w:rPr>
          <w:rFonts w:ascii="Arial" w:cs="Arial" w:eastAsia="Arial" w:hAnsi="Arial"/>
          <w:sz w:val="18"/>
          <w:szCs w:val="18"/>
          <w:u w:val="single" w:color="auto"/>
          <w:color w:val="auto"/>
        </w:rPr>
        <w:t>www.slb.com/ir</w:t>
      </w:r>
      <w:r>
        <w:rPr>
          <w:rFonts w:ascii="Arial" w:cs="Arial" w:eastAsia="Arial" w:hAnsi="Arial"/>
          <w:sz w:val="18"/>
          <w:szCs w:val="18"/>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7" w:right="2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8"/>
          <w:szCs w:val="18"/>
          <w:color w:val="auto"/>
        </w:rPr>
        <w:t>such material is filed with or furnished to the Securities and Exchange Commission (“SEC”). Alternatively, you may access these reports at the SEC’s Internet website at www.sec.gov. Copies are also available, without charge, from Schlumberger Investor Relations, 5599 San Felipe, 17</w:t>
      </w:r>
      <w:r>
        <w:rPr>
          <w:rFonts w:ascii="Arial" w:cs="Arial" w:eastAsia="Arial" w:hAnsi="Arial"/>
          <w:sz w:val="15"/>
          <w:szCs w:val="15"/>
          <w:color w:val="auto"/>
        </w:rPr>
        <w:t>th</w:t>
      </w:r>
      <w:r>
        <w:rPr>
          <w:rFonts w:ascii="Arial" w:cs="Arial" w:eastAsia="Arial" w:hAnsi="Arial"/>
          <w:sz w:val="18"/>
          <w:szCs w:val="18"/>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following discussion of risk factors contains important information for the understanding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related notes included in this Form 10-K.</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Demand for the majority of our services is substantially dependent on the levels of expenditures by the oil and gas industry. A substantial or an extended decline in oil and gas prices could result in lower expenditures by the oil and gas industry, which could have a material adverse effect on our financial condition, results of operations and cash flows.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Declines, as well as anticipated declines, in oil and gas prices could also result in project modifications, delays or cancellations, general business disruptions, and delays in payment of, or nonpayment of, amounts that are owed to us. These effects could have a material adverse effect on our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prices for oil and natural gas have historically been volatile and can be affected by a variety of factors, including: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demand for hydrocarbons, which is affected by general economic and business conditions;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ability of the Organization of Petroleum Exporting Countries (“OPEC”) to set and maintain production levels for oil;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oil and gas production levels by non-OPEC countries;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level of excess production capacity;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political and economic uncertainty and geopolitical unrest;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level of worldwide oil and gas exploration and production activity;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access to potential resources;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governmental policies and subsidies;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costs of exploring for, producing and delivering oil and gas;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technological advances affecting energy consumption; and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weather conditions.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A significant downturn in the oil and gas industry could result in a reduction in demand for oilfield services and could adversely affect our financial condition, results of operations and cash flows.</w:t>
      </w:r>
    </w:p>
    <w:p>
      <w:pPr>
        <w:spacing w:after="0" w:line="17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85 countries in which we operate.</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non-United States operations accounted for approximately 73% of our consolidated revenue in 2013, 72% in 2012 and 71% in 2011. Operations in countries other than the United States are subject to various risks, including:</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political and economic conditions in certain areas;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exposure to possible expropriation of our assets or other governmental actions;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social unrest, acts of terrorism, war or other armed conflict;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confiscatory taxation or other adverse tax policies;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deprivation of contract rights;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trade restrictions or embargoes imposed by the United States or other countries;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restrictions under the United States Foreign Corrupt Practices Act or similar legislation in other countries;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restrictions on the repatriation of income or capital;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  currency exchange controls;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inflation; and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currency exchange rate fluctuations and devaluations.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are subject to risks associated with our operations in countries, including Sudan and Cuba, that are subject to trade and economic sanctions or other restrictions imposed by the United States or other governments or organizations. United States law enforcement authorities are currently conducting a grand jury investigation and an associated regulatory inquiry related to our historical operations in countries that are subject to United States trade and economic sanctions. If any of the risks described above materialize, or if any governmental investigation results in criminal or civil penalties or other remedial measures, it could reduce our earnings and our cash available for operations.</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price of our common stock.</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2013, certain non-US subsidiaries of Schlumberger provided oilfield services to the National Iranian Oil Company and certain of its affiliates (“NIOC”). Schlumberger’s 2013 revenue attributable to this activity was $102 million, which resulted in a net loss of $69 million. During the second quarter of 2013, Schlumberger completed the wind down of its service operations in Iran. As a result, Schlumberger has reclassified the results of this business as a discontinued operation. All prior periods have been restated accordingly.</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Schlumberger’s activity in Iran during 2013 included obtaining services from and engaging in other dealings with the government of Iran that were incidental to operating in Iran, and the expenses of which are reflected in the results disclosed above. These services and other dealings consisted of paying taxes, duties, license fees and other typical governmental charges, along with payments for utilities, transportation, hotel accommodations, facility rentals, telecommunications services, newspaper advertisements, recreational and fitness memberships, and the purchase of routine office and similar supplies from entities associated with the government of Iran. Collections of amounts owed to Schlumberger for services rendered in Iran were received in part by depository accounts held by two non-US subsidiaries of Schlumberger at a branch of Bank Saderat Iran (“Saderat”), and in part by a depositary account held by one of such non-US subsidiaries at Bank Tejarat (“Tejarat”) in Tehran. The accounts at Tejarat are also used in connection with payment of expenses incidental to collection of amounts owed to Schlumberger for prior services. The accounts at Saderat are maintained solely for the deposit by NIOC of amounts owed to non-US subsidiaries of Schlumberger for prior services. One of the non-US subsidiaries also maintained a depository account at Bank Sarmayeh (“Sarmayeh”) which, together with the account at Tejarat, was maintained for the payment of expenses such as payroll expenses, rental payments and taxes. In addition, NIOC maintained bank accounts at Bank Melli Iran (“Melli”) through which it made payments to a non-US subsidiary of Schlumberger for services provided in Iran under letters of credit issued by Melli. Schlumberger maintains no bank accounts at Melli. Schlumberger has discontinued dealings with Melli and Sarmayeh, and anticipates that it will discontinue its dealings with Saderat and Tejarat following the receipt of all amounts owed to Schlumberger for prior services rendered in Iran.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We could be subject to substantial liability claims, which could adversely affect our financial condition, results of operations and cash flows.</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technical complexities of our operations are such that we are exposed to a wide range of significant health, safety and environmental risks. Our offerings involve production-related activities, radioactive materials,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some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are subject to substantial deductibles, could adversely affect our financial condition,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by changes in governmental regulations or in the law.</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Some international, national and state governments and agencies are currently evaluating and promulgating climate-related legislation and regulations that are focused on restricting greenhouse gas emissions. Such legislation, as well as government initiatives to conserve energy or to promote the use of alternative energy sources, may significantly curtail demand for and production of fossil fuels such as oil and gas in areas of the world where our customers operate and thus adversely affect future demand for our services, which may in turn adversely affect our financial condition, results of operations and cash flows.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international, national and state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lead to operational delays and increased costs and, therefore, reduce demand for our pressure pumping services. If such additional international, national or state legislation or regulations are enacted, it could adversely affect our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technology leadership, this could adversely affect any competitive advantage we hold.</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6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Schlumberger’s principal owned or leased facilities: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Beijing, China; Clamart, France; Mumbai, India; Fuchinobe, Japan; Oslo, Norway; Singapore; Abingdon, Cambridge and Stonehouse, United Kingdom; Moscow, Russia; and within the United States: Boston, Massachusetts; Houston, Rosharon and Sugar Land, Texas; Battle Mountain, Nevada; Greybull, Wyoming and Florence, Kentucky.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this Item 3. Legal Proceedings is set forth in Note 16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8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Schlumberger’s Common Stock, Related Stockholder Matters and Issuer Purchases of Equity Securities.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2013, there were 21,929 stockholders of record. The principal United States market for Schlumberger’s common stock is the New York Stock Exchange (“NYSE”), where it is traded under the symbol “SLB,” although it is traded on other exchanges in and outside the United States, including the Euronext Paris, the London Stock Exchange and the SIX Swiss Exchange.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Market Prices and Dividends Declared per Share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Quarterly high and low prices for Schlumberger’s common stock as reported by the NYSE (composite transactions), together with dividends declared per share in each quarter of 2013 and 2012, were: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6"/>
          </w:tcPr>
          <w:p>
            <w:pPr>
              <w:ind w:left="200"/>
              <w:spacing w:after="0"/>
              <w:rPr>
                <w:sz w:val="20"/>
                <w:szCs w:val="20"/>
                <w:color w:val="auto"/>
              </w:rPr>
            </w:pPr>
            <w:r>
              <w:rPr>
                <w:rFonts w:ascii="Arial" w:cs="Arial" w:eastAsia="Arial" w:hAnsi="Arial"/>
                <w:sz w:val="18"/>
                <w:szCs w:val="18"/>
                <w:color w:val="auto"/>
              </w:rPr>
              <w:t>Price Range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Dividends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High</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Declared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2013</w:t>
            </w:r>
          </w:p>
        </w:tc>
        <w:tc>
          <w:tcPr>
            <w:tcW w:w="24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QUARTERS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First</w:t>
            </w:r>
          </w:p>
        </w:tc>
        <w:tc>
          <w:tcPr>
            <w:tcW w:w="2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82.00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70.12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0.3125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Second</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Third</w:t>
            </w:r>
          </w:p>
        </w:tc>
        <w:tc>
          <w:tcPr>
            <w:tcW w:w="2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89.72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71.84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0.3125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Fourth</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0.3125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2012</w:t>
            </w:r>
          </w:p>
        </w:tc>
        <w:tc>
          <w:tcPr>
            <w:tcW w:w="2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QUARTERS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First</w:t>
            </w:r>
          </w:p>
        </w:tc>
        <w:tc>
          <w:tcPr>
            <w:tcW w:w="2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80.78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67.12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Second</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Third</w:t>
            </w:r>
          </w:p>
        </w:tc>
        <w:tc>
          <w:tcPr>
            <w:tcW w:w="2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78.47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Fourth</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On January 16, 2014, Schlumberger announced that its Board of Directors had approved an increase in the quarterly dividend of 28%, to $0.40.</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graph compares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ended December 31, 2013.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Comparison of five-year cumulative total return among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common stock, the S&amp;P 500 Index and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278765</wp:posOffset>
            </wp:positionV>
            <wp:extent cx="5008245" cy="2700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824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Assumes $100 invested on December 31, 2008 in Schlumberger common stock, in the S&amp;P 500 Index and in the Philadelphia Oil Service Index (OSX) and reinvestment of dividends on the last day of the month of payment.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July 18, 2013, the Schlumberger Board of Directors approved a $10 billion share repurchase program for Schlumberger common stock, to be completed at the latest by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December 31, 2013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7"/>
          </w:tcPr>
          <w:p>
            <w:pPr>
              <w:ind w:left="160"/>
              <w:spacing w:after="0"/>
              <w:rPr>
                <w:sz w:val="20"/>
                <w:szCs w:val="20"/>
                <w:color w:val="auto"/>
              </w:rPr>
            </w:pPr>
            <w:r>
              <w:rPr>
                <w:rFonts w:ascii="Arial" w:cs="Arial" w:eastAsia="Arial" w:hAnsi="Arial"/>
                <w:sz w:val="14"/>
                <w:szCs w:val="14"/>
                <w:i w:val="1"/>
                <w:iCs w:val="1"/>
                <w:color w:val="auto"/>
                <w:w w:val="98"/>
              </w:rPr>
              <w:t>(Stated in thousands, except per share amounts)</w:t>
            </w:r>
          </w:p>
        </w:tc>
      </w:tr>
      <w:tr>
        <w:trPr>
          <w:trHeight w:val="307"/>
        </w:trPr>
        <w:tc>
          <w:tcPr>
            <w:tcW w:w="3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Maximum value</w:t>
            </w:r>
          </w:p>
        </w:tc>
      </w:tr>
      <w:tr>
        <w:trPr>
          <w:trHeight w:val="215"/>
        </w:trPr>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r>
      <w:tr>
        <w:trPr>
          <w:trHeight w:val="215"/>
        </w:trPr>
        <w:tc>
          <w:tcPr>
            <w:tcW w:w="33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w:t>
            </w:r>
          </w:p>
        </w:tc>
        <w:tc>
          <w:tcPr>
            <w:tcW w:w="1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Average price</w:t>
            </w:r>
          </w:p>
        </w:tc>
        <w:tc>
          <w:tcPr>
            <w:tcW w:w="14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600" w:type="dxa"/>
            <w:vAlign w:val="bottom"/>
            <w:gridSpan w:val="4"/>
          </w:tcPr>
          <w:p>
            <w:pPr>
              <w:ind w:left="140"/>
              <w:spacing w:after="0"/>
              <w:rPr>
                <w:sz w:val="20"/>
                <w:szCs w:val="20"/>
                <w:color w:val="auto"/>
              </w:rPr>
            </w:pPr>
            <w:r>
              <w:rPr>
                <w:rFonts w:ascii="Arial" w:cs="Arial" w:eastAsia="Arial" w:hAnsi="Arial"/>
                <w:sz w:val="18"/>
                <w:szCs w:val="18"/>
                <w:color w:val="auto"/>
                <w:w w:val="91"/>
              </w:rPr>
              <w:t>shares that may yet</w:t>
            </w:r>
          </w:p>
        </w:tc>
      </w:tr>
      <w:tr>
        <w:trPr>
          <w:trHeight w:val="215"/>
        </w:trPr>
        <w:tc>
          <w:tcPr>
            <w:tcW w:w="33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paid per</w:t>
            </w:r>
          </w:p>
        </w:tc>
        <w:tc>
          <w:tcPr>
            <w:tcW w:w="14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be purchased</w:t>
            </w:r>
          </w:p>
        </w:tc>
      </w:tr>
      <w:tr>
        <w:trPr>
          <w:trHeight w:val="230"/>
        </w:trPr>
        <w:tc>
          <w:tcPr>
            <w:tcW w:w="330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share</w:t>
            </w: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9"/>
              </w:rPr>
              <w:t>announced program</w:t>
            </w:r>
          </w:p>
        </w:tc>
        <w:tc>
          <w:tcPr>
            <w:tcW w:w="140" w:type="dxa"/>
            <w:vAlign w:val="bottom"/>
          </w:tcPr>
          <w:p>
            <w:pPr>
              <w:spacing w:after="0"/>
              <w:rPr>
                <w:sz w:val="19"/>
                <w:szCs w:val="19"/>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under the program</w:t>
            </w:r>
          </w:p>
        </w:tc>
      </w:tr>
      <w:tr>
        <w:trPr>
          <w:trHeight w:val="209"/>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through October 31, 2013</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5,750.2</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90.07</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5,750.2</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8,835,695</w:t>
            </w: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rPr>
              <w:t>November 1 through November 30, 2013</w:t>
            </w:r>
          </w:p>
        </w:tc>
        <w:tc>
          <w:tcPr>
            <w:tcW w:w="1000" w:type="dxa"/>
            <w:vAlign w:val="bottom"/>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2,372.9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8,615,977</w:t>
            </w:r>
          </w:p>
        </w:tc>
      </w:tr>
      <w:tr>
        <w:trPr>
          <w:trHeight w:val="215"/>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December 1 through December 31, 2013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3,817.8</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87.24</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3,817.8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8,282,925</w:t>
            </w:r>
          </w:p>
        </w:tc>
      </w:tr>
      <w:tr>
        <w:trPr>
          <w:trHeight w:val="209"/>
        </w:trPr>
        <w:tc>
          <w:tcPr>
            <w:tcW w:w="3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9"/>
          </w:tcPr>
          <w:p>
            <w:pPr>
              <w:jc w:val="right"/>
              <w:ind w:right="300"/>
              <w:spacing w:after="0"/>
              <w:rPr>
                <w:sz w:val="20"/>
                <w:szCs w:val="20"/>
                <w:color w:val="auto"/>
              </w:rPr>
            </w:pPr>
            <w:r>
              <w:rPr>
                <w:rFonts w:ascii="Arial" w:cs="Arial" w:eastAsia="Arial" w:hAnsi="Arial"/>
                <w:sz w:val="14"/>
                <w:szCs w:val="14"/>
                <w:i w:val="1"/>
                <w:iCs w:val="1"/>
                <w:color w:val="auto"/>
                <w:w w:val="93"/>
              </w:rPr>
              <w:t>(Stated in millions, except per share amounts)</w:t>
            </w:r>
          </w:p>
        </w:tc>
      </w:tr>
      <w:tr>
        <w:trPr>
          <w:trHeight w:val="375"/>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Year Ended December 31,</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22"/>
        </w:trPr>
        <w:tc>
          <w:tcPr>
            <w:tcW w:w="5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2009</w:t>
            </w:r>
          </w:p>
        </w:tc>
        <w:tc>
          <w:tcPr>
            <w:tcW w:w="300" w:type="dxa"/>
            <w:vAlign w:val="bottom"/>
            <w:tcBorders>
              <w:bottom w:val="single" w:sz="8" w:color="CFF0FC"/>
            </w:tcBorders>
          </w:tcPr>
          <w:p>
            <w:pPr>
              <w:spacing w:after="0"/>
              <w:rPr>
                <w:sz w:val="19"/>
                <w:szCs w:val="19"/>
                <w:color w:val="auto"/>
              </w:rPr>
            </w:pPr>
          </w:p>
        </w:tc>
      </w:tr>
      <w:tr>
        <w:trPr>
          <w:trHeight w:val="3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45,266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41,731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36,579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26,280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22,428</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6,801</w:t>
            </w:r>
          </w:p>
        </w:tc>
        <w:tc>
          <w:tcPr>
            <w:tcW w:w="1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3,032</w:t>
            </w:r>
          </w:p>
        </w:tc>
      </w:tr>
      <w:tr>
        <w:trPr>
          <w:trHeight w:val="24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5.10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3.32</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11,788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6,391</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67,100</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61,547</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55,201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51,767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33,465</w:t>
            </w:r>
          </w:p>
        </w:tc>
      </w:tr>
      <w:tr>
        <w:trPr>
          <w:trHeight w:val="242"/>
        </w:trPr>
        <w:tc>
          <w:tcPr>
            <w:tcW w:w="5840" w:type="dxa"/>
            <w:vAlign w:val="bottom"/>
          </w:tcPr>
          <w:p>
            <w:pPr>
              <w:spacing w:after="0" w:line="242"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(1)</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4,443</w:t>
            </w:r>
          </w:p>
        </w:tc>
        <w:tc>
          <w:tcPr>
            <w:tcW w:w="12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10,393</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9,509</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4,355</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34,751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31,263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31,226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19,120</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0.84</w:t>
            </w:r>
          </w:p>
        </w:tc>
      </w:tr>
    </w:tbl>
    <w:p>
      <w:pPr>
        <w:spacing w:after="0" w:line="93" w:lineRule="exact"/>
        <w:rPr>
          <w:sz w:val="20"/>
          <w:szCs w:val="20"/>
          <w:color w:val="auto"/>
        </w:rPr>
      </w:pPr>
    </w:p>
    <w:p>
      <w:pPr>
        <w:ind w:left="400" w:right="20" w:hanging="392"/>
        <w:spacing w:after="0" w:line="238" w:lineRule="auto"/>
        <w:tabs>
          <w:tab w:leader="none" w:pos="40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 revenue in 2013 reached a new high of $45.3 billion – an increase of 8% over 2012. International revenue grew by $3.2 billion, or 11%, on higher exploration and development activity – both offshore and in key land markets. In North America, we demonstrated continued resilience to the challenging land market by growing the business by close to $400 million, or 3%, aided by our strong position in the offshore market – particularly in the US Gulf of Mexico.</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Yearly growth in global oil demand has been stabilizing at close to 1 million barrels per day for the past three years. This has been driven by the emerging economies, notably in Asia and in the Middle East, while consumption in the OECD countries has levelled after declining for three consecutive years as a result of energy efficiency gains. In terms of supply, markets are well balanced, with North America benefiting from the activity-intensive development of tight oil resources that almost single-handedly drove the increase in global crude oil production in 2013. Output from other areas, both OPEC and non-OPEC, remained stable. In terms of price, geopolitical and security tensions in the Middle East, and major outages in Libya supported oil prices, with spot Brent prices averaging $109- per barrel in 2013, only slightly below the $112 per barrel of 2012.</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International gas markets remained tight during the year, driven by strong demand in Japan and in the emerging economies in Asia. Relatively limited additional liquefied natural gas and interregional pipeline capacity contributed to support prices at oil-parity in the Asian spot markets. In North America, after having reached a 10-year low in 2012, natural gas spot prices rallied by 35% in 2013 from progressive rebalancing of supply and demand as well as from relatively cold temperatures in the final months of the year. Steady production levels – particularly from the continuing development of the Marcellus shale gas play – together with strong competition with coal in the power sector prevented prices from rising further.</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Against this background, Schlumberger’s international performance during the year was led by the Middle East &amp; Asia Area, which grew by 23% from an expanding portfolio of projects and activities in key land markets in the Middle East, increased exploration and development work across Asia, and sustained activity in Australasia and China. Within the Europe/CIS/Africa Area, year-on-year revenue grew by 8%, led by the Russia and Central Asia region on strong land activity in West Siberia, and robust offshore projects in Sakhalin. The Latin America Area grew by 3% over the year, mainly due to good progress on the Shushufindi production management project in Ecuador, and strong integrated project management activity in Argentina. In North America, revenue strengthened by 3% driven by higher offshore drilling and exploration activity.</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three Product Groups benefited from the growth in activity. Reservoir Characterization revenue grew by 10% over the year from market share gains and higher exploration activity in offshore and key international land markets. Drilling Group revenue, up 9%, increased on robust demand for services as offshore drilling activity strengthened in the US Gulf of Mexico, Sub-Saharan Africa, Russia and in the Middle East &amp; Asia Area. Drilling Group revenue also increased in key international land markets in Saudi Arabia, China and Australia on higher rig count. Production Group revenue grew by 8%, mostly from activity in the international GeoMarkets.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first half of the year, the OneSubsea joint venture with Cameron was finalized, combining Schlumberger’s deep understanding of the reservoir and our industry-leading well completions, subsea processing and integration capabilities with the design capability, manufacturing excellence, and installation record of Cameron. OneSubsea was formed to offer best-in-class subsea solutions by optimizing complete subsea production systems that help customers improve subsea development production and recovery.</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Looking ahead to 2014, economic fundamentals are expected to further improve in the US while Europe seems set for stronger growth. These positive effects should overcome lower growth in some developing economies and support a continuing rebound in the world economy. Within this scenario, oil demand forecasts in 2014 have now been revised upwards to the highest growth rate in several years. Oil supply is expected to keep pace with demand – with the market therefore remaining well balanced. Natural gas prices internationally should be supported by demand in Asia and Europe, while in the US no change in fundamentals is expected, with any meaningful recovery in dry gas drilling activity still some way out in the future.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exploration and production spending expected to grow further in 2014, led by international activity and continuing strength in deepwater US Gulf of Mexico, Schlumberger remains positive and optimistic about the year ahead on the back of a well-balanced business portfolio, wide geographical footprint, and strengthening operational, organizational, and executional capability.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16"/>
          </w:tcPr>
          <w:p>
            <w:pPr>
              <w:spacing w:after="0"/>
              <w:rPr>
                <w:sz w:val="20"/>
                <w:szCs w:val="20"/>
                <w:color w:val="auto"/>
              </w:rPr>
            </w:pPr>
            <w:r>
              <w:rPr>
                <w:rFonts w:ascii="Arial" w:cs="Arial" w:eastAsia="Arial" w:hAnsi="Arial"/>
                <w:sz w:val="18"/>
                <w:szCs w:val="18"/>
                <w:b w:val="1"/>
                <w:bCs w:val="1"/>
                <w:color w:val="auto"/>
              </w:rPr>
              <w:t>Fourth Quarter 2013 Results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11"/>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gridSpan w:val="8"/>
          </w:tcPr>
          <w:p>
            <w:pPr>
              <w:jc w:val="right"/>
              <w:ind w:right="220"/>
              <w:spacing w:after="0"/>
              <w:rPr>
                <w:sz w:val="20"/>
                <w:szCs w:val="20"/>
                <w:color w:val="auto"/>
              </w:rPr>
            </w:pPr>
            <w:r>
              <w:rPr>
                <w:rFonts w:ascii="Arial" w:cs="Arial" w:eastAsia="Arial" w:hAnsi="Arial"/>
                <w:sz w:val="18"/>
                <w:szCs w:val="18"/>
                <w:b w:val="1"/>
                <w:bCs w:val="1"/>
                <w:color w:val="auto"/>
                <w:w w:val="94"/>
              </w:rPr>
              <w:t>Product Groups</w:t>
            </w:r>
          </w:p>
        </w:tc>
        <w:tc>
          <w:tcPr>
            <w:tcW w:w="2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3"/>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i w:val="1"/>
                <w:iCs w:val="1"/>
                <w:color w:val="auto"/>
                <w:w w:val="98"/>
              </w:rPr>
              <w:t>(Stated in millions)</w:t>
            </w:r>
          </w:p>
        </w:tc>
      </w:tr>
      <w:tr>
        <w:trPr>
          <w:trHeight w:val="294"/>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11"/>
          </w:tcPr>
          <w:p>
            <w:pPr>
              <w:jc w:val="right"/>
              <w:ind w:right="940"/>
              <w:spacing w:after="0"/>
              <w:rPr>
                <w:sz w:val="20"/>
                <w:szCs w:val="20"/>
                <w:color w:val="auto"/>
              </w:rPr>
            </w:pPr>
            <w:r>
              <w:rPr>
                <w:rFonts w:ascii="Arial" w:cs="Arial" w:eastAsia="Arial" w:hAnsi="Arial"/>
                <w:sz w:val="18"/>
                <w:szCs w:val="18"/>
                <w:b w:val="1"/>
                <w:bCs w:val="1"/>
                <w:color w:val="auto"/>
              </w:rPr>
              <w:t>Fourth Quarter 2013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9"/>
          </w:tcPr>
          <w:p>
            <w:pPr>
              <w:jc w:val="right"/>
              <w:ind w:right="1020"/>
              <w:spacing w:after="0"/>
              <w:rPr>
                <w:sz w:val="20"/>
                <w:szCs w:val="20"/>
                <w:color w:val="auto"/>
              </w:rPr>
            </w:pPr>
            <w:r>
              <w:rPr>
                <w:rFonts w:ascii="Arial" w:cs="Arial" w:eastAsia="Arial" w:hAnsi="Arial"/>
                <w:sz w:val="18"/>
                <w:szCs w:val="18"/>
                <w:color w:val="auto"/>
              </w:rPr>
              <w:t>Third Quarter 2013</w:t>
            </w:r>
          </w:p>
        </w:tc>
      </w:tr>
      <w:tr>
        <w:trPr>
          <w:trHeight w:val="194"/>
        </w:trPr>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170"/>
              <w:spacing w:after="0" w:line="195" w:lineRule="exact"/>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92"/>
              <w:spacing w:after="0" w:line="195" w:lineRule="exact"/>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5"/>
        </w:trPr>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640"/>
              <w:spacing w:after="0"/>
              <w:rPr>
                <w:sz w:val="20"/>
                <w:szCs w:val="20"/>
                <w:color w:val="auto"/>
              </w:rPr>
            </w:pPr>
            <w:r>
              <w:rPr>
                <w:rFonts w:ascii="Arial" w:cs="Arial" w:eastAsia="Arial" w:hAnsi="Arial"/>
                <w:sz w:val="18"/>
                <w:szCs w:val="18"/>
                <w:color w:val="auto"/>
                <w:w w:val="90"/>
              </w:rPr>
              <w:t>before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before</w:t>
            </w:r>
          </w:p>
        </w:tc>
      </w:tr>
      <w:tr>
        <w:trPr>
          <w:trHeight w:val="230"/>
        </w:trPr>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center"/>
              <w:ind w:right="620"/>
              <w:spacing w:after="0"/>
              <w:rPr>
                <w:sz w:val="20"/>
                <w:szCs w:val="20"/>
                <w:color w:val="auto"/>
              </w:rPr>
            </w:pPr>
            <w:r>
              <w:rPr>
                <w:rFonts w:ascii="Arial" w:cs="Arial" w:eastAsia="Arial" w:hAnsi="Arial"/>
                <w:sz w:val="18"/>
                <w:szCs w:val="18"/>
                <w:color w:val="auto"/>
                <w:w w:val="83"/>
              </w:rPr>
              <w:t>taxes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580"/>
              <w:spacing w:after="0"/>
              <w:rPr>
                <w:sz w:val="20"/>
                <w:szCs w:val="20"/>
                <w:color w:val="auto"/>
              </w:rPr>
            </w:pPr>
            <w:r>
              <w:rPr>
                <w:rFonts w:ascii="Arial" w:cs="Arial" w:eastAsia="Arial" w:hAnsi="Arial"/>
                <w:sz w:val="18"/>
                <w:szCs w:val="18"/>
                <w:color w:val="auto"/>
                <w:w w:val="99"/>
              </w:rPr>
              <w:t>Revenue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color w:val="auto"/>
                <w:w w:val="83"/>
              </w:rPr>
              <w:t>taxes</w:t>
            </w:r>
          </w:p>
        </w:tc>
      </w:tr>
      <w:tr>
        <w:trPr>
          <w:trHeight w:val="209"/>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5"/>
        </w:trPr>
        <w:tc>
          <w:tcPr>
            <w:tcW w:w="2520" w:type="dxa"/>
            <w:vAlign w:val="bottom"/>
          </w:tcPr>
          <w:p>
            <w:pPr>
              <w:ind w:left="220"/>
              <w:spacing w:after="0"/>
              <w:rPr>
                <w:sz w:val="20"/>
                <w:szCs w:val="20"/>
                <w:color w:val="auto"/>
              </w:rPr>
            </w:pPr>
            <w:r>
              <w:rPr>
                <w:rFonts w:ascii="Arial" w:cs="Arial" w:eastAsia="Arial" w:hAnsi="Arial"/>
                <w:sz w:val="18"/>
                <w:szCs w:val="18"/>
                <w:color w:val="auto"/>
              </w:rPr>
              <w:t>Reservoir Characterization</w:t>
            </w:r>
          </w:p>
        </w:tc>
        <w:tc>
          <w:tcPr>
            <w:tcW w:w="60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3,249</w:t>
            </w:r>
          </w:p>
        </w:tc>
        <w:tc>
          <w:tcPr>
            <w:tcW w:w="34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1,031</w:t>
            </w:r>
          </w:p>
        </w:tc>
        <w:tc>
          <w:tcPr>
            <w:tcW w:w="200" w:type="dxa"/>
            <w:vAlign w:val="bottom"/>
          </w:tcPr>
          <w:p>
            <w:pPr>
              <w:spacing w:after="0"/>
              <w:rPr>
                <w:sz w:val="18"/>
                <w:szCs w:val="18"/>
                <w:color w:val="auto"/>
              </w:rPr>
            </w:pP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3,232</w:t>
            </w:r>
          </w:p>
        </w:tc>
        <w:tc>
          <w:tcPr>
            <w:tcW w:w="200" w:type="dxa"/>
            <w:vAlign w:val="bottom"/>
          </w:tcPr>
          <w:p>
            <w:pPr>
              <w:spacing w:after="0"/>
              <w:rPr>
                <w:sz w:val="18"/>
                <w:szCs w:val="18"/>
                <w:color w:val="auto"/>
              </w:rPr>
            </w:pPr>
          </w:p>
        </w:tc>
        <w:tc>
          <w:tcPr>
            <w:tcW w:w="3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r>
      <w:tr>
        <w:trPr>
          <w:trHeight w:val="215"/>
        </w:trPr>
        <w:tc>
          <w:tcPr>
            <w:tcW w:w="2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Drilling</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4,497</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880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FF0FC"/>
          </w:tcPr>
          <w:p>
            <w:pPr>
              <w:spacing w:after="0"/>
              <w:rPr>
                <w:sz w:val="18"/>
                <w:szCs w:val="18"/>
                <w:color w:val="auto"/>
              </w:rPr>
            </w:pPr>
          </w:p>
        </w:tc>
      </w:tr>
      <w:tr>
        <w:trPr>
          <w:trHeight w:val="215"/>
        </w:trPr>
        <w:tc>
          <w:tcPr>
            <w:tcW w:w="2520" w:type="dxa"/>
            <w:vAlign w:val="bottom"/>
          </w:tcPr>
          <w:p>
            <w:pPr>
              <w:ind w:left="220"/>
              <w:spacing w:after="0"/>
              <w:rPr>
                <w:sz w:val="20"/>
                <w:szCs w:val="20"/>
                <w:color w:val="auto"/>
              </w:rPr>
            </w:pPr>
            <w:r>
              <w:rPr>
                <w:rFonts w:ascii="Arial" w:cs="Arial" w:eastAsia="Arial" w:hAnsi="Arial"/>
                <w:sz w:val="18"/>
                <w:szCs w:val="18"/>
                <w:color w:val="auto"/>
              </w:rPr>
              <w:t>Production</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730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r>
      <w:tr>
        <w:trPr>
          <w:trHeight w:val="215"/>
        </w:trPr>
        <w:tc>
          <w:tcPr>
            <w:tcW w:w="2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Eliminations &amp; other</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(59)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(88)</w:t>
            </w:r>
          </w:p>
        </w:tc>
      </w:tr>
      <w:tr>
        <w:trPr>
          <w:trHeight w:val="209"/>
        </w:trPr>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2,604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11,608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252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(179)</w:t>
            </w:r>
          </w:p>
        </w:tc>
      </w:tr>
      <w:tr>
        <w:trPr>
          <w:trHeight w:val="215"/>
        </w:trPr>
        <w:tc>
          <w:tcPr>
            <w:tcW w:w="252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r>
      <w:tr>
        <w:trPr>
          <w:trHeight w:val="215"/>
        </w:trPr>
        <w:tc>
          <w:tcPr>
            <w:tcW w:w="252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(92)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r>
      <w:tr>
        <w:trPr>
          <w:trHeight w:val="215"/>
        </w:trPr>
        <w:tc>
          <w:tcPr>
            <w:tcW w:w="252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11,906</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2,170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3"/>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01"/>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w w:val="97"/>
              </w:rPr>
              <w:t>Geographic Areas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3"/>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r>
      <w:tr>
        <w:trPr>
          <w:trHeight w:val="294"/>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11"/>
          </w:tcPr>
          <w:p>
            <w:pPr>
              <w:jc w:val="right"/>
              <w:ind w:right="940"/>
              <w:spacing w:after="0"/>
              <w:rPr>
                <w:sz w:val="20"/>
                <w:szCs w:val="20"/>
                <w:color w:val="auto"/>
              </w:rPr>
            </w:pPr>
            <w:r>
              <w:rPr>
                <w:rFonts w:ascii="Arial" w:cs="Arial" w:eastAsia="Arial" w:hAnsi="Arial"/>
                <w:sz w:val="18"/>
                <w:szCs w:val="18"/>
                <w:b w:val="1"/>
                <w:bCs w:val="1"/>
                <w:color w:val="auto"/>
              </w:rPr>
              <w:t>Fourth Quarter 2013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9"/>
          </w:tcPr>
          <w:p>
            <w:pPr>
              <w:jc w:val="right"/>
              <w:ind w:right="1020"/>
              <w:spacing w:after="0"/>
              <w:rPr>
                <w:sz w:val="20"/>
                <w:szCs w:val="20"/>
                <w:color w:val="auto"/>
              </w:rPr>
            </w:pPr>
            <w:r>
              <w:rPr>
                <w:rFonts w:ascii="Arial" w:cs="Arial" w:eastAsia="Arial" w:hAnsi="Arial"/>
                <w:sz w:val="18"/>
                <w:szCs w:val="18"/>
                <w:color w:val="auto"/>
              </w:rPr>
              <w:t>Third Quarter 2013</w:t>
            </w:r>
          </w:p>
        </w:tc>
      </w:tr>
      <w:tr>
        <w:trPr>
          <w:trHeight w:val="194"/>
        </w:trPr>
        <w:tc>
          <w:tcPr>
            <w:tcW w:w="2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1"/>
              </w:rPr>
              <w:t>Income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6"/>
                <w:szCs w:val="16"/>
                <w:color w:val="auto"/>
              </w:rPr>
            </w:pPr>
          </w:p>
        </w:tc>
      </w:tr>
      <w:tr>
        <w:trPr>
          <w:trHeight w:val="215"/>
        </w:trPr>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600"/>
              <w:spacing w:after="0"/>
              <w:rPr>
                <w:sz w:val="20"/>
                <w:szCs w:val="20"/>
                <w:color w:val="auto"/>
              </w:rPr>
            </w:pPr>
            <w:r>
              <w:rPr>
                <w:rFonts w:ascii="Arial" w:cs="Arial" w:eastAsia="Arial" w:hAnsi="Arial"/>
                <w:sz w:val="18"/>
                <w:szCs w:val="18"/>
                <w:color w:val="auto"/>
                <w:w w:val="90"/>
              </w:rPr>
              <w:t>before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0"/>
        </w:trPr>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680"/>
              <w:spacing w:after="0"/>
              <w:rPr>
                <w:sz w:val="20"/>
                <w:szCs w:val="20"/>
                <w:color w:val="auto"/>
              </w:rPr>
            </w:pPr>
            <w:r>
              <w:rPr>
                <w:rFonts w:ascii="Arial" w:cs="Arial" w:eastAsia="Arial" w:hAnsi="Arial"/>
                <w:sz w:val="18"/>
                <w:szCs w:val="18"/>
                <w:color w:val="auto"/>
                <w:w w:val="88"/>
              </w:rPr>
              <w:t>taxes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56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taxes</w:t>
            </w:r>
          </w:p>
        </w:tc>
      </w:tr>
      <w:tr>
        <w:trPr>
          <w:trHeight w:val="209"/>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5"/>
        </w:trPr>
        <w:tc>
          <w:tcPr>
            <w:tcW w:w="252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600" w:type="dxa"/>
            <w:vAlign w:val="bottom"/>
            <w:gridSpan w:val="3"/>
          </w:tcPr>
          <w:p>
            <w:pPr>
              <w:jc w:val="right"/>
              <w:ind w:right="87"/>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3,649</w:t>
            </w:r>
          </w:p>
        </w:tc>
        <w:tc>
          <w:tcPr>
            <w:tcW w:w="26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716</w:t>
            </w:r>
          </w:p>
        </w:tc>
        <w:tc>
          <w:tcPr>
            <w:tcW w:w="4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3,602</w:t>
            </w:r>
          </w:p>
        </w:tc>
        <w:tc>
          <w:tcPr>
            <w:tcW w:w="3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730</w:t>
            </w:r>
          </w:p>
        </w:tc>
      </w:tr>
      <w:tr>
        <w:trPr>
          <w:trHeight w:val="215"/>
        </w:trPr>
        <w:tc>
          <w:tcPr>
            <w:tcW w:w="2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2,000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425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1,934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399</w:t>
            </w:r>
          </w:p>
        </w:tc>
      </w:tr>
      <w:tr>
        <w:trPr>
          <w:trHeight w:val="215"/>
        </w:trPr>
        <w:tc>
          <w:tcPr>
            <w:tcW w:w="2520" w:type="dxa"/>
            <w:vAlign w:val="bottom"/>
          </w:tcPr>
          <w:p>
            <w:pPr>
              <w:ind w:left="220"/>
              <w:spacing w:after="0"/>
              <w:rPr>
                <w:sz w:val="20"/>
                <w:szCs w:val="20"/>
                <w:color w:val="auto"/>
              </w:rPr>
            </w:pPr>
            <w:r>
              <w:rPr>
                <w:rFonts w:ascii="Arial" w:cs="Arial" w:eastAsia="Arial" w:hAnsi="Arial"/>
                <w:sz w:val="18"/>
                <w:szCs w:val="18"/>
                <w:color w:val="auto"/>
              </w:rPr>
              <w:t>Europe/CIS/Africa</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714</w:t>
            </w:r>
          </w:p>
        </w:tc>
      </w:tr>
      <w:tr>
        <w:trPr>
          <w:trHeight w:val="215"/>
        </w:trPr>
        <w:tc>
          <w:tcPr>
            <w:tcW w:w="2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Middle East &amp; Asia</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2,936</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767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2,801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730</w:t>
            </w:r>
          </w:p>
        </w:tc>
      </w:tr>
      <w:tr>
        <w:trPr>
          <w:trHeight w:val="215"/>
        </w:trPr>
        <w:tc>
          <w:tcPr>
            <w:tcW w:w="2520" w:type="dxa"/>
            <w:vAlign w:val="bottom"/>
          </w:tcPr>
          <w:p>
            <w:pPr>
              <w:ind w:left="220"/>
              <w:spacing w:after="0"/>
              <w:rPr>
                <w:sz w:val="20"/>
                <w:szCs w:val="20"/>
                <w:color w:val="auto"/>
              </w:rPr>
            </w:pPr>
            <w:r>
              <w:rPr>
                <w:rFonts w:ascii="Arial" w:cs="Arial" w:eastAsia="Arial" w:hAnsi="Arial"/>
                <w:sz w:val="18"/>
                <w:szCs w:val="18"/>
                <w:color w:val="auto"/>
              </w:rPr>
              <w:t>Eliminations &amp; other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r>
      <w:tr>
        <w:trPr>
          <w:trHeight w:val="209"/>
        </w:trPr>
        <w:tc>
          <w:tcPr>
            <w:tcW w:w="25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11,906</w:t>
            </w:r>
          </w:p>
        </w:tc>
        <w:tc>
          <w:tcPr>
            <w:tcW w:w="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2,604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80" w:type="dxa"/>
            <w:vAlign w:val="bottom"/>
            <w:tcBorders>
              <w:top w:val="single" w:sz="8" w:color="CFF0FC"/>
            </w:tcBorders>
            <w:shd w:val="clear" w:color="auto" w:fill="CFF0FC"/>
          </w:tcPr>
          <w:p>
            <w:pPr>
              <w:spacing w:after="0"/>
              <w:rPr>
                <w:sz w:val="18"/>
                <w:szCs w:val="18"/>
                <w:color w:val="auto"/>
              </w:rPr>
            </w:pPr>
          </w:p>
        </w:tc>
      </w:tr>
      <w:tr>
        <w:trPr>
          <w:trHeight w:val="215"/>
        </w:trPr>
        <w:tc>
          <w:tcPr>
            <w:tcW w:w="252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(197)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r>
      <w:tr>
        <w:trPr>
          <w:trHeight w:val="215"/>
        </w:trPr>
        <w:tc>
          <w:tcPr>
            <w:tcW w:w="252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r>
      <w:tr>
        <w:trPr>
          <w:trHeight w:val="215"/>
        </w:trPr>
        <w:tc>
          <w:tcPr>
            <w:tcW w:w="252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r>
      <w:tr>
        <w:trPr>
          <w:trHeight w:val="215"/>
        </w:trPr>
        <w:tc>
          <w:tcPr>
            <w:tcW w:w="252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(152)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2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11,906</w:t>
            </w:r>
          </w:p>
        </w:tc>
        <w:tc>
          <w:tcPr>
            <w:tcW w:w="3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2,170</w:t>
            </w: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11,608</w:t>
            </w: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-11430</wp:posOffset>
            </wp:positionV>
            <wp:extent cx="4144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44645" cy="8255"/>
                    </a:xfrm>
                    <a:prstGeom prst="rect">
                      <a:avLst/>
                    </a:prstGeom>
                    <a:noFill/>
                  </pic:spPr>
                </pic:pic>
              </a:graphicData>
            </a:graphic>
          </wp:anchor>
        </w:drawing>
      </w:r>
    </w:p>
    <w:p>
      <w:pPr>
        <w:ind w:left="400" w:hanging="392"/>
        <w:spacing w:after="0" w:line="211" w:lineRule="auto"/>
        <w:tabs>
          <w:tab w:leader="none" w:pos="400" w:val="left"/>
        </w:tabs>
        <w:numPr>
          <w:ilvl w:val="0"/>
          <w:numId w:val="11"/>
        </w:numPr>
        <w:rPr>
          <w:rFonts w:ascii="Arial" w:cs="Arial" w:eastAsia="Arial" w:hAnsi="Arial"/>
          <w:sz w:val="26"/>
          <w:szCs w:val="26"/>
          <w:color w:val="auto"/>
          <w:vertAlign w:val="superscript"/>
        </w:rPr>
      </w:pPr>
      <w:r>
        <w:rPr>
          <w:rFonts w:ascii="Arial" w:cs="Arial" w:eastAsia="Arial" w:hAnsi="Arial"/>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4" w:lineRule="exact"/>
        <w:rPr>
          <w:rFonts w:ascii="Arial" w:cs="Arial" w:eastAsia="Arial" w:hAnsi="Arial"/>
          <w:sz w:val="26"/>
          <w:szCs w:val="26"/>
          <w:color w:val="auto"/>
          <w:vertAlign w:val="superscript"/>
        </w:rPr>
      </w:pPr>
    </w:p>
    <w:p>
      <w:pPr>
        <w:ind w:left="400" w:hanging="392"/>
        <w:spacing w:after="0"/>
        <w:tabs>
          <w:tab w:leader="none" w:pos="400" w:val="left"/>
        </w:tabs>
        <w:numPr>
          <w:ilvl w:val="0"/>
          <w:numId w:val="11"/>
        </w:numPr>
        <w:rPr>
          <w:rFonts w:ascii="Arial" w:cs="Arial" w:eastAsia="Arial" w:hAnsi="Arial"/>
          <w:sz w:val="26"/>
          <w:szCs w:val="26"/>
          <w:color w:val="auto"/>
          <w:vertAlign w:val="superscript"/>
        </w:rPr>
      </w:pPr>
      <w:r>
        <w:rPr>
          <w:rFonts w:ascii="Arial" w:cs="Arial" w:eastAsia="Arial" w:hAnsi="Arial"/>
          <w:sz w:val="18"/>
          <w:szCs w:val="18"/>
          <w:color w:val="auto"/>
        </w:rPr>
        <w:t>Excludes interest income included in the segments’ income (fourth quarter 2013: $4 million; third quarter 2013: $3 million).</w:t>
      </w:r>
    </w:p>
    <w:p>
      <w:pPr>
        <w:spacing w:after="0" w:line="109"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Excludes interest expense included in the segments’ income (fourth quarter 2013: $6 million; third quarter 2013: $6 million).</w:t>
      </w:r>
    </w:p>
    <w:p>
      <w:pPr>
        <w:spacing w:after="0" w:line="110"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 xml:space="preserve">Charges and credits are described in detail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-895985</wp:posOffset>
            </wp:positionV>
            <wp:extent cx="4144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4464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12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Fourth-quarter revenue of $11.91 billion increased $298 million or 3% sequentially. Approximately 75% of the sequential revenue increase came from the year-end surge in product and software sales, and 25% came from higher multiclient seismic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3"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8"/>
          <w:szCs w:val="18"/>
          <w:color w:val="auto"/>
        </w:rPr>
        <w:t>International revenue of $8.15 billion grew $235 million or 3% sequentially, while North America Area revenue of $3.65 billion increased $47 million or 1% sequentially.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Sequentially, Reservoir Characterization Group revenue grew 1% to $3.25 billion, while Drilling Group revenue of $4.50 billion was 2% higher. Production Group revenue increased 5% sequentially to $4.22 billion. The increase in Reservoir Characterization Group revenue resulted mainly from robust international end-of-year SIS software sales and an increase in WesternGeco multiclient sales. This increase, however, was largely offset by a sharp seasonal decline in WesternGeco Marine revenue on lower vessel utilization following completion of surveys in Norway and Canada. Wireline also declined sequentially on the conclusion of exploration projects in Eastern Canada and East Africa together with the seasonal slowdown in Russia. Drilling Group revenue increased on international demand for Drilling &amp; Measurements and M-I SWACO technologies in Mexico and Russia &amp; Central Asia as well as in the Middle East &amp; Asia Area. Stronger IPM project activity in Mexico, Saudi Arabia and Iraq also contributed to the increase. The increase in Production Group revenue resulted primarily from stronger Completions and Artificial Lift product year-end sales. Well Intervention Services declined mainly in North America land, while Well Services revenue grew primarily from higher activity in international markets. Well Services stage count in North America land also increased, but revenue declined from persistent pricing weakness as a result of the continuing hydraulic horsepower oversupply.</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Sequentially by Area, Middle East &amp; Asia led the increase with revenue of $2.94 billion growing 5%, mainly from the continued increase in drilling activity and the start of new IPM projects in Saudi Arabia; strong product sales and increased seismic activity in the United Arab Emirates; strong product and year-end software sales in Kuwait; strong land and offshore exploration activity in the Australasia and Thailand &amp; Myanmar GeoMarkets; and increased WesternGeco marine vessel activity in the Brunei, Malaysia &amp; Philippines GeoMarket. The increase, however, was partially reduced by a decline in revenue in Iraq from the temporary shut-down in operations linked to a security incident. In Latin America, revenue of $2.00 billion increased 3%, led by Mexico and Central America on robust deepwater exploration in addition to stronger land-based project activities. Strong IPM fracturing and drilling activity in Argentina and solid progress on SPM projects in Ecuador also contributed to the increase. Europe/CIS/Africa revenue of $3.21 billion increased 1% mainly due to robust product and software sales across the Area particularly in Continental Europe; significant testing and seismic activities in Angola; and increased offshore seismic and drilling in Azerbaijan and Turkmenistan. The increase, however, was partially reduced by seasonally lower activity in Russia and decreased WesternGeco vessel utilization following the seasonal transit of vessels out of the North Sea. North America revenue of $3.65 billion increased 1% sequentially. Land continued to experience pricing weakness in drilling, stimulation and wireline services, although the effect of this was offset by increased service intensity, improved efficiency, market share gains, new technology uptake and business expansion. Offshore revenue declined following seasonal completion of seismic and exploration campaigns in Eastern Canada while revenue in the US Gulf of Mexico grew on higher drilling and testing activities.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Fourth-quarter pretax operating income of $2.60 billion was up 4% sequentially. International pretax operating income of $1.92 billion increased 4% sequentially, while North America pretax operating income of $716 million declined 2% sequentially.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Sequentially, pretax operating margin of 21.9% increased 37 basis points (bps), as International pretax operating margin expanded 23 bps to 23.5%. Middle East &amp; Asia and Europe/CIS/Africa margins were steady at 26.1% and 22.6%, respectively, while Latin America expanded 59 bps to reach 21.2% on higher-margin exploration drilling and project activity. North America pretax operating margin declined 67 bps to 19.6% due to a seasonal holiday slowdown in activity and continued pricing weakness on land. Sequentially by segment, Reservoir Characterization Group pretax operating margin expanded 132 bps to 31.7% due to strong end-of-year sales of SIS software and WesternGeco multiclient licenses, while the pretax operating margins of the Drilling and Production Groups were 19.6% and 17.3%,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$3.25 billion increased 1% sequentially. Pretax operating income of $1.03 billion was 5% higher sequentially.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Sequentially, the increase in revenue was mainly driven by robust international end-of-year SIS software sales and an increase in WesternGeco multiclient sales. These increases, however, were largely offset by the sharp seasonal decline in WesternGeco Marine revenue on lower vessel utilization following completion of surveys in Norway and Canada. Wireline also declined sequentially on the completion of exploration projects in Eastern Canada and East Africa, and the seasonal slowdown of activity in Russia.</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Pretax operating margin of 31.7% increased 132 bps sequentially. The sequential increase from strong end-of-year sales of SIS software and WesternGeco multiclient licenses was partially offset by lower WesternGeco Marine vessel utilization and decreased Wireline high-technology activity following completion of exploration projects.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$4.50 billion was up 2% sequentially. Pretax operating income of $880 million was 2% lower sequentially.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3" w:right="239" w:bottom="1440" w:gutter="0" w:footer="0" w:header="0"/>
        </w:sectPr>
      </w:pPr>
    </w:p>
    <w:bookmarkStart w:id="16" w:name="page17"/>
    <w:bookmarkEnd w:id="16"/>
    <w:p>
      <w:pPr>
        <w:jc w:val="both"/>
        <w:spacing w:after="0" w:line="306" w:lineRule="auto"/>
        <w:rPr>
          <w:sz w:val="20"/>
          <w:szCs w:val="20"/>
          <w:color w:val="auto"/>
        </w:rPr>
      </w:pPr>
      <w:r>
        <w:rPr>
          <w:rFonts w:ascii="Arial" w:cs="Arial" w:eastAsia="Arial" w:hAnsi="Arial"/>
          <w:sz w:val="17"/>
          <w:szCs w:val="17"/>
          <w:color w:val="auto"/>
        </w:rPr>
        <w:t>Sequentially, revenue increased on international demand for Drilling &amp; Measurements and M-I SWACO technologies in Mexico and Russia &amp; Central Asia as well as in the Middle East &amp; Asia Area. Stronger IPM project activity in Mexico, Saudi Arabia and Iraq also contributed to the increase.</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Sequentially, pretax operating margin declined 69 bps to 19.6%. The sequential decline was due to operational start-up delays and the geographical mix of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$4.22 billion increased 5% sequentially. Pretax operating income of $730 million was 3% higher sequentially.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increase in revenue resulted primarily from stronger Completions and Artificial Lift product year-end sales coupled with new technology uptake and business expansion. Well Intervention Services declined mainly in North America land, while Well Services revenue grew primarily from higher activity in international markets. Well Services stage count in North America land also increased, but revenue declined from the persistent pricing weakness resulting from the continued hydraulic horsepower oversupply.</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Sequentially, pretax operating margin of 17.3% was essentially flat. The sequential result was attributable to the favorable impact of year-end Completions and Artificial Lift product sales and improved SPM profitability being fully offset by continued Well Services pricing weakness and decline in Well Intervention Services activity.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Full-Year 2013 Results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11"/>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0"/>
              </w:rPr>
              <w:t>Product Groups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78"/>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8"/>
              </w:rPr>
              <w:t>(Stated in million</w:t>
            </w:r>
            <w:r>
              <w:rPr>
                <w:rFonts w:ascii="Arial" w:cs="Arial" w:eastAsia="Arial" w:hAnsi="Arial"/>
                <w:sz w:val="17"/>
                <w:szCs w:val="17"/>
                <w:i w:val="1"/>
                <w:iCs w:val="1"/>
                <w:color w:val="auto"/>
                <w:w w:val="98"/>
              </w:rPr>
              <w:t>s)</w:t>
            </w:r>
          </w:p>
        </w:tc>
      </w:tr>
      <w:tr>
        <w:trPr>
          <w:trHeight w:val="336"/>
        </w:trPr>
        <w:tc>
          <w:tcPr>
            <w:tcW w:w="2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91"/>
              </w:rPr>
              <w:t>Income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2"/>
              <w:spacing w:after="0" w:line="195" w:lineRule="exact"/>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6"/>
                <w:szCs w:val="16"/>
                <w:color w:val="auto"/>
              </w:rPr>
            </w:pPr>
          </w:p>
        </w:tc>
      </w:tr>
      <w:tr>
        <w:trPr>
          <w:trHeight w:val="215"/>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before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0"/>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center"/>
              <w:ind w:right="820"/>
              <w:spacing w:after="0"/>
              <w:rPr>
                <w:sz w:val="20"/>
                <w:szCs w:val="20"/>
                <w:color w:val="auto"/>
              </w:rPr>
            </w:pPr>
            <w:r>
              <w:rPr>
                <w:rFonts w:ascii="Arial" w:cs="Arial" w:eastAsia="Arial" w:hAnsi="Arial"/>
                <w:sz w:val="18"/>
                <w:szCs w:val="18"/>
                <w:color w:val="auto"/>
                <w:w w:val="83"/>
              </w:rPr>
              <w:t>taxes</w:t>
            </w:r>
          </w:p>
        </w:tc>
        <w:tc>
          <w:tcPr>
            <w:tcW w:w="22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taxes</w:t>
            </w:r>
          </w:p>
        </w:tc>
      </w:tr>
      <w:tr>
        <w:trPr>
          <w:trHeight w:val="209"/>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Reservoir Characterization</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ind w:left="640"/>
              <w:spacing w:after="0"/>
              <w:rPr>
                <w:sz w:val="20"/>
                <w:szCs w:val="20"/>
                <w:color w:val="auto"/>
              </w:rPr>
            </w:pPr>
            <w:r>
              <w:rPr>
                <w:rFonts w:ascii="Arial" w:cs="Arial" w:eastAsia="Arial" w:hAnsi="Arial"/>
                <w:sz w:val="18"/>
                <w:szCs w:val="18"/>
                <w:b w:val="1"/>
                <w:bCs w:val="1"/>
                <w:color w:val="auto"/>
              </w:rPr>
              <w:t>12,246</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3,647</w:t>
            </w: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11,159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3,069</w:t>
            </w: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Drilling</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640"/>
              <w:spacing w:after="0"/>
              <w:rPr>
                <w:sz w:val="20"/>
                <w:szCs w:val="20"/>
                <w:color w:val="auto"/>
              </w:rPr>
            </w:pPr>
            <w:r>
              <w:rPr>
                <w:rFonts w:ascii="Arial" w:cs="Arial" w:eastAsia="Arial" w:hAnsi="Arial"/>
                <w:sz w:val="18"/>
                <w:szCs w:val="18"/>
                <w:b w:val="1"/>
                <w:bCs w:val="1"/>
                <w:color w:val="auto"/>
              </w:rPr>
              <w:t>17,317</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3,309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15,892</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2,789</w:t>
            </w: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Production</w:t>
            </w:r>
          </w:p>
        </w:tc>
        <w:tc>
          <w:tcPr>
            <w:tcW w:w="24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b w:val="1"/>
                <w:bCs w:val="1"/>
                <w:color w:val="auto"/>
              </w:rPr>
              <w:t>15,927</w:t>
            </w:r>
          </w:p>
        </w:tc>
        <w:tc>
          <w:tcPr>
            <w:tcW w:w="18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2,619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14,802</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2,327</w:t>
            </w: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Eliminations &amp; other</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00"/>
              <w:spacing w:after="0"/>
              <w:rPr>
                <w:sz w:val="20"/>
                <w:szCs w:val="20"/>
                <w:color w:val="auto"/>
              </w:rPr>
            </w:pPr>
            <w:r>
              <w:rPr>
                <w:rFonts w:ascii="Arial" w:cs="Arial" w:eastAsia="Arial" w:hAnsi="Arial"/>
                <w:sz w:val="18"/>
                <w:szCs w:val="18"/>
                <w:b w:val="1"/>
                <w:bCs w:val="1"/>
                <w:color w:val="auto"/>
              </w:rPr>
              <w:t>(224)</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(231)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w:t>
            </w:r>
          </w:p>
        </w:tc>
      </w:tr>
      <w:tr>
        <w:trPr>
          <w:trHeight w:val="209"/>
        </w:trPr>
        <w:tc>
          <w:tcPr>
            <w:tcW w:w="2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w w:val="83"/>
              </w:rPr>
              <w:t>45,266</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9,344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180" w:type="dxa"/>
            <w:vAlign w:val="bottom"/>
          </w:tcPr>
          <w:p>
            <w:pPr>
              <w:spacing w:after="0"/>
              <w:rPr>
                <w:sz w:val="18"/>
                <w:szCs w:val="18"/>
                <w:color w:val="auto"/>
              </w:rPr>
            </w:pP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(726)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(696)</w:t>
            </w: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240" w:type="dxa"/>
            <w:vAlign w:val="bottom"/>
          </w:tcPr>
          <w:p>
            <w:pPr>
              <w:spacing w:after="0"/>
              <w:rPr>
                <w:sz w:val="18"/>
                <w:szCs w:val="18"/>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(369)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w:t>
            </w: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240" w:type="dxa"/>
            <w:vAlign w:val="bottom"/>
          </w:tcPr>
          <w:p>
            <w:pPr>
              <w:spacing w:after="0"/>
              <w:rPr>
                <w:sz w:val="18"/>
                <w:szCs w:val="18"/>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09"/>
        </w:trPr>
        <w:tc>
          <w:tcPr>
            <w:tcW w:w="28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83"/>
              </w:rPr>
              <w:t>45,266</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8,691</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41,731</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1"/>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6"/>
              </w:rPr>
              <w:t>Geographic Areas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93"/>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w w:val="98"/>
              </w:rPr>
              <w:t>(Stated in millions)</w:t>
            </w:r>
          </w:p>
        </w:tc>
      </w:tr>
      <w:tr>
        <w:trPr>
          <w:trHeight w:val="321"/>
        </w:trPr>
        <w:tc>
          <w:tcPr>
            <w:tcW w:w="2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290"/>
              <w:spacing w:after="0" w:line="195" w:lineRule="exact"/>
              <w:rPr>
                <w:sz w:val="20"/>
                <w:szCs w:val="20"/>
                <w:color w:val="auto"/>
              </w:rPr>
            </w:pPr>
            <w:r>
              <w:rPr>
                <w:rFonts w:ascii="Arial" w:cs="Arial" w:eastAsia="Arial" w:hAnsi="Arial"/>
                <w:sz w:val="18"/>
                <w:szCs w:val="18"/>
                <w:color w:val="auto"/>
                <w:w w:val="91"/>
              </w:rPr>
              <w:t>Income</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91"/>
              </w:rPr>
              <w:t>Income</w:t>
            </w:r>
          </w:p>
        </w:tc>
        <w:tc>
          <w:tcPr>
            <w:tcW w:w="180" w:type="dxa"/>
            <w:vAlign w:val="bottom"/>
            <w:gridSpan w:val="2"/>
          </w:tcPr>
          <w:p>
            <w:pPr>
              <w:spacing w:after="0"/>
              <w:rPr>
                <w:sz w:val="16"/>
                <w:szCs w:val="16"/>
                <w:color w:val="auto"/>
              </w:rPr>
            </w:pPr>
          </w:p>
        </w:tc>
      </w:tr>
      <w:tr>
        <w:trPr>
          <w:trHeight w:val="215"/>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before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before</w:t>
            </w:r>
          </w:p>
        </w:tc>
      </w:tr>
      <w:tr>
        <w:trPr>
          <w:trHeight w:val="230"/>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8"/>
                <w:szCs w:val="18"/>
                <w:color w:val="auto"/>
                <w:w w:val="83"/>
              </w:rPr>
              <w:t>taxes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8"/>
                <w:szCs w:val="18"/>
                <w:color w:val="auto"/>
                <w:w w:val="83"/>
              </w:rPr>
              <w:t>taxes</w:t>
            </w:r>
          </w:p>
        </w:tc>
      </w:tr>
      <w:tr>
        <w:trPr>
          <w:trHeight w:val="209"/>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13,897</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2,735</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13,535</w:t>
            </w:r>
          </w:p>
        </w:tc>
        <w:tc>
          <w:tcPr>
            <w:tcW w:w="5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2,737</w:t>
            </w:r>
          </w:p>
        </w:tc>
        <w:tc>
          <w:tcPr>
            <w:tcW w:w="160" w:type="dxa"/>
            <w:vAlign w:val="bottom"/>
          </w:tcPr>
          <w:p>
            <w:pPr>
              <w:spacing w:after="0"/>
              <w:rPr>
                <w:sz w:val="18"/>
                <w:szCs w:val="18"/>
                <w:color w:val="auto"/>
              </w:rPr>
            </w:pP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7,751</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b w:val="1"/>
                <w:bCs w:val="1"/>
                <w:color w:val="auto"/>
              </w:rPr>
              <w:t>1,589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w:t>
            </w:r>
          </w:p>
        </w:tc>
        <w:tc>
          <w:tcPr>
            <w:tcW w:w="160" w:type="dxa"/>
            <w:vAlign w:val="bottom"/>
            <w:shd w:val="clear" w:color="auto" w:fill="CFF0FC"/>
          </w:tcPr>
          <w:p>
            <w:pPr>
              <w:spacing w:after="0"/>
              <w:rPr>
                <w:sz w:val="18"/>
                <w:szCs w:val="18"/>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Europe/CIS/Africa</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12,366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2,589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18"/>
                <w:szCs w:val="18"/>
                <w:color w:val="auto"/>
              </w:rPr>
            </w:pP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Middle East &amp; Asia</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10,810</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b w:val="1"/>
                <w:bCs w:val="1"/>
                <w:color w:val="auto"/>
              </w:rPr>
              <w:t>2,700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8,775</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FF0FC"/>
          </w:tcPr>
          <w:p>
            <w:pPr>
              <w:spacing w:after="0"/>
              <w:rPr>
                <w:sz w:val="18"/>
                <w:szCs w:val="18"/>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Eliminations &amp; other</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r>
      <w:tr>
        <w:trPr>
          <w:trHeight w:val="209"/>
        </w:trPr>
        <w:tc>
          <w:tcPr>
            <w:tcW w:w="2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45,266</w:t>
            </w: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9,344</w:t>
            </w:r>
          </w:p>
        </w:tc>
        <w:tc>
          <w:tcPr>
            <w:tcW w:w="3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41,731</w:t>
            </w: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w:t>
            </w:r>
          </w:p>
        </w:tc>
        <w:tc>
          <w:tcPr>
            <w:tcW w:w="180" w:type="dxa"/>
            <w:vAlign w:val="bottom"/>
            <w:tcBorders>
              <w:top w:val="single" w:sz="8" w:color="CFF0FC"/>
            </w:tcBorders>
            <w:gridSpan w:val="2"/>
            <w:shd w:val="clear" w:color="auto" w:fill="CFF0FC"/>
          </w:tcPr>
          <w:p>
            <w:pPr>
              <w:spacing w:after="0"/>
              <w:rPr>
                <w:sz w:val="18"/>
                <w:szCs w:val="18"/>
                <w:color w:val="auto"/>
              </w:rPr>
            </w:pP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(726)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(696)</w:t>
            </w: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8"/>
                <w:szCs w:val="18"/>
                <w:color w:val="auto"/>
              </w:rPr>
            </w:pP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(331)</w:t>
            </w: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b w:val="1"/>
                <w:bCs w:val="1"/>
                <w:color w:val="auto"/>
              </w:rPr>
              <w:t>420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(161)</w:t>
            </w:r>
          </w:p>
        </w:tc>
      </w:tr>
      <w:tr>
        <w:trPr>
          <w:trHeight w:val="209"/>
        </w:trPr>
        <w:tc>
          <w:tcPr>
            <w:tcW w:w="28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45,266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8,691</w:t>
            </w:r>
          </w:p>
        </w:tc>
        <w:tc>
          <w:tcPr>
            <w:tcW w:w="3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380" w:type="dxa"/>
            <w:vAlign w:val="bottom"/>
            <w:gridSpan w:val="2"/>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3" w:lineRule="exact"/>
        <w:rPr>
          <w:sz w:val="20"/>
          <w:szCs w:val="20"/>
          <w:color w:val="auto"/>
        </w:rPr>
      </w:pPr>
    </w:p>
    <w:p>
      <w:pPr>
        <w:ind w:left="400" w:hanging="392"/>
        <w:spacing w:after="0" w:line="211" w:lineRule="auto"/>
        <w:tabs>
          <w:tab w:leader="none" w:pos="400" w:val="left"/>
        </w:tabs>
        <w:numPr>
          <w:ilvl w:val="0"/>
          <w:numId w:val="12"/>
        </w:numPr>
        <w:rPr>
          <w:rFonts w:ascii="Arial" w:cs="Arial" w:eastAsia="Arial" w:hAnsi="Arial"/>
          <w:sz w:val="26"/>
          <w:szCs w:val="26"/>
          <w:color w:val="auto"/>
          <w:vertAlign w:val="superscript"/>
        </w:rPr>
      </w:pPr>
      <w:r>
        <w:rPr>
          <w:rFonts w:ascii="Arial" w:cs="Arial" w:eastAsia="Arial" w:hAnsi="Arial"/>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4" w:lineRule="exact"/>
        <w:rPr>
          <w:rFonts w:ascii="Arial" w:cs="Arial" w:eastAsia="Arial" w:hAnsi="Arial"/>
          <w:sz w:val="26"/>
          <w:szCs w:val="26"/>
          <w:color w:val="auto"/>
          <w:vertAlign w:val="superscript"/>
        </w:rPr>
      </w:pPr>
    </w:p>
    <w:p>
      <w:pPr>
        <w:ind w:left="400" w:hanging="392"/>
        <w:spacing w:after="0"/>
        <w:tabs>
          <w:tab w:leader="none" w:pos="400" w:val="left"/>
        </w:tabs>
        <w:numPr>
          <w:ilvl w:val="0"/>
          <w:numId w:val="12"/>
        </w:numPr>
        <w:rPr>
          <w:rFonts w:ascii="Arial" w:cs="Arial" w:eastAsia="Arial" w:hAnsi="Arial"/>
          <w:sz w:val="26"/>
          <w:szCs w:val="26"/>
          <w:color w:val="auto"/>
          <w:vertAlign w:val="superscript"/>
        </w:rPr>
      </w:pPr>
      <w:r>
        <w:rPr>
          <w:rFonts w:ascii="Arial" w:cs="Arial" w:eastAsia="Arial" w:hAnsi="Arial"/>
          <w:sz w:val="18"/>
          <w:szCs w:val="18"/>
          <w:color w:val="auto"/>
        </w:rPr>
        <w:t>Excludes interest income included in the segments’ income (2013: $11 million; 2012: $- million).</w:t>
      </w:r>
    </w:p>
    <w:p>
      <w:pPr>
        <w:spacing w:after="0" w:line="109"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Excludes interest expense included in the segments’ income (2013: $22 million; 2012: $9 million).</w:t>
      </w:r>
    </w:p>
    <w:p>
      <w:pPr>
        <w:spacing w:after="0" w:line="110"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 xml:space="preserve">Charges and credits are described in detail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Full-year 2013 revenue of $45.27 billion increased 8% versus the same period last year with international revenue 11% higher and North America Area revenue increasing 3%.</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Internationally, higher exploration and development activities in a number of GeoMarkets, both offshore and in key land markets, contributed to the increase. The increase was led by the Middle East &amp; Asia which increased 23%, mainly from robust results across a diversified portfolio of projects and activities in Saudi Arabia, Iraq, and United Arab Emirates; increased seismic surveys across Asia; and sustained land and offshore drilling activity in the Australasia and China GeoMarkets. Europe/CIS/Africa increased 8%, led by the Russia and Central Asia region on strong land activity in West Siberia and robust offshore projects in Sakhalin. The Sub-Saharan Africa region increased on strong development, exploration and seismic activities as well. Latin America was 3% higher, mainly due to solid progress on an SPM project in Ecuador and strong IPM results in Argentina.</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North America growth was driven by increased offshore revenue as a result of higher drilling and exploration activities. This increase was largely offset by a decline in land as a result of a reduction in rig count and pricing weakness in the areas of drilling, stimulation and wireline, although the downward pricing trend slowed during the second and third quarters.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Full-year 2013 pretax operating income of $9.34 billion increased 15% versus the same period last year as international pretax operating income of $6.88 billion increased 24%, while North America pretax operating income of $2.7 billion was flat.</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Pretax operating margin of 20.6% increased 119 bps, as international pretax operating margin expanded 225 bps to 22.2% while North America pretax operating margin declined 55 bps to 19.7%. The expansion in international margins was due to increased high-margin exploration, seismic and deepwater activities while the North American margin contraction was due to continued pricing pressure.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Full-year revenue of $12.25 billion was 10% higher than the same period last year led by Testing Services, WesternGeco, Wireline and SIS Technologies primarily due to market share gains and higher exploration activity in both offshore and key international land markets.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Pretax operating margin increased 228 bps to 29.8% largely due to the higher-margin exploration activities that benefited Testing Services and Wireline Technologies.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2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Drilling Group</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Full-year revenue of $17.32 billion was 9% higher than the previous year primarily due to the robust demand for Drilling &amp; Measurements services as offshore drilling activity strengthened in the US Gulf of Mexico, Sub-Sahara Africa, Russia and the Middle East &amp; Asia Area and rig count increases in key international land markets, namely in Saudi Arabia, China and Australia. Drilling Tools &amp; Remedial and M-I SWACO Technologies expanded across all Areas and IPM increased on projects in Iraq, Australia and Argentina.</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Pretax operating margin increased 156 bps to 19.1% primarily due to Drilling &amp; Measurements, which benefited from higher-margin exploration activities both in North America offshore and in the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Full-year revenue of $15.93 billion increased 8% year-on-year on increased Well Intervention activity and strong international sales of Completion and Artificial Lift products and Well Services technologies. SPM also posted strong growth. While North America land rig count declined, well and stage counts increased through drilling efficiency. Despite the efficiency-driven activity increase, Well Services revenue in North America declined due to pricing weakness.</w:t>
      </w:r>
    </w:p>
    <w:p>
      <w:pPr>
        <w:spacing w:after="0" w:line="18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Pretax operating margin increased slightly by 72 bps to 16.4%. Margin expanded as a result of improved profitability in SPM, Completions and Artificial Lift, partially offset by a margin decline in Well Services technologies, primarily in North America, as a result of pricing pressure and cost inflation.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Full-Year 2012 Results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03"/>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0"/>
              </w:rPr>
              <w:t>Product Groups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1"/>
        </w:trPr>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8"/>
              </w:rPr>
              <w:t>(Stated in millions)</w:t>
            </w:r>
          </w:p>
        </w:tc>
      </w:tr>
      <w:tr>
        <w:trPr>
          <w:trHeight w:val="321"/>
        </w:trPr>
        <w:tc>
          <w:tcPr>
            <w:tcW w:w="2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w w:val="94"/>
              </w:rPr>
              <w:t>2012</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91"/>
              </w:rPr>
              <w:t>Income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2"/>
              <w:spacing w:after="0" w:line="195" w:lineRule="exact"/>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6"/>
                <w:szCs w:val="16"/>
                <w:color w:val="auto"/>
              </w:rPr>
            </w:pPr>
          </w:p>
        </w:tc>
      </w:tr>
      <w:tr>
        <w:trPr>
          <w:trHeight w:val="215"/>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before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r>
      <w:tr>
        <w:trPr>
          <w:trHeight w:val="230"/>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center"/>
              <w:ind w:right="820"/>
              <w:spacing w:after="0"/>
              <w:rPr>
                <w:sz w:val="20"/>
                <w:szCs w:val="20"/>
                <w:color w:val="auto"/>
              </w:rPr>
            </w:pPr>
            <w:r>
              <w:rPr>
                <w:rFonts w:ascii="Arial" w:cs="Arial" w:eastAsia="Arial" w:hAnsi="Arial"/>
                <w:sz w:val="18"/>
                <w:szCs w:val="18"/>
                <w:color w:val="auto"/>
                <w:w w:val="83"/>
              </w:rPr>
              <w:t>taxes</w:t>
            </w:r>
          </w:p>
        </w:tc>
        <w:tc>
          <w:tcPr>
            <w:tcW w:w="2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taxes</w:t>
            </w:r>
          </w:p>
        </w:tc>
      </w:tr>
      <w:tr>
        <w:trPr>
          <w:trHeight w:val="209"/>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Reservoir Characterization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640"/>
              <w:spacing w:after="0"/>
              <w:rPr>
                <w:sz w:val="20"/>
                <w:szCs w:val="20"/>
                <w:color w:val="auto"/>
              </w:rPr>
            </w:pPr>
            <w:r>
              <w:rPr>
                <w:rFonts w:ascii="Arial" w:cs="Arial" w:eastAsia="Arial" w:hAnsi="Arial"/>
                <w:sz w:val="18"/>
                <w:szCs w:val="18"/>
                <w:color w:val="auto"/>
                <w:w w:val="83"/>
              </w:rPr>
              <w:t>11,159</w:t>
            </w:r>
          </w:p>
        </w:tc>
        <w:tc>
          <w:tcPr>
            <w:tcW w:w="4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9,740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2,347</w:t>
            </w: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Drilling</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15,892</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2,789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2,218</w:t>
            </w: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Production</w:t>
            </w:r>
          </w:p>
        </w:tc>
        <w:tc>
          <w:tcPr>
            <w:tcW w:w="24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14,802</w:t>
            </w:r>
          </w:p>
        </w:tc>
        <w:tc>
          <w:tcPr>
            <w:tcW w:w="18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2,554</w:t>
            </w: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Eliminations &amp; other</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r>
      <w:tr>
        <w:trPr>
          <w:trHeight w:val="209"/>
        </w:trPr>
        <w:tc>
          <w:tcPr>
            <w:tcW w:w="2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3"/>
              </w:rPr>
              <w:t>41,731</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80" w:type="dxa"/>
            <w:vAlign w:val="bottom"/>
          </w:tcPr>
          <w:p>
            <w:pPr>
              <w:spacing w:after="0"/>
              <w:rPr>
                <w:sz w:val="18"/>
                <w:szCs w:val="18"/>
                <w:color w:val="auto"/>
              </w:rPr>
            </w:pP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(590)</w:t>
            </w: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240" w:type="dxa"/>
            <w:vAlign w:val="bottom"/>
          </w:tcPr>
          <w:p>
            <w:pPr>
              <w:spacing w:after="0"/>
              <w:rPr>
                <w:sz w:val="18"/>
                <w:szCs w:val="18"/>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(290)</w:t>
            </w: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240" w:type="dxa"/>
            <w:vAlign w:val="bottom"/>
          </w:tcPr>
          <w:p>
            <w:pPr>
              <w:spacing w:after="0"/>
              <w:rPr>
                <w:sz w:val="18"/>
                <w:szCs w:val="18"/>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r>
      <w:tr>
        <w:trPr>
          <w:trHeight w:val="209"/>
        </w:trPr>
        <w:tc>
          <w:tcPr>
            <w:tcW w:w="28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3"/>
              </w:rPr>
              <w:t>41,731</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1"/>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19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336"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6"/>
              </w:rPr>
              <w:t>Geographic Areas</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i w:val="1"/>
                <w:iCs w:val="1"/>
                <w:color w:val="auto"/>
                <w:w w:val="99"/>
              </w:rPr>
              <w:t>(Stated in millions</w:t>
            </w:r>
            <w:r>
              <w:rPr>
                <w:rFonts w:ascii="Arial" w:cs="Arial" w:eastAsia="Arial" w:hAnsi="Arial"/>
                <w:sz w:val="17"/>
                <w:szCs w:val="17"/>
                <w:i w:val="1"/>
                <w:iCs w:val="1"/>
                <w:color w:val="auto"/>
                <w:w w:val="99"/>
              </w:rPr>
              <w:t>)</w:t>
            </w: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2012</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290"/>
              <w:spacing w:after="0" w:line="195" w:lineRule="exact"/>
              <w:rPr>
                <w:sz w:val="20"/>
                <w:szCs w:val="20"/>
                <w:color w:val="auto"/>
              </w:rPr>
            </w:pPr>
            <w:r>
              <w:rPr>
                <w:rFonts w:ascii="Arial" w:cs="Arial" w:eastAsia="Arial" w:hAnsi="Arial"/>
                <w:sz w:val="18"/>
                <w:szCs w:val="18"/>
                <w:color w:val="auto"/>
                <w:w w:val="91"/>
              </w:rPr>
              <w:t>Income</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91"/>
              </w:rPr>
              <w:t>Income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before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8"/>
                <w:szCs w:val="18"/>
                <w:color w:val="auto"/>
                <w:w w:val="83"/>
              </w:rPr>
              <w:t>taxes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w w:val="83"/>
              </w:rPr>
              <w:t>taxes</w:t>
            </w:r>
          </w:p>
        </w:tc>
        <w:tc>
          <w:tcPr>
            <w:tcW w:w="0" w:type="dxa"/>
            <w:vAlign w:val="bottom"/>
          </w:tcPr>
          <w:p>
            <w:pPr>
              <w:spacing w:after="0"/>
              <w:rPr>
                <w:sz w:val="1"/>
                <w:szCs w:val="1"/>
                <w:color w:val="auto"/>
              </w:rPr>
            </w:pPr>
          </w:p>
        </w:tc>
      </w:tr>
      <w:tr>
        <w:trPr>
          <w:trHeight w:val="209"/>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w w:val="87"/>
              </w:rPr>
              <w:t>13,535</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2,737</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12,378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Latin America</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88"/>
              </w:rPr>
              <w:t>7,554</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1,387</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6,467</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Europe/CIS/Africa</w:t>
            </w:r>
          </w:p>
        </w:tc>
        <w:tc>
          <w:tcPr>
            <w:tcW w:w="24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w w:val="83"/>
              </w:rPr>
              <w:t>11,444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2,245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Middle East &amp; Asia</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88"/>
              </w:rPr>
              <w:t>8,775</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1,921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ind w:left="220"/>
              <w:spacing w:after="0"/>
              <w:rPr>
                <w:sz w:val="20"/>
                <w:szCs w:val="20"/>
                <w:color w:val="auto"/>
              </w:rPr>
            </w:pPr>
            <w:r>
              <w:rPr>
                <w:rFonts w:ascii="Arial" w:cs="Arial" w:eastAsia="Arial" w:hAnsi="Arial"/>
                <w:sz w:val="18"/>
                <w:szCs w:val="18"/>
                <w:color w:val="auto"/>
              </w:rPr>
              <w:t>Eliminations &amp; other</w:t>
            </w:r>
          </w:p>
        </w:tc>
        <w:tc>
          <w:tcPr>
            <w:tcW w:w="24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w w:val="86"/>
              </w:rPr>
              <w:t>423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9"/>
        </w:trPr>
        <w:tc>
          <w:tcPr>
            <w:tcW w:w="2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3"/>
              </w:rPr>
              <w:t>41,731</w:t>
            </w:r>
          </w:p>
        </w:tc>
        <w:tc>
          <w:tcPr>
            <w:tcW w:w="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8,117</w:t>
            </w:r>
          </w:p>
        </w:tc>
        <w:tc>
          <w:tcPr>
            <w:tcW w:w="3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7,084</w:t>
            </w: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Corporate &amp; other </w:t>
            </w:r>
            <w:r>
              <w:rPr>
                <w:rFonts w:ascii="Arial" w:cs="Arial" w:eastAsia="Arial" w:hAnsi="Arial"/>
                <w:sz w:val="24"/>
                <w:szCs w:val="24"/>
                <w:b w:val="1"/>
                <w:bCs w:val="1"/>
                <w:color w:val="auto"/>
                <w:vertAlign w:val="superscript"/>
              </w:rPr>
              <w:t>(1)</w:t>
            </w:r>
          </w:p>
        </w:tc>
        <w:tc>
          <w:tcPr>
            <w:tcW w:w="24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24"/>
                <w:szCs w:val="24"/>
                <w:b w:val="1"/>
                <w:bCs w:val="1"/>
                <w:color w:val="auto"/>
                <w:vertAlign w:val="superscript"/>
              </w:rPr>
              <w:t>(2)</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line="216" w:lineRule="exact"/>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24"/>
                <w:szCs w:val="24"/>
                <w:b w:val="1"/>
                <w:bCs w:val="1"/>
                <w:color w:val="auto"/>
                <w:vertAlign w:val="superscript"/>
              </w:rPr>
              <w:t>(3)</w:t>
            </w:r>
          </w:p>
        </w:tc>
        <w:tc>
          <w:tcPr>
            <w:tcW w:w="24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spacing w:after="0" w:line="216" w:lineRule="exact"/>
              <w:rPr>
                <w:sz w:val="20"/>
                <w:szCs w:val="20"/>
                <w:color w:val="auto"/>
              </w:rPr>
            </w:pPr>
            <w:r>
              <w:rPr>
                <w:rFonts w:ascii="Arial" w:cs="Arial" w:eastAsia="Arial" w:hAnsi="Arial"/>
                <w:sz w:val="17"/>
                <w:szCs w:val="17"/>
                <w:b w:val="1"/>
                <w:bCs w:val="1"/>
                <w:color w:val="auto"/>
              </w:rPr>
              <w:t xml:space="preserve">Charges &amp; credits </w:t>
            </w:r>
            <w:r>
              <w:rPr>
                <w:rFonts w:ascii="Arial" w:cs="Arial" w:eastAsia="Arial" w:hAnsi="Arial"/>
                <w:sz w:val="24"/>
                <w:szCs w:val="24"/>
                <w:b w:val="1"/>
                <w:bCs w:val="1"/>
                <w:color w:val="auto"/>
                <w:vertAlign w:val="superscript"/>
              </w:rPr>
              <w:t>(4)</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3"/>
              </w:rPr>
              <w:t>41,731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6,959</w:t>
            </w:r>
          </w:p>
        </w:tc>
        <w:tc>
          <w:tcPr>
            <w:tcW w:w="3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38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00" w:hanging="392"/>
        <w:spacing w:after="0" w:line="211" w:lineRule="auto"/>
        <w:tabs>
          <w:tab w:leader="none" w:pos="400" w:val="left"/>
        </w:tabs>
        <w:numPr>
          <w:ilvl w:val="0"/>
          <w:numId w:val="13"/>
        </w:numPr>
        <w:rPr>
          <w:rFonts w:ascii="Arial" w:cs="Arial" w:eastAsia="Arial" w:hAnsi="Arial"/>
          <w:sz w:val="26"/>
          <w:szCs w:val="26"/>
          <w:color w:val="auto"/>
          <w:vertAlign w:val="superscript"/>
        </w:rPr>
      </w:pPr>
      <w:r>
        <w:rPr>
          <w:rFonts w:ascii="Arial" w:cs="Arial" w:eastAsia="Arial" w:hAnsi="Arial"/>
          <w:sz w:val="18"/>
          <w:szCs w:val="18"/>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24" w:lineRule="exact"/>
        <w:rPr>
          <w:rFonts w:ascii="Arial" w:cs="Arial" w:eastAsia="Arial" w:hAnsi="Arial"/>
          <w:sz w:val="26"/>
          <w:szCs w:val="26"/>
          <w:color w:val="auto"/>
          <w:vertAlign w:val="superscript"/>
        </w:rPr>
      </w:pPr>
    </w:p>
    <w:p>
      <w:pPr>
        <w:ind w:left="400" w:hanging="392"/>
        <w:spacing w:after="0"/>
        <w:tabs>
          <w:tab w:leader="none" w:pos="400" w:val="left"/>
        </w:tabs>
        <w:numPr>
          <w:ilvl w:val="0"/>
          <w:numId w:val="13"/>
        </w:numPr>
        <w:rPr>
          <w:rFonts w:ascii="Arial" w:cs="Arial" w:eastAsia="Arial" w:hAnsi="Arial"/>
          <w:sz w:val="26"/>
          <w:szCs w:val="26"/>
          <w:color w:val="auto"/>
          <w:vertAlign w:val="superscript"/>
        </w:rPr>
      </w:pPr>
      <w:r>
        <w:rPr>
          <w:rFonts w:ascii="Arial" w:cs="Arial" w:eastAsia="Arial" w:hAnsi="Arial"/>
          <w:sz w:val="18"/>
          <w:szCs w:val="18"/>
          <w:color w:val="auto"/>
        </w:rPr>
        <w:t>Excludes interest income included in the segments’ income (2012: $- million; 2011: $3 million).</w:t>
      </w:r>
    </w:p>
    <w:p>
      <w:pPr>
        <w:spacing w:after="0" w:line="109"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Excludes interest expense included in the segments’ income (2012: $9 million; 2011: $8 million).</w:t>
      </w:r>
    </w:p>
    <w:p>
      <w:pPr>
        <w:spacing w:after="0" w:line="110"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 xml:space="preserve">Charges and credits are described in detail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Full-year 2012 revenue of $41.73 billion increased 14% versus the same period last year with North America Area 9% higher and international activity 16% higher. Internationally, higher exploration and development activities in a number of GeoMarkets both offshore and in key land markets contributed to the increase. The increase was led by the Europe/CIS/Africa Area which increased 18%, mainly in Russia and in the Nigeria &amp; Gulf of Guinea, Angola, the East Africa and North Sea GeoMarkets. Latin America was higher by 17%, mainly in the Mexico &amp; Central America; Venezuela, Trinidad &amp; Tobago; and Ecuador GeoMarkets driven by strong IPM activity on land and robust offshore activity for Wireline and Drilling Group services and products. Middle East &amp; Asia increased 14% on strong results in the Saudi Arabia &amp; Bahrain; Australasia; Brunei, Malaysia &amp; Philippines; and China GeoMarkets. The increase in North America was due to strong growth in North America offshore driven by robust deepwater and exploration activity that benefited the Reservoir Characterization and Drilling Groups Technologies. There was also an improvement in activity in North America land for the Production Group Technologies although the increase slowed in the second half of the year due to the weakness in the hydraulic fracturing market.</w:t>
      </w:r>
    </w:p>
    <w:p>
      <w:pPr>
        <w:spacing w:after="0" w:line="18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Full-year 2012 pretax operating income of $8.1 billion increased 15% year-on-year as international pretax operating income of $5.6 billion increased 32% while North America pretax operating income of $2.7 billion declined by 10% year-on-year.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Pretax operating margin was essentially flat at 19.5% as international pretax operating margin expanded 238 bps to 20.0% while North America pretax operating margin declined 441 bps to 20.2%. Europe/CIS/Africa posted a 435 bps improvement to reach 19.6% and Latin America increased 175 bps to 18.4% and Middle East &amp; Asia reported a 48 bps increase to 21.9%. North America margin decline was due to Well Services production technologies, as a result of pricing pressure and cost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Full-year revenue of $11.16 billion was 15% higher than the same period last year led by Wireline, Testing Services, WesternGeco and SIS Technologies driven by improved offshore exploration activities across all Areas.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Pretax operating margin increased 340 bps to 27.5% largely due to the higher-margin exploration activities that benefited Wireline and Testing Services, higher SIS software sales, higher WesternGeco marine vessel utilization and improved UniQ land seismic productivity.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5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Drilling Group</w:t>
      </w:r>
    </w:p>
    <w:p>
      <w:pPr>
        <w:spacing w:after="0" w:line="12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Full-year revenue of $15.89 billion was 15% higher than the previous year primarily due to the significantly improved exploration and development activities of M-I SWACO, Drilling &amp; Measurements, and the other Drilling Group Technologies in North America offshore and in the international markets.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Pretax operating margin increased 145 bps to 17.6% primarily due to the increase in higher-margin activities of Drilling &amp; Measurements, M-I SWACO and Drilling Tools &amp; Remedial technologies - all of which benefited from exploration activities in North America offshore and in the international markets - mainly in the Europe/CIS/Africa Area.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Full-year revenue of $14.80 billion increased 14% year-on-year, both in North America and the international markets. Well Intervention, Artificial Lift and Completions Technologies posted strong growth across all Areas. Well Services grew both in North America and internationally, with international growth led by Latin America and Europe/CIS/Africa.</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Pretax operating margin decreased 388 bps to 15.7% mainly due to a decline in margins for Well Services production technologies, primarily in North America, as a result of pricing pressure and cost inflation. This was mitigated by margin expansion for the other Production Group Technologies led by Well Intervention Services and Completions.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6960" w:type="dxa"/>
            <w:vAlign w:val="bottom"/>
            <w:tcBorders>
              <w:bottom w:val="single" w:sz="8" w:color="CFF0FC"/>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FF0FC"/>
            </w:tcBorders>
          </w:tcPr>
          <w:p>
            <w:pPr>
              <w:spacing w:after="0"/>
              <w:rPr>
                <w:sz w:val="24"/>
                <w:szCs w:val="24"/>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21"/>
                <w:szCs w:val="2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6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132</w:t>
            </w: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r>
      <w:tr>
        <w:trPr>
          <w:trHeight w:val="209"/>
        </w:trPr>
        <w:tc>
          <w:tcPr>
            <w:tcW w:w="696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165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Interest expense of $391 million in 2013 increased by $51 million compared to 2012 primarily due to an increase in the weighted average debt balance of approximately $1.2 billion combined with a 0.1% increase in the weighted average borrowing rates from 3.1% in 2012 to 3.2% in 2013.</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Interest expense of $340 million in 2012 increased by $42 million compared to 2011 primarily due to the $1 billion of 1.25% Senior Notes due 2017 and $1 billion of 2.40% Senior Notes due 2022 that Schlumberger issued during 2012.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CFF0FC"/>
            </w:tcBorders>
          </w:tcPr>
          <w:p>
            <w:pPr>
              <w:spacing w:after="0"/>
              <w:rPr>
                <w:sz w:val="20"/>
                <w:szCs w:val="20"/>
                <w:color w:val="auto"/>
              </w:rPr>
            </w:pPr>
          </w:p>
        </w:tc>
      </w:tr>
      <w:tr>
        <w:trPr>
          <w:trHeight w:val="276"/>
        </w:trPr>
        <w:tc>
          <w:tcPr>
            <w:tcW w:w="65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Research &amp; engineering</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r>
      <w:tr>
        <w:trPr>
          <w:trHeight w:val="234"/>
        </w:trPr>
        <w:tc>
          <w:tcPr>
            <w:tcW w:w="65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Schlumberger effective tax rate was 21.3% in 2013, 24.4% in 2012, and 24.8% in 2011.</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effective tax rate for 2013 was significantly impacted by the charges and credits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These charges and credits reduced the effective tax rate in 2013 by approximately two percentage points. The decrease in the effective tax rate, excluding the impact of the charges and credits, from 2012 to 2013 was primarily attributable to the fact that Schlumberger generated a smaller proportion of its pretax earnings in North America in 2013 as compared to 2012.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Schlumberger recorded significant charges and credits in continuing operations during 2013, 2012 and 2011.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2013 charges and credits: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8"/>
          </w:tcPr>
          <w:p>
            <w:pPr>
              <w:ind w:left="40"/>
              <w:spacing w:after="0"/>
              <w:rPr>
                <w:sz w:val="20"/>
                <w:szCs w:val="20"/>
                <w:color w:val="auto"/>
              </w:rPr>
            </w:pPr>
            <w:r>
              <w:rPr>
                <w:rFonts w:ascii="Arial" w:cs="Arial" w:eastAsia="Arial" w:hAnsi="Arial"/>
                <w:sz w:val="14"/>
                <w:szCs w:val="14"/>
                <w:i w:val="1"/>
                <w:iCs w:val="1"/>
                <w:color w:val="auto"/>
                <w:w w:val="97"/>
              </w:rPr>
              <w:t>(Stated in millions)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3"/>
          </w:tcPr>
          <w:p>
            <w:pPr>
              <w:ind w:left="80"/>
              <w:spacing w:after="0"/>
              <w:rPr>
                <w:sz w:val="20"/>
                <w:szCs w:val="20"/>
                <w:color w:val="auto"/>
              </w:rPr>
            </w:pPr>
            <w:r>
              <w:rPr>
                <w:rFonts w:ascii="Arial" w:cs="Arial" w:eastAsia="Arial" w:hAnsi="Arial"/>
                <w:sz w:val="18"/>
                <w:szCs w:val="18"/>
                <w:i w:val="1"/>
                <w:iCs w:val="1"/>
                <w:color w:val="auto"/>
              </w:rPr>
              <w:t>Consolidated Statement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Pretax</w:t>
            </w:r>
          </w:p>
        </w:tc>
        <w:tc>
          <w:tcPr>
            <w:tcW w:w="1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Tax</w:t>
            </w:r>
          </w:p>
        </w:tc>
        <w:tc>
          <w:tcPr>
            <w:tcW w:w="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Net</w:t>
            </w:r>
          </w:p>
        </w:tc>
        <w:tc>
          <w:tcPr>
            <w:tcW w:w="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c>
          <w:tcPr>
            <w:tcW w:w="0" w:type="dxa"/>
            <w:vAlign w:val="bottom"/>
          </w:tcPr>
          <w:p>
            <w:pPr>
              <w:spacing w:after="0"/>
              <w:rPr>
                <w:sz w:val="1"/>
                <w:szCs w:val="1"/>
                <w:color w:val="auto"/>
              </w:rPr>
            </w:pPr>
          </w:p>
        </w:tc>
      </w:tr>
      <w:tr>
        <w:trPr>
          <w:trHeight w:val="29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(1,028)</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120" w:type="dxa"/>
            <w:vAlign w:val="bottom"/>
            <w:gridSpan w:val="8"/>
            <w:shd w:val="clear" w:color="auto" w:fill="CFF0FC"/>
          </w:tcPr>
          <w:p>
            <w:pPr>
              <w:ind w:left="320"/>
              <w:spacing w:after="0"/>
              <w:rPr>
                <w:sz w:val="20"/>
                <w:szCs w:val="20"/>
                <w:color w:val="auto"/>
              </w:rPr>
            </w:pPr>
            <w:r>
              <w:rPr>
                <w:rFonts w:ascii="Arial" w:cs="Arial" w:eastAsia="Arial" w:hAnsi="Arial"/>
                <w:sz w:val="18"/>
                <w:szCs w:val="18"/>
                <w:color w:val="auto"/>
              </w:rPr>
              <w:t xml:space="preserve">(1,028)  </w:t>
            </w: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3200" w:type="dxa"/>
            <w:vAlign w:val="bottom"/>
            <w:gridSpan w:val="3"/>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accounts receivable</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8"/>
                <w:szCs w:val="18"/>
                <w:color w:val="auto"/>
              </w:rPr>
            </w:pPr>
          </w:p>
        </w:tc>
        <w:tc>
          <w:tcPr>
            <w:tcW w:w="3200" w:type="dxa"/>
            <w:vAlign w:val="bottom"/>
            <w:gridSpan w:val="3"/>
            <w:shd w:val="clear" w:color="auto" w:fill="CFF0FC"/>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Currency devaluation loss in Venezuela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3200" w:type="dxa"/>
            <w:vAlign w:val="bottom"/>
            <w:gridSpan w:val="3"/>
          </w:tcPr>
          <w:p>
            <w:pPr>
              <w:ind w:left="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9"/>
        </w:trPr>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(420)</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w w:val="94"/>
              </w:rPr>
              <w:t>The following is a summary of the 2012 charges and credits:</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10"/>
          </w:tcPr>
          <w:p>
            <w:pPr>
              <w:ind w:left="20"/>
              <w:spacing w:after="0"/>
              <w:rPr>
                <w:sz w:val="20"/>
                <w:szCs w:val="20"/>
                <w:color w:val="auto"/>
              </w:rPr>
            </w:pPr>
            <w:r>
              <w:rPr>
                <w:rFonts w:ascii="Arial" w:cs="Arial" w:eastAsia="Arial" w:hAnsi="Arial"/>
                <w:sz w:val="14"/>
                <w:szCs w:val="14"/>
                <w:i w:val="1"/>
                <w:iCs w:val="1"/>
                <w:color w:val="auto"/>
              </w:rPr>
              <w:t>(Stated in millions)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Arial" w:cs="Arial" w:eastAsia="Arial" w:hAnsi="Arial"/>
                <w:sz w:val="18"/>
                <w:szCs w:val="18"/>
                <w:i w:val="1"/>
                <w:iCs w:val="1"/>
                <w:color w:val="auto"/>
              </w:rPr>
              <w:t>Consolidated Statement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Pretax</w:t>
            </w:r>
          </w:p>
        </w:tc>
        <w:tc>
          <w:tcPr>
            <w:tcW w:w="240" w:type="dxa"/>
            <w:vAlign w:val="bottom"/>
            <w:tcBorders>
              <w:bottom w:val="single" w:sz="8" w:color="CFF0FC"/>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Tax</w:t>
            </w:r>
          </w:p>
        </w:tc>
        <w:tc>
          <w:tcPr>
            <w:tcW w:w="160" w:type="dxa"/>
            <w:vAlign w:val="bottom"/>
            <w:tcBorders>
              <w:bottom w:val="single" w:sz="8" w:color="CFF0FC"/>
            </w:tcBorders>
            <w:gridSpan w:val="2"/>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Net</w:t>
            </w:r>
          </w:p>
        </w:tc>
        <w:tc>
          <w:tcPr>
            <w:tcW w:w="220" w:type="dxa"/>
            <w:vAlign w:val="bottom"/>
            <w:tcBorders>
              <w:bottom w:val="single" w:sz="8" w:color="CFF0FC"/>
            </w:tcBorders>
            <w:gridSpan w:val="3"/>
          </w:tcPr>
          <w:p>
            <w:pPr>
              <w:spacing w:after="0"/>
              <w:rPr>
                <w:sz w:val="21"/>
                <w:szCs w:val="21"/>
                <w:color w:val="auto"/>
              </w:rPr>
            </w:pPr>
          </w:p>
        </w:tc>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Merger-related integration costs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FF0FC"/>
          </w:tcPr>
          <w:p>
            <w:pPr>
              <w:spacing w:after="0"/>
              <w:rPr>
                <w:sz w:val="22"/>
                <w:szCs w:val="22"/>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Workforce reduction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i w:val="1"/>
                <w:iCs w:val="1"/>
                <w:color w:val="auto"/>
              </w:rPr>
              <w:t>Impairment &amp; other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w w:val="94"/>
              </w:rPr>
              <w:t>The following is a summary of the 2011 charges and credits: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10"/>
          </w:tcPr>
          <w:p>
            <w:pPr>
              <w:ind w:left="20"/>
              <w:spacing w:after="0"/>
              <w:rPr>
                <w:sz w:val="20"/>
                <w:szCs w:val="20"/>
                <w:color w:val="auto"/>
              </w:rPr>
            </w:pPr>
            <w:r>
              <w:rPr>
                <w:rFonts w:ascii="Arial" w:cs="Arial" w:eastAsia="Arial" w:hAnsi="Arial"/>
                <w:sz w:val="14"/>
                <w:szCs w:val="14"/>
                <w:i w:val="1"/>
                <w:iCs w:val="1"/>
                <w:color w:val="auto"/>
              </w:rPr>
              <w:t>(Stated in millions)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Arial" w:cs="Arial" w:eastAsia="Arial" w:hAnsi="Arial"/>
                <w:sz w:val="18"/>
                <w:szCs w:val="18"/>
                <w:i w:val="1"/>
                <w:iCs w:val="1"/>
                <w:color w:val="auto"/>
              </w:rPr>
              <w:t>Consolidated Statement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Pretax</w:t>
            </w:r>
          </w:p>
        </w:tc>
        <w:tc>
          <w:tcPr>
            <w:tcW w:w="240" w:type="dxa"/>
            <w:vAlign w:val="bottom"/>
            <w:tcBorders>
              <w:bottom w:val="single" w:sz="8" w:color="CFF0FC"/>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Tax</w:t>
            </w:r>
          </w:p>
        </w:tc>
        <w:tc>
          <w:tcPr>
            <w:tcW w:w="160" w:type="dxa"/>
            <w:vAlign w:val="bottom"/>
            <w:tcBorders>
              <w:bottom w:val="single" w:sz="8" w:color="CFF0FC"/>
            </w:tcBorders>
            <w:gridSpan w:val="2"/>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Net</w:t>
            </w:r>
          </w:p>
        </w:tc>
        <w:tc>
          <w:tcPr>
            <w:tcW w:w="220" w:type="dxa"/>
            <w:vAlign w:val="bottom"/>
            <w:tcBorders>
              <w:bottom w:val="single" w:sz="8" w:color="CFF0FC"/>
            </w:tcBorders>
            <w:gridSpan w:val="3"/>
          </w:tcPr>
          <w:p>
            <w:pPr>
              <w:spacing w:after="0"/>
              <w:rPr>
                <w:sz w:val="21"/>
                <w:szCs w:val="21"/>
                <w:color w:val="auto"/>
              </w:rPr>
            </w:pPr>
          </w:p>
        </w:tc>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Merger-related integration costs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24"/>
                <w:szCs w:val="24"/>
                <w:color w:val="auto"/>
              </w:rPr>
            </w:pPr>
          </w:p>
        </w:tc>
        <w:tc>
          <w:tcPr>
            <w:tcW w:w="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i w:val="1"/>
                <w:iCs w:val="1"/>
                <w:color w:val="auto"/>
              </w:rPr>
              <w:t>General &amp; administrative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Write-off of assets in Libya</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120"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520"/>
          </w:cols>
          <w:pgMar w:left="240" w:top="444" w:right="1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Details of changes in Net Debt follow: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8"/>
          </w:tcPr>
          <w:p>
            <w:pPr>
              <w:jc w:val="right"/>
              <w:ind w:right="3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348"/>
        </w:trPr>
        <w:tc>
          <w:tcPr>
            <w:tcW w:w="1800" w:type="dxa"/>
            <w:vAlign w:val="bottom"/>
            <w:tcBorders>
              <w:bottom w:val="single" w:sz="8" w:color="CFF0FC"/>
            </w:tcBorders>
          </w:tcPr>
          <w:p>
            <w:pPr>
              <w:spacing w:after="0"/>
              <w:rPr>
                <w:sz w:val="24"/>
                <w:szCs w:val="24"/>
                <w:color w:val="auto"/>
              </w:rPr>
            </w:pPr>
          </w:p>
        </w:tc>
        <w:tc>
          <w:tcPr>
            <w:tcW w:w="458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2011</w:t>
            </w:r>
          </w:p>
        </w:tc>
        <w:tc>
          <w:tcPr>
            <w:tcW w:w="120" w:type="dxa"/>
            <w:vAlign w:val="bottom"/>
            <w:tcBorders>
              <w:bottom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Debt, beginning of year</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(5,111)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(4,850)</w:t>
            </w:r>
          </w:p>
        </w:tc>
        <w:tc>
          <w:tcPr>
            <w:tcW w:w="80" w:type="dxa"/>
            <w:vAlign w:val="bottom"/>
            <w:shd w:val="clear" w:color="auto" w:fill="CFF0FC"/>
          </w:tcPr>
          <w:p>
            <w:pPr>
              <w:spacing w:after="0"/>
              <w:rPr>
                <w:sz w:val="24"/>
                <w:szCs w:val="24"/>
                <w:color w:val="auto"/>
              </w:rPr>
            </w:pPr>
          </w:p>
        </w:tc>
        <w:tc>
          <w:tcPr>
            <w:tcW w:w="280" w:type="dxa"/>
            <w:vAlign w:val="bottom"/>
            <w:gridSpan w:val="3"/>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 attributable to Schlumberger</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line="229"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3,666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Gain on formation of OneSubsea</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(1,028)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Impairment of equity investments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Other non-cash items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Increase in working capital</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(27)</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(3,943)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Multiclient seismic data capitalized</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Dividends paid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Stock repurchase program</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(2,596)</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Proceeds from employee stock plans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Other business acquisitions and investments</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(610)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Payment for OneSubsea transaction</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Proceeds from divestiture of Wilson distribution business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Proceeds from divestiture of CE Franklin business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Discontinued operations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Translation effect on net debt</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Debt, end of year</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(4,443)</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multiclient seismic data costs.</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8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03"/>
        </w:trPr>
        <w:tc>
          <w:tcPr>
            <w:tcW w:w="18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308"/>
              <w:spacing w:after="0"/>
              <w:rPr>
                <w:sz w:val="20"/>
                <w:szCs w:val="20"/>
                <w:color w:val="auto"/>
              </w:rPr>
            </w:pPr>
            <w:r>
              <w:rPr>
                <w:rFonts w:ascii="Arial" w:cs="Arial" w:eastAsia="Arial" w:hAnsi="Arial"/>
                <w:sz w:val="18"/>
                <w:szCs w:val="18"/>
                <w:color w:val="auto"/>
                <w:w w:val="96"/>
              </w:rPr>
              <w:t>Dec.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Dec. 31</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line="194" w:lineRule="exact"/>
              <w:rPr>
                <w:sz w:val="20"/>
                <w:szCs w:val="20"/>
                <w:color w:val="auto"/>
              </w:rPr>
            </w:pPr>
            <w:r>
              <w:rPr>
                <w:rFonts w:ascii="Arial" w:cs="Arial" w:eastAsia="Arial" w:hAnsi="Arial"/>
                <w:sz w:val="18"/>
                <w:szCs w:val="18"/>
                <w:color w:val="auto"/>
              </w:rPr>
              <w:t>Components of Net Debt</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94" w:lineRule="exact"/>
              <w:rPr>
                <w:sz w:val="20"/>
                <w:szCs w:val="20"/>
                <w:color w:val="auto"/>
              </w:rPr>
            </w:pPr>
            <w:r>
              <w:rPr>
                <w:rFonts w:ascii="Arial" w:cs="Arial" w:eastAsia="Arial" w:hAnsi="Arial"/>
                <w:sz w:val="18"/>
                <w:szCs w:val="18"/>
                <w:color w:val="auto"/>
              </w:rPr>
              <w:t>2012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CFF0FC"/>
            </w:tcBorders>
          </w:tcPr>
          <w:p>
            <w:pPr>
              <w:spacing w:after="0" w:line="20" w:lineRule="exact"/>
              <w:rPr>
                <w:sz w:val="1"/>
                <w:szCs w:val="1"/>
                <w:color w:val="auto"/>
              </w:rPr>
            </w:pPr>
          </w:p>
        </w:tc>
        <w:tc>
          <w:tcPr>
            <w:tcW w:w="458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Cash</w:t>
            </w:r>
          </w:p>
        </w:tc>
        <w:tc>
          <w:tcPr>
            <w:tcW w:w="128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3,472</w:t>
            </w:r>
          </w:p>
        </w:tc>
        <w:tc>
          <w:tcPr>
            <w:tcW w:w="28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1,905</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5"/>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Short-term investments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4,898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
              <w:spacing w:after="0"/>
              <w:rPr>
                <w:sz w:val="20"/>
                <w:szCs w:val="20"/>
                <w:color w:val="auto"/>
              </w:rPr>
            </w:pPr>
            <w:r>
              <w:rPr>
                <w:rFonts w:ascii="Arial" w:cs="Arial" w:eastAsia="Arial" w:hAnsi="Arial"/>
                <w:sz w:val="18"/>
                <w:szCs w:val="18"/>
                <w:color w:val="auto"/>
              </w:rPr>
              <w:t>4,369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Fixed income investments, held to maturity</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245</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5"/>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Short-term borrowings and current portion of long-term debt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(10,393)</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(5,111)</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2013, 2012 and 2011 included:</w:t>
      </w:r>
    </w:p>
    <w:p>
      <w:pPr>
        <w:spacing w:after="0" w:line="116" w:lineRule="exact"/>
        <w:rPr>
          <w:sz w:val="20"/>
          <w:szCs w:val="20"/>
          <w:color w:val="auto"/>
        </w:rPr>
      </w:pPr>
    </w:p>
    <w:p>
      <w:pPr>
        <w:ind w:left="1040" w:hanging="36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fourth quarter of 2013, Schlumberger issued $1.5 billion of 3.65% Senior Notes due 2023.</w:t>
      </w:r>
    </w:p>
    <w:p>
      <w:pPr>
        <w:spacing w:after="0" w:line="116" w:lineRule="exact"/>
        <w:rPr>
          <w:rFonts w:ascii="Arial" w:cs="Arial" w:eastAsia="Arial" w:hAnsi="Arial"/>
          <w:sz w:val="18"/>
          <w:szCs w:val="18"/>
          <w:color w:val="auto"/>
        </w:rPr>
      </w:pPr>
    </w:p>
    <w:p>
      <w:pPr>
        <w:ind w:left="1040" w:hanging="367"/>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fourth quarter of 2013, Schlumberger issued €0.5 billion of 1.50% Guaranteed Notes due 2019.</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During the second quarter of 2013, Schlumberger paid Cameron $600 million in connection with the formation of the OneSubsea joint venture.</w:t>
      </w:r>
    </w:p>
    <w:p>
      <w:pPr>
        <w:spacing w:after="0" w:line="139" w:lineRule="exact"/>
        <w:rPr>
          <w:sz w:val="20"/>
          <w:szCs w:val="20"/>
          <w:color w:val="auto"/>
        </w:rPr>
      </w:pPr>
    </w:p>
    <w:p>
      <w:pPr>
        <w:ind w:left="1040" w:hanging="377"/>
        <w:spacing w:after="0" w:line="276" w:lineRule="auto"/>
        <w:rPr>
          <w:sz w:val="20"/>
          <w:szCs w:val="20"/>
          <w:color w:val="auto"/>
        </w:rPr>
      </w:pPr>
      <w:r>
        <w:rPr>
          <w:rFonts w:ascii="Arial" w:cs="Arial" w:eastAsia="Arial" w:hAnsi="Arial"/>
          <w:sz w:val="18"/>
          <w:szCs w:val="18"/>
          <w:color w:val="auto"/>
        </w:rPr>
        <w:t>— During the third quarter of 2012, Schlumberger issued $1 billion of 1.25% Senior Notes due 2017 and $1 billion of 2.40% Senior Notes due 2022.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33" w:right="2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  During the third quarter of 2012, Schlumberger completed the divestiture of its 56% interest in CE Franklin Ltd. for $122 million in cash.</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During the second quarter of 2012, Schlumberger completed the divestiture of its Wilson distribution business for $906 million in cash.</w:t>
      </w:r>
    </w:p>
    <w:p>
      <w:pPr>
        <w:spacing w:after="0" w:line="127" w:lineRule="exact"/>
        <w:rPr>
          <w:sz w:val="20"/>
          <w:szCs w:val="20"/>
          <w:color w:val="auto"/>
        </w:rPr>
      </w:pPr>
    </w:p>
    <w:p>
      <w:pPr>
        <w:jc w:val="center"/>
        <w:ind w:left="380" w:right="20" w:hanging="377"/>
        <w:spacing w:after="0" w:line="340" w:lineRule="auto"/>
        <w:rPr>
          <w:sz w:val="20"/>
          <w:szCs w:val="20"/>
          <w:color w:val="auto"/>
        </w:rPr>
      </w:pPr>
      <w:r>
        <w:rPr>
          <w:rFonts w:ascii="Arial" w:cs="Arial" w:eastAsia="Arial" w:hAnsi="Arial"/>
          <w:sz w:val="16"/>
          <w:szCs w:val="16"/>
          <w:color w:val="auto"/>
        </w:rPr>
        <w:t>—  During the third quarter of 2011, Schlumberger issued $1.1 billion of 1.95% Senior Notes due 2016, $1.6 billion of 3.30% Senior Notes due 2021 and $300 million of Floating Rate Senior Notes due 2014 that bear interest at a rate equal to three-month LIBOR plus 55 bps per year.</w:t>
      </w:r>
    </w:p>
    <w:p>
      <w:pPr>
        <w:spacing w:after="0" w:line="17" w:lineRule="exact"/>
        <w:rPr>
          <w:sz w:val="20"/>
          <w:szCs w:val="20"/>
          <w:color w:val="auto"/>
        </w:rPr>
      </w:pPr>
    </w:p>
    <w:p>
      <w:pPr>
        <w:ind w:left="380" w:right="20" w:hanging="377"/>
        <w:spacing w:after="0" w:line="276" w:lineRule="auto"/>
        <w:rPr>
          <w:sz w:val="20"/>
          <w:szCs w:val="20"/>
          <w:color w:val="auto"/>
        </w:rPr>
      </w:pPr>
      <w:r>
        <w:rPr>
          <w:rFonts w:ascii="Arial" w:cs="Arial" w:eastAsia="Arial" w:hAnsi="Arial"/>
          <w:sz w:val="18"/>
          <w:szCs w:val="18"/>
          <w:color w:val="auto"/>
        </w:rPr>
        <w:t>— During the second quarter of 2011, Schlumberger completed the divestiture of its Global Connectivity Services business for approximately $385 million in cash.</w:t>
      </w:r>
    </w:p>
    <w:p>
      <w:pPr>
        <w:spacing w:after="0" w:line="62" w:lineRule="exact"/>
        <w:rPr>
          <w:sz w:val="20"/>
          <w:szCs w:val="20"/>
          <w:color w:val="auto"/>
        </w:rPr>
      </w:pPr>
    </w:p>
    <w:p>
      <w:pPr>
        <w:ind w:left="380" w:right="20" w:hanging="377"/>
        <w:spacing w:after="0" w:line="276" w:lineRule="auto"/>
        <w:rPr>
          <w:sz w:val="20"/>
          <w:szCs w:val="20"/>
          <w:color w:val="auto"/>
        </w:rPr>
      </w:pPr>
      <w:r>
        <w:rPr>
          <w:rFonts w:ascii="Arial" w:cs="Arial" w:eastAsia="Arial" w:hAnsi="Arial"/>
          <w:sz w:val="18"/>
          <w:szCs w:val="18"/>
          <w:color w:val="auto"/>
        </w:rPr>
        <w:t>— During the first quarter of 2011, Schlumberger issued $1.1 billion of 4.20% Senior Notes due 2021 and $500 million of 2.65% Senior Notes due 2016.</w:t>
      </w:r>
    </w:p>
    <w:p>
      <w:pPr>
        <w:spacing w:after="0" w:line="62" w:lineRule="exact"/>
        <w:rPr>
          <w:sz w:val="20"/>
          <w:szCs w:val="20"/>
          <w:color w:val="auto"/>
        </w:rPr>
      </w:pPr>
    </w:p>
    <w:p>
      <w:pPr>
        <w:ind w:left="380" w:right="20" w:hanging="377"/>
        <w:spacing w:after="0" w:line="276" w:lineRule="auto"/>
        <w:rPr>
          <w:sz w:val="20"/>
          <w:szCs w:val="20"/>
          <w:color w:val="auto"/>
        </w:rPr>
      </w:pPr>
      <w:r>
        <w:rPr>
          <w:rFonts w:ascii="Arial" w:cs="Arial" w:eastAsia="Arial" w:hAnsi="Arial"/>
          <w:sz w:val="18"/>
          <w:szCs w:val="18"/>
          <w:color w:val="auto"/>
        </w:rPr>
        <w:t>— During the first quarter of 2011, Schlumberger repurchased all of its outstanding 9.75% Senior Notes due 2019, 8.625% Senior Notes due 2014 and 6.00% Senior Notes due 2016 for approximately $1.26 billion.</w:t>
      </w:r>
    </w:p>
    <w:p>
      <w:pPr>
        <w:spacing w:after="0" w:line="62" w:lineRule="exact"/>
        <w:rPr>
          <w:sz w:val="20"/>
          <w:szCs w:val="20"/>
          <w:color w:val="auto"/>
        </w:rPr>
      </w:pPr>
    </w:p>
    <w:p>
      <w:pPr>
        <w:ind w:left="380" w:right="20" w:hanging="377"/>
        <w:spacing w:after="0" w:line="285" w:lineRule="auto"/>
        <w:rPr>
          <w:sz w:val="20"/>
          <w:szCs w:val="20"/>
          <w:color w:val="auto"/>
        </w:rPr>
      </w:pPr>
      <w:r>
        <w:rPr>
          <w:rFonts w:ascii="Arial" w:cs="Arial" w:eastAsia="Arial" w:hAnsi="Arial"/>
          <w:sz w:val="17"/>
          <w:szCs w:val="17"/>
          <w:color w:val="auto"/>
        </w:rPr>
        <w:t>— On April 17, 2008, the Schlumberger Board of Directors (the “Board”) approved an $8 billion share repurchase program for shares of Schlumberger common stock, to be acquired in the open market before December 31, 2011. On July 21, 2011, the Board approved an extension of this repurchase program to December 31, 2013. This program was completed during the third quarter of 2013.</w:t>
      </w:r>
    </w:p>
    <w:p>
      <w:pPr>
        <w:spacing w:after="0" w:line="57" w:lineRule="exact"/>
        <w:rPr>
          <w:sz w:val="20"/>
          <w:szCs w:val="20"/>
          <w:color w:val="auto"/>
        </w:rPr>
      </w:pPr>
    </w:p>
    <w:p>
      <w:pPr>
        <w:ind w:left="380"/>
        <w:spacing w:after="0" w:line="276" w:lineRule="auto"/>
        <w:rPr>
          <w:sz w:val="20"/>
          <w:szCs w:val="20"/>
          <w:color w:val="auto"/>
        </w:rPr>
      </w:pPr>
      <w:r>
        <w:rPr>
          <w:rFonts w:ascii="Arial" w:cs="Arial" w:eastAsia="Arial" w:hAnsi="Arial"/>
          <w:sz w:val="18"/>
          <w:szCs w:val="18"/>
          <w:color w:val="auto"/>
        </w:rPr>
        <w:t>On July 18, 2013, the Board approved a new $10 billion share repurchase program to be completed at the latest by June 30, 2018. Schlumberger had repurchased $1.7 billion of shares under this program as of December 31, 2013.</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under this share repurchase program during 2013, 2012 and 2011:</w:t>
      </w: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334"/>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cost</w:t>
            </w:r>
          </w:p>
        </w:tc>
        <w:tc>
          <w:tcPr>
            <w:tcW w:w="2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Average price</w:t>
            </w:r>
          </w:p>
        </w:tc>
      </w:tr>
      <w:tr>
        <w:trPr>
          <w:trHeight w:val="215"/>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of shares</w:t>
            </w: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9"/>
              </w:rPr>
              <w:t>paid per</w:t>
            </w:r>
          </w:p>
        </w:tc>
      </w:tr>
      <w:tr>
        <w:trPr>
          <w:trHeight w:val="230"/>
        </w:trPr>
        <w:tc>
          <w:tcPr>
            <w:tcW w:w="2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purchased</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share</w:t>
            </w:r>
          </w:p>
        </w:tc>
      </w:tr>
      <w:tr>
        <w:trPr>
          <w:trHeight w:val="303"/>
        </w:trPr>
        <w:tc>
          <w:tcPr>
            <w:tcW w:w="2220" w:type="dxa"/>
            <w:vAlign w:val="bottom"/>
            <w:shd w:val="clear" w:color="auto" w:fill="CFF0FC"/>
          </w:tcPr>
          <w:p>
            <w:pPr>
              <w:jc w:val="right"/>
              <w:ind w:right="1770"/>
              <w:spacing w:after="0"/>
              <w:rPr>
                <w:sz w:val="20"/>
                <w:szCs w:val="20"/>
                <w:color w:val="auto"/>
              </w:rPr>
            </w:pPr>
            <w:r>
              <w:rPr>
                <w:rFonts w:ascii="Arial" w:cs="Arial" w:eastAsia="Arial" w:hAnsi="Arial"/>
                <w:sz w:val="18"/>
                <w:szCs w:val="18"/>
                <w:b w:val="1"/>
                <w:bCs w:val="1"/>
                <w:color w:val="auto"/>
                <w:w w:val="84"/>
              </w:rPr>
              <w:t>2013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2,596,447</w:t>
            </w:r>
          </w:p>
        </w:tc>
        <w:tc>
          <w:tcPr>
            <w:tcW w:w="14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31,349.5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82.82</w:t>
            </w:r>
          </w:p>
        </w:tc>
      </w:tr>
      <w:tr>
        <w:trPr>
          <w:trHeight w:val="215"/>
        </w:trPr>
        <w:tc>
          <w:tcPr>
            <w:tcW w:w="2220" w:type="dxa"/>
            <w:vAlign w:val="bottom"/>
          </w:tcPr>
          <w:p>
            <w:pPr>
              <w:jc w:val="right"/>
              <w:ind w:right="1770"/>
              <w:spacing w:after="0"/>
              <w:rPr>
                <w:sz w:val="20"/>
                <w:szCs w:val="20"/>
                <w:color w:val="auto"/>
              </w:rPr>
            </w:pPr>
            <w:r>
              <w:rPr>
                <w:rFonts w:ascii="Arial" w:cs="Arial" w:eastAsia="Arial" w:hAnsi="Arial"/>
                <w:sz w:val="18"/>
                <w:szCs w:val="18"/>
                <w:color w:val="auto"/>
                <w:w w:val="84"/>
              </w:rPr>
              <w:t>2012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971,883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14,087.8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68.99</w:t>
            </w:r>
          </w:p>
        </w:tc>
      </w:tr>
      <w:tr>
        <w:trPr>
          <w:trHeight w:val="215"/>
        </w:trPr>
        <w:tc>
          <w:tcPr>
            <w:tcW w:w="2220" w:type="dxa"/>
            <w:vAlign w:val="bottom"/>
            <w:shd w:val="clear" w:color="auto" w:fill="CFF0FC"/>
          </w:tcPr>
          <w:p>
            <w:pPr>
              <w:jc w:val="right"/>
              <w:ind w:right="1790"/>
              <w:spacing w:after="0"/>
              <w:rPr>
                <w:sz w:val="20"/>
                <w:szCs w:val="20"/>
                <w:color w:val="auto"/>
              </w:rPr>
            </w:pPr>
            <w:r>
              <w:rPr>
                <w:rFonts w:ascii="Arial" w:cs="Arial" w:eastAsia="Arial" w:hAnsi="Arial"/>
                <w:sz w:val="18"/>
                <w:szCs w:val="18"/>
                <w:color w:val="auto"/>
                <w:w w:val="79"/>
              </w:rPr>
              <w:t>2011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2,997,688</w:t>
            </w:r>
          </w:p>
        </w:tc>
        <w:tc>
          <w:tcPr>
            <w:tcW w:w="14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36,940.4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r>
    </w:tbl>
    <w:p>
      <w:pPr>
        <w:spacing w:after="0" w:line="228" w:lineRule="exact"/>
        <w:rPr>
          <w:sz w:val="20"/>
          <w:szCs w:val="20"/>
          <w:color w:val="auto"/>
        </w:rPr>
      </w:pPr>
    </w:p>
    <w:p>
      <w:pPr>
        <w:jc w:val="both"/>
        <w:ind w:left="380" w:hanging="367"/>
        <w:spacing w:after="0" w:line="25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was $9.8 billion in 2013, $6.5 billion in 2012 and $5.9 billion in 2011. The improvement in net cash flow from operating activities in 2013 reflected a strong working capital performance despite an 8.5% increase in revenue. Overall, working capital was essentially flat year-on-year with an increase in receivables largely offset by a decrease in inventory and an increase in accounts payable and accrued liabilities.</w:t>
      </w:r>
    </w:p>
    <w:p>
      <w:pPr>
        <w:spacing w:after="0" w:line="78" w:lineRule="exact"/>
        <w:rPr>
          <w:rFonts w:ascii="Arial" w:cs="Arial" w:eastAsia="Arial" w:hAnsi="Arial"/>
          <w:sz w:val="18"/>
          <w:szCs w:val="18"/>
          <w:color w:val="auto"/>
        </w:rPr>
      </w:pPr>
    </w:p>
    <w:p>
      <w:pPr>
        <w:jc w:val="both"/>
        <w:ind w:left="380"/>
        <w:spacing w:after="0" w:line="258" w:lineRule="auto"/>
        <w:rPr>
          <w:rFonts w:ascii="Arial" w:cs="Arial" w:eastAsia="Arial" w:hAnsi="Arial"/>
          <w:sz w:val="18"/>
          <w:szCs w:val="18"/>
          <w:color w:val="auto"/>
        </w:rPr>
      </w:pPr>
      <w:r>
        <w:rPr>
          <w:rFonts w:ascii="Arial" w:cs="Arial" w:eastAsia="Arial" w:hAnsi="Arial"/>
          <w:sz w:val="18"/>
          <w:szCs w:val="18"/>
          <w:color w:val="auto"/>
        </w:rPr>
        <w:t>From time to time in recent years, Schlumberger has experienced delays in payment from its national oil company customer in Venezuela. Schlumberger operates in approximately 85 countries. At December 31, 2013, only five of those countries (including Venezuela) individually accounted for greater than 5% of Schlumberger’s accounts receivable balance of which only one, the United States, represented greater than 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Dividends paid during 2013, 2012 and 2011 were $1.61 billion, $1.43 billion and $1.30 billion, respectively.</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January 16, 2014, Schlumberger announced that its Board had approved an increase in the quarterly dividend of 28%, to $0.40.</w:t>
      </w:r>
    </w:p>
    <w:p>
      <w:pPr>
        <w:spacing w:after="0" w:line="127" w:lineRule="exact"/>
        <w:rPr>
          <w:sz w:val="20"/>
          <w:szCs w:val="20"/>
          <w:color w:val="auto"/>
        </w:rPr>
      </w:pPr>
    </w:p>
    <w:p>
      <w:pPr>
        <w:ind w:left="380" w:right="680"/>
        <w:spacing w:after="0" w:line="421" w:lineRule="auto"/>
        <w:rPr>
          <w:sz w:val="20"/>
          <w:szCs w:val="20"/>
          <w:color w:val="auto"/>
        </w:rPr>
      </w:pPr>
      <w:r>
        <w:rPr>
          <w:rFonts w:ascii="Arial" w:cs="Arial" w:eastAsia="Arial" w:hAnsi="Arial"/>
          <w:sz w:val="16"/>
          <w:szCs w:val="16"/>
          <w:color w:val="auto"/>
        </w:rPr>
        <w:t>On January 17, 2013, Schlumberger announced that its Board had approved an increase in the quarterly dividend of 13.6%, to $0.3125. On January 19, 2012, Schlumberger announced that its Board had approved an increase in the quarterly dividend of 10%, to $0.275.</w:t>
      </w:r>
    </w:p>
    <w:p>
      <w:pPr>
        <w:ind w:left="380" w:right="20" w:hanging="377"/>
        <w:spacing w:after="0" w:line="276" w:lineRule="auto"/>
        <w:rPr>
          <w:sz w:val="20"/>
          <w:szCs w:val="20"/>
          <w:color w:val="auto"/>
        </w:rPr>
      </w:pPr>
      <w:r>
        <w:rPr>
          <w:rFonts w:ascii="Arial" w:cs="Arial" w:eastAsia="Arial" w:hAnsi="Arial"/>
          <w:sz w:val="18"/>
          <w:szCs w:val="18"/>
          <w:color w:val="auto"/>
        </w:rPr>
        <w:t>— Capital expenditures were $3.9 billion in 2013, $4.7 billion in 2012 and $4.0 billion in 2011. Capital expenditures are expected to approach $3.8 billion for the full year 2014.</w:t>
      </w:r>
    </w:p>
    <w:p>
      <w:pPr>
        <w:spacing w:after="0" w:line="62" w:lineRule="exact"/>
        <w:rPr>
          <w:sz w:val="20"/>
          <w:szCs w:val="20"/>
          <w:color w:val="auto"/>
        </w:rPr>
      </w:pPr>
    </w:p>
    <w:p>
      <w:pPr>
        <w:ind w:left="380" w:right="20" w:hanging="377"/>
        <w:spacing w:after="0" w:line="262" w:lineRule="auto"/>
        <w:rPr>
          <w:sz w:val="20"/>
          <w:szCs w:val="20"/>
          <w:color w:val="auto"/>
        </w:rPr>
      </w:pPr>
      <w:r>
        <w:rPr>
          <w:rFonts w:ascii="Arial" w:cs="Arial" w:eastAsia="Arial" w:hAnsi="Arial"/>
          <w:sz w:val="18"/>
          <w:szCs w:val="18"/>
          <w:color w:val="auto"/>
        </w:rPr>
        <w:t>— During 2013, 2012 and 2011 Schlumberger made contributions of $538 million, $673 million and $601 million, respectively, to its postretirement benefit plans. The US pension plans were 96% funded at December 31, 2013 based on the projected benefit obligation. This compares to 82% funded at December 31, 2012.</w:t>
      </w:r>
    </w:p>
    <w:p>
      <w:pPr>
        <w:spacing w:after="0" w:line="75" w:lineRule="exact"/>
        <w:rPr>
          <w:sz w:val="20"/>
          <w:szCs w:val="20"/>
          <w:color w:val="auto"/>
        </w:rPr>
      </w:pPr>
    </w:p>
    <w:p>
      <w:pPr>
        <w:ind w:left="380" w:right="20"/>
        <w:spacing w:after="0" w:line="276" w:lineRule="auto"/>
        <w:rPr>
          <w:sz w:val="20"/>
          <w:szCs w:val="20"/>
          <w:color w:val="auto"/>
        </w:rPr>
      </w:pPr>
      <w:r>
        <w:rPr>
          <w:rFonts w:ascii="Arial" w:cs="Arial" w:eastAsia="Arial" w:hAnsi="Arial"/>
          <w:sz w:val="18"/>
          <w:szCs w:val="18"/>
          <w:color w:val="auto"/>
        </w:rPr>
        <w:t>Schlumberger’s international defined benefit pension plans are a combined 104% funded at December 31, 2013 based on the projected benefit obligation. This compares to 88% funded at December 31, 2012.</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0"/>
          </w:cols>
          <w:pgMar w:left="900" w:top="125" w:right="239" w:bottom="1440" w:gutter="0" w:footer="0" w:header="0"/>
        </w:sectPr>
      </w:pPr>
    </w:p>
    <w:bookmarkStart w:id="24" w:name="page25"/>
    <w:bookmarkEnd w:id="24"/>
    <w:p>
      <w:pPr>
        <w:ind w:left="1040" w:right="20"/>
        <w:spacing w:after="0" w:line="276" w:lineRule="auto"/>
        <w:rPr>
          <w:sz w:val="20"/>
          <w:szCs w:val="20"/>
          <w:color w:val="auto"/>
        </w:rPr>
      </w:pPr>
      <w:r>
        <w:rPr>
          <w:rFonts w:ascii="Arial" w:cs="Arial" w:eastAsia="Arial" w:hAnsi="Arial"/>
          <w:sz w:val="18"/>
          <w:szCs w:val="18"/>
          <w:color w:val="auto"/>
        </w:rPr>
        <w:t>Schlumberger currently anticipates contributing approximately $500 million to its postretirement benefit plans in 2014, subject to market and business conditions.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maintains a €5.0 billion Guaranteed Euro Medium Term Note program. This program provides for the issuance of various types of debt instruments such as fixed or floating rate notes in Euro, US dollar or other currencies. Schlumberger has issued €0.5 billion 1.50% Guranteed Notes due 2019, €1.0 billion 2.75% Guaranteed Notes due 2015 and €1.0 billion 4.50% Guaranteed Notes due 2014 under this program.</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2013, Schlumberger had $8.4 billion of cash and short-term investments on hand. Schlumberger had separate committed debt facility agreements aggregating $4.0 billion with commercial banks, of which $3.7 billion was available and unused as of December 31, 2013. This included $3.5 billion of committed facilities which support commercial paper borrowings in Europe. Schlumberger believes that these amounts are sufficient to meet future business requirements for at least the next 12 months.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total outstanding commercial paper borrowings were $95 million as of December 31, 2013. Schlumberger did not have any commercial paper borrowings outstanding as of December 31, 2012.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Contractual Obligations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Contractual Obligations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color w:val="auto"/>
              </w:rPr>
              <w:t>Payment Period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0"/>
              <w:spacing w:after="0" w:line="169" w:lineRule="exact"/>
              <w:rPr>
                <w:sz w:val="20"/>
                <w:szCs w:val="20"/>
                <w:color w:val="auto"/>
              </w:rPr>
            </w:pPr>
            <w:r>
              <w:rPr>
                <w:rFonts w:ascii="Arial" w:cs="Arial" w:eastAsia="Arial" w:hAnsi="Arial"/>
                <w:sz w:val="18"/>
                <w:szCs w:val="18"/>
                <w:color w:val="auto"/>
                <w:w w:val="89"/>
              </w:rPr>
              <w:t>2015 - 2016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0"/>
              <w:spacing w:after="0" w:line="169" w:lineRule="exact"/>
              <w:rPr>
                <w:sz w:val="20"/>
                <w:szCs w:val="20"/>
                <w:color w:val="auto"/>
              </w:rPr>
            </w:pPr>
            <w:r>
              <w:rPr>
                <w:rFonts w:ascii="Arial" w:cs="Arial" w:eastAsia="Arial" w:hAnsi="Arial"/>
                <w:sz w:val="18"/>
                <w:szCs w:val="18"/>
                <w:color w:val="auto"/>
                <w:w w:val="91"/>
              </w:rPr>
              <w:t>2017 - 2018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6"/>
              </w:rPr>
              <w:t>After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3820" w:type="dxa"/>
            <w:vAlign w:val="bottom"/>
            <w:gridSpan w:val="2"/>
            <w:shd w:val="clear" w:color="auto" w:fill="CFF0FC"/>
          </w:tcPr>
          <w:p>
            <w:pPr>
              <w:spacing w:after="0" w:line="25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(1)</w:t>
            </w:r>
          </w:p>
        </w:tc>
        <w:tc>
          <w:tcPr>
            <w:tcW w:w="11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13,176</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2,783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Interest on fixed rate debt obligations </w:t>
            </w:r>
            <w:r>
              <w:rPr>
                <w:rFonts w:ascii="Arial" w:cs="Arial" w:eastAsia="Arial" w:hAnsi="Arial"/>
                <w:sz w:val="24"/>
                <w:szCs w:val="24"/>
                <w:color w:val="auto"/>
                <w:vertAlign w:val="superscript"/>
              </w:rPr>
              <w:t>(2)</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1,618</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4"/>
                <w:szCs w:val="24"/>
                <w:color w:val="auto"/>
                <w:vertAlign w:val="superscript"/>
              </w:rPr>
              <w:t>(3)</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720" w:type="dxa"/>
            <w:vAlign w:val="bottom"/>
            <w:tcBorders>
              <w:top w:val="single" w:sz="8" w:color="CFF0FC"/>
              <w:bottom w:val="single" w:sz="8" w:color="CFF0FC"/>
            </w:tcBorders>
            <w:shd w:val="clear" w:color="auto" w:fill="CFF0FC"/>
          </w:tcPr>
          <w:p>
            <w:pPr>
              <w:spacing w:after="0"/>
              <w:rPr>
                <w:sz w:val="18"/>
                <w:szCs w:val="18"/>
                <w:color w:val="auto"/>
              </w:rPr>
            </w:pPr>
          </w:p>
        </w:tc>
        <w:tc>
          <w:tcPr>
            <w:tcW w:w="21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26"/>
          <w:szCs w:val="26"/>
          <w:color w:val="auto"/>
          <w:vertAlign w:val="superscript"/>
        </w:rPr>
      </w:pPr>
      <w:r>
        <w:rPr>
          <w:rFonts w:ascii="Arial" w:cs="Arial" w:eastAsia="Arial" w:hAnsi="Arial"/>
          <w:sz w:val="18"/>
          <w:szCs w:val="18"/>
          <w:color w:val="auto"/>
        </w:rPr>
        <w:t>Excludes future payments for interest.</w:t>
      </w:r>
    </w:p>
    <w:p>
      <w:pPr>
        <w:spacing w:after="0" w:line="109"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Excludes interest on $1.9 billion of variable rate debt, which had a weighted average interest rate of 2.8% as of December 31, 2013.</w:t>
      </w:r>
    </w:p>
    <w:p>
      <w:pPr>
        <w:spacing w:after="0" w:line="110" w:lineRule="exact"/>
        <w:rPr>
          <w:rFonts w:ascii="Arial" w:cs="Arial" w:eastAsia="Arial" w:hAnsi="Arial"/>
          <w:sz w:val="24"/>
          <w:szCs w:val="24"/>
          <w:color w:val="auto"/>
          <w:vertAlign w:val="superscript"/>
        </w:rPr>
      </w:pPr>
    </w:p>
    <w:p>
      <w:pPr>
        <w:jc w:val="both"/>
        <w:ind w:left="400" w:hanging="392"/>
        <w:spacing w:after="0" w:line="216" w:lineRule="auto"/>
        <w:tabs>
          <w:tab w:leader="none" w:pos="400" w:val="left"/>
        </w:tabs>
        <w:numPr>
          <w:ilvl w:val="0"/>
          <w:numId w:val="19"/>
        </w:numPr>
        <w:rPr>
          <w:rFonts w:ascii="Arial" w:cs="Arial" w:eastAsia="Arial" w:hAnsi="Arial"/>
          <w:sz w:val="26"/>
          <w:szCs w:val="26"/>
          <w:color w:val="auto"/>
          <w:vertAlign w:val="superscript"/>
        </w:rPr>
      </w:pPr>
      <w:r>
        <w:rPr>
          <w:rFonts w:ascii="Arial" w:cs="Arial" w:eastAsia="Arial" w:hAnsi="Arial"/>
          <w:sz w:val="18"/>
          <w:szCs w:val="18"/>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Refer to Note 18 </w:t>
      </w:r>
      <w:r>
        <w:rPr>
          <w:rFonts w:ascii="Arial" w:cs="Arial" w:eastAsia="Arial" w:hAnsi="Arial"/>
          <w:sz w:val="18"/>
          <w:szCs w:val="18"/>
          <w:i w:val="1"/>
          <w:iCs w:val="1"/>
          <w:color w:val="auto"/>
        </w:rPr>
        <w:t>Pension and Other Benefit Plans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pension and other postretirement benefit obligations.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As discussed in Note 14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the Schlumberger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at December 31, 2013 is approximately $1.45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7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Multiclient Seismic Data</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WesternGeco business capitalizes the costs associated with obtaining multiclient seismic data. The carrying value of the multiclient seismic data library at December 31, 2013 and 2012 was $667 million and $518 million, respectively. Such costs are charged to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larger surveys, which are typically prefunded by customers, are analyzed for impairment on a survey by survey basis and other smaller surveys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first step of the two-step goodwill impairment test.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8" w:right="2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18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76"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The discount rate utilized to determine the liability for Schlumberger’s United States pension plans and postretirement medical plans was 4.85% at December 31, 2013 and 4.25% at December 31, 2012.</w:t>
      </w:r>
    </w:p>
    <w:p>
      <w:pPr>
        <w:spacing w:after="0" w:line="62"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The weighted-average discount rate utilized to determine the liability for Schlumberger’s international pension plans was 4.76% at December 31, 2013 and 4.38% at December 31, 2012.</w:t>
      </w:r>
    </w:p>
    <w:p>
      <w:pPr>
        <w:spacing w:after="0" w:line="62"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The weighted-average discount rate utilized to determine expense for Schlumberger’s United States pension plans and postretirement medical plans decreased from 5.00% in 2012 to 4.25% in 2013.</w:t>
      </w:r>
    </w:p>
    <w:p>
      <w:pPr>
        <w:spacing w:after="0" w:line="62"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The weighted-average discount rate utilized to determine expense for Schlumberger’s international pension plans decreased from 4.95% in 2012 to 4.38% in 2013.</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weighted average expected rate of return on plan assets for each of the United States and international pension plans was 7.50% in both 2013 and 2012. A lower expected rate of return would increase pension expense.</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2013 postretirement medical expense was 7.5% graded to 5% over the next ten years. The overall medical trend rate assumption utilized to determine the postretirement medical liability at December 31, 2013 was 7.25% graded to 5% over the next ten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0" w:right="2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the United States and international pension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2"/>
          </w:tcPr>
          <w:p>
            <w:pPr>
              <w:ind w:left="480"/>
              <w:spacing w:after="0"/>
              <w:rPr>
                <w:sz w:val="20"/>
                <w:szCs w:val="20"/>
                <w:color w:val="auto"/>
              </w:rPr>
            </w:pPr>
            <w:r>
              <w:rPr>
                <w:rFonts w:ascii="Arial" w:cs="Arial" w:eastAsia="Arial" w:hAnsi="Arial"/>
                <w:sz w:val="14"/>
                <w:szCs w:val="14"/>
                <w:i w:val="1"/>
                <w:iCs w:val="1"/>
                <w:color w:val="auto"/>
              </w:rPr>
              <w:t>(Stated in millions)</w:t>
            </w:r>
          </w:p>
        </w:tc>
      </w:tr>
      <w:tr>
        <w:trPr>
          <w:trHeight w:val="30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Effect on 2013</w:t>
            </w:r>
          </w:p>
        </w:tc>
        <w:tc>
          <w:tcPr>
            <w:tcW w:w="3400" w:type="dxa"/>
            <w:vAlign w:val="bottom"/>
            <w:gridSpan w:val="2"/>
          </w:tcPr>
          <w:p>
            <w:pPr>
              <w:jc w:val="center"/>
              <w:ind w:right="1820"/>
              <w:spacing w:after="0"/>
              <w:rPr>
                <w:sz w:val="20"/>
                <w:szCs w:val="20"/>
                <w:color w:val="auto"/>
              </w:rPr>
            </w:pPr>
            <w:r>
              <w:rPr>
                <w:rFonts w:ascii="Arial" w:cs="Arial" w:eastAsia="Arial" w:hAnsi="Arial"/>
                <w:sz w:val="18"/>
                <w:szCs w:val="18"/>
                <w:color w:val="auto"/>
                <w:w w:val="92"/>
              </w:rPr>
              <w:t>Effect on</w:t>
            </w:r>
          </w:p>
        </w:tc>
      </w:tr>
      <w:tr>
        <w:trPr>
          <w:trHeight w:val="215"/>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Pretax Pension</w:t>
            </w:r>
          </w:p>
        </w:tc>
        <w:tc>
          <w:tcPr>
            <w:tcW w:w="3400" w:type="dxa"/>
            <w:vAlign w:val="bottom"/>
            <w:gridSpan w:val="2"/>
          </w:tcPr>
          <w:p>
            <w:pPr>
              <w:jc w:val="center"/>
              <w:ind w:right="1820"/>
              <w:spacing w:after="0"/>
              <w:rPr>
                <w:sz w:val="20"/>
                <w:szCs w:val="20"/>
                <w:color w:val="auto"/>
              </w:rPr>
            </w:pPr>
            <w:r>
              <w:rPr>
                <w:rFonts w:ascii="Arial" w:cs="Arial" w:eastAsia="Arial" w:hAnsi="Arial"/>
                <w:sz w:val="18"/>
                <w:szCs w:val="18"/>
                <w:color w:val="auto"/>
                <w:w w:val="90"/>
              </w:rPr>
              <w:t>Dec. 31, 2013</w:t>
            </w:r>
          </w:p>
        </w:tc>
      </w:tr>
      <w:tr>
        <w:trPr>
          <w:trHeight w:val="230"/>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Assumption</w:t>
            </w:r>
          </w:p>
        </w:tc>
        <w:tc>
          <w:tcPr>
            <w:tcW w:w="24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Expense</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Liability</w:t>
            </w:r>
          </w:p>
        </w:tc>
        <w:tc>
          <w:tcPr>
            <w:tcW w:w="1820" w:type="dxa"/>
            <w:vAlign w:val="bottom"/>
            <w:tcBorders>
              <w:bottom w:val="single" w:sz="8" w:color="CFF0FC"/>
            </w:tcBorders>
          </w:tcPr>
          <w:p>
            <w:pPr>
              <w:spacing w:after="0"/>
              <w:rPr>
                <w:sz w:val="19"/>
                <w:szCs w:val="19"/>
                <w:color w:val="auto"/>
              </w:rPr>
            </w:pPr>
          </w:p>
        </w:tc>
      </w:tr>
      <w:tr>
        <w:trPr>
          <w:trHeight w:val="30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1600" w:type="dxa"/>
            <w:vAlign w:val="bottom"/>
            <w:shd w:val="clear" w:color="auto" w:fill="CFF0FC"/>
          </w:tcPr>
          <w:p>
            <w:pPr>
              <w:jc w:val="right"/>
              <w:ind w:right="541"/>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24"/>
                <w:szCs w:val="24"/>
                <w:color w:val="auto"/>
              </w:rPr>
            </w:pPr>
          </w:p>
        </w:tc>
        <w:tc>
          <w:tcPr>
            <w:tcW w:w="158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+$366</w:t>
            </w:r>
          </w:p>
        </w:tc>
        <w:tc>
          <w:tcPr>
            <w:tcW w:w="1820" w:type="dxa"/>
            <w:vAlign w:val="bottom"/>
            <w:shd w:val="clear" w:color="auto" w:fill="CFF0FC"/>
          </w:tcPr>
          <w:p>
            <w:pPr>
              <w:spacing w:after="0"/>
              <w:rPr>
                <w:sz w:val="24"/>
                <w:szCs w:val="24"/>
                <w:color w:val="auto"/>
              </w:rPr>
            </w:pPr>
          </w:p>
        </w:tc>
      </w:tr>
      <w:tr>
        <w:trPr>
          <w:trHeight w:val="215"/>
        </w:trPr>
        <w:tc>
          <w:tcPr>
            <w:tcW w:w="61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1840" w:type="dxa"/>
            <w:vAlign w:val="bottom"/>
            <w:gridSpan w:val="2"/>
          </w:tcPr>
          <w:p>
            <w:pPr>
              <w:jc w:val="right"/>
              <w:ind w:right="860"/>
              <w:spacing w:after="0"/>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$49</w:t>
            </w:r>
          </w:p>
        </w:tc>
        <w:tc>
          <w:tcPr>
            <w:tcW w:w="3400" w:type="dxa"/>
            <w:vAlign w:val="bottom"/>
            <w:gridSpan w:val="2"/>
          </w:tcPr>
          <w:p>
            <w:pPr>
              <w:jc w:val="right"/>
              <w:ind w:right="2340"/>
              <w:spacing w:after="0"/>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$346</w:t>
            </w:r>
          </w:p>
        </w:tc>
      </w:tr>
      <w:tr>
        <w:trPr>
          <w:trHeight w:val="215"/>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expected return on plan assets</w:t>
            </w:r>
          </w:p>
        </w:tc>
        <w:tc>
          <w:tcPr>
            <w:tcW w:w="1600" w:type="dxa"/>
            <w:vAlign w:val="bottom"/>
            <w:shd w:val="clear" w:color="auto" w:fill="CFF0FC"/>
          </w:tcPr>
          <w:p>
            <w:pPr>
              <w:jc w:val="right"/>
              <w:ind w:right="54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25 basis point increase in expected return on plan assets</w:t>
            </w:r>
          </w:p>
        </w:tc>
        <w:tc>
          <w:tcPr>
            <w:tcW w:w="1840" w:type="dxa"/>
            <w:vAlign w:val="bottom"/>
            <w:gridSpan w:val="2"/>
          </w:tcPr>
          <w:p>
            <w:pPr>
              <w:jc w:val="right"/>
              <w:ind w:right="860"/>
              <w:spacing w:after="0"/>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$20</w:t>
            </w:r>
          </w:p>
        </w:tc>
        <w:tc>
          <w:tcPr>
            <w:tcW w:w="3400" w:type="dxa"/>
            <w:vAlign w:val="bottom"/>
            <w:gridSpan w:val="2"/>
          </w:tcPr>
          <w:p>
            <w:pPr>
              <w:ind w:left="78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2"/>
          </w:tcPr>
          <w:p>
            <w:pPr>
              <w:ind w:left="480"/>
              <w:spacing w:after="0"/>
              <w:rPr>
                <w:sz w:val="20"/>
                <w:szCs w:val="20"/>
                <w:color w:val="auto"/>
              </w:rPr>
            </w:pPr>
            <w:r>
              <w:rPr>
                <w:rFonts w:ascii="Arial" w:cs="Arial" w:eastAsia="Arial" w:hAnsi="Arial"/>
                <w:sz w:val="14"/>
                <w:szCs w:val="14"/>
                <w:i w:val="1"/>
                <w:iCs w:val="1"/>
                <w:color w:val="auto"/>
              </w:rPr>
              <w:t>(Stated in millions)</w:t>
            </w:r>
          </w:p>
        </w:tc>
      </w:tr>
      <w:tr>
        <w:trPr>
          <w:trHeight w:val="307"/>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Effect on 2013</w:t>
            </w:r>
          </w:p>
        </w:tc>
        <w:tc>
          <w:tcPr>
            <w:tcW w:w="3400" w:type="dxa"/>
            <w:vAlign w:val="bottom"/>
            <w:gridSpan w:val="2"/>
          </w:tcPr>
          <w:p>
            <w:pPr>
              <w:jc w:val="center"/>
              <w:ind w:right="1820"/>
              <w:spacing w:after="0"/>
              <w:rPr>
                <w:sz w:val="20"/>
                <w:szCs w:val="20"/>
                <w:color w:val="auto"/>
              </w:rPr>
            </w:pPr>
            <w:r>
              <w:rPr>
                <w:rFonts w:ascii="Arial" w:cs="Arial" w:eastAsia="Arial" w:hAnsi="Arial"/>
                <w:sz w:val="18"/>
                <w:szCs w:val="18"/>
                <w:color w:val="auto"/>
                <w:w w:val="92"/>
              </w:rPr>
              <w:t>Effect on</w:t>
            </w:r>
          </w:p>
        </w:tc>
      </w:tr>
      <w:tr>
        <w:trPr>
          <w:trHeight w:val="215"/>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Pretax Postretirement</w:t>
            </w:r>
          </w:p>
        </w:tc>
        <w:tc>
          <w:tcPr>
            <w:tcW w:w="3400" w:type="dxa"/>
            <w:vAlign w:val="bottom"/>
            <w:gridSpan w:val="2"/>
          </w:tcPr>
          <w:p>
            <w:pPr>
              <w:jc w:val="center"/>
              <w:ind w:right="1820"/>
              <w:spacing w:after="0"/>
              <w:rPr>
                <w:sz w:val="20"/>
                <w:szCs w:val="20"/>
                <w:color w:val="auto"/>
              </w:rPr>
            </w:pPr>
            <w:r>
              <w:rPr>
                <w:rFonts w:ascii="Arial" w:cs="Arial" w:eastAsia="Arial" w:hAnsi="Arial"/>
                <w:sz w:val="18"/>
                <w:szCs w:val="18"/>
                <w:color w:val="auto"/>
                <w:w w:val="90"/>
              </w:rPr>
              <w:t>Dec. 31, 2013</w:t>
            </w:r>
          </w:p>
        </w:tc>
      </w:tr>
      <w:tr>
        <w:trPr>
          <w:trHeight w:val="230"/>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Assumption</w:t>
            </w:r>
          </w:p>
        </w:tc>
        <w:tc>
          <w:tcPr>
            <w:tcW w:w="24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Medical Expense</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Liability</w:t>
            </w:r>
          </w:p>
        </w:tc>
        <w:tc>
          <w:tcPr>
            <w:tcW w:w="1820" w:type="dxa"/>
            <w:vAlign w:val="bottom"/>
            <w:tcBorders>
              <w:bottom w:val="single" w:sz="8" w:color="CFF0FC"/>
            </w:tcBorders>
          </w:tcPr>
          <w:p>
            <w:pPr>
              <w:spacing w:after="0"/>
              <w:rPr>
                <w:sz w:val="19"/>
                <w:szCs w:val="19"/>
                <w:color w:val="auto"/>
              </w:rPr>
            </w:pPr>
          </w:p>
        </w:tc>
      </w:tr>
      <w:tr>
        <w:trPr>
          <w:trHeight w:val="30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1600" w:type="dxa"/>
            <w:vAlign w:val="bottom"/>
            <w:shd w:val="clear" w:color="auto" w:fill="CFF0FC"/>
          </w:tcPr>
          <w:p>
            <w:pPr>
              <w:jc w:val="right"/>
              <w:ind w:right="641"/>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4"/>
                <w:szCs w:val="24"/>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+$46</w:t>
            </w:r>
          </w:p>
        </w:tc>
        <w:tc>
          <w:tcPr>
            <w:tcW w:w="1820" w:type="dxa"/>
            <w:vAlign w:val="bottom"/>
            <w:shd w:val="clear" w:color="auto" w:fill="CFF0FC"/>
          </w:tcPr>
          <w:p>
            <w:pPr>
              <w:spacing w:after="0"/>
              <w:rPr>
                <w:sz w:val="24"/>
                <w:szCs w:val="24"/>
                <w:color w:val="auto"/>
              </w:rPr>
            </w:pPr>
          </w:p>
        </w:tc>
      </w:tr>
      <w:tr>
        <w:trPr>
          <w:trHeight w:val="215"/>
        </w:trPr>
        <w:tc>
          <w:tcPr>
            <w:tcW w:w="61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1840" w:type="dxa"/>
            <w:vAlign w:val="bottom"/>
            <w:gridSpan w:val="2"/>
          </w:tcPr>
          <w:p>
            <w:pPr>
              <w:jc w:val="right"/>
              <w:ind w:right="960"/>
              <w:spacing w:after="0"/>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$6</w:t>
            </w:r>
          </w:p>
        </w:tc>
        <w:tc>
          <w:tcPr>
            <w:tcW w:w="3400" w:type="dxa"/>
            <w:vAlign w:val="bottom"/>
            <w:gridSpan w:val="2"/>
          </w:tcPr>
          <w:p>
            <w:pPr>
              <w:jc w:val="center"/>
              <w:ind w:right="1800"/>
              <w:spacing w:after="0"/>
              <w:rPr>
                <w:sz w:val="20"/>
                <w:szCs w:val="20"/>
                <w:color w:val="auto"/>
              </w:rPr>
            </w:pPr>
            <w:r>
              <w:rPr>
                <w:rFonts w:ascii="Arial" w:cs="Arial" w:eastAsia="Arial" w:hAnsi="Arial"/>
                <w:sz w:val="11"/>
                <w:szCs w:val="11"/>
                <w:color w:val="auto"/>
                <w:w w:val="92"/>
              </w:rPr>
              <w:t>–</w:t>
            </w:r>
            <w:r>
              <w:rPr>
                <w:rFonts w:ascii="Arial" w:cs="Arial" w:eastAsia="Arial" w:hAnsi="Arial"/>
                <w:sz w:val="17"/>
                <w:szCs w:val="17"/>
                <w:color w:val="auto"/>
                <w:w w:val="92"/>
              </w:rPr>
              <w:t>$44</w:t>
            </w:r>
          </w:p>
        </w:tc>
      </w:tr>
      <w:tr>
        <w:trPr>
          <w:trHeight w:val="215"/>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 decrease per annum in medical cost trend rate</w:t>
            </w:r>
          </w:p>
        </w:tc>
        <w:tc>
          <w:tcPr>
            <w:tcW w:w="1840" w:type="dxa"/>
            <w:vAlign w:val="bottom"/>
            <w:gridSpan w:val="2"/>
            <w:shd w:val="clear" w:color="auto" w:fill="CFF0FC"/>
          </w:tcPr>
          <w:p>
            <w:pPr>
              <w:jc w:val="center"/>
              <w:ind w:right="200"/>
              <w:spacing w:after="0"/>
              <w:rPr>
                <w:sz w:val="20"/>
                <w:szCs w:val="20"/>
                <w:color w:val="auto"/>
              </w:rPr>
            </w:pPr>
            <w:r>
              <w:rPr>
                <w:rFonts w:ascii="Arial" w:cs="Arial" w:eastAsia="Arial" w:hAnsi="Arial"/>
                <w:sz w:val="11"/>
                <w:szCs w:val="11"/>
                <w:color w:val="auto"/>
                <w:w w:val="92"/>
              </w:rPr>
              <w:t>–</w:t>
            </w:r>
            <w:r>
              <w:rPr>
                <w:rFonts w:ascii="Arial" w:cs="Arial" w:eastAsia="Arial" w:hAnsi="Arial"/>
                <w:sz w:val="17"/>
                <w:szCs w:val="17"/>
                <w:color w:val="auto"/>
                <w:w w:val="92"/>
              </w:rPr>
              <w:t>$33</w:t>
            </w:r>
          </w:p>
        </w:tc>
        <w:tc>
          <w:tcPr>
            <w:tcW w:w="3400" w:type="dxa"/>
            <w:vAlign w:val="bottom"/>
            <w:gridSpan w:val="2"/>
            <w:shd w:val="clear" w:color="auto" w:fill="CFF0FC"/>
          </w:tcPr>
          <w:p>
            <w:pPr>
              <w:jc w:val="right"/>
              <w:ind w:right="2340"/>
              <w:spacing w:after="0"/>
              <w:rPr>
                <w:sz w:val="20"/>
                <w:szCs w:val="20"/>
                <w:color w:val="auto"/>
              </w:rPr>
            </w:pPr>
            <w:r>
              <w:rPr>
                <w:rFonts w:ascii="Arial" w:cs="Arial" w:eastAsia="Arial" w:hAnsi="Arial"/>
                <w:sz w:val="11"/>
                <w:szCs w:val="11"/>
                <w:color w:val="auto"/>
              </w:rPr>
              <w:t>–</w:t>
            </w:r>
            <w:r>
              <w:rPr>
                <w:rFonts w:ascii="Arial" w:cs="Arial" w:eastAsia="Arial" w:hAnsi="Arial"/>
                <w:sz w:val="17"/>
                <w:szCs w:val="17"/>
                <w:color w:val="auto"/>
              </w:rPr>
              <w:t>$195</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100 basis point increase per annum in medical cost trend rate</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+$47</w:t>
            </w:r>
          </w:p>
        </w:tc>
        <w:tc>
          <w:tcPr>
            <w:tcW w:w="240" w:type="dxa"/>
            <w:vAlign w:val="bottom"/>
          </w:tcPr>
          <w:p>
            <w:pPr>
              <w:spacing w:after="0"/>
              <w:rPr>
                <w:sz w:val="19"/>
                <w:szCs w:val="19"/>
                <w:color w:val="auto"/>
              </w:rPr>
            </w:pPr>
          </w:p>
        </w:tc>
        <w:tc>
          <w:tcPr>
            <w:tcW w:w="1580" w:type="dxa"/>
            <w:vAlign w:val="bottom"/>
          </w:tcPr>
          <w:p>
            <w:pPr>
              <w:jc w:val="right"/>
              <w:ind w:right="442"/>
              <w:spacing w:after="0"/>
              <w:rPr>
                <w:sz w:val="20"/>
                <w:szCs w:val="20"/>
                <w:color w:val="auto"/>
              </w:rPr>
            </w:pPr>
            <w:r>
              <w:rPr>
                <w:rFonts w:ascii="Arial" w:cs="Arial" w:eastAsia="Arial" w:hAnsi="Arial"/>
                <w:sz w:val="18"/>
                <w:szCs w:val="18"/>
                <w:color w:val="auto"/>
              </w:rPr>
              <w:t>+$267</w:t>
            </w:r>
          </w:p>
        </w:tc>
        <w:tc>
          <w:tcPr>
            <w:tcW w:w="1820" w:type="dxa"/>
            <w:vAlign w:val="bottom"/>
          </w:tcPr>
          <w:p>
            <w:pPr>
              <w:spacing w:after="0"/>
              <w:rPr>
                <w:sz w:val="19"/>
                <w:szCs w:val="19"/>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Affiliated Companies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Investments in Affiliated Companies </w:t>
      </w:r>
      <w:r>
        <w:rPr>
          <w:rFonts w:ascii="Arial" w:cs="Arial" w:eastAsia="Arial" w:hAnsi="Arial"/>
          <w:sz w:val="17"/>
          <w:szCs w:val="17"/>
          <w:color w:val="auto"/>
        </w:rPr>
        <w:t>on the consolidated balance sheet primarily reflects Schlumberger’s investments in privately held companies, some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in the startup or development stages and are often still defining their strategic direction. Such investments are inherently risky and their success is dependent on factors such as technology development, market acceptance and their ability to raise additional funds. The technology being developed by these companies may never materialize and they could fail. Schlumberger monitors its portfolio to determine if any investment is other-than-temporarily impaired. If an investment is considered to be other-than-temporarily impaired, it is written down to its fair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risks primarily associated with changes in foreign currency exchange rates and interest rates.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multinational company, Schlumberger conducts business in approximately 85 countries. Schlumberger’s functional currency is primarily the US dollar, which is consistent with the oil and gas industry. Approximately 78% of Schlumberger’s revenue in 2013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5% increase or decrease in the average exchange rates of all the foreign currencies in 2013 would have changed revenue by approximately 1%. If the 2013 average exchange rates of the US dollar against all foreign currencies had strengthened by 5%, Schlumberger’s income from continuing operations would have increased by approximately 2%. Conversely, a 5% weakening of the US dollar average exchange rates would have decreased income from continuing operations by approximately 2%.</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late January 2014, Venezuela announced the establishment of a dual exchange rate system. A rate of 6.3 Venezuelan bolivares fuertes to the US dollar will be applied to priority sectors, such as food and medicine, while other sectors of the economy will apply an exchange rate determined based on the results of the Venezuelan central bank’s system of weekly currency auctions. Schlumberger is in the process of analyzing the impact, if any, of this change on its 2014 consolidated financial statements.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 functional currency of Schlumberger’s operations in Venezuela is the US dollar, a portion of the transactions are denominated in Venezuelan bolivares fuertes. For financial reporting purposes, such local currency transactions are remeasured into US dollars at the official exchange rate which was fixed at 6.3 Venezuelan bolivares fuertes to the US dollar for most of 2013. At December 31, 2013, Schlumberger had approximately $330 million of net monetary assets denominated in Venezuelan bolivares fuertes. Depending on the exchange rate Schlumberger is required to apply, it may incur a charge to its income statement in the first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8"/>
          <w:szCs w:val="18"/>
          <w:color w:val="auto"/>
        </w:rPr>
        <w:t>quarter of 2014. For example, if Schlumberger was required to apply an exchange rate of 11.3 Venezuelan bolivares fuertes to the US dollar (the rate per the auction system at January 24, 2014), it would result in a charge of approximately $150 million.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At December 31, 2013, contracts were outstanding for the US dollar equivalent of $7.6 billion in various foreign currencies of which $3.8 billion relate to hedges of debt balances denominated in currencies other than the functional currency.</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from time to time, interest rate swaps to mitigate the exposure to changes in interest rates. At December 31, 2013, Schlumberger had fixed rate debt aggregating approximately $11.2 billion and variable rate debt aggregating approximately $1.9 billion before considering the effects of cross currency and interest rate swaps.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Schlumberger’s exposure to interest rate risk associated with its debt is also partially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which totaled approximately $5.3 billion at December 31, 2013, are comprised primarily of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time deposits, certificates of deposit, commercial paper, euro notes and Eurobonds and are substantially all denominated in US dollars. The average return on investment was 0.5% in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carrying amounts of Schlumberger’s debt at December 31, 2013 by year of maturity: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ind w:left="5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83"/>
        </w:trPr>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color w:val="auto"/>
                <w:w w:val="91"/>
              </w:rPr>
              <w:t>Expected Maturity Dates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84"/>
              </w:rPr>
              <w:t>2016</w:t>
            </w:r>
          </w:p>
        </w:tc>
        <w:tc>
          <w:tcPr>
            <w:tcW w:w="22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840" w:type="dxa"/>
            <w:vAlign w:val="bottom"/>
            <w:gridSpan w:val="3"/>
          </w:tcPr>
          <w:p>
            <w:pPr>
              <w:ind w:left="30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Arial" w:cs="Arial" w:eastAsia="Arial" w:hAnsi="Arial"/>
                <w:sz w:val="18"/>
                <w:szCs w:val="18"/>
                <w:color w:val="auto"/>
                <w:w w:val="84"/>
              </w:rPr>
              <w:t>2023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3"/>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4.50%</w:t>
            </w:r>
          </w:p>
        </w:tc>
        <w:tc>
          <w:tcPr>
            <w:tcW w:w="1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Guaranteed Notes</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2.75%</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Guaranteed Notes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1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1.95%</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1.25%</w:t>
            </w:r>
          </w:p>
        </w:tc>
        <w:tc>
          <w:tcPr>
            <w:tcW w:w="1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2"/>
        </w:trPr>
        <w:tc>
          <w:tcPr>
            <w:tcW w:w="500" w:type="dxa"/>
            <w:vAlign w:val="bottom"/>
          </w:tcPr>
          <w:p>
            <w:pPr>
              <w:spacing w:after="0"/>
              <w:rPr>
                <w:sz w:val="20"/>
                <w:szCs w:val="20"/>
                <w:color w:val="auto"/>
              </w:rPr>
            </w:pPr>
            <w:r>
              <w:rPr>
                <w:rFonts w:ascii="Arial" w:cs="Arial" w:eastAsia="Arial" w:hAnsi="Arial"/>
                <w:sz w:val="18"/>
                <w:szCs w:val="18"/>
                <w:color w:val="auto"/>
                <w:w w:val="93"/>
              </w:rPr>
              <w:t>1.50%</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Guaranteed Notes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1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1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2"/>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3.65%</w:t>
            </w:r>
          </w:p>
        </w:tc>
        <w:tc>
          <w:tcPr>
            <w:tcW w:w="176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1,495</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9"/>
        </w:trPr>
        <w:tc>
          <w:tcPr>
            <w:tcW w:w="2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fixed rate debt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697</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2,695</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60" w:type="dxa"/>
            <w:vAlign w:val="bottom"/>
            <w:gridSpan w:val="3"/>
          </w:tcPr>
          <w:p>
            <w:pPr>
              <w:spacing w:after="0"/>
              <w:rPr>
                <w:sz w:val="20"/>
                <w:szCs w:val="20"/>
                <w:color w:val="auto"/>
              </w:rPr>
            </w:pPr>
            <w:r>
              <w:rPr>
                <w:rFonts w:ascii="Arial" w:cs="Arial" w:eastAsia="Arial" w:hAnsi="Arial"/>
                <w:sz w:val="18"/>
                <w:szCs w:val="18"/>
                <w:color w:val="auto"/>
              </w:rPr>
              <w:t>Variable rate debt</w:t>
            </w:r>
          </w:p>
        </w:tc>
        <w:tc>
          <w:tcPr>
            <w:tcW w:w="20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9"/>
        </w:trPr>
        <w:tc>
          <w:tcPr>
            <w:tcW w:w="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4"/>
              </w:rPr>
              <w:t>2,783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fair market value of the outstanding fixed rate debt was approximately $11.3 billion as of December 31, 2013. The weighted average interest rate on the variable rate debt as of December 31, 2013 was 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1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 OF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7"/>
          </w:tcPr>
          <w:p>
            <w:pPr>
              <w:ind w:left="60"/>
              <w:spacing w:after="0"/>
              <w:rPr>
                <w:sz w:val="20"/>
                <w:szCs w:val="20"/>
                <w:color w:val="auto"/>
              </w:rPr>
            </w:pPr>
            <w:r>
              <w:rPr>
                <w:rFonts w:ascii="Arial" w:cs="Arial" w:eastAsia="Arial" w:hAnsi="Arial"/>
                <w:sz w:val="14"/>
                <w:szCs w:val="14"/>
                <w:i w:val="1"/>
                <w:iCs w:val="1"/>
                <w:color w:val="auto"/>
                <w:w w:val="95"/>
              </w:rPr>
              <w:t>(Stated in millions, except per share amounts)</w:t>
            </w:r>
          </w:p>
        </w:tc>
        <w:tc>
          <w:tcPr>
            <w:tcW w:w="0" w:type="dxa"/>
            <w:vAlign w:val="bottom"/>
          </w:tcPr>
          <w:p>
            <w:pPr>
              <w:spacing w:after="0"/>
              <w:rPr>
                <w:sz w:val="1"/>
                <w:szCs w:val="1"/>
                <w:color w:val="auto"/>
              </w:rPr>
            </w:pPr>
          </w:p>
        </w:tc>
      </w:tr>
      <w:tr>
        <w:trPr>
          <w:trHeight w:val="335"/>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45,266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41,731</w:t>
            </w:r>
          </w:p>
        </w:tc>
        <w:tc>
          <w:tcPr>
            <w:tcW w:w="1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35,331</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32,885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General &amp; administrative</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416</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Merger &amp; integration</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Impairment &amp; other</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456</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8,691</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6,843</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6,774</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6,801</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5,230</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(69)</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6,732</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(0.05)</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420"/>
              <w:spacing w:after="0" w:line="209" w:lineRule="exact"/>
              <w:rPr>
                <w:sz w:val="20"/>
                <w:szCs w:val="20"/>
                <w:color w:val="auto"/>
              </w:rPr>
            </w:pPr>
            <w:r>
              <w:rPr>
                <w:rFonts w:ascii="Arial" w:cs="Arial" w:eastAsia="Arial" w:hAnsi="Arial"/>
                <w:sz w:val="17"/>
                <w:szCs w:val="17"/>
                <w:color w:val="auto"/>
              </w:rPr>
              <w:t xml:space="preserve">Net income </w:t>
            </w:r>
            <w:r>
              <w:rPr>
                <w:rFonts w:ascii="Arial" w:cs="Arial" w:eastAsia="Arial" w:hAnsi="Arial"/>
                <w:sz w:val="24"/>
                <w:szCs w:val="24"/>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(0.05)</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Assuming dilution</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tabs>
          <w:tab w:leader="none" w:pos="300" w:val="left"/>
        </w:tabs>
        <w:rPr>
          <w:sz w:val="20"/>
          <w:szCs w:val="20"/>
          <w:color w:val="auto"/>
        </w:rPr>
      </w:pP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8"/>
          <w:szCs w:val="18"/>
          <w:color w:val="auto"/>
        </w:rPr>
        <w:t>Amounts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r>
      <w:tr>
        <w:trPr>
          <w:trHeight w:val="335"/>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FF0FC"/>
            </w:tcBorders>
          </w:tcPr>
          <w:p>
            <w:pPr>
              <w:spacing w:after="0"/>
              <w:rPr>
                <w:sz w:val="24"/>
                <w:szCs w:val="24"/>
                <w:color w:val="auto"/>
              </w:rPr>
            </w:pPr>
          </w:p>
        </w:tc>
      </w:tr>
      <w:tr>
        <w:trPr>
          <w:trHeight w:val="303"/>
        </w:trPr>
        <w:tc>
          <w:tcPr>
            <w:tcW w:w="7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6,774</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5,007</w:t>
            </w:r>
          </w:p>
        </w:tc>
      </w:tr>
      <w:tr>
        <w:trPr>
          <w:trHeight w:val="215"/>
        </w:trPr>
        <w:tc>
          <w:tcPr>
            <w:tcW w:w="708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Unrealized net change arising during the period</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(151)</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r>
      <w:tr>
        <w:trPr>
          <w:trHeight w:val="215"/>
        </w:trPr>
        <w:tc>
          <w:tcPr>
            <w:tcW w:w="708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Unrealized gain arising during the period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708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Net derivatives gain (loss) on hedging transactions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r>
      <w:tr>
        <w:trPr>
          <w:trHeight w:val="215"/>
        </w:trPr>
        <w:tc>
          <w:tcPr>
            <w:tcW w:w="7080" w:type="dxa"/>
            <w:vAlign w:val="bottom"/>
          </w:tcPr>
          <w:p>
            <w:pPr>
              <w:ind w:left="440"/>
              <w:spacing w:after="0"/>
              <w:rPr>
                <w:sz w:val="20"/>
                <w:szCs w:val="20"/>
                <w:color w:val="auto"/>
              </w:rPr>
            </w:pPr>
            <w:r>
              <w:rPr>
                <w:rFonts w:ascii="Arial" w:cs="Arial" w:eastAsia="Arial" w:hAnsi="Arial"/>
                <w:sz w:val="18"/>
                <w:szCs w:val="18"/>
                <w:color w:val="auto"/>
              </w:rPr>
              <w:t>Reclassification to net income of net realized (gain) loss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5"/>
        </w:trPr>
        <w:tc>
          <w:tcPr>
            <w:tcW w:w="7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440"/>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Actuarial gain (loss) arising during the period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(1,008)</w:t>
            </w:r>
          </w:p>
        </w:tc>
      </w:tr>
      <w:tr>
        <w:trPr>
          <w:trHeight w:val="215"/>
        </w:trPr>
        <w:tc>
          <w:tcPr>
            <w:tcW w:w="7080" w:type="dxa"/>
            <w:vAlign w:val="bottom"/>
          </w:tcPr>
          <w:p>
            <w:pPr>
              <w:ind w:left="860"/>
              <w:spacing w:after="0"/>
              <w:rPr>
                <w:sz w:val="20"/>
                <w:szCs w:val="20"/>
                <w:color w:val="auto"/>
              </w:rPr>
            </w:pPr>
            <w:r>
              <w:rPr>
                <w:rFonts w:ascii="Arial" w:cs="Arial" w:eastAsia="Arial" w:hAnsi="Arial"/>
                <w:sz w:val="18"/>
                <w:szCs w:val="18"/>
                <w:color w:val="auto"/>
              </w:rPr>
              <w:t>Amortization to net income of net actuarial loss</w:t>
            </w: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5"/>
        </w:trPr>
        <w:tc>
          <w:tcPr>
            <w:tcW w:w="7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860"/>
              <w:spacing w:after="0"/>
              <w:rPr>
                <w:sz w:val="20"/>
                <w:szCs w:val="20"/>
                <w:color w:val="auto"/>
              </w:rPr>
            </w:pPr>
            <w:r>
              <w:rPr>
                <w:rFonts w:ascii="Arial" w:cs="Arial" w:eastAsia="Arial" w:hAnsi="Arial"/>
                <w:sz w:val="18"/>
                <w:szCs w:val="18"/>
                <w:color w:val="auto"/>
              </w:rPr>
              <w:t>Prior service gain arising during the period</w:t>
            </w:r>
          </w:p>
        </w:tc>
        <w:tc>
          <w:tcPr>
            <w:tcW w:w="2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5"/>
        </w:trPr>
        <w:tc>
          <w:tcPr>
            <w:tcW w:w="70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Amortization to net income of net prior service cost</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125</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r>
      <w:tr>
        <w:trPr>
          <w:trHeight w:val="215"/>
        </w:trPr>
        <w:tc>
          <w:tcPr>
            <w:tcW w:w="7080" w:type="dxa"/>
            <w:vAlign w:val="bottom"/>
          </w:tcPr>
          <w:p>
            <w:pPr>
              <w:ind w:left="440"/>
              <w:spacing w:after="0"/>
              <w:rPr>
                <w:sz w:val="20"/>
                <w:szCs w:val="20"/>
                <w:color w:val="auto"/>
              </w:rPr>
            </w:pPr>
            <w:r>
              <w:rPr>
                <w:rFonts w:ascii="Arial" w:cs="Arial" w:eastAsia="Arial" w:hAnsi="Arial"/>
                <w:sz w:val="18"/>
                <w:szCs w:val="18"/>
                <w:color w:val="auto"/>
              </w:rPr>
              <w:t>Income taxes on pension and other postretirement benefit plans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(302)</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09"/>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8,108</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7080" w:type="dxa"/>
            <w:vAlign w:val="bottom"/>
          </w:tcPr>
          <w:p>
            <w:pPr>
              <w:ind w:left="4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9"/>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8,066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335"/>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3,472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Receivables less allowance for doubtful accounts (2013 - $384; 2012 - $202)</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11,497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Deferred taxes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288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9"/>
        </w:trPr>
        <w:tc>
          <w:tcPr>
            <w:tcW w:w="7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26,225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Fixed Income Investments, held to maturity</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Investments in Affiliated Companies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3,317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Fixed Assets less accumulated depreciation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Multiclient Seismic Data</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667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Goodwill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14,706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Intangible Assets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4,709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8"/>
                <w:szCs w:val="18"/>
                <w:i w:val="1"/>
                <w:iCs w:val="1"/>
                <w:color w:val="auto"/>
              </w:rPr>
              <w:t>Other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9"/>
        </w:trPr>
        <w:tc>
          <w:tcPr>
            <w:tcW w:w="728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67,100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1,490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Long-term debt - current portion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Short-term borrowings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964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Dividends payable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9"/>
        </w:trPr>
        <w:tc>
          <w:tcPr>
            <w:tcW w:w="7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13,525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670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1,169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27,465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Treasury stock</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(8,135)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5"/>
        </w:trPr>
        <w:tc>
          <w:tcPr>
            <w:tcW w:w="728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32,887</w:t>
            </w: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(2,554)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09"/>
        </w:trPr>
        <w:tc>
          <w:tcPr>
            <w:tcW w:w="7280" w:type="dxa"/>
            <w:vAlign w:val="bottom"/>
          </w:tcPr>
          <w:p>
            <w:pPr>
              <w:ind w:left="740"/>
              <w:spacing w:after="0"/>
              <w:rPr>
                <w:sz w:val="20"/>
                <w:szCs w:val="20"/>
                <w:color w:val="auto"/>
              </w:rPr>
            </w:pPr>
            <w:r>
              <w:rPr>
                <w:rFonts w:ascii="Arial" w:cs="Arial" w:eastAsia="Arial" w:hAnsi="Arial"/>
                <w:sz w:val="18"/>
                <w:szCs w:val="18"/>
                <w:color w:val="auto"/>
              </w:rPr>
              <w:t>Schlumberger stockholders’ equity</w:t>
            </w:r>
          </w:p>
        </w:tc>
        <w:tc>
          <w:tcPr>
            <w:tcW w:w="1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Noncontrolling interests</w:t>
            </w: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39,635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67,100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ind w:left="364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5"/>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6,774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5,519</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(Income) loss from discontinued operations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5"/>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line="216"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4"/>
                <w:szCs w:val="24"/>
                <w:color w:val="auto"/>
                <w:vertAlign w:val="superscript"/>
              </w:rPr>
              <w:t>(1)</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3,666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Gain on formation of OneSubsea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of companies carried at equity, less dividends received</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315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Pension and other postretirement benefits expense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equity investments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Other non-cash items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other postretirement benefits funding</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(538)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Change in operating assets and liabilities: </w:t>
            </w:r>
            <w:r>
              <w:rPr>
                <w:rFonts w:ascii="Arial" w:cs="Arial" w:eastAsia="Arial" w:hAnsi="Arial"/>
                <w:sz w:val="24"/>
                <w:szCs w:val="24"/>
                <w:color w:val="auto"/>
                <w:vertAlign w:val="superscript"/>
              </w:rPr>
              <w:t>(2)</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receivables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(858)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Decrease (increase) in inventories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(increase) in other current assets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Increase in other assets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accounts payable and accrued liabilities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Increase (decrease) in estimated liability for taxes on income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other liabilities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9,788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(3,943)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Multiclient seismic data capitalized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for OneSubsea transaction</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Other business acquisitions and investments, net of cash acquired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sale of investments, net</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(648)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(5,977)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paid</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(1,608)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Stock repurchase program</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4,554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2,832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15"/>
        </w:trPr>
        <w:tc>
          <w:tcPr>
            <w:tcW w:w="200" w:type="dxa"/>
            <w:vAlign w:val="bottom"/>
            <w:shd w:val="clear" w:color="auto" w:fill="CFF0FC"/>
          </w:tcPr>
          <w:p>
            <w:pPr>
              <w:spacing w:after="0"/>
              <w:rPr>
                <w:sz w:val="18"/>
                <w:szCs w:val="18"/>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short-term borrowings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(2,199)</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color w:val="auto"/>
              </w:rPr>
              <w:t>Cash flow from discontinued operations - operating activities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from discontinued operations - investing activities</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flow from discontinued operations</w:t>
            </w:r>
          </w:p>
        </w:tc>
        <w:tc>
          <w:tcPr>
            <w:tcW w:w="7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beginning of year</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1,905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color w:val="auto"/>
              </w:rPr>
              <w:t>Cash, end of year</w:t>
            </w:r>
          </w:p>
        </w:tc>
        <w:tc>
          <w:tcPr>
            <w:tcW w:w="7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3"/>
                <w:szCs w:val="13"/>
                <w:color w:val="auto"/>
              </w:rPr>
              <w:t>(1)</w:t>
            </w:r>
          </w:p>
        </w:tc>
        <w:tc>
          <w:tcPr>
            <w:tcW w:w="6360" w:type="dxa"/>
            <w:vAlign w:val="bottom"/>
            <w:vMerge w:val="restart"/>
          </w:tcPr>
          <w:p>
            <w:pPr>
              <w:ind w:left="120"/>
              <w:spacing w:after="0"/>
              <w:rPr>
                <w:sz w:val="20"/>
                <w:szCs w:val="20"/>
                <w:color w:val="auto"/>
              </w:rPr>
            </w:pPr>
            <w:r>
              <w:rPr>
                <w:rFonts w:ascii="Arial" w:cs="Arial" w:eastAsia="Arial" w:hAnsi="Arial"/>
                <w:sz w:val="18"/>
                <w:szCs w:val="18"/>
                <w:color w:val="auto"/>
              </w:rPr>
              <w:t>Includes multiclient seismic data costs.</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0" w:type="dxa"/>
            <w:vAlign w:val="bottom"/>
            <w:vMerge w:val="continue"/>
          </w:tcPr>
          <w:p>
            <w:pPr>
              <w:spacing w:after="0"/>
              <w:rPr>
                <w:sz w:val="24"/>
                <w:szCs w:val="24"/>
                <w:color w:val="auto"/>
              </w:rPr>
            </w:pPr>
          </w:p>
        </w:tc>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3"/>
                <w:szCs w:val="13"/>
                <w:color w:val="auto"/>
              </w:rPr>
              <w:t>(2)</w:t>
            </w:r>
          </w:p>
        </w:tc>
        <w:tc>
          <w:tcPr>
            <w:tcW w:w="6360" w:type="dxa"/>
            <w:vAlign w:val="bottom"/>
          </w:tcPr>
          <w:p>
            <w:pPr>
              <w:ind w:left="120"/>
              <w:spacing w:after="0"/>
              <w:rPr>
                <w:sz w:val="20"/>
                <w:szCs w:val="20"/>
                <w:color w:val="auto"/>
              </w:rPr>
            </w:pPr>
            <w:r>
              <w:rPr>
                <w:rFonts w:ascii="Arial" w:cs="Arial" w:eastAsia="Arial" w:hAnsi="Arial"/>
                <w:sz w:val="18"/>
                <w:szCs w:val="18"/>
                <w:color w:val="auto"/>
              </w:rPr>
              <w:t>Net of the effect of business acquisitions and divestitures.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jc w:val="center"/>
        <w:ind w:right="-239"/>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3"/>
        </w:trPr>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Noncontrolling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8" w:lineRule="exact"/>
              <w:rPr>
                <w:sz w:val="20"/>
                <w:szCs w:val="20"/>
                <w:color w:val="auto"/>
              </w:rPr>
            </w:pPr>
            <w:r>
              <w:rPr>
                <w:rFonts w:ascii="Arial" w:cs="Arial" w:eastAsia="Arial" w:hAnsi="Arial"/>
                <w:sz w:val="14"/>
                <w:szCs w:val="14"/>
                <w:b w:val="1"/>
                <w:bCs w:val="1"/>
                <w:color w:val="auto"/>
                <w:w w:val="90"/>
              </w:rPr>
              <w:t>Issued</w:t>
            </w:r>
          </w:p>
        </w:tc>
        <w:tc>
          <w:tcPr>
            <w:tcW w:w="100" w:type="dxa"/>
            <w:vAlign w:val="bottom"/>
            <w:tcBorders>
              <w:top w:val="single" w:sz="8" w:color="auto"/>
              <w:bottom w:val="single" w:sz="8" w:color="CFF0FC"/>
            </w:tcBorders>
          </w:tcPr>
          <w:p>
            <w:pPr>
              <w:spacing w:after="0"/>
              <w:rPr>
                <w:sz w:val="12"/>
                <w:szCs w:val="12"/>
                <w:color w:val="auto"/>
              </w:rPr>
            </w:pPr>
          </w:p>
        </w:tc>
        <w:tc>
          <w:tcPr>
            <w:tcW w:w="6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20"/>
              <w:spacing w:after="0" w:line="148" w:lineRule="exact"/>
              <w:rPr>
                <w:sz w:val="20"/>
                <w:szCs w:val="20"/>
                <w:color w:val="auto"/>
              </w:rPr>
            </w:pPr>
            <w:r>
              <w:rPr>
                <w:rFonts w:ascii="Arial" w:cs="Arial" w:eastAsia="Arial" w:hAnsi="Arial"/>
                <w:sz w:val="14"/>
                <w:szCs w:val="14"/>
                <w:b w:val="1"/>
                <w:bCs w:val="1"/>
                <w:color w:val="auto"/>
              </w:rPr>
              <w:t>In Treasury</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1"/>
              <w:spacing w:after="0" w:line="148" w:lineRule="exact"/>
              <w:rPr>
                <w:sz w:val="20"/>
                <w:szCs w:val="20"/>
                <w:color w:val="auto"/>
              </w:rPr>
            </w:pPr>
            <w:r>
              <w:rPr>
                <w:rFonts w:ascii="Arial" w:cs="Arial" w:eastAsia="Arial" w:hAnsi="Arial"/>
                <w:sz w:val="14"/>
                <w:szCs w:val="14"/>
                <w:b w:val="1"/>
                <w:bCs w:val="1"/>
                <w:color w:val="auto"/>
                <w:w w:val="96"/>
              </w:rPr>
              <w:t>Earnings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1"/>
              <w:spacing w:after="0" w:line="14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41"/>
              <w:spacing w:after="0" w:line="148" w:lineRule="exact"/>
              <w:rPr>
                <w:sz w:val="20"/>
                <w:szCs w:val="20"/>
                <w:color w:val="auto"/>
              </w:rPr>
            </w:pPr>
            <w:r>
              <w:rPr>
                <w:rFonts w:ascii="Arial" w:cs="Arial" w:eastAsia="Arial" w:hAnsi="Arial"/>
                <w:sz w:val="14"/>
                <w:szCs w:val="14"/>
                <w:b w:val="1"/>
                <w:bCs w:val="1"/>
                <w:color w:val="auto"/>
              </w:rPr>
              <w:t>Interests</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8"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1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(3,136)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25,210</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(2,768)</w:t>
            </w: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31,444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Currency translation adjustments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Changes in fair value of derivatives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Pension and other postretirement benefit plans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7"/>
              </w:rPr>
              <w:t>Shares sold to optionees less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Vesting of restricted stock</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0"/>
              </w:rPr>
              <w:t>Shares issued under employee stock purchase plan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repurchase program</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Stock-based compensation 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of noncontrolling interests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Dividends declared ($1.00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20"/>
                <w:szCs w:val="20"/>
                <w:color w:val="auto"/>
              </w:rPr>
            </w:pPr>
            <w:r>
              <w:rPr>
                <w:rFonts w:ascii="Arial" w:cs="Arial" w:eastAsia="Arial" w:hAnsi="Arial"/>
                <w:sz w:val="16"/>
                <w:szCs w:val="16"/>
                <w:color w:val="auto"/>
              </w:rPr>
              <w:t>Balance, December 31, 2011</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Currency translation adjustments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1"/>
              </w:rPr>
              <w:t>Change in unrealized gain on marketable securities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Changes in fair value of derivatives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Pension and other postretirement benefit plans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7"/>
              </w:rPr>
              <w:t>Shares sold to optionees less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Vesting of restricted stock</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0"/>
              </w:rPr>
              <w:t>Shares issued under employee stock purchase plan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repurchase program</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Stock-based compensation 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Sale of CE Franklin</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(68)</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Dividends declared ($1.10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20"/>
                <w:szCs w:val="20"/>
                <w:color w:val="auto"/>
              </w:rPr>
            </w:pPr>
            <w:r>
              <w:rPr>
                <w:rFonts w:ascii="Arial" w:cs="Arial" w:eastAsia="Arial" w:hAnsi="Arial"/>
                <w:sz w:val="16"/>
                <w:szCs w:val="16"/>
                <w:color w:val="auto"/>
              </w:rPr>
              <w:t>Balance, December 31, 2012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11,912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(6,160)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34,858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Currency translation adjustments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1"/>
              </w:rPr>
              <w:t>Change in unrealized gain on marketable securities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Changes in fair value of derivatives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Pension and other postretirement benefit plans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7"/>
              </w:rPr>
              <w:t>Shares sold to optionees less shares exchanged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Vesting of restricted stock</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w w:val="90"/>
              </w:rPr>
              <w:t>Shares issued under employee stock purchase plan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repurchase program</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Stock-based compensation 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of noncontrolling interests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20"/>
              <w:spacing w:after="0"/>
              <w:rPr>
                <w:sz w:val="20"/>
                <w:szCs w:val="20"/>
                <w:color w:val="auto"/>
              </w:rPr>
            </w:pPr>
            <w:r>
              <w:rPr>
                <w:rFonts w:ascii="Arial" w:cs="Arial" w:eastAsia="Arial" w:hAnsi="Arial"/>
                <w:sz w:val="16"/>
                <w:szCs w:val="16"/>
                <w:color w:val="auto"/>
              </w:rPr>
              <w:t>Dividends declared ($1.25 per share)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(1,653)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02"/>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20"/>
                <w:szCs w:val="20"/>
                <w:color w:val="auto"/>
              </w:rPr>
            </w:pPr>
            <w:r>
              <w:rPr>
                <w:rFonts w:ascii="Arial" w:cs="Arial" w:eastAsia="Arial" w:hAnsi="Arial"/>
                <w:sz w:val="16"/>
                <w:szCs w:val="16"/>
                <w:color w:val="auto"/>
              </w:rPr>
              <w:t>Balance, December 31, 2013</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12,192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121" w:right="4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03"/>
        </w:trPr>
        <w:tc>
          <w:tcPr>
            <w:tcW w:w="7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r>
      <w:tr>
        <w:trPr>
          <w:trHeight w:val="234"/>
        </w:trPr>
        <w:tc>
          <w:tcPr>
            <w:tcW w:w="708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Issued</w:t>
            </w:r>
          </w:p>
        </w:tc>
        <w:tc>
          <w:tcPr>
            <w:tcW w:w="24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 Treasury</w:t>
            </w:r>
          </w:p>
        </w:tc>
        <w:tc>
          <w:tcPr>
            <w:tcW w:w="2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6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2011</w:t>
            </w:r>
          </w:p>
        </w:tc>
        <w:tc>
          <w:tcPr>
            <w:tcW w:w="128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1,434</w:t>
            </w: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1,361</w:t>
            </w:r>
          </w:p>
        </w:tc>
      </w:tr>
      <w:tr>
        <w:trPr>
          <w:trHeight w:val="215"/>
        </w:trPr>
        <w:tc>
          <w:tcPr>
            <w:tcW w:w="7080" w:type="dxa"/>
            <w:vAlign w:val="bottom"/>
          </w:tcPr>
          <w:p>
            <w:pPr>
              <w:ind w:left="220"/>
              <w:spacing w:after="0"/>
              <w:rPr>
                <w:sz w:val="20"/>
                <w:szCs w:val="20"/>
                <w:color w:val="auto"/>
              </w:rPr>
            </w:pPr>
            <w:r>
              <w:rPr>
                <w:rFonts w:ascii="Arial" w:cs="Arial" w:eastAsia="Arial" w:hAnsi="Arial"/>
                <w:sz w:val="18"/>
                <w:szCs w:val="18"/>
                <w:color w:val="auto"/>
              </w:rPr>
              <w:t>Shares sold to optionees less shares exchanged</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Vesting of restricted stock</w:t>
            </w:r>
          </w:p>
        </w:tc>
        <w:tc>
          <w:tcPr>
            <w:tcW w:w="15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r>
      <w:tr>
        <w:trPr>
          <w:trHeight w:val="215"/>
        </w:trPr>
        <w:tc>
          <w:tcPr>
            <w:tcW w:w="7080" w:type="dxa"/>
            <w:vAlign w:val="bottom"/>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 repurchase program Stock repurchase program</w:t>
            </w:r>
          </w:p>
        </w:tc>
        <w:tc>
          <w:tcPr>
            <w:tcW w:w="15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12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Shares sold to optionees less shares exchanged</w:t>
            </w:r>
          </w:p>
        </w:tc>
        <w:tc>
          <w:tcPr>
            <w:tcW w:w="15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r>
      <w:tr>
        <w:trPr>
          <w:trHeight w:val="215"/>
        </w:trPr>
        <w:tc>
          <w:tcPr>
            <w:tcW w:w="7080" w:type="dxa"/>
            <w:vAlign w:val="bottom"/>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 repurchase program</w:t>
            </w:r>
          </w:p>
        </w:tc>
        <w:tc>
          <w:tcPr>
            <w:tcW w:w="152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2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Shares sold to optionees less shares exchanged</w:t>
            </w:r>
          </w:p>
        </w:tc>
        <w:tc>
          <w:tcPr>
            <w:tcW w:w="152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r>
      <w:tr>
        <w:trPr>
          <w:trHeight w:val="215"/>
        </w:trPr>
        <w:tc>
          <w:tcPr>
            <w:tcW w:w="7080" w:type="dxa"/>
            <w:vAlign w:val="bottom"/>
          </w:tcPr>
          <w:p>
            <w:pPr>
              <w:ind w:left="220"/>
              <w:spacing w:after="0"/>
              <w:rPr>
                <w:sz w:val="20"/>
                <w:szCs w:val="20"/>
                <w:color w:val="auto"/>
              </w:rPr>
            </w:pPr>
            <w:r>
              <w:rPr>
                <w:rFonts w:ascii="Arial" w:cs="Arial" w:eastAsia="Arial" w:hAnsi="Arial"/>
                <w:sz w:val="18"/>
                <w:szCs w:val="18"/>
                <w:color w:val="auto"/>
              </w:rPr>
              <w:t>Vesting of restricted stock</w:t>
            </w: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5"/>
        </w:trPr>
        <w:tc>
          <w:tcPr>
            <w:tcW w:w="7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Shares issued under employee stock purchase plan</w:t>
            </w:r>
          </w:p>
        </w:tc>
        <w:tc>
          <w:tcPr>
            <w:tcW w:w="152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r>
      <w:tr>
        <w:trPr>
          <w:trHeight w:val="215"/>
        </w:trPr>
        <w:tc>
          <w:tcPr>
            <w:tcW w:w="7080" w:type="dxa"/>
            <w:vAlign w:val="bottom"/>
          </w:tcPr>
          <w:p>
            <w:pPr>
              <w:ind w:left="220"/>
              <w:spacing w:after="0"/>
              <w:rPr>
                <w:sz w:val="20"/>
                <w:szCs w:val="20"/>
                <w:color w:val="auto"/>
              </w:rPr>
            </w:pPr>
            <w:r>
              <w:rPr>
                <w:rFonts w:ascii="Arial" w:cs="Arial" w:eastAsia="Arial" w:hAnsi="Arial"/>
                <w:sz w:val="18"/>
                <w:szCs w:val="18"/>
                <w:color w:val="auto"/>
              </w:rPr>
              <w:t>Stock repurchase program</w:t>
            </w: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09"/>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2013</w:t>
            </w:r>
          </w:p>
        </w:tc>
        <w:tc>
          <w:tcPr>
            <w:tcW w:w="128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37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120"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“Schlumberger”) comprise the world’s leading supplier of technology, integrated project management and information solutions to the international oil and gas exploration and production industry.</w:t>
      </w:r>
    </w:p>
    <w:p>
      <w:pPr>
        <w:spacing w:after="0" w:line="25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12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wholly-owned subsidiaries, and other subsidiaries over which it exercises a controlling financial interest. All significant intercompany transactions and balances have been eliminated.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items have been reclassified to conform to the current year presentation.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recoverability of deferred costs, goodwill, intangible assets and investments in affiliates; income taxes; multiclient seismic data; contingencies and actuarial assumptions for employee benefit plans. Schlumberger bases its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when the customer assumes the risks and rewards of ownership.</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Revenue is occasionally generated from contractual arrangements that include multiple deliverables. Revenue from these arrangements is recognized as each item is delivered based on their relative fair value and when the delivered items have stand-alone value to the customer.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functional currency of Schlumberger is primarily the US dollar. Assets and liabilities recorded in functional currencies other than US dollars are translated at period end exchange rates. The resulting adjustments are charged or credited directly to the </w:t>
      </w:r>
      <w:r>
        <w:rPr>
          <w:rFonts w:ascii="Arial" w:cs="Arial" w:eastAsia="Arial" w:hAnsi="Arial"/>
          <w:sz w:val="18"/>
          <w:szCs w:val="18"/>
          <w:i w:val="1"/>
          <w:iCs w:val="1"/>
          <w:color w:val="auto"/>
        </w:rPr>
        <w:t>Equity</w:t>
      </w:r>
      <w:r>
        <w:rPr>
          <w:rFonts w:ascii="Arial" w:cs="Arial" w:eastAsia="Arial" w:hAnsi="Arial"/>
          <w:sz w:val="18"/>
          <w:szCs w:val="18"/>
          <w:color w:val="auto"/>
        </w:rPr>
        <w:t xml:space="preserve"> section of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Revenue and expenses are translated at the weighted-average exchange rates for the period. Realized and unrealized transaction gains and losses are included in income in the period in which they occur. Transaction losses of $24 million, $37 million and $25 million, net of hedging activities, were recognized in 2013, 2012 and 2011,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Fixed Income Investments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reflects the Schlumberger investment portfolio separated between current and long term, based on maturity. Both </w:t>
      </w:r>
      <w:r>
        <w:rPr>
          <w:rFonts w:ascii="Arial" w:cs="Arial" w:eastAsia="Arial" w:hAnsi="Arial"/>
          <w:sz w:val="17"/>
          <w:szCs w:val="17"/>
          <w:i w:val="1"/>
          <w:iCs w:val="1"/>
          <w:color w:val="auto"/>
        </w:rPr>
        <w:t>Short-term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Fixed Income Investments, held to maturity </w:t>
      </w:r>
      <w:r>
        <w:rPr>
          <w:rFonts w:ascii="Arial" w:cs="Arial" w:eastAsia="Arial" w:hAnsi="Arial"/>
          <w:sz w:val="17"/>
          <w:szCs w:val="17"/>
          <w:color w:val="auto"/>
        </w:rPr>
        <w:t>are comprised primarily of money market funds, eurodollar time deposits, certificates of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euro notes and Eurobonds, and are substantially denominated in US dollars. Under normal circumstances it is the intent of Schlumberger to hold the investments until maturity, with the exception of investments that are considered trading ($194 million at both December 31, 2013 and 2012). Short-term investments that are designated as trading are stated at fair value, which is estimated using quoted market prices for those or similar investments. All other investments are stated at cost plus accrued interest, which approximates market. The unrealized gains/losses on investments designated as trading were not significant at both December 31, 2013 and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xml:space="preserve">, Schlumberger does not consider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to be cash equivalents.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Fixed Income Investments, held to maturity </w:t>
      </w:r>
      <w:r>
        <w:rPr>
          <w:rFonts w:ascii="Arial" w:cs="Arial" w:eastAsia="Arial" w:hAnsi="Arial"/>
          <w:sz w:val="18"/>
          <w:szCs w:val="18"/>
          <w:color w:val="auto"/>
        </w:rPr>
        <w:t>at December 31, 2013 of $363 million mature as follows: $51 million in 2015, $23 million in 2016, $51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$238 million in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are stated at average cost or at market, whichever is lower. Costs included in</w:t>
      </w:r>
      <w:r>
        <w:rPr>
          <w:rFonts w:ascii="Arial" w:cs="Arial" w:eastAsia="Arial" w:hAnsi="Arial"/>
          <w:sz w:val="18"/>
          <w:szCs w:val="18"/>
          <w:i w:val="1"/>
          <w:iCs w:val="1"/>
          <w:color w:val="auto"/>
        </w:rPr>
        <w:t xml:space="preserve"> Inventories </w:t>
      </w:r>
      <w:r>
        <w:rPr>
          <w:rFonts w:ascii="Arial" w:cs="Arial" w:eastAsia="Arial" w:hAnsi="Arial"/>
          <w:sz w:val="18"/>
          <w:szCs w:val="18"/>
          <w:color w:val="auto"/>
        </w:rPr>
        <w:t>consist of materials, direct labor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Affiliated Companies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7"/>
          <w:szCs w:val="17"/>
          <w:i w:val="1"/>
          <w:iCs w:val="1"/>
          <w:color w:val="auto"/>
        </w:rPr>
        <w:t>Interest and other income</w:t>
      </w:r>
      <w:r>
        <w:rPr>
          <w:rFonts w:ascii="Arial" w:cs="Arial" w:eastAsia="Arial" w:hAnsi="Arial"/>
          <w:sz w:val="17"/>
          <w:szCs w:val="17"/>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These marketable securities are reported at fair value, based on quoted market prices, with unrealized gains and losses reported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The fair value of these marketable securities was $257 million and $222 million at December 31, 2013 and 2012,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cost basis of these marketable securities was $81 million at both December 31, 2013 and 2012.</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Equity and cost method investments as well as investments in publicly traded companies are classified as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balance sheet and the net amount, less proceeds from disposal, is charged or credited to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8" w:right="2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The goodwill relating to each of Schlumberger’s reporting units is tested for impairment annually as well as when an event, or change in circumstances, indicates an impairment may have occurred.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then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first step of the two-step goodwill impairment test.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Based on this assessment, Schlumberger concluded that it was more likely than not that the fair value of each of its reporting units was greater than its carrying amount. Accordingly, no further testing was required.</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Intangible assets consist primarily of customer relationships, technology/technical know-how and tradenames acquired in business combinations. Customer relationships are generally amortized over periods ranging from 15 to 28 years, acquired technology/technical know-how are generally amortized over periods ranging from 10 to 18 years and tradenames are generally amortized over periods ranging from 15 to 30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7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Schlumberger generally does not provide income taxes relating to undistributed earnings, as the earnings either would not be taxable when remitted or are considered to be indefinitely reinvested.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engineering expenditures are expensed as incurred.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of Schlumberger from continuing operations is calculated by dividing income from continuing operations attributable to Schlumberger by the weighted average number of common shares outstanding during the year. Diluted earnings per share is calculated by dividing income from continuing operations attributable to Schlumberger by the sum of (i) unvested restricted stock units and (ii) the weighted average number of common shares outstanding assuming dilution. The weighted average number of common shares outstanding assuming dilution assumes that all stock options which are in the money are exercised at the beginning of the period and that the proceeds are used by Schlumberger to purchase shares of its common stock at the average market price for the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The following is a reconciliation from basic to diluted earnings per share from continuing operations of Schlumberger for each of the last three years: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8"/>
              </w:rPr>
              <w:t>(Stated in million except per share amounts)</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Schlumberger</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Income from</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from</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Continuing</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Continuing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6,801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Assumed exercise of stock options</w:t>
            </w:r>
          </w:p>
        </w:tc>
        <w:tc>
          <w:tcPr>
            <w:tcW w:w="1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gridSpan w:val="2"/>
            <w:shd w:val="clear" w:color="auto" w:fill="CFF0FC"/>
          </w:tcPr>
          <w:p>
            <w:pPr>
              <w:jc w:val="right"/>
              <w:ind w:right="320"/>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gridSpan w:val="2"/>
            <w:shd w:val="clear" w:color="auto" w:fill="CFF0FC"/>
          </w:tcPr>
          <w:p>
            <w:pPr>
              <w:jc w:val="right"/>
              <w:ind w:right="100"/>
              <w:spacing w:after="0" w:line="195" w:lineRule="exact"/>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Unvested restricted stock</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6,801</w:t>
            </w: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1,333</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5,230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gridSpan w:val="2"/>
            <w:shd w:val="clear" w:color="auto" w:fill="CFF0FC"/>
          </w:tcPr>
          <w:p>
            <w:pPr>
              <w:jc w:val="right"/>
              <w:ind w:right="320"/>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gridSpan w:val="2"/>
            <w:shd w:val="clear" w:color="auto" w:fill="CFF0FC"/>
          </w:tcPr>
          <w:p>
            <w:pPr>
              <w:jc w:val="right"/>
              <w:ind w:right="100"/>
              <w:spacing w:after="0" w:line="195"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4,516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CFF0FC"/>
            </w:tcBorders>
            <w:gridSpan w:val="2"/>
            <w:shd w:val="clear" w:color="auto" w:fill="CFF0FC"/>
          </w:tcPr>
          <w:p>
            <w:pPr>
              <w:jc w:val="right"/>
              <w:ind w:right="320"/>
              <w:spacing w:after="0" w:line="195"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gridSpan w:val="2"/>
            <w:shd w:val="clear" w:color="auto" w:fill="CFF0FC"/>
          </w:tcPr>
          <w:p>
            <w:pPr>
              <w:jc w:val="right"/>
              <w:ind w:right="100"/>
              <w:spacing w:after="0" w:line="195" w:lineRule="exact"/>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w:t>
            </w:r>
          </w:p>
        </w:tc>
        <w:tc>
          <w:tcPr>
            <w:tcW w:w="2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stock options to purchase 12 million, 21 million and 14 million shares of common stock at December 31, 2013, 2012 and 2011,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328"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2013, 2012 and 2011: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0" w:lineRule="exact"/>
        <w:rPr>
          <w:sz w:val="20"/>
          <w:szCs w:val="20"/>
          <w:color w:val="auto"/>
        </w:rPr>
      </w:pPr>
    </w:p>
    <w:p>
      <w:pPr>
        <w:ind w:left="1040" w:right="20" w:hanging="367"/>
        <w:spacing w:after="0" w:line="232" w:lineRule="auto"/>
        <w:tabs>
          <w:tab w:leader="none" w:pos="10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During the fourth quarter, Schlumberger recorded a $152 million pretax ($122 million after-tax) provision relating to accounts receivable from a client in Brazil who filed for bankruptcy.</w:t>
      </w:r>
    </w:p>
    <w:p>
      <w:pPr>
        <w:spacing w:after="0" w:line="94" w:lineRule="exact"/>
        <w:rPr>
          <w:sz w:val="20"/>
          <w:szCs w:val="20"/>
          <w:color w:val="auto"/>
        </w:rPr>
      </w:pPr>
    </w:p>
    <w:p>
      <w:pPr>
        <w:ind w:left="1040" w:right="20" w:hanging="377"/>
        <w:spacing w:after="0" w:line="262" w:lineRule="auto"/>
        <w:rPr>
          <w:sz w:val="20"/>
          <w:szCs w:val="20"/>
          <w:color w:val="auto"/>
        </w:rPr>
      </w:pPr>
      <w:r>
        <w:rPr>
          <w:rFonts w:ascii="Arial" w:cs="Arial" w:eastAsia="Arial" w:hAnsi="Arial"/>
          <w:sz w:val="18"/>
          <w:szCs w:val="18"/>
          <w:color w:val="auto"/>
        </w:rPr>
        <w:t xml:space="preserve">— During the second quarter, Schlumberger recorded a pretax and after-tax gain of $1.028 billion as a result of the deconsolidation of its subsea business in connection with the formation of the OneSubsea joint venture with Cameron International Corporation (“Cameron”). Refer to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details.</w:t>
      </w:r>
    </w:p>
    <w:p>
      <w:pPr>
        <w:spacing w:after="0" w:line="75" w:lineRule="exact"/>
        <w:rPr>
          <w:sz w:val="20"/>
          <w:szCs w:val="20"/>
          <w:color w:val="auto"/>
        </w:rPr>
      </w:pPr>
    </w:p>
    <w:p>
      <w:pPr>
        <w:ind w:left="1040" w:right="20" w:hanging="377"/>
        <w:spacing w:after="0" w:line="262" w:lineRule="auto"/>
        <w:rPr>
          <w:sz w:val="20"/>
          <w:szCs w:val="20"/>
          <w:color w:val="auto"/>
        </w:rPr>
      </w:pPr>
      <w:r>
        <w:rPr>
          <w:rFonts w:ascii="Arial" w:cs="Arial" w:eastAsia="Arial" w:hAnsi="Arial"/>
          <w:sz w:val="18"/>
          <w:szCs w:val="18"/>
          <w:color w:val="auto"/>
        </w:rPr>
        <w:t>— During the second quarter, Schlumberger recorded a $222 million pretax ($203 million after-tax) impairment charge relating to an investment in a company involved in developing drilling-related technology and a $142 million pretax and after-tax impairment charge relating to an investment in a contract drilling business.</w:t>
      </w:r>
    </w:p>
    <w:p>
      <w:pPr>
        <w:spacing w:after="0" w:line="75" w:lineRule="exact"/>
        <w:rPr>
          <w:sz w:val="20"/>
          <w:szCs w:val="20"/>
          <w:color w:val="auto"/>
        </w:rPr>
      </w:pPr>
    </w:p>
    <w:p>
      <w:pPr>
        <w:ind w:left="1040" w:right="20" w:hanging="377"/>
        <w:spacing w:after="0" w:line="258" w:lineRule="auto"/>
        <w:rPr>
          <w:sz w:val="20"/>
          <w:szCs w:val="20"/>
          <w:color w:val="auto"/>
        </w:rPr>
      </w:pPr>
      <w:r>
        <w:rPr>
          <w:rFonts w:ascii="Arial" w:cs="Arial" w:eastAsia="Arial" w:hAnsi="Arial"/>
          <w:sz w:val="18"/>
          <w:szCs w:val="18"/>
          <w:color w:val="auto"/>
        </w:rPr>
        <w:t>— 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is a summary of these charges and credits: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307"/>
        </w:trPr>
        <w:tc>
          <w:tcPr>
            <w:tcW w:w="4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Consolidated Statement</w:t>
            </w:r>
          </w:p>
        </w:tc>
      </w:tr>
      <w:tr>
        <w:trPr>
          <w:trHeight w:val="243"/>
        </w:trPr>
        <w:tc>
          <w:tcPr>
            <w:tcW w:w="408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Pretax</w:t>
            </w:r>
          </w:p>
        </w:tc>
        <w:tc>
          <w:tcPr>
            <w:tcW w:w="240" w:type="dxa"/>
            <w:vAlign w:val="bottom"/>
            <w:tcBorders>
              <w:bottom w:val="single" w:sz="8" w:color="CFF0FC"/>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r>
      <w:tr>
        <w:trPr>
          <w:trHeight w:val="26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9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FF0FC"/>
          </w:tcPr>
          <w:p>
            <w:pPr>
              <w:spacing w:after="0"/>
              <w:rPr>
                <w:sz w:val="22"/>
                <w:szCs w:val="22"/>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accounts receivable</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r>
      <w:tr>
        <w:trPr>
          <w:trHeight w:val="215"/>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7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09"/>
        </w:trPr>
        <w:tc>
          <w:tcPr>
            <w:tcW w:w="40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FF0FC"/>
            </w:tcBorders>
            <w:shd w:val="clear" w:color="auto" w:fill="CFF0FC"/>
          </w:tcPr>
          <w:p>
            <w:pPr>
              <w:spacing w:after="0"/>
              <w:rPr>
                <w:sz w:val="18"/>
                <w:szCs w:val="18"/>
                <w:color w:val="auto"/>
              </w:rPr>
            </w:pPr>
          </w:p>
        </w:tc>
        <w:tc>
          <w:tcPr>
            <w:tcW w:w="3180" w:type="dxa"/>
            <w:vAlign w:val="bottom"/>
            <w:tcBorders>
              <w:bottom w:val="single" w:sz="8" w:color="CFF0FC"/>
            </w:tcBorders>
            <w:shd w:val="clear" w:color="auto" w:fill="CFF0FC"/>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20"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Schlumberger recorded pretax merger and integration-related charges throughout 2012 of $128 million ($112 million after-tax) in connection with its 2010 acquisitions of Smith International, Inc. (“Smith”) and Geoservices.</w:t>
      </w:r>
    </w:p>
    <w:p>
      <w:pPr>
        <w:spacing w:after="0" w:line="62"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During the fourth quarter, Schlumberger recorded a pretax charge of $33 million ($27 million after-tax) relating to severance in connection with an initiative to rationalize global overhead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3180" w:type="dxa"/>
            <w:vAlign w:val="bottom"/>
          </w:tcPr>
          <w:p>
            <w:pPr>
              <w:spacing w:after="0"/>
              <w:rPr>
                <w:sz w:val="15"/>
                <w:szCs w:val="15"/>
                <w:color w:val="auto"/>
              </w:rPr>
            </w:pPr>
          </w:p>
        </w:tc>
      </w:tr>
      <w:tr>
        <w:trPr>
          <w:trHeight w:val="307"/>
        </w:trPr>
        <w:tc>
          <w:tcPr>
            <w:tcW w:w="3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Consolidated Statement</w:t>
            </w:r>
          </w:p>
        </w:tc>
      </w:tr>
      <w:tr>
        <w:trPr>
          <w:trHeight w:val="243"/>
        </w:trPr>
        <w:tc>
          <w:tcPr>
            <w:tcW w:w="356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Pretax</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CFF0FC"/>
            </w:tcBorders>
          </w:tcPr>
          <w:p>
            <w:pPr>
              <w:spacing w:after="0"/>
              <w:rPr>
                <w:sz w:val="21"/>
                <w:szCs w:val="21"/>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r>
      <w:tr>
        <w:trPr>
          <w:trHeight w:val="30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Merger-related integration costs</w:t>
            </w:r>
          </w:p>
        </w:tc>
        <w:tc>
          <w:tcPr>
            <w:tcW w:w="1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Workforce reduction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18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09"/>
        </w:trPr>
        <w:tc>
          <w:tcPr>
            <w:tcW w:w="356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0"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Schlumberger recorded pretax merger and integration-related charges throughout 2011 of $113 million ($95 million after-tax) in connection with its 2010 acquisitions of Smith and Geoservices.</w:t>
      </w:r>
    </w:p>
    <w:p>
      <w:pPr>
        <w:spacing w:after="0" w:line="62"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During the fourth quarter, Schlumberger recorded a pretax and after-tax charge of $60 million relating to certain assets in Libya that were no longer recoverable as a result of the political unrest there.</w:t>
      </w:r>
    </w:p>
    <w:p>
      <w:pPr>
        <w:spacing w:after="0" w:line="62" w:lineRule="exact"/>
        <w:rPr>
          <w:sz w:val="20"/>
          <w:szCs w:val="20"/>
          <w:color w:val="auto"/>
        </w:rPr>
      </w:pPr>
    </w:p>
    <w:p>
      <w:pPr>
        <w:ind w:left="1040" w:right="20" w:hanging="377"/>
        <w:spacing w:after="0" w:line="310" w:lineRule="auto"/>
        <w:rPr>
          <w:sz w:val="20"/>
          <w:szCs w:val="20"/>
          <w:color w:val="auto"/>
        </w:rPr>
      </w:pPr>
      <w:r>
        <w:rPr>
          <w:rFonts w:ascii="Arial" w:cs="Arial" w:eastAsia="Arial" w:hAnsi="Arial"/>
          <w:sz w:val="16"/>
          <w:szCs w:val="16"/>
          <w:color w:val="auto"/>
        </w:rPr>
        <w:t>— During the second quarter, Schlumberger made a $50 million grant to the Schlumberger Foundation to support the Foundation’s Faculty for the Future program, which supports talented women scientists from the developing world by helping them pursue advanced graduate studies in scientific disciplines at leading universities worldwide. As a result, Schlumberger recorded a $50 million charge ($40 million after-tax).</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i w:val="1"/>
                <w:iCs w:val="1"/>
                <w:color w:val="auto"/>
                <w:w w:val="95"/>
              </w:rPr>
              <w:t>(Stated in millions)</w:t>
            </w:r>
          </w:p>
        </w:tc>
        <w:tc>
          <w:tcPr>
            <w:tcW w:w="20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307"/>
        </w:trPr>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Consolidated Statement</w:t>
            </w:r>
          </w:p>
        </w:tc>
      </w:tr>
      <w:tr>
        <w:trPr>
          <w:trHeight w:val="243"/>
        </w:trPr>
        <w:tc>
          <w:tcPr>
            <w:tcW w:w="392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9"/>
              </w:rPr>
              <w:t>Pretax</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Tax</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Net</w:t>
            </w: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of Income </w:t>
            </w:r>
            <w:r>
              <w:rPr>
                <w:rFonts w:ascii="Arial" w:cs="Arial" w:eastAsia="Arial" w:hAnsi="Arial"/>
                <w:sz w:val="18"/>
                <w:szCs w:val="18"/>
                <w:color w:val="auto"/>
              </w:rPr>
              <w:t>Classification</w:t>
            </w:r>
          </w:p>
        </w:tc>
      </w:tr>
      <w:tr>
        <w:trPr>
          <w:trHeight w:val="29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Merger-related integration costs</w:t>
            </w:r>
          </w:p>
        </w:tc>
        <w:tc>
          <w:tcPr>
            <w:tcW w:w="10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24"/>
                <w:szCs w:val="2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r>
      <w:tr>
        <w:trPr>
          <w:trHeight w:val="21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Write-off of assets in Libya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r>
      <w:tr>
        <w:trPr>
          <w:trHeight w:val="209"/>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of OneSubsea Joint Venture</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Arial" w:cs="Arial" w:eastAsia="Arial" w:hAnsi="Arial"/>
          <w:sz w:val="16"/>
          <w:szCs w:val="16"/>
          <w:i w:val="1"/>
          <w:iCs w:val="1"/>
          <w:color w:val="auto"/>
        </w:rPr>
        <w:t>Gain on formation of OneSubsea</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as a result of the deconsolidation of its subsea business. This gain is equal to the difference between the fair value of the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subsea business, which was determined based on the present value of its estimated future cash flows, and its carrying value at the time of closing.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Schlumberger has made other acquisitions and investments, none of which were significant individually or in the aggregate, for cash payments, net of cash acquired, of $610 million during 2013, $845 million during 2012, and $610 million during 2011.</w:t>
      </w:r>
    </w:p>
    <w:p>
      <w:pPr>
        <w:spacing w:after="0" w:line="314"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1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5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2,539</w:t>
            </w:r>
          </w:p>
        </w:tc>
        <w:tc>
          <w:tcPr>
            <w:tcW w:w="3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5"/>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1,803</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65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5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1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53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394</w:t>
            </w:r>
          </w:p>
        </w:tc>
        <w:tc>
          <w:tcPr>
            <w:tcW w:w="80" w:type="dxa"/>
            <w:vAlign w:val="bottom"/>
            <w:shd w:val="clear" w:color="auto" w:fill="CFF0FC"/>
          </w:tcPr>
          <w:p>
            <w:pPr>
              <w:spacing w:after="0"/>
              <w:rPr>
                <w:sz w:val="24"/>
                <w:szCs w:val="24"/>
                <w:color w:val="auto"/>
              </w:rPr>
            </w:pPr>
          </w:p>
        </w:tc>
        <w:tc>
          <w:tcPr>
            <w:tcW w:w="380" w:type="dxa"/>
            <w:vAlign w:val="bottom"/>
            <w:gridSpan w:val="3"/>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Buildings &amp; improvements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29,332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Seismic vessels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53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35,164</w:t>
            </w: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53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15,096</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FF0FC"/>
          </w:tcPr>
          <w:p>
            <w:pPr>
              <w:jc w:val="right"/>
              <w:ind w:right="10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estimated useful lives of Buildings &amp; improvements are primarily 25 to 30 years. The estimated useful lives of Machinery &amp; equipment are primarily 5 to 10 years. Seismic vessels are depreciated over periods ranging from 20 to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$3.1 billion, $2.9 billion and $2.7 billion in 2013, 2012 and 2011,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8"/>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0" w:type="dxa"/>
            <w:vAlign w:val="bottom"/>
            <w:tcBorders>
              <w:bottom w:val="single" w:sz="8" w:color="CFF0FC"/>
            </w:tcBorders>
          </w:tcPr>
          <w:p>
            <w:pPr>
              <w:spacing w:after="0"/>
              <w:rPr>
                <w:sz w:val="24"/>
                <w:szCs w:val="24"/>
                <w:color w:val="auto"/>
              </w:rPr>
            </w:pPr>
          </w:p>
        </w:tc>
        <w:tc>
          <w:tcPr>
            <w:tcW w:w="700" w:type="dxa"/>
            <w:vAlign w:val="bottom"/>
            <w:tcBorders>
              <w:bottom w:val="single" w:sz="8" w:color="CFF0FC"/>
            </w:tcBorders>
          </w:tcPr>
          <w:p>
            <w:pPr>
              <w:spacing w:after="0"/>
              <w:rPr>
                <w:sz w:val="24"/>
                <w:szCs w:val="24"/>
                <w:color w:val="auto"/>
              </w:rPr>
            </w:pPr>
          </w:p>
        </w:tc>
        <w:tc>
          <w:tcPr>
            <w:tcW w:w="620" w:type="dxa"/>
            <w:vAlign w:val="bottom"/>
            <w:tcBorders>
              <w:bottom w:val="single" w:sz="8" w:color="CFF0FC"/>
            </w:tcBorders>
          </w:tcPr>
          <w:p>
            <w:pPr>
              <w:spacing w:after="0"/>
              <w:rPr>
                <w:sz w:val="24"/>
                <w:szCs w:val="24"/>
                <w:color w:val="auto"/>
              </w:rPr>
            </w:pPr>
          </w:p>
        </w:tc>
        <w:tc>
          <w:tcPr>
            <w:tcW w:w="18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2012</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4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518</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425</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Capitalized in year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351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Charged to expense</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95"/>
              </w:rPr>
              <w:t>(245)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(258)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Goodwill</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33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80" w:type="dxa"/>
            <w:vAlign w:val="bottom"/>
            <w:gridSpan w:val="14"/>
          </w:tcPr>
          <w:p>
            <w:pPr>
              <w:spacing w:after="0"/>
              <w:rPr>
                <w:sz w:val="20"/>
                <w:szCs w:val="20"/>
                <w:color w:val="auto"/>
              </w:rPr>
            </w:pPr>
            <w:r>
              <w:rPr>
                <w:rFonts w:ascii="Arial" w:cs="Arial" w:eastAsia="Arial" w:hAnsi="Arial"/>
                <w:sz w:val="18"/>
                <w:szCs w:val="18"/>
                <w:color w:val="auto"/>
                <w:w w:val="94"/>
              </w:rPr>
              <w:t>The changes in the carrying amount of goodwill by reporting unit were as follows: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8"/>
                <w:szCs w:val="18"/>
                <w:color w:val="auto"/>
              </w:rPr>
              <w:t>Reservoir</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9"/>
              </w:rPr>
              <w:t>Characterization</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8"/>
                <w:szCs w:val="18"/>
                <w:color w:val="auto"/>
              </w:rPr>
              <w:t>Drilling</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gridSpan w:val="7"/>
          </w:tcPr>
          <w:p>
            <w:pPr>
              <w:jc w:val="right"/>
              <w:ind w:right="175"/>
              <w:spacing w:after="0"/>
              <w:rPr>
                <w:sz w:val="20"/>
                <w:szCs w:val="20"/>
                <w:color w:val="auto"/>
              </w:rPr>
            </w:pPr>
            <w:r>
              <w:rPr>
                <w:rFonts w:ascii="Arial" w:cs="Arial" w:eastAsia="Arial" w:hAnsi="Arial"/>
                <w:sz w:val="18"/>
                <w:szCs w:val="18"/>
                <w:color w:val="auto"/>
              </w:rPr>
              <w:t>Production</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9"/>
              </w:rPr>
              <w:t>Distribution</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Balance at January 1, 2012</w:t>
            </w:r>
          </w:p>
        </w:tc>
        <w:tc>
          <w:tcPr>
            <w:tcW w:w="1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3,360</w:t>
            </w:r>
          </w:p>
        </w:tc>
        <w:tc>
          <w:tcPr>
            <w:tcW w:w="10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4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8,362</w:t>
            </w:r>
          </w:p>
        </w:tc>
        <w:tc>
          <w:tcPr>
            <w:tcW w:w="18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2,356</w:t>
            </w:r>
          </w:p>
        </w:tc>
        <w:tc>
          <w:tcPr>
            <w:tcW w:w="2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22"/>
                <w:szCs w:val="22"/>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14,154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Reallocation</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Divestiture of business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gridSpan w:val="4"/>
          </w:tcPr>
          <w:p>
            <w:pPr>
              <w:spacing w:after="0"/>
              <w:rPr>
                <w:sz w:val="20"/>
                <w:szCs w:val="20"/>
                <w:color w:val="auto"/>
              </w:rPr>
            </w:pPr>
            <w:r>
              <w:rPr>
                <w:rFonts w:ascii="Arial" w:cs="Arial" w:eastAsia="Arial" w:hAnsi="Arial"/>
                <w:sz w:val="18"/>
                <w:szCs w:val="18"/>
                <w:color w:val="auto"/>
              </w:rPr>
              <w:t>Balance, December 31, 2012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3,760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8,337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2,488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336</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Divestiture of business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17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ind w:right="17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gridSpan w:val="4"/>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8,315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2,654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Intangible Assets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33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300" w:type="dxa"/>
            <w:vAlign w:val="bottom"/>
            <w:gridSpan w:val="4"/>
          </w:tcPr>
          <w:p>
            <w:pPr>
              <w:spacing w:after="0"/>
              <w:rPr>
                <w:sz w:val="20"/>
                <w:szCs w:val="20"/>
                <w:color w:val="auto"/>
              </w:rPr>
            </w:pPr>
            <w:r>
              <w:rPr>
                <w:rFonts w:ascii="Arial" w:cs="Arial" w:eastAsia="Arial" w:hAnsi="Arial"/>
                <w:sz w:val="18"/>
                <w:szCs w:val="18"/>
                <w:color w:val="auto"/>
              </w:rPr>
              <w:t>A summary of intangible assets follows: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6"/>
                <w:szCs w:val="16"/>
                <w:color w:val="auto"/>
              </w:rPr>
            </w:pPr>
          </w:p>
        </w:tc>
        <w:tc>
          <w:tcPr>
            <w:tcW w:w="1380" w:type="dxa"/>
            <w:vAlign w:val="bottom"/>
            <w:gridSpan w:val="5"/>
          </w:tcPr>
          <w:p>
            <w:pPr>
              <w:jc w:val="center"/>
              <w:ind w:right="260"/>
              <w:spacing w:after="0" w:line="195" w:lineRule="exact"/>
              <w:rPr>
                <w:sz w:val="20"/>
                <w:szCs w:val="20"/>
                <w:color w:val="auto"/>
              </w:rPr>
            </w:pPr>
            <w:r>
              <w:rPr>
                <w:rFonts w:ascii="Arial" w:cs="Arial" w:eastAsia="Arial" w:hAnsi="Arial"/>
                <w:sz w:val="18"/>
                <w:szCs w:val="18"/>
                <w:color w:val="auto"/>
                <w:w w:val="92"/>
              </w:rPr>
              <w:t>Accumulated</w:t>
            </w:r>
          </w:p>
        </w:tc>
        <w:tc>
          <w:tcPr>
            <w:tcW w:w="1140" w:type="dxa"/>
            <w:vAlign w:val="bottom"/>
            <w:gridSpan w:val="5"/>
          </w:tcPr>
          <w:p>
            <w:pPr>
              <w:jc w:val="right"/>
              <w:ind w:right="139"/>
              <w:spacing w:after="0" w:line="195" w:lineRule="exact"/>
              <w:rPr>
                <w:sz w:val="20"/>
                <w:szCs w:val="20"/>
                <w:color w:val="auto"/>
              </w:rPr>
            </w:pPr>
            <w:r>
              <w:rPr>
                <w:rFonts w:ascii="Arial" w:cs="Arial" w:eastAsia="Arial" w:hAnsi="Arial"/>
                <w:sz w:val="18"/>
                <w:szCs w:val="18"/>
                <w:color w:val="auto"/>
              </w:rPr>
              <w:t>Net Book</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Gross</w:t>
            </w:r>
          </w:p>
        </w:tc>
        <w:tc>
          <w:tcPr>
            <w:tcW w:w="200" w:type="dxa"/>
            <w:vAlign w:val="bottom"/>
          </w:tcPr>
          <w:p>
            <w:pPr>
              <w:spacing w:after="0"/>
              <w:rPr>
                <w:sz w:val="16"/>
                <w:szCs w:val="16"/>
                <w:color w:val="auto"/>
              </w:rPr>
            </w:pPr>
          </w:p>
        </w:tc>
        <w:tc>
          <w:tcPr>
            <w:tcW w:w="1120" w:type="dxa"/>
            <w:vAlign w:val="bottom"/>
            <w:gridSpan w:val="4"/>
          </w:tcPr>
          <w:p>
            <w:pPr>
              <w:jc w:val="right"/>
              <w:ind w:right="80"/>
              <w:spacing w:after="0" w:line="195" w:lineRule="exact"/>
              <w:rPr>
                <w:sz w:val="20"/>
                <w:szCs w:val="20"/>
                <w:color w:val="auto"/>
              </w:rPr>
            </w:pPr>
            <w:r>
              <w:rPr>
                <w:rFonts w:ascii="Arial" w:cs="Arial" w:eastAsia="Arial" w:hAnsi="Arial"/>
                <w:sz w:val="18"/>
                <w:szCs w:val="18"/>
                <w:color w:val="auto"/>
                <w:w w:val="97"/>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Net Book</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Book Value</w:t>
            </w:r>
          </w:p>
        </w:tc>
        <w:tc>
          <w:tcPr>
            <w:tcW w:w="220" w:type="dxa"/>
            <w:vAlign w:val="bottom"/>
          </w:tcPr>
          <w:p>
            <w:pPr>
              <w:spacing w:after="0"/>
              <w:rPr>
                <w:sz w:val="19"/>
                <w:szCs w:val="19"/>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180" w:type="dxa"/>
            <w:vAlign w:val="bottom"/>
            <w:gridSpan w:val="6"/>
          </w:tcPr>
          <w:p>
            <w:pPr>
              <w:jc w:val="right"/>
              <w:ind w:right="40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19"/>
                <w:szCs w:val="19"/>
                <w:color w:val="auto"/>
              </w:rPr>
            </w:pPr>
          </w:p>
        </w:tc>
        <w:tc>
          <w:tcPr>
            <w:tcW w:w="1180" w:type="dxa"/>
            <w:vAlign w:val="bottom"/>
            <w:gridSpan w:val="8"/>
          </w:tcPr>
          <w:p>
            <w:pPr>
              <w:jc w:val="right"/>
              <w:ind w:right="180"/>
              <w:spacing w:after="0"/>
              <w:rPr>
                <w:sz w:val="20"/>
                <w:szCs w:val="20"/>
                <w:color w:val="auto"/>
              </w:rPr>
            </w:pPr>
            <w:r>
              <w:rPr>
                <w:rFonts w:ascii="Arial" w:cs="Arial" w:eastAsia="Arial" w:hAnsi="Arial"/>
                <w:sz w:val="18"/>
                <w:szCs w:val="18"/>
                <w:color w:val="auto"/>
              </w:rPr>
              <w:t>Book Value</w:t>
            </w:r>
          </w:p>
        </w:tc>
        <w:tc>
          <w:tcPr>
            <w:tcW w:w="20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33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Technology/Technical Know-How</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b w:val="1"/>
                <w:bCs w:val="1"/>
                <w:color w:val="auto"/>
                <w:w w:val="84"/>
              </w:rPr>
              <w:t>1,960</w:t>
            </w: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597</w:t>
            </w:r>
          </w:p>
        </w:tc>
        <w:tc>
          <w:tcPr>
            <w:tcW w:w="2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53"/>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84"/>
              </w:rPr>
              <w:t>1,967</w:t>
            </w: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3"/>
            <w:shd w:val="clear" w:color="auto" w:fill="CFF0FC"/>
          </w:tcPr>
          <w:p>
            <w:pPr>
              <w:ind w:left="560"/>
              <w:spacing w:after="0"/>
              <w:rPr>
                <w:sz w:val="20"/>
                <w:szCs w:val="20"/>
                <w:color w:val="auto"/>
              </w:rPr>
            </w:pPr>
            <w:r>
              <w:rPr>
                <w:rFonts w:ascii="Arial" w:cs="Arial" w:eastAsia="Arial" w:hAnsi="Arial"/>
                <w:sz w:val="18"/>
                <w:szCs w:val="18"/>
                <w:color w:val="auto"/>
                <w:w w:val="86"/>
              </w:rPr>
              <w:t>474</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8"/>
                <w:szCs w:val="18"/>
                <w:color w:val="auto"/>
              </w:rPr>
            </w:pPr>
          </w:p>
        </w:tc>
        <w:tc>
          <w:tcPr>
            <w:tcW w:w="1060" w:type="dxa"/>
            <w:vAlign w:val="bottom"/>
            <w:gridSpan w:val="3"/>
          </w:tcPr>
          <w:p>
            <w:pPr>
              <w:ind w:left="620"/>
              <w:spacing w:after="0"/>
              <w:rPr>
                <w:sz w:val="20"/>
                <w:szCs w:val="20"/>
                <w:color w:val="auto"/>
              </w:rPr>
            </w:pPr>
            <w:r>
              <w:rPr>
                <w:rFonts w:ascii="Arial" w:cs="Arial" w:eastAsia="Arial" w:hAnsi="Arial"/>
                <w:sz w:val="18"/>
                <w:szCs w:val="18"/>
                <w:b w:val="1"/>
                <w:bCs w:val="1"/>
                <w:color w:val="auto"/>
                <w:w w:val="93"/>
              </w:rPr>
              <w:t>1,647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257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1,390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Arial" w:cs="Arial" w:eastAsia="Arial" w:hAnsi="Arial"/>
                <w:sz w:val="18"/>
                <w:szCs w:val="18"/>
                <w:color w:val="auto"/>
                <w:w w:val="93"/>
              </w:rPr>
              <w:t>1,647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ind w:left="5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ind w:left="620"/>
              <w:spacing w:after="0"/>
              <w:rPr>
                <w:sz w:val="20"/>
                <w:szCs w:val="20"/>
                <w:color w:val="auto"/>
              </w:rPr>
            </w:pPr>
            <w:r>
              <w:rPr>
                <w:rFonts w:ascii="Arial" w:cs="Arial" w:eastAsia="Arial" w:hAnsi="Arial"/>
                <w:sz w:val="18"/>
                <w:szCs w:val="18"/>
                <w:b w:val="1"/>
                <w:bCs w:val="1"/>
                <w:color w:val="auto"/>
                <w:w w:val="93"/>
              </w:rPr>
              <w:t>2,263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407</w:t>
            </w: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w w:val="88"/>
              </w:rPr>
              <w:t>2,115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4"/>
            <w:shd w:val="clear" w:color="auto" w:fill="CFF0FC"/>
          </w:tcPr>
          <w:p>
            <w:pPr>
              <w:ind w:left="5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335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ind w:left="5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CFF0FC"/>
              <w:bottom w:val="single" w:sz="8" w:color="CFF0FC"/>
            </w:tcBorders>
            <w:shd w:val="clear" w:color="auto" w:fill="CFF0FC"/>
          </w:tcPr>
          <w:p>
            <w:pPr>
              <w:spacing w:after="0"/>
              <w:rPr>
                <w:sz w:val="18"/>
                <w:szCs w:val="18"/>
                <w:color w:val="auto"/>
              </w:rPr>
            </w:pPr>
          </w:p>
        </w:tc>
        <w:tc>
          <w:tcPr>
            <w:tcW w:w="18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b w:val="1"/>
                <w:bCs w:val="1"/>
                <w:color w:val="auto"/>
                <w:w w:val="84"/>
              </w:rPr>
              <w:t>6,305</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1,596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53"/>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4,709</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84"/>
              </w:rPr>
              <w:t>6,098</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FF0FC"/>
          </w:tcPr>
          <w:p>
            <w:pPr>
              <w:ind w:left="420"/>
              <w:spacing w:after="0"/>
              <w:rPr>
                <w:sz w:val="20"/>
                <w:szCs w:val="20"/>
                <w:color w:val="auto"/>
              </w:rPr>
            </w:pPr>
            <w:r>
              <w:rPr>
                <w:rFonts w:ascii="Arial" w:cs="Arial" w:eastAsia="Arial" w:hAnsi="Arial"/>
                <w:sz w:val="18"/>
                <w:szCs w:val="18"/>
                <w:color w:val="auto"/>
                <w:w w:val="88"/>
              </w:rPr>
              <w:t>1,296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$330 million in 2013, $331 million in 2012 and $324 million in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20 years.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subsequent five years is estimated to be as follows: 2014: $357 million, 2015: $350 million, 2016: $334 million, 2017: $314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million and 2018: $307 million.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Debt Facility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r>
      <w:tr>
        <w:trPr>
          <w:trHeight w:val="321"/>
        </w:trPr>
        <w:tc>
          <w:tcPr>
            <w:tcW w:w="500" w:type="dxa"/>
            <w:vAlign w:val="bottom"/>
            <w:tcBorders>
              <w:bottom w:val="single" w:sz="8" w:color="CFF0FC"/>
            </w:tcBorders>
          </w:tcPr>
          <w:p>
            <w:pPr>
              <w:spacing w:after="0"/>
              <w:rPr>
                <w:sz w:val="24"/>
                <w:szCs w:val="24"/>
                <w:color w:val="auto"/>
              </w:rPr>
            </w:pPr>
          </w:p>
        </w:tc>
        <w:tc>
          <w:tcPr>
            <w:tcW w:w="4180" w:type="dxa"/>
            <w:vAlign w:val="bottom"/>
            <w:tcBorders>
              <w:bottom w:val="single" w:sz="8" w:color="CFF0FC"/>
            </w:tcBorders>
          </w:tcPr>
          <w:p>
            <w:pPr>
              <w:spacing w:after="0"/>
              <w:rPr>
                <w:sz w:val="24"/>
                <w:szCs w:val="24"/>
                <w:color w:val="auto"/>
              </w:rPr>
            </w:pPr>
          </w:p>
        </w:tc>
        <w:tc>
          <w:tcPr>
            <w:tcW w:w="18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FF0FC"/>
            </w:tcBorders>
          </w:tcPr>
          <w:p>
            <w:pPr>
              <w:spacing w:after="0"/>
              <w:rPr>
                <w:sz w:val="24"/>
                <w:szCs w:val="24"/>
                <w:color w:val="auto"/>
              </w:rPr>
            </w:pPr>
          </w:p>
        </w:tc>
      </w:tr>
      <w:tr>
        <w:trPr>
          <w:trHeight w:val="316"/>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1,596</w:t>
            </w: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1,595</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4.50%</w:t>
            </w:r>
          </w:p>
        </w:tc>
        <w:tc>
          <w:tcPr>
            <w:tcW w:w="4180" w:type="dxa"/>
            <w:vAlign w:val="bottom"/>
            <w:shd w:val="clear" w:color="auto" w:fill="CFF0FC"/>
          </w:tcPr>
          <w:p>
            <w:pPr>
              <w:ind w:left="20"/>
              <w:spacing w:after="0" w:line="216" w:lineRule="exact"/>
              <w:rPr>
                <w:sz w:val="20"/>
                <w:szCs w:val="20"/>
                <w:color w:val="auto"/>
              </w:rPr>
            </w:pPr>
            <w:r>
              <w:rPr>
                <w:rFonts w:ascii="Arial" w:cs="Arial" w:eastAsia="Arial" w:hAnsi="Arial"/>
                <w:sz w:val="17"/>
                <w:szCs w:val="17"/>
                <w:color w:val="auto"/>
              </w:rPr>
              <w:t xml:space="preserve">Guaranteed Notes due 2014 </w:t>
            </w:r>
            <w:r>
              <w:rPr>
                <w:rFonts w:ascii="Arial" w:cs="Arial" w:eastAsia="Arial" w:hAnsi="Arial"/>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1,324</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2.75%</w:t>
            </w:r>
          </w:p>
        </w:tc>
        <w:tc>
          <w:tcPr>
            <w:tcW w:w="418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Guaranteed Notes due 2015 </w:t>
            </w:r>
            <w:r>
              <w:rPr>
                <w:rFonts w:ascii="Arial" w:cs="Arial" w:eastAsia="Arial" w:hAnsi="Arial"/>
                <w:sz w:val="24"/>
                <w:szCs w:val="24"/>
                <w:color w:val="auto"/>
                <w:vertAlign w:val="superscript"/>
              </w:rPr>
              <w:t>(1)</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1.95%</w:t>
            </w: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2016</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1,099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1,099</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1,099</w:t>
            </w: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1.25%</w:t>
            </w: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2017</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999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999</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1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998</w:t>
            </w:r>
          </w:p>
        </w:tc>
      </w:tr>
      <w:tr>
        <w:trPr>
          <w:trHeight w:val="215"/>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1.50%</w:t>
            </w:r>
          </w:p>
        </w:tc>
        <w:tc>
          <w:tcPr>
            <w:tcW w:w="4180" w:type="dxa"/>
            <w:vAlign w:val="bottom"/>
            <w:shd w:val="clear" w:color="auto" w:fill="CFF0FC"/>
          </w:tcPr>
          <w:p>
            <w:pPr>
              <w:ind w:left="20"/>
              <w:spacing w:after="0" w:line="216" w:lineRule="exact"/>
              <w:rPr>
                <w:sz w:val="20"/>
                <w:szCs w:val="20"/>
                <w:color w:val="auto"/>
              </w:rPr>
            </w:pPr>
            <w:r>
              <w:rPr>
                <w:rFonts w:ascii="Arial" w:cs="Arial" w:eastAsia="Arial" w:hAnsi="Arial"/>
                <w:sz w:val="17"/>
                <w:szCs w:val="17"/>
                <w:color w:val="auto"/>
              </w:rPr>
              <w:t>Guaranteed Notes due 2019</w:t>
            </w:r>
            <w:r>
              <w:rPr>
                <w:rFonts w:ascii="Arial" w:cs="Arial" w:eastAsia="Arial" w:hAnsi="Arial"/>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697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18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Senior Notes due 2016 </w:t>
            </w:r>
            <w:r>
              <w:rPr>
                <w:rFonts w:ascii="Arial" w:cs="Arial" w:eastAsia="Arial" w:hAnsi="Arial"/>
                <w:sz w:val="24"/>
                <w:szCs w:val="24"/>
                <w:color w:val="auto"/>
                <w:vertAlign w:val="superscript"/>
              </w:rPr>
              <w:t>(2)</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r>
      <w:tr>
        <w:trPr>
          <w:trHeight w:val="215"/>
        </w:trPr>
        <w:tc>
          <w:tcPr>
            <w:tcW w:w="4680" w:type="dxa"/>
            <w:vAlign w:val="bottom"/>
            <w:gridSpan w:val="2"/>
            <w:shd w:val="clear" w:color="auto" w:fill="CFF0FC"/>
          </w:tcPr>
          <w:p>
            <w:pPr>
              <w:spacing w:after="0" w:line="216" w:lineRule="exact"/>
              <w:rPr>
                <w:sz w:val="20"/>
                <w:szCs w:val="20"/>
                <w:color w:val="auto"/>
              </w:rPr>
            </w:pPr>
            <w:r>
              <w:rPr>
                <w:rFonts w:ascii="Arial" w:cs="Arial" w:eastAsia="Arial" w:hAnsi="Arial"/>
                <w:sz w:val="17"/>
                <w:szCs w:val="17"/>
                <w:color w:val="auto"/>
              </w:rPr>
              <w:t xml:space="preserve">Floating Rate Senior Notes due 2014 </w:t>
            </w:r>
            <w:r>
              <w:rPr>
                <w:rFonts w:ascii="Arial" w:cs="Arial" w:eastAsia="Arial" w:hAnsi="Arial"/>
                <w:sz w:val="24"/>
                <w:szCs w:val="24"/>
                <w:color w:val="auto"/>
                <w:vertAlign w:val="superscript"/>
              </w:rPr>
              <w:t>(3)</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w:t>
            </w:r>
          </w:p>
        </w:tc>
      </w:tr>
      <w:tr>
        <w:trPr>
          <w:trHeight w:val="215"/>
        </w:trPr>
        <w:tc>
          <w:tcPr>
            <w:tcW w:w="50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r>
      <w:tr>
        <w:trPr>
          <w:trHeight w:val="209"/>
        </w:trPr>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4180" w:type="dxa"/>
            <w:vAlign w:val="bottom"/>
            <w:tcBorders>
              <w:top w:val="single" w:sz="8" w:color="CFF0FC"/>
              <w:bottom w:val="single" w:sz="8" w:color="CFF0FC"/>
            </w:tcBorders>
            <w:shd w:val="clear" w:color="auto" w:fill="CFF0FC"/>
          </w:tcPr>
          <w:p>
            <w:pPr>
              <w:spacing w:after="0"/>
              <w:rPr>
                <w:sz w:val="18"/>
                <w:szCs w:val="18"/>
                <w:color w:val="auto"/>
              </w:rPr>
            </w:pPr>
          </w:p>
        </w:tc>
        <w:tc>
          <w:tcPr>
            <w:tcW w:w="18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10,393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hanging="392"/>
        <w:spacing w:after="0" w:line="238" w:lineRule="auto"/>
        <w:tabs>
          <w:tab w:leader="none" w:pos="4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Schlumberger maintains a €5.0 billion Guaranteed Euro Medium Term Note program that provides for the issuance of various types of debt instruments such as fixed or floating rate notes in euro, US dollar or other currencies. The following is a summary of debt issued under this program:</w:t>
      </w:r>
    </w:p>
    <w:p>
      <w:pPr>
        <w:spacing w:after="0" w:line="93" w:lineRule="exact"/>
        <w:rPr>
          <w:rFonts w:ascii="Arial" w:cs="Arial" w:eastAsia="Arial" w:hAnsi="Arial"/>
          <w:sz w:val="23"/>
          <w:szCs w:val="23"/>
          <w:color w:val="auto"/>
          <w:vertAlign w:val="superscript"/>
        </w:rPr>
      </w:pPr>
    </w:p>
    <w:p>
      <w:pPr>
        <w:jc w:val="both"/>
        <w:ind w:left="1140" w:right="20" w:hanging="283"/>
        <w:spacing w:after="0" w:line="222" w:lineRule="auto"/>
        <w:tabs>
          <w:tab w:leader="none" w:pos="1140" w:val="left"/>
        </w:tabs>
        <w:numPr>
          <w:ilvl w:val="1"/>
          <w:numId w:val="32"/>
        </w:numPr>
        <w:rPr>
          <w:rFonts w:ascii="Arial" w:cs="Arial" w:eastAsia="Arial" w:hAnsi="Arial"/>
          <w:sz w:val="28"/>
          <w:szCs w:val="28"/>
          <w:color w:val="auto"/>
          <w:vertAlign w:val="superscript"/>
        </w:rPr>
      </w:pPr>
      <w:r>
        <w:rPr>
          <w:rFonts w:ascii="Arial" w:cs="Arial" w:eastAsia="Arial" w:hAnsi="Arial"/>
          <w:sz w:val="17"/>
          <w:szCs w:val="17"/>
          <w:color w:val="auto"/>
        </w:rPr>
        <w:t>Schlumberger issued €0.5 billion 1.50% Guaranteed Notes due 2019 in the fourth quarter of 2013. Schlumberger entered into agreements to swap these euro notes for US dollars on the date of issue until maturity, effectively making this a US dollar denominated debt on which Schlumberger will pay interest in US dollars at a rate equal to three-month LIBOR plus approximately 64 basis points.</w:t>
      </w:r>
    </w:p>
    <w:p>
      <w:pPr>
        <w:spacing w:after="0" w:line="94" w:lineRule="exact"/>
        <w:rPr>
          <w:rFonts w:ascii="Arial" w:cs="Arial" w:eastAsia="Arial" w:hAnsi="Arial"/>
          <w:sz w:val="28"/>
          <w:szCs w:val="28"/>
          <w:color w:val="auto"/>
          <w:vertAlign w:val="superscript"/>
        </w:rPr>
      </w:pPr>
    </w:p>
    <w:p>
      <w:pPr>
        <w:jc w:val="both"/>
        <w:ind w:left="1140" w:right="20" w:hanging="283"/>
        <w:spacing w:after="0" w:line="212" w:lineRule="auto"/>
        <w:tabs>
          <w:tab w:leader="none" w:pos="1140" w:val="left"/>
        </w:tabs>
        <w:numPr>
          <w:ilvl w:val="1"/>
          <w:numId w:val="32"/>
        </w:numPr>
        <w:rPr>
          <w:rFonts w:ascii="Arial" w:cs="Arial" w:eastAsia="Arial" w:hAnsi="Arial"/>
          <w:sz w:val="29"/>
          <w:szCs w:val="29"/>
          <w:color w:val="auto"/>
          <w:vertAlign w:val="superscript"/>
        </w:rPr>
      </w:pPr>
      <w:r>
        <w:rPr>
          <w:rFonts w:ascii="Arial" w:cs="Arial" w:eastAsia="Arial" w:hAnsi="Arial"/>
          <w:sz w:val="18"/>
          <w:szCs w:val="18"/>
          <w:color w:val="auto"/>
        </w:rPr>
        <w:t>Schlumberger issued €1.0 billion 2.75% Guaranteed Notes due 2015 in the fourth quarter of 2010. Schlumberger entered into agreements to swap these euro notes for US dollars on the date of issue until maturity, effectively making this a US dollar denominated debt on which Schlumberger will pay interest in US dollars at a rate of 2.56%.</w:t>
      </w:r>
    </w:p>
    <w:p>
      <w:pPr>
        <w:spacing w:after="0" w:line="93" w:lineRule="exact"/>
        <w:rPr>
          <w:rFonts w:ascii="Arial" w:cs="Arial" w:eastAsia="Arial" w:hAnsi="Arial"/>
          <w:sz w:val="29"/>
          <w:szCs w:val="29"/>
          <w:color w:val="auto"/>
          <w:vertAlign w:val="superscript"/>
        </w:rPr>
      </w:pPr>
    </w:p>
    <w:p>
      <w:pPr>
        <w:jc w:val="both"/>
        <w:ind w:left="1140" w:right="20" w:hanging="283"/>
        <w:spacing w:after="0" w:line="212" w:lineRule="auto"/>
        <w:tabs>
          <w:tab w:leader="none" w:pos="1140" w:val="left"/>
        </w:tabs>
        <w:numPr>
          <w:ilvl w:val="1"/>
          <w:numId w:val="32"/>
        </w:numPr>
        <w:rPr>
          <w:rFonts w:ascii="Arial" w:cs="Arial" w:eastAsia="Arial" w:hAnsi="Arial"/>
          <w:sz w:val="29"/>
          <w:szCs w:val="29"/>
          <w:color w:val="auto"/>
          <w:vertAlign w:val="superscript"/>
        </w:rPr>
      </w:pPr>
      <w:r>
        <w:rPr>
          <w:rFonts w:ascii="Arial" w:cs="Arial" w:eastAsia="Arial" w:hAnsi="Arial"/>
          <w:sz w:val="18"/>
          <w:szCs w:val="18"/>
          <w:color w:val="auto"/>
        </w:rPr>
        <w:t>Schlumberger issued €1.0 billion 4.50% Guaranteed Notes due 2014 in the first quarter of 2009, Schlumberger entered into agreements to swap these euro notes for US dollars on the date of issue until maturity, effectively making this a US dollar denominated debt on which Schlumberger will pay interest in US dollars at a rate of 4.95%.</w:t>
      </w:r>
    </w:p>
    <w:p>
      <w:pPr>
        <w:spacing w:after="0" w:line="93" w:lineRule="exact"/>
        <w:rPr>
          <w:rFonts w:ascii="Arial" w:cs="Arial" w:eastAsia="Arial" w:hAnsi="Arial"/>
          <w:sz w:val="29"/>
          <w:szCs w:val="29"/>
          <w:color w:val="auto"/>
          <w:vertAlign w:val="superscript"/>
        </w:rPr>
      </w:pPr>
    </w:p>
    <w:p>
      <w:pPr>
        <w:ind w:left="400" w:hanging="392"/>
        <w:spacing w:after="0" w:line="211" w:lineRule="auto"/>
        <w:tabs>
          <w:tab w:leader="none" w:pos="400" w:val="left"/>
        </w:tabs>
        <w:numPr>
          <w:ilvl w:val="0"/>
          <w:numId w:val="32"/>
        </w:numPr>
        <w:rPr>
          <w:rFonts w:ascii="Arial" w:cs="Arial" w:eastAsia="Arial" w:hAnsi="Arial"/>
          <w:sz w:val="26"/>
          <w:szCs w:val="26"/>
          <w:color w:val="auto"/>
          <w:vertAlign w:val="superscript"/>
        </w:rPr>
      </w:pPr>
      <w:r>
        <w:rPr>
          <w:rFonts w:ascii="Arial" w:cs="Arial" w:eastAsia="Arial" w:hAnsi="Arial"/>
          <w:sz w:val="18"/>
          <w:szCs w:val="18"/>
          <w:color w:val="auto"/>
        </w:rPr>
        <w:t>Schlumberger entered into agreements to swap these dollar notes for euros on the date of issue until maturity, effectively making this a euro-denominated debt on which Schlumberger pays interest in euros at a rate of 2.39%.</w:t>
      </w:r>
    </w:p>
    <w:p>
      <w:pPr>
        <w:spacing w:after="0" w:line="24" w:lineRule="exact"/>
        <w:rPr>
          <w:rFonts w:ascii="Arial" w:cs="Arial" w:eastAsia="Arial" w:hAnsi="Arial"/>
          <w:sz w:val="26"/>
          <w:szCs w:val="26"/>
          <w:color w:val="auto"/>
          <w:vertAlign w:val="superscript"/>
        </w:rPr>
      </w:pPr>
    </w:p>
    <w:p>
      <w:pPr>
        <w:ind w:left="400" w:hanging="392"/>
        <w:spacing w:after="0"/>
        <w:tabs>
          <w:tab w:leader="none" w:pos="400" w:val="left"/>
        </w:tabs>
        <w:numPr>
          <w:ilvl w:val="0"/>
          <w:numId w:val="32"/>
        </w:numPr>
        <w:rPr>
          <w:rFonts w:ascii="Arial" w:cs="Arial" w:eastAsia="Arial" w:hAnsi="Arial"/>
          <w:sz w:val="26"/>
          <w:szCs w:val="26"/>
          <w:color w:val="auto"/>
          <w:vertAlign w:val="superscript"/>
        </w:rPr>
      </w:pPr>
      <w:r>
        <w:rPr>
          <w:rFonts w:ascii="Arial" w:cs="Arial" w:eastAsia="Arial" w:hAnsi="Arial"/>
          <w:sz w:val="18"/>
          <w:szCs w:val="18"/>
          <w:color w:val="auto"/>
        </w:rPr>
        <w:t>These notes bear interest at a rate equal to three-month LIBOR plus 55 basis points per year.</w:t>
      </w:r>
    </w:p>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2013, Schlumberger had separate committed debt facility agreements aggregating $4.0 billion with commercial banks, of which $3.7 billion was available and unused. This included $3.5 billion of committed facilities which supports a commercial paper program in Europe, of which $250 million mature in July 2016, $1.75 billion mature in July 2018 and $1.5 billion mature in November 2018. Interest rates and other terms of borrowing under these lines of credit vary from country to country.</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Commercial paper borrowings are classified as long-term debt to the extent of their backup by available and unused committed credit facilities maturing in more than one year and to the extent it is Schlumberger’s intent to maintain these obligations for longer than one year. Borrowings under the commercial paper program at December 31, 2013 were $95 million and were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There were no borrowings under the commercial paper programs at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variable rate debt as of December 31, 2013 was 2.8%.</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2013, is due as follows: $1.4 billion in 2015, $1.6 billion in 2016, $1.0 billion in 2017, $0.5 billion in 2018, $0.7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$2.7 billion in 2021, $1.0 billion in 2022 and $1.5 billion in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line="276"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2013 and December 31, 2012 was $10.4 billion and $9.9 billion, respectively, and was estimated based on quoted market prices.</w:t>
      </w:r>
    </w:p>
    <w:p>
      <w:pPr>
        <w:spacing w:after="0" w:line="274"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Schlumberger is exposed to market risks primarily related to fluctuations in foreign currency exchange rates and interest rates. To mitigate these risks, Schlumberger utilizes derivative instruments. Schlumberger does not enter into derivatives for speculative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multinational company, Schlumberger conducts its business in approximately 85 countries. Schlumberger’s functional currency is primarily the US dollar, which is consistent with the oil and gas industry. Approximately 78% of Schlumberger’s revenues in 2013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are reclassified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in the same period or periods that the hedged item is recognized in earnings. The ineffective portion of changes in the fair value of hedging instruments, if any, is recorded directly to earnings.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At December 31, 2013, Schlumberger recognized a cumulative net $29 million gain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for certain currencies. The fair value of these contracts is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the changes in the fair value are recognized in the </w:t>
      </w: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along with the change in fair value of the hedged item.</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At December 31, 2013, contracts were outstanding for the US dollar equivalent of $7.6 billion in various foreign currencies, of which $3.8 billion relate to hedges of debt denominated in currencies other than the functional currency.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from time to time, interest rate swaps to mitigate the exposure to changes in interest rates.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will pay interest at a floating rate of three-month LIBOR plus approximately 64 basis points on the US dollar notional amount.</w:t>
      </w:r>
    </w:p>
    <w:p>
      <w:pPr>
        <w:spacing w:after="0" w:line="18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25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At December 31, 2013, Schlumberger had fixed rate debt aggregating $10.5 billion and variable rate debt aggregating $2.7 billion, after taking into account the effect of the swap.</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i w:val="1"/>
                <w:iCs w:val="1"/>
                <w:color w:val="auto"/>
                <w:w w:val="95"/>
              </w:rPr>
              <w:t>(Stated in millions)</w:t>
            </w:r>
          </w:p>
        </w:tc>
        <w:tc>
          <w:tcPr>
            <w:tcW w:w="1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3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ind w:left="20"/>
              <w:spacing w:after="0"/>
              <w:rPr>
                <w:sz w:val="20"/>
                <w:szCs w:val="20"/>
                <w:color w:val="auto"/>
              </w:rPr>
            </w:pPr>
            <w:r>
              <w:rPr>
                <w:rFonts w:ascii="Arial" w:cs="Arial" w:eastAsia="Arial" w:hAnsi="Arial"/>
                <w:sz w:val="18"/>
                <w:szCs w:val="18"/>
                <w:color w:val="auto"/>
                <w:w w:val="98"/>
              </w:rPr>
              <w:t>Fair Value of Derivatives</w:t>
            </w:r>
          </w:p>
        </w:tc>
        <w:tc>
          <w:tcPr>
            <w:tcW w:w="1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Classification</w:t>
            </w:r>
          </w:p>
        </w:tc>
        <w:tc>
          <w:tcPr>
            <w:tcW w:w="0" w:type="dxa"/>
            <w:vAlign w:val="bottom"/>
          </w:tcPr>
          <w:p>
            <w:pPr>
              <w:spacing w:after="0"/>
              <w:rPr>
                <w:sz w:val="1"/>
                <w:szCs w:val="1"/>
                <w:color w:val="auto"/>
              </w:rPr>
            </w:pPr>
          </w:p>
        </w:tc>
      </w:tr>
      <w:tr>
        <w:trPr>
          <w:trHeight w:val="424"/>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Derivative assets</w:t>
            </w:r>
          </w:p>
        </w:tc>
        <w:tc>
          <w:tcPr>
            <w:tcW w:w="1100" w:type="dxa"/>
            <w:vAlign w:val="bottom"/>
            <w:tcBorders>
              <w:bottom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bottom w:val="single" w:sz="8" w:color="CFF0FC"/>
            </w:tcBorders>
          </w:tcPr>
          <w:p>
            <w:pPr>
              <w:spacing w:after="0"/>
              <w:rPr>
                <w:sz w:val="24"/>
                <w:szCs w:val="24"/>
                <w:color w:val="auto"/>
              </w:rPr>
            </w:pPr>
          </w:p>
        </w:tc>
        <w:tc>
          <w:tcPr>
            <w:tcW w:w="200" w:type="dxa"/>
            <w:vAlign w:val="bottom"/>
            <w:tcBorders>
              <w:top w:val="single" w:sz="8" w:color="auto"/>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4340" w:type="dxa"/>
            <w:vAlign w:val="bottom"/>
            <w:tcBorders>
              <w:top w:val="single" w:sz="8" w:color="auto"/>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hedges: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5"/>
        </w:trPr>
        <w:tc>
          <w:tcPr>
            <w:tcW w:w="37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Interest rate swaps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 not designated as hedges: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hedges: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 not designated as hedges: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9"/>
        </w:trPr>
        <w:tc>
          <w:tcPr>
            <w:tcW w:w="37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9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Gain (Loss) Recognized in Income</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Consolidated Statement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 xml:space="preserve">Income </w:t>
            </w:r>
            <w:r>
              <w:rPr>
                <w:rFonts w:ascii="Arial" w:cs="Arial" w:eastAsia="Arial" w:hAnsi="Arial"/>
                <w:sz w:val="18"/>
                <w:szCs w:val="18"/>
                <w:color w:val="auto"/>
              </w:rPr>
              <w:t>Classification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680" w:type="dxa"/>
            <w:vAlign w:val="bottom"/>
          </w:tcPr>
          <w:p>
            <w:pPr>
              <w:jc w:val="right"/>
              <w:ind w:right="52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180" w:type="dxa"/>
            <w:vAlign w:val="bottom"/>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CFF0FC"/>
          </w:tcPr>
          <w:p>
            <w:pPr>
              <w:jc w:val="right"/>
              <w:ind w:right="52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(17)</w:t>
            </w: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Commodity contracts</w:t>
            </w:r>
          </w:p>
        </w:tc>
        <w:tc>
          <w:tcPr>
            <w:tcW w:w="68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18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(22)</w:t>
            </w:r>
          </w:p>
        </w:tc>
        <w:tc>
          <w:tcPr>
            <w:tcW w:w="220" w:type="dxa"/>
            <w:vAlign w:val="bottom"/>
            <w:vMerge w:val="continue"/>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 xml:space="preserve">The effect of derivative instruments in cash flow hedging relationships on income and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(AOCL)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gridSpan w:val="9"/>
          </w:tcPr>
          <w:p>
            <w:pPr>
              <w:jc w:val="center"/>
              <w:ind w:right="220"/>
              <w:spacing w:after="0"/>
              <w:rPr>
                <w:sz w:val="20"/>
                <w:szCs w:val="20"/>
                <w:color w:val="auto"/>
              </w:rPr>
            </w:pPr>
            <w:r>
              <w:rPr>
                <w:rFonts w:ascii="Arial" w:cs="Arial" w:eastAsia="Arial" w:hAnsi="Arial"/>
                <w:sz w:val="18"/>
                <w:szCs w:val="18"/>
                <w:color w:val="auto"/>
                <w:w w:val="91"/>
              </w:rPr>
              <w:t>Gain (Loss) Reclassified from</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3"/>
              </w:rPr>
              <w:t>AOCL into Income</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Consolidated Statement of</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FF0FC"/>
            </w:tcBorders>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Income </w:t>
            </w:r>
            <w:r>
              <w:rPr>
                <w:rFonts w:ascii="Arial" w:cs="Arial" w:eastAsia="Arial" w:hAnsi="Arial"/>
                <w:sz w:val="18"/>
                <w:szCs w:val="18"/>
                <w:color w:val="auto"/>
              </w:rPr>
              <w:t>Classification</w:t>
            </w:r>
          </w:p>
        </w:tc>
        <w:tc>
          <w:tcPr>
            <w:tcW w:w="0" w:type="dxa"/>
            <w:vAlign w:val="bottom"/>
          </w:tcPr>
          <w:p>
            <w:pPr>
              <w:spacing w:after="0"/>
              <w:rPr>
                <w:sz w:val="1"/>
                <w:szCs w:val="1"/>
                <w:color w:val="auto"/>
              </w:rPr>
            </w:pPr>
          </w:p>
        </w:tc>
      </w:tr>
      <w:tr>
        <w:trPr>
          <w:trHeight w:val="30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10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3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180" w:type="dxa"/>
            <w:vAlign w:val="bottom"/>
          </w:tcPr>
          <w:p>
            <w:pPr>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420" w:type="dxa"/>
            <w:vAlign w:val="bottom"/>
            <w:vMerge w:val="restart"/>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jc w:val="right"/>
              <w:ind w:right="514"/>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3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gridSpan w:val="9"/>
          </w:tcPr>
          <w:p>
            <w:pPr>
              <w:jc w:val="center"/>
              <w:ind w:right="240"/>
              <w:spacing w:after="0"/>
              <w:rPr>
                <w:sz w:val="20"/>
                <w:szCs w:val="20"/>
                <w:color w:val="auto"/>
              </w:rPr>
            </w:pPr>
            <w:r>
              <w:rPr>
                <w:rFonts w:ascii="Arial" w:cs="Arial" w:eastAsia="Arial" w:hAnsi="Arial"/>
                <w:sz w:val="18"/>
                <w:szCs w:val="18"/>
                <w:color w:val="auto"/>
                <w:w w:val="92"/>
              </w:rPr>
              <w:t>Gain (Loss) Recognized in AOCL</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2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10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3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 is authorized to issue 4,500,000,000 shares of common stock, par value $0.01 per share, of which 1,307,330,369 and 1,328,255,773 shares were outstanding on December 31, 2013 and 2012, respectively. Holders of common stock are entitled to one vote for each share of stock held. Schlumberger is also authorized to issue 200,000,000 shares of preferred stock, par value $0.01 per share, which may be issued in series with terms and conditions determined by the Board of Directors. No shares of preferred stock have been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r>
      <w:tr>
        <w:trPr>
          <w:trHeight w:val="295"/>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Pension and</w:t>
            </w:r>
          </w:p>
        </w:tc>
        <w:tc>
          <w:tcPr>
            <w:tcW w:w="12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5"/>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Gains 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Translation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Postretirement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Marketable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Derivatives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Benefit Plans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r>
      <w:tr>
        <w:trPr>
          <w:trHeight w:val="209"/>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60" w:type="dxa"/>
            <w:vAlign w:val="bottom"/>
            <w:tcBorders>
              <w:top w:val="single" w:sz="8" w:color="CFF0FC"/>
            </w:tcBorders>
            <w:shd w:val="clear" w:color="auto" w:fill="CFF0FC"/>
          </w:tcPr>
          <w:p>
            <w:pPr>
              <w:spacing w:after="0"/>
              <w:rPr>
                <w:sz w:val="18"/>
                <w:szCs w:val="18"/>
                <w:color w:val="auto"/>
              </w:rPr>
            </w:pPr>
          </w:p>
        </w:tc>
      </w:tr>
      <w:tr>
        <w:trPr>
          <w:trHeight w:val="201"/>
        </w:trPr>
        <w:tc>
          <w:tcPr>
            <w:tcW w:w="4120" w:type="dxa"/>
            <w:vAlign w:val="bottom"/>
          </w:tcPr>
          <w:p>
            <w:pPr>
              <w:ind w:left="440"/>
              <w:spacing w:after="0" w:line="201"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r>
      <w:tr>
        <w:trPr>
          <w:trHeight w:val="201"/>
        </w:trPr>
        <w:tc>
          <w:tcPr>
            <w:tcW w:w="4120" w:type="dxa"/>
            <w:vAlign w:val="bottom"/>
            <w:shd w:val="clear" w:color="auto" w:fill="CFF0FC"/>
          </w:tcPr>
          <w:p>
            <w:pPr>
              <w:ind w:left="44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0"/>
        </w:trPr>
        <w:tc>
          <w:tcPr>
            <w:tcW w:w="41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262</w:t>
            </w:r>
          </w:p>
        </w:tc>
      </w:tr>
      <w:tr>
        <w:trPr>
          <w:trHeight w:val="215"/>
        </w:trPr>
        <w:tc>
          <w:tcPr>
            <w:tcW w:w="41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r>
      <w:tr>
        <w:trPr>
          <w:trHeight w:val="209"/>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2011</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(2,538)</w:t>
            </w: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(3,557)</w:t>
            </w:r>
          </w:p>
        </w:tc>
      </w:tr>
      <w:tr>
        <w:trPr>
          <w:trHeight w:val="201"/>
        </w:trPr>
        <w:tc>
          <w:tcPr>
            <w:tcW w:w="4120" w:type="dxa"/>
            <w:vAlign w:val="bottom"/>
          </w:tcPr>
          <w:p>
            <w:pPr>
              <w:ind w:left="440"/>
              <w:spacing w:after="0" w:line="201"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01"/>
        </w:trPr>
        <w:tc>
          <w:tcPr>
            <w:tcW w:w="4120" w:type="dxa"/>
            <w:vAlign w:val="bottom"/>
            <w:shd w:val="clear" w:color="auto" w:fill="CFF0FC"/>
          </w:tcPr>
          <w:p>
            <w:pPr>
              <w:ind w:left="44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0"/>
        </w:trPr>
        <w:tc>
          <w:tcPr>
            <w:tcW w:w="41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276</w:t>
            </w:r>
          </w:p>
        </w:tc>
      </w:tr>
      <w:tr>
        <w:trPr>
          <w:trHeight w:val="215"/>
        </w:trPr>
        <w:tc>
          <w:tcPr>
            <w:tcW w:w="41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09"/>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2012</w:t>
            </w: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(917)</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(3,142)</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ind w:left="860"/>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(3,888)</w:t>
            </w:r>
          </w:p>
        </w:tc>
      </w:tr>
      <w:tr>
        <w:trPr>
          <w:trHeight w:val="201"/>
        </w:trPr>
        <w:tc>
          <w:tcPr>
            <w:tcW w:w="4120" w:type="dxa"/>
            <w:vAlign w:val="bottom"/>
          </w:tcPr>
          <w:p>
            <w:pPr>
              <w:ind w:left="440"/>
              <w:spacing w:after="0" w:line="201"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9"/>
                <w:szCs w:val="19"/>
                <w:color w:val="auto"/>
              </w:rPr>
            </w:pPr>
          </w:p>
        </w:tc>
      </w:tr>
      <w:tr>
        <w:trPr>
          <w:trHeight w:val="201"/>
        </w:trPr>
        <w:tc>
          <w:tcPr>
            <w:tcW w:w="4120" w:type="dxa"/>
            <w:vAlign w:val="bottom"/>
            <w:shd w:val="clear" w:color="auto" w:fill="CFF0FC"/>
          </w:tcPr>
          <w:p>
            <w:pPr>
              <w:ind w:left="44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0"/>
        </w:trPr>
        <w:tc>
          <w:tcPr>
            <w:tcW w:w="41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w:t>
            </w:r>
          </w:p>
        </w:tc>
      </w:tr>
      <w:tr>
        <w:trPr>
          <w:trHeight w:val="215"/>
        </w:trPr>
        <w:tc>
          <w:tcPr>
            <w:tcW w:w="41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r>
      <w:tr>
        <w:trPr>
          <w:trHeight w:val="209"/>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FF0FC"/>
          </w:tcPr>
          <w:p>
            <w:pPr>
              <w:ind w:left="860"/>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(2,554)</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Other comprehensive income was $1.334 billion in 2013. Other comprehensive loss was $331 million and $789 million in 2012 and 2011, respectively.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1" w:right="239" w:bottom="1440" w:gutter="0" w:footer="0" w:header="0"/>
        </w:sectPr>
      </w:pPr>
    </w:p>
    <w:bookmarkStart w:id="48" w:name="page49"/>
    <w:bookmarkEnd w:id="48"/>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 Plans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ten years, and options generally vest in increments over five years.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CFF0FC"/>
            </w:tcBorders>
          </w:tcPr>
          <w:p>
            <w:pPr>
              <w:spacing w:after="0"/>
              <w:rPr>
                <w:sz w:val="20"/>
                <w:szCs w:val="20"/>
                <w:color w:val="auto"/>
              </w:rPr>
            </w:pPr>
          </w:p>
        </w:tc>
        <w:tc>
          <w:tcPr>
            <w:tcW w:w="214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FF0FC"/>
            </w:tcBorders>
          </w:tcPr>
          <w:p>
            <w:pPr>
              <w:spacing w:after="0"/>
              <w:rPr>
                <w:sz w:val="20"/>
                <w:szCs w:val="20"/>
                <w:color w:val="auto"/>
              </w:rPr>
            </w:pPr>
          </w:p>
        </w:tc>
      </w:tr>
      <w:tr>
        <w:trPr>
          <w:trHeight w:val="29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1.7%</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38%</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3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3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7.0</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6.9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share</w:t>
            </w:r>
          </w:p>
        </w:tc>
        <w:tc>
          <w:tcPr>
            <w:tcW w:w="31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   23.93</w:t>
            </w:r>
          </w:p>
        </w:tc>
        <w:tc>
          <w:tcPr>
            <w:tcW w:w="12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   25.26</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31.38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options outstanding and options exercisable as of December 31,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(Shares stated in thousands)</w:t>
            </w:r>
          </w:p>
        </w:tc>
      </w:tr>
      <w:tr>
        <w:trPr>
          <w:trHeight w:val="321"/>
        </w:trPr>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Options Outstanding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7"/>
          </w:tcPr>
          <w:p>
            <w:pPr>
              <w:ind w:left="620"/>
              <w:spacing w:after="0"/>
              <w:rPr>
                <w:sz w:val="20"/>
                <w:szCs w:val="20"/>
                <w:color w:val="auto"/>
              </w:rPr>
            </w:pPr>
            <w:r>
              <w:rPr>
                <w:rFonts w:ascii="Arial" w:cs="Arial" w:eastAsia="Arial" w:hAnsi="Arial"/>
                <w:sz w:val="18"/>
                <w:szCs w:val="18"/>
                <w:color w:val="auto"/>
              </w:rPr>
              <w:t>Options Exercisable</w:t>
            </w:r>
          </w:p>
        </w:tc>
      </w:tr>
      <w:tr>
        <w:trPr>
          <w:trHeight w:val="194"/>
        </w:trPr>
        <w:tc>
          <w:tcPr>
            <w:tcW w:w="5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0"/>
              </w:rPr>
              <w:t>Weighted-</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Weighted-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Weighted-</w:t>
            </w:r>
          </w:p>
        </w:tc>
      </w:tr>
      <w:tr>
        <w:trPr>
          <w:trHeight w:val="215"/>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remaining</w:t>
            </w: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15"/>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exercise</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exercise</w:t>
            </w:r>
          </w:p>
        </w:tc>
      </w:tr>
      <w:tr>
        <w:trPr>
          <w:trHeight w:val="230"/>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Exercise prices range</w:t>
            </w: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Outstanding</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Exercisable</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100" w:type="dxa"/>
            <w:vAlign w:val="bottom"/>
            <w:tcBorders>
              <w:bottom w:val="single" w:sz="8" w:color="CFF0FC"/>
            </w:tcBorders>
            <w:gridSpan w:val="2"/>
          </w:tcPr>
          <w:p>
            <w:pPr>
              <w:spacing w:after="0"/>
              <w:rPr>
                <w:sz w:val="19"/>
                <w:szCs w:val="19"/>
                <w:color w:val="auto"/>
              </w:rPr>
            </w:pPr>
          </w:p>
        </w:tc>
      </w:tr>
      <w:tr>
        <w:trPr>
          <w:trHeight w:val="263"/>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$23.75 - $56.61</w:t>
            </w:r>
          </w:p>
        </w:tc>
        <w:tc>
          <w:tcPr>
            <w:tcW w:w="2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60" w:type="dxa"/>
            <w:vAlign w:val="bottom"/>
            <w:shd w:val="clear" w:color="auto" w:fill="CFF0FC"/>
          </w:tcPr>
          <w:p>
            <w:pPr>
              <w:spacing w:after="0"/>
              <w:rPr>
                <w:sz w:val="22"/>
                <w:szCs w:val="22"/>
                <w:color w:val="auto"/>
              </w:rPr>
            </w:pPr>
          </w:p>
        </w:tc>
        <w:tc>
          <w:tcPr>
            <w:tcW w:w="1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45.23</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6,257</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45.84</w:t>
            </w:r>
          </w:p>
        </w:tc>
        <w:tc>
          <w:tcPr>
            <w:tcW w:w="80" w:type="dxa"/>
            <w:vAlign w:val="bottom"/>
            <w:shd w:val="clear" w:color="auto" w:fill="CFF0FC"/>
          </w:tcPr>
          <w:p>
            <w:pPr>
              <w:spacing w:after="0"/>
              <w:rPr>
                <w:sz w:val="22"/>
                <w:szCs w:val="22"/>
                <w:color w:val="auto"/>
              </w:rPr>
            </w:pP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0"/>
              </w:rPr>
              <w:t>$58.45</w:t>
            </w:r>
          </w:p>
        </w:tc>
        <w:tc>
          <w:tcPr>
            <w:tcW w:w="3380" w:type="dxa"/>
            <w:vAlign w:val="bottom"/>
          </w:tcPr>
          <w:p>
            <w:pPr>
              <w:ind w:left="20"/>
              <w:spacing w:after="0"/>
              <w:rPr>
                <w:sz w:val="20"/>
                <w:szCs w:val="20"/>
                <w:color w:val="auto"/>
              </w:rPr>
            </w:pPr>
            <w:r>
              <w:rPr>
                <w:rFonts w:ascii="Arial" w:cs="Arial" w:eastAsia="Arial" w:hAnsi="Arial"/>
                <w:sz w:val="18"/>
                <w:szCs w:val="18"/>
                <w:color w:val="auto"/>
              </w:rPr>
              <w:t>- $68.83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8,458</w:t>
            </w:r>
          </w:p>
        </w:tc>
        <w:tc>
          <w:tcPr>
            <w:tcW w:w="60" w:type="dxa"/>
            <w:vAlign w:val="bottom"/>
          </w:tcPr>
          <w:p>
            <w:pPr>
              <w:spacing w:after="0"/>
              <w:rPr>
                <w:sz w:val="18"/>
                <w:szCs w:val="18"/>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5,125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64.70</w:t>
            </w:r>
          </w:p>
        </w:tc>
        <w:tc>
          <w:tcPr>
            <w:tcW w:w="80" w:type="dxa"/>
            <w:vAlign w:val="bottom"/>
          </w:tcPr>
          <w:p>
            <w:pPr>
              <w:spacing w:after="0"/>
              <w:rPr>
                <w:sz w:val="18"/>
                <w:szCs w:val="18"/>
                <w:color w:val="auto"/>
              </w:rPr>
            </w:pPr>
          </w:p>
        </w:tc>
      </w:tr>
      <w:tr>
        <w:trPr>
          <w:trHeight w:val="215"/>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$70.31</w:t>
            </w:r>
          </w:p>
        </w:tc>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$78.35</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13,765</w:t>
            </w:r>
          </w:p>
        </w:tc>
        <w:tc>
          <w:tcPr>
            <w:tcW w:w="1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71.94</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1,289</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72.25</w:t>
            </w:r>
          </w:p>
        </w:tc>
        <w:tc>
          <w:tcPr>
            <w:tcW w:w="80" w:type="dxa"/>
            <w:vAlign w:val="bottom"/>
            <w:shd w:val="clear" w:color="auto" w:fill="CFF0FC"/>
          </w:tcPr>
          <w:p>
            <w:pPr>
              <w:spacing w:after="0"/>
              <w:rPr>
                <w:sz w:val="18"/>
                <w:szCs w:val="18"/>
                <w:color w:val="auto"/>
              </w:rPr>
            </w:pP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0"/>
              </w:rPr>
              <w:t>$83.88</w:t>
            </w:r>
          </w:p>
        </w:tc>
        <w:tc>
          <w:tcPr>
            <w:tcW w:w="3380" w:type="dxa"/>
            <w:vAlign w:val="bottom"/>
          </w:tcPr>
          <w:p>
            <w:pPr>
              <w:ind w:left="20"/>
              <w:spacing w:after="0"/>
              <w:rPr>
                <w:sz w:val="20"/>
                <w:szCs w:val="20"/>
                <w:color w:val="auto"/>
              </w:rPr>
            </w:pPr>
            <w:r>
              <w:rPr>
                <w:rFonts w:ascii="Arial" w:cs="Arial" w:eastAsia="Arial" w:hAnsi="Arial"/>
                <w:sz w:val="18"/>
                <w:szCs w:val="18"/>
                <w:color w:val="auto"/>
              </w:rPr>
              <w:t>- $84.93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10,005</w:t>
            </w: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84.21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5,762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84.45</w:t>
            </w:r>
          </w:p>
        </w:tc>
        <w:tc>
          <w:tcPr>
            <w:tcW w:w="80" w:type="dxa"/>
            <w:vAlign w:val="bottom"/>
          </w:tcPr>
          <w:p>
            <w:pPr>
              <w:spacing w:after="0"/>
              <w:rPr>
                <w:sz w:val="18"/>
                <w:szCs w:val="18"/>
                <w:color w:val="auto"/>
              </w:rPr>
            </w:pPr>
          </w:p>
        </w:tc>
      </w:tr>
      <w:tr>
        <w:trPr>
          <w:trHeight w:val="215"/>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$89.99</w:t>
            </w:r>
          </w:p>
        </w:tc>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$110.77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94.31</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1,658</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96.29</w:t>
            </w:r>
          </w:p>
        </w:tc>
        <w:tc>
          <w:tcPr>
            <w:tcW w:w="80" w:type="dxa"/>
            <w:vAlign w:val="bottom"/>
            <w:shd w:val="clear" w:color="auto" w:fill="CFF0FC"/>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2013 was 4.8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2013, 2012 and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(Shares stated in thousands)</w:t>
            </w:r>
          </w:p>
        </w:tc>
      </w:tr>
      <w:tr>
        <w:trPr>
          <w:trHeight w:val="321"/>
        </w:trPr>
        <w:tc>
          <w:tcPr>
            <w:tcW w:w="332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2012</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6"/>
                <w:szCs w:val="16"/>
                <w:color w:val="auto"/>
              </w:rPr>
            </w:pPr>
          </w:p>
        </w:tc>
      </w:tr>
      <w:tr>
        <w:trPr>
          <w:trHeight w:val="215"/>
        </w:trPr>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15"/>
        </w:trPr>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exercise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r>
      <w:tr>
        <w:trPr>
          <w:trHeight w:val="230"/>
        </w:trPr>
        <w:tc>
          <w:tcPr>
            <w:tcW w:w="3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price</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price</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100" w:type="dxa"/>
            <w:vAlign w:val="bottom"/>
            <w:tcBorders>
              <w:bottom w:val="single" w:sz="8" w:color="CFF0FC"/>
            </w:tcBorders>
          </w:tcPr>
          <w:p>
            <w:pPr>
              <w:spacing w:after="0"/>
              <w:rPr>
                <w:sz w:val="19"/>
                <w:szCs w:val="19"/>
                <w:color w:val="auto"/>
              </w:rPr>
            </w:pPr>
          </w:p>
        </w:tc>
      </w:tr>
      <w:tr>
        <w:trPr>
          <w:trHeight w:val="29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42,059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67.77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40,027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22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37,499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55.33</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6,570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72.16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84.29</w:t>
            </w: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(5,168)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51.73</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42.36</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70.57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67.50</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58.82</w:t>
            </w:r>
          </w:p>
        </w:tc>
      </w:tr>
      <w:tr>
        <w:trPr>
          <w:trHeight w:val="209"/>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year-end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stock options outstanding as of December 31, 2013 was $840 million.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8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aggregate intrinsic value of stock options exercisable as of December 31, 2013 was $463 million.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total intrinsic value of options exercised during the years ended December 31, 2013, 2012 and 2011, was $176 million, $142 million and $246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2013, Schlumberger began granting performance share units to certain executives. The number of shares earned is determined at the end of each performance period, which is generally three years, based on Schlumberger’s achievement of a predefined return on capital employed (“ROCE”), as defined in the underlying performance share unit agreement. In the event the ROCE exceeds the predefined target, shares for up to the maximum of 250% of the target award may be granted. In the event the ROCE falls below the predefined target, a reduced number of shares may be granted. If the ROCE falls below the threshold award performance level, no shares will be granted. As of December 31, 2013, performance share units of 0.5 million were outstanding based on the achievement of 100% of target.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other restricted stock awards generally vest at the end of three years.</w:t>
      </w:r>
    </w:p>
    <w:p>
      <w:pPr>
        <w:spacing w:after="0" w:line="224"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Restricted stock awards do not pay dividends or allow voting rights during the performance period. Accordingly, the fair value of the restricted stock award is the quoted market price of Schlumberger’s stock on the date of grant less the present value of the expected dividends not received during the vesting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all restricted stock transactions: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(Shares stated in thousands)</w:t>
            </w:r>
          </w:p>
        </w:tc>
      </w:tr>
      <w:tr>
        <w:trPr>
          <w:trHeight w:val="321"/>
        </w:trPr>
        <w:tc>
          <w:tcPr>
            <w:tcW w:w="332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2012</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5"/>
        </w:trPr>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r>
      <w:tr>
        <w:trPr>
          <w:trHeight w:val="215"/>
        </w:trPr>
        <w:tc>
          <w:tcPr>
            <w:tcW w:w="33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Grant Date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Grant Date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Restricted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Grant Date</w:t>
            </w:r>
          </w:p>
        </w:tc>
      </w:tr>
      <w:tr>
        <w:trPr>
          <w:trHeight w:val="230"/>
        </w:trPr>
        <w:tc>
          <w:tcPr>
            <w:tcW w:w="3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Fair Value</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 w:type="dxa"/>
            <w:vAlign w:val="bottom"/>
            <w:tcBorders>
              <w:bottom w:val="single" w:sz="8" w:color="CFF0FC"/>
            </w:tcBorders>
          </w:tcPr>
          <w:p>
            <w:pPr>
              <w:spacing w:after="0"/>
              <w:rPr>
                <w:sz w:val="19"/>
                <w:szCs w:val="19"/>
                <w:color w:val="auto"/>
              </w:rPr>
            </w:pPr>
          </w:p>
        </w:tc>
      </w:tr>
      <w:tr>
        <w:trPr>
          <w:trHeight w:val="26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Unvested at beginning of year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3,566</w:t>
            </w:r>
          </w:p>
        </w:tc>
        <w:tc>
          <w:tcPr>
            <w:tcW w:w="14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73.62</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72.25</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64.27</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71.09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r>
      <w:tr>
        <w:trPr>
          <w:trHeight w:val="215"/>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(958)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66.98</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52.26</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(767)</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67.36</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74.53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73.38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r>
      <w:tr>
        <w:trPr>
          <w:trHeight w:val="209"/>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end of year</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4,171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76.01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116"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CFF0FC"/>
            </w:tcBorders>
          </w:tcPr>
          <w:p>
            <w:pPr>
              <w:spacing w:after="0"/>
              <w:rPr>
                <w:sz w:val="20"/>
                <w:szCs w:val="20"/>
                <w:color w:val="auto"/>
              </w:rPr>
            </w:pPr>
          </w:p>
        </w:tc>
        <w:tc>
          <w:tcPr>
            <w:tcW w:w="21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FF0FC"/>
            </w:tcBorders>
          </w:tcPr>
          <w:p>
            <w:pPr>
              <w:spacing w:after="0"/>
              <w:rPr>
                <w:sz w:val="20"/>
                <w:szCs w:val="20"/>
                <w:color w:val="auto"/>
              </w:rPr>
            </w:pPr>
          </w:p>
        </w:tc>
      </w:tr>
      <w:tr>
        <w:trPr>
          <w:trHeight w:val="24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15"/>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r>
      <w:tr>
        <w:trPr>
          <w:trHeight w:val="234"/>
        </w:trPr>
        <w:tc>
          <w:tcPr>
            <w:tcW w:w="4180" w:type="dxa"/>
            <w:vAlign w:val="bottom"/>
          </w:tcPr>
          <w:p>
            <w:pPr>
              <w:spacing w:after="0"/>
              <w:rPr>
                <w:sz w:val="20"/>
                <w:szCs w:val="20"/>
                <w:color w:val="auto"/>
              </w:rPr>
            </w:pPr>
            <w:r>
              <w:rPr>
                <w:rFonts w:ascii="Arial" w:cs="Arial" w:eastAsia="Arial" w:hAnsi="Arial"/>
                <w:sz w:val="18"/>
                <w:szCs w:val="18"/>
                <w:color w:val="auto"/>
              </w:rPr>
              <w:t>Weighted average fair value per share</w:t>
            </w:r>
          </w:p>
        </w:tc>
        <w:tc>
          <w:tcPr>
            <w:tcW w:w="28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9.91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12.83</w:t>
            </w:r>
          </w:p>
        </w:tc>
      </w:tr>
      <w:tr>
        <w:trPr>
          <w:trHeight w:val="412"/>
        </w:trPr>
        <w:tc>
          <w:tcPr>
            <w:tcW w:w="4180" w:type="dxa"/>
            <w:vAlign w:val="bottom"/>
          </w:tcPr>
          <w:p>
            <w:pPr>
              <w:spacing w:after="0"/>
              <w:rPr>
                <w:sz w:val="24"/>
                <w:szCs w:val="24"/>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6"/>
          </w:tcPr>
          <w:p>
            <w:pPr>
              <w:ind w:left="26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6300" w:type="dxa"/>
            <w:vAlign w:val="bottom"/>
            <w:tcBorders>
              <w:bottom w:val="single" w:sz="8" w:color="CFF0FC"/>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r>
      <w:tr>
        <w:trPr>
          <w:trHeight w:val="222"/>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165</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203</w:t>
            </w:r>
          </w:p>
        </w:tc>
        <w:tc>
          <w:tcPr>
            <w:tcW w:w="36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6300" w:type="dxa"/>
            <w:vAlign w:val="bottom"/>
          </w:tcPr>
          <w:p>
            <w:pPr>
              <w:spacing w:after="0"/>
              <w:rPr>
                <w:sz w:val="20"/>
                <w:szCs w:val="20"/>
                <w:color w:val="auto"/>
              </w:rPr>
            </w:pPr>
            <w:r>
              <w:rPr>
                <w:rFonts w:ascii="Arial" w:cs="Arial" w:eastAsia="Arial" w:hAnsi="Arial"/>
                <w:sz w:val="18"/>
                <w:szCs w:val="18"/>
                <w:color w:val="auto"/>
              </w:rPr>
              <w:t>Restricted stock</w:t>
            </w:r>
          </w:p>
        </w:tc>
        <w:tc>
          <w:tcPr>
            <w:tcW w:w="7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110</w:t>
            </w: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r>
      <w:tr>
        <w:trPr>
          <w:trHeight w:val="215"/>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DSPP</w:t>
            </w:r>
          </w:p>
        </w:tc>
        <w:tc>
          <w:tcPr>
            <w:tcW w:w="7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40</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315</w:t>
            </w: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ind w:right="582"/>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335</w:t>
            </w:r>
          </w:p>
        </w:tc>
        <w:tc>
          <w:tcPr>
            <w:tcW w:w="36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At December 31, 2013, there was $502 million of total unrecognized compensation cost related to nonvested stock-based compensation arrangements of which $232 million is expected to be recognized in 2014, $161 million in 2015, $75 million in 2016, $28 million in 2017 and $6 million in 2018.</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approximately 40 million shares were available for future grants under Schlumberger’s stock-based compensation programs.</w:t>
      </w:r>
    </w:p>
    <w:p>
      <w:pPr>
        <w:spacing w:after="0" w:line="37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in more than 100 tax jurisdictions, where statutory tax rates generally vary from 0% to 40%.</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from continuing operations before taxes </w:t>
      </w:r>
      <w:r>
        <w:rPr>
          <w:rFonts w:ascii="Arial" w:cs="Arial" w:eastAsia="Arial" w:hAnsi="Arial"/>
          <w:sz w:val="16"/>
          <w:szCs w:val="16"/>
          <w:color w:val="auto"/>
        </w:rPr>
        <w:t>which were subject to United States and non-United States income taxes for each of the three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r>
      <w:tr>
        <w:trPr>
          <w:trHeight w:val="26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1,904</w:t>
            </w: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1,980</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2,246</w:t>
            </w: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Outside United States</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3,772</w:t>
            </w:r>
          </w:p>
        </w:tc>
      </w:tr>
      <w:tr>
        <w:trPr>
          <w:trHeight w:val="209"/>
        </w:trPr>
        <w:tc>
          <w:tcPr>
            <w:tcW w:w="54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Schlumberger recorded net pretax credits of $420 million in 2013 ($53 million of charges in the US and $473 million of net credits outside of the US). Schlumberger recorded $161 million of pretax charges in 2012 ($52 million in the US and $109 million outside the US) and $223 million of pretax charges in 2011 ($104 million in the US and $119 million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w w:val="93"/>
              </w:rPr>
              <w:t>(Stated in millions)</w:t>
            </w:r>
          </w:p>
        </w:tc>
      </w:tr>
      <w:tr>
        <w:trPr>
          <w:trHeight w:val="321"/>
        </w:trPr>
        <w:tc>
          <w:tcPr>
            <w:tcW w:w="4080" w:type="dxa"/>
            <w:vAlign w:val="bottom"/>
            <w:tcBorders>
              <w:bottom w:val="single" w:sz="8" w:color="CFF0FC"/>
            </w:tcBorders>
          </w:tcPr>
          <w:p>
            <w:pPr>
              <w:spacing w:after="0"/>
              <w:rPr>
                <w:sz w:val="24"/>
                <w:szCs w:val="24"/>
                <w:color w:val="auto"/>
              </w:rPr>
            </w:pPr>
          </w:p>
        </w:tc>
        <w:tc>
          <w:tcPr>
            <w:tcW w:w="15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26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17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543</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Intangible assets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(317)</w:t>
            </w:r>
          </w:p>
        </w:tc>
      </w:tr>
      <w:tr>
        <w:trPr>
          <w:trHeight w:val="215"/>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5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w:t>
            </w:r>
          </w:p>
        </w:tc>
      </w:tr>
      <w:tr>
        <w:trPr>
          <w:trHeight w:val="209"/>
        </w:trPr>
        <w:tc>
          <w:tcPr>
            <w:tcW w:w="40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(1,420)</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(1,150)</w:t>
            </w:r>
          </w:p>
        </w:tc>
      </w:tr>
      <w:tr>
        <w:trPr>
          <w:trHeight w:val="20"/>
        </w:trPr>
        <w:tc>
          <w:tcPr>
            <w:tcW w:w="4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above deferred tax balances at December 31, 2013 and 2012 were net of valuation allowances relating to net operating losses in certain countries of $238 million and $256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4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21"/>
        </w:trPr>
        <w:tc>
          <w:tcPr>
            <w:tcW w:w="3660" w:type="dxa"/>
            <w:vAlign w:val="bottom"/>
            <w:tcBorders>
              <w:bottom w:val="single" w:sz="8" w:color="CFF0FC"/>
            </w:tcBorders>
          </w:tcPr>
          <w:p>
            <w:pPr>
              <w:spacing w:after="0"/>
              <w:rPr>
                <w:sz w:val="24"/>
                <w:szCs w:val="24"/>
                <w:color w:val="auto"/>
              </w:rPr>
            </w:pPr>
          </w:p>
        </w:tc>
        <w:tc>
          <w:tcPr>
            <w:tcW w:w="17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8"/>
                <w:szCs w:val="18"/>
                <w:color w:val="auto"/>
              </w:rPr>
              <w:t>United States - Federal</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3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r>
      <w:tr>
        <w:trPr>
          <w:trHeight w:val="215"/>
        </w:trPr>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United States - State</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8"/>
                <w:szCs w:val="18"/>
                <w:color w:val="auto"/>
              </w:rPr>
              <w:t>Outside United States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r>
      <w:tr>
        <w:trPr>
          <w:trHeight w:val="209"/>
        </w:trPr>
        <w:tc>
          <w:tcPr>
            <w:tcW w:w="366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1,953</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United States - Federal</w:t>
            </w:r>
          </w:p>
        </w:tc>
        <w:tc>
          <w:tcPr>
            <w:tcW w:w="2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32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r>
      <w:tr>
        <w:trPr>
          <w:trHeight w:val="215"/>
        </w:trPr>
        <w:tc>
          <w:tcPr>
            <w:tcW w:w="3660" w:type="dxa"/>
            <w:vAlign w:val="bottom"/>
          </w:tcPr>
          <w:p>
            <w:pPr>
              <w:ind w:left="220"/>
              <w:spacing w:after="0"/>
              <w:rPr>
                <w:sz w:val="20"/>
                <w:szCs w:val="20"/>
                <w:color w:val="auto"/>
              </w:rPr>
            </w:pPr>
            <w:r>
              <w:rPr>
                <w:rFonts w:ascii="Arial" w:cs="Arial" w:eastAsia="Arial" w:hAnsi="Arial"/>
                <w:sz w:val="18"/>
                <w:szCs w:val="18"/>
                <w:color w:val="auto"/>
              </w:rPr>
              <w:t>United States - State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15"/>
        </w:trPr>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Outside United States</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8"/>
                <w:szCs w:val="18"/>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09"/>
        </w:trPr>
        <w:tc>
          <w:tcPr>
            <w:tcW w:w="366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gridSpan w:val="2"/>
            <w:shd w:val="clear" w:color="auto" w:fill="CFF0FC"/>
          </w:tcPr>
          <w:p>
            <w:pPr>
              <w:spacing w:after="0"/>
              <w:rPr>
                <w:sz w:val="18"/>
                <w:szCs w:val="18"/>
                <w:color w:val="auto"/>
              </w:rPr>
            </w:pPr>
          </w:p>
        </w:tc>
      </w:tr>
      <w:tr>
        <w:trPr>
          <w:trHeight w:val="209"/>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240" w:type="dxa"/>
            <w:vAlign w:val="bottom"/>
            <w:tcBorders>
              <w:bottom w:val="single" w:sz="8" w:color="CFF0FC"/>
            </w:tcBorders>
          </w:tcPr>
          <w:p>
            <w:pPr>
              <w:spacing w:after="0"/>
              <w:rPr>
                <w:sz w:val="20"/>
                <w:szCs w:val="20"/>
                <w:color w:val="auto"/>
              </w:rPr>
            </w:pPr>
          </w:p>
        </w:tc>
      </w:tr>
      <w:tr>
        <w:trPr>
          <w:trHeight w:val="222"/>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US statutory federal rate</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Charges and credits (See Note 3)</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r>
      <w:tr>
        <w:trPr>
          <w:trHeight w:val="20"/>
        </w:trPr>
        <w:tc>
          <w:tcPr>
            <w:tcW w:w="55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5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conducts business in more than 100 tax jurisdictions, a number of which have tax laws that are not fully defined and are evolving. Schlumberger’s tax filings are subject to regular audit by the tax authorities. Tax liabilities are recorded based on estimates of additional taxes which will be due upon the conclusion of these audits.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2013, 2012 and 2011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21"/>
        </w:trPr>
        <w:tc>
          <w:tcPr>
            <w:tcW w:w="51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r>
      <w:tr>
        <w:trPr>
          <w:trHeight w:val="30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1,453</w:t>
            </w: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FF0FC"/>
          </w:tcPr>
          <w:p>
            <w:pPr>
              <w:spacing w:after="0"/>
              <w:rPr>
                <w:sz w:val="24"/>
                <w:szCs w:val="24"/>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1,338</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146</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Additions related to acquisitions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r>
      <w:tr>
        <w:trPr>
          <w:trHeight w:val="215"/>
        </w:trPr>
        <w:tc>
          <w:tcPr>
            <w:tcW w:w="5100" w:type="dxa"/>
            <w:vAlign w:val="bottom"/>
          </w:tcPr>
          <w:p>
            <w:pPr>
              <w:spacing w:after="0"/>
              <w:rPr>
                <w:sz w:val="20"/>
                <w:szCs w:val="20"/>
                <w:color w:val="auto"/>
              </w:rPr>
            </w:pPr>
            <w:r>
              <w:rPr>
                <w:rFonts w:ascii="Arial" w:cs="Arial" w:eastAsia="Arial" w:hAnsi="Arial"/>
                <w:sz w:val="18"/>
                <w:szCs w:val="18"/>
                <w:color w:val="auto"/>
                <w:w w:val="97"/>
              </w:rPr>
              <w:t>Reductions due to the lapse of the applicable statute of limitations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9"/>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amounts above exclude accrued interest and penalties of $253 million, $250 million and $225 million at December 31, 2013, 2012 and 2011 respectively.</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Schlumberger classifies interest and penalties relating to uncertain tax positions within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During 2013, 2012 and 2011, Schlumberger recognized $30 million, $21 million and $15 million in interest and penalties,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2" w:name="page53"/>
    <w:bookmarkEnd w:id="52"/>
    <w:p>
      <w:pPr>
        <w:jc w:val="both"/>
        <w:ind w:right="20"/>
        <w:spacing w:after="0" w:line="276"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Brazil</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2008 - 2013</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Canada</w:t>
            </w:r>
          </w:p>
        </w:tc>
        <w:tc>
          <w:tcPr>
            <w:tcW w:w="3240" w:type="dxa"/>
            <w:vAlign w:val="bottom"/>
          </w:tcPr>
          <w:p>
            <w:pPr>
              <w:jc w:val="right"/>
              <w:spacing w:after="0"/>
              <w:rPr>
                <w:sz w:val="20"/>
                <w:szCs w:val="20"/>
                <w:color w:val="auto"/>
              </w:rPr>
            </w:pPr>
            <w:r>
              <w:rPr>
                <w:rFonts w:ascii="Arial" w:cs="Arial" w:eastAsia="Arial" w:hAnsi="Arial"/>
                <w:sz w:val="18"/>
                <w:szCs w:val="18"/>
                <w:color w:val="auto"/>
              </w:rPr>
              <w:t>2006 - 2013</w:t>
            </w: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Mexico</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2007 - 2013</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Norway</w:t>
            </w:r>
          </w:p>
        </w:tc>
        <w:tc>
          <w:tcPr>
            <w:tcW w:w="32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Russia</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2010 - 2013</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Saudi Arabia</w:t>
            </w:r>
          </w:p>
        </w:tc>
        <w:tc>
          <w:tcPr>
            <w:tcW w:w="3240" w:type="dxa"/>
            <w:vAlign w:val="bottom"/>
          </w:tcPr>
          <w:p>
            <w:pPr>
              <w:jc w:val="right"/>
              <w:spacing w:after="0"/>
              <w:rPr>
                <w:sz w:val="20"/>
                <w:szCs w:val="20"/>
                <w:color w:val="auto"/>
              </w:rPr>
            </w:pPr>
            <w:r>
              <w:rPr>
                <w:rFonts w:ascii="Arial" w:cs="Arial" w:eastAsia="Arial" w:hAnsi="Arial"/>
                <w:sz w:val="18"/>
                <w:szCs w:val="18"/>
                <w:color w:val="auto"/>
              </w:rPr>
              <w:t>2001 - 2013</w:t>
            </w: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2009 - 2013</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United States</w:t>
            </w:r>
          </w:p>
        </w:tc>
        <w:tc>
          <w:tcPr>
            <w:tcW w:w="3240" w:type="dxa"/>
            <w:vAlign w:val="bottom"/>
          </w:tcPr>
          <w:p>
            <w:pPr>
              <w:jc w:val="right"/>
              <w:spacing w:after="0"/>
              <w:rPr>
                <w:sz w:val="20"/>
                <w:szCs w:val="20"/>
                <w:color w:val="auto"/>
              </w:rPr>
            </w:pPr>
            <w:r>
              <w:rPr>
                <w:rFonts w:ascii="Arial" w:cs="Arial" w:eastAsia="Arial" w:hAnsi="Arial"/>
                <w:sz w:val="18"/>
                <w:szCs w:val="18"/>
                <w:color w:val="auto"/>
              </w:rPr>
              <w:t>2008 - 2013</w:t>
            </w:r>
          </w:p>
        </w:tc>
      </w:tr>
    </w:tbl>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331"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was $1.9 billion in 2013, $1.9 billion in 2012, and $1.6 billion in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commitments under noncancelable operating leases for each of the next five years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60" w:type="dxa"/>
            <w:vAlign w:val="bottom"/>
            <w:gridSpan w:val="4"/>
          </w:tcPr>
          <w:p>
            <w:pPr>
              <w:ind w:left="24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28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2015</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CFF0FC"/>
              <w:bottom w:val="single" w:sz="8" w:color="CFF0FC"/>
            </w:tcBorders>
            <w:shd w:val="clear" w:color="auto" w:fill="CFF0FC"/>
          </w:tcPr>
          <w:p>
            <w:pPr>
              <w:spacing w:after="0"/>
              <w:rPr>
                <w:sz w:val="18"/>
                <w:szCs w:val="18"/>
                <w:color w:val="auto"/>
              </w:rPr>
            </w:pPr>
          </w:p>
        </w:tc>
        <w:tc>
          <w:tcPr>
            <w:tcW w:w="24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2009, Schlumberger learned that United States officials began a grand jury investigation and an associated regulatory inquiry, both related to certain historical Schlumberger operations in specified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is cooperating with the governmental authorities and cannot currently predict the outcome or estimate the possible impact of the ultimate resolution of these matters.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named an M-I SWACO entity as a defendant, were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Many of these claims were consolidated into multidistrict litigation in federal court (the “MDL”). During the first quarter of 2013, the federal court entered its order dismissing all claims against M-I SWACO that were consolidated as part of the MDL.</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3" w:name="page54"/>
    <w:bookmarkEnd w:id="53"/>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segments are as follows:</w:t>
      </w:r>
    </w:p>
    <w:p>
      <w:pPr>
        <w:spacing w:after="0" w:line="116" w:lineRule="exact"/>
        <w:rPr>
          <w:sz w:val="20"/>
          <w:szCs w:val="20"/>
          <w:color w:val="auto"/>
        </w:rPr>
      </w:pPr>
    </w:p>
    <w:p>
      <w:pPr>
        <w:ind w:left="1040" w:right="20" w:hanging="377"/>
        <w:spacing w:after="0" w:line="27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Reservoir Characterization Group</w:t>
      </w:r>
      <w:r>
        <w:rPr>
          <w:rFonts w:ascii="Arial" w:cs="Arial" w:eastAsia="Arial" w:hAnsi="Arial"/>
          <w:sz w:val="18"/>
          <w:szCs w:val="18"/>
          <w:color w:val="auto"/>
        </w:rPr>
        <w:t xml:space="preserve"> – Consists of the principal technologies involved in finding and defining hydrocarbon resources. These include WesternGeco, Wireline, Testing Services, Schlumberger Information Services and PetroTechnical Services.</w:t>
      </w:r>
    </w:p>
    <w:p>
      <w:pPr>
        <w:spacing w:after="0" w:line="62" w:lineRule="exact"/>
        <w:rPr>
          <w:sz w:val="20"/>
          <w:szCs w:val="20"/>
          <w:color w:val="auto"/>
        </w:rPr>
      </w:pPr>
    </w:p>
    <w:p>
      <w:pPr>
        <w:ind w:left="1020" w:hanging="363"/>
        <w:spacing w:after="0" w:line="26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Drilling Group</w:t>
      </w:r>
      <w:r>
        <w:rPr>
          <w:rFonts w:ascii="Arial" w:cs="Arial" w:eastAsia="Arial" w:hAnsi="Arial"/>
          <w:sz w:val="18"/>
          <w:szCs w:val="18"/>
          <w:color w:val="auto"/>
        </w:rPr>
        <w:t xml:space="preserve"> – Consists of the principal technologies involved in the drilling and positioning of oil and gas wells and comprises Bits &amp; Advanced Technologies, M-I SWACO, Geoservices, Drilling &amp; Measurements, Drilling Tools &amp; Remedial Services and Integrated Project Management well construction projects.</w:t>
      </w:r>
    </w:p>
    <w:p>
      <w:pPr>
        <w:spacing w:after="0" w:line="75" w:lineRule="exact"/>
        <w:rPr>
          <w:sz w:val="20"/>
          <w:szCs w:val="20"/>
          <w:color w:val="auto"/>
        </w:rPr>
      </w:pPr>
    </w:p>
    <w:p>
      <w:pPr>
        <w:ind w:left="1020" w:right="20" w:hanging="363"/>
        <w:spacing w:after="0" w:line="26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Production Group</w:t>
      </w:r>
      <w:r>
        <w:rPr>
          <w:rFonts w:ascii="Arial" w:cs="Arial" w:eastAsia="Arial" w:hAnsi="Arial"/>
          <w:sz w:val="18"/>
          <w:szCs w:val="18"/>
          <w:color w:val="auto"/>
        </w:rPr>
        <w:t xml:space="preserve"> – Consists of the principal technologies involved in the lifetime production of oil and gas reservoirs and includes Well Services, Completions, Artificial Lift, Well Intervention, Water Services, Carbon Services and the Schlumberger Production Management field production projects.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collectively referred to as “Oilfield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2013, 2012 and 2011, by segment,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center"/>
              <w:ind w:right="260"/>
              <w:spacing w:after="0" w:line="195" w:lineRule="exact"/>
              <w:rPr>
                <w:sz w:val="20"/>
                <w:szCs w:val="20"/>
                <w:color w:val="auto"/>
              </w:rPr>
            </w:pPr>
            <w:r>
              <w:rPr>
                <w:rFonts w:ascii="Arial" w:cs="Arial" w:eastAsia="Arial" w:hAnsi="Arial"/>
                <w:sz w:val="18"/>
                <w:szCs w:val="18"/>
                <w:color w:val="auto"/>
                <w:w w:val="91"/>
              </w:rPr>
              <w:t>Depreciation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taxes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Expenditures</w:t>
            </w: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ind w:left="500"/>
              <w:spacing w:after="0"/>
              <w:rPr>
                <w:sz w:val="20"/>
                <w:szCs w:val="20"/>
                <w:color w:val="auto"/>
              </w:rPr>
            </w:pPr>
            <w:r>
              <w:rPr>
                <w:rFonts w:ascii="Arial" w:cs="Arial" w:eastAsia="Arial" w:hAnsi="Arial"/>
                <w:sz w:val="18"/>
                <w:szCs w:val="18"/>
                <w:b w:val="1"/>
                <w:bCs w:val="1"/>
                <w:color w:val="auto"/>
              </w:rPr>
              <w:t>12,246</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3,647</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8,807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1,332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1,275</w:t>
            </w: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500"/>
              <w:spacing w:after="0"/>
              <w:rPr>
                <w:sz w:val="20"/>
                <w:szCs w:val="20"/>
                <w:color w:val="auto"/>
              </w:rPr>
            </w:pPr>
            <w:r>
              <w:rPr>
                <w:rFonts w:ascii="Arial" w:cs="Arial" w:eastAsia="Arial" w:hAnsi="Arial"/>
                <w:sz w:val="18"/>
                <w:szCs w:val="18"/>
                <w:b w:val="1"/>
                <w:bCs w:val="1"/>
                <w:color w:val="auto"/>
              </w:rPr>
              <w:t>17,317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3,309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11,069</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b w:val="1"/>
                <w:bCs w:val="1"/>
                <w:color w:val="auto"/>
                <w:w w:val="84"/>
              </w:rPr>
              <w:t>1,088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1,291</w:t>
            </w: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60" w:type="dxa"/>
            <w:vAlign w:val="bottom"/>
          </w:tcPr>
          <w:p>
            <w:pPr>
              <w:spacing w:after="0"/>
              <w:rPr>
                <w:sz w:val="18"/>
                <w:szCs w:val="18"/>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b w:val="1"/>
                <w:bCs w:val="1"/>
                <w:color w:val="auto"/>
              </w:rPr>
              <w:t>15,927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10,033</w:t>
            </w:r>
          </w:p>
        </w:tc>
        <w:tc>
          <w:tcPr>
            <w:tcW w:w="1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b w:val="1"/>
                <w:bCs w:val="1"/>
                <w:color w:val="auto"/>
              </w:rPr>
              <w:t>821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1,204</w:t>
            </w: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b w:val="1"/>
                <w:bCs w:val="1"/>
                <w:color w:val="auto"/>
                <w:w w:val="90"/>
              </w:rPr>
              <w:t>(224)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760"/>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173</w:t>
            </w:r>
          </w:p>
        </w:tc>
      </w:tr>
      <w:tr>
        <w:trPr>
          <w:trHeight w:val="209"/>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w w:val="83"/>
              </w:rPr>
              <w:t>45,266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31,863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w w:val="84"/>
              </w:rPr>
              <w:t>3,458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3,943</w:t>
            </w: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19,415</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All 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Corporate </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12,050</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760"/>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4"/>
                <w:szCs w:val="24"/>
                <w:color w:val="auto"/>
                <w:vertAlign w:val="superscript"/>
              </w:rPr>
              <w:t>(2)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4"/>
                <w:szCs w:val="24"/>
                <w:color w:val="auto"/>
                <w:vertAlign w:val="superscript"/>
              </w:rPr>
              <w:t>(3)</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(369)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4"/>
                <w:szCs w:val="24"/>
                <w:color w:val="auto"/>
                <w:vertAlign w:val="superscript"/>
              </w:rPr>
              <w:t>(4)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7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83"/>
              </w:rPr>
              <w:t>45,266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8,691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67,100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b w:val="1"/>
                <w:bCs w:val="1"/>
                <w:color w:val="auto"/>
                <w:w w:val="84"/>
              </w:rPr>
              <w:t>3,666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321"/>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and</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taxes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Expenditures</w:t>
            </w: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11,159</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3,069</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1,311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15,892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10,989</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4"/>
              </w:rPr>
              <w:t>1,086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1,668</w:t>
            </w: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60" w:type="dxa"/>
            <w:vAlign w:val="bottom"/>
          </w:tcPr>
          <w:p>
            <w:pPr>
              <w:spacing w:after="0"/>
              <w:rPr>
                <w:sz w:val="18"/>
                <w:szCs w:val="18"/>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(122)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352</w:t>
            </w:r>
          </w:p>
        </w:tc>
      </w:tr>
      <w:tr>
        <w:trPr>
          <w:trHeight w:val="209"/>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3"/>
              </w:rPr>
              <w:t>41,731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4"/>
              </w:rPr>
              <w:t>3,302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Discontinued operations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Corporate </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4"/>
                <w:szCs w:val="24"/>
                <w:color w:val="auto"/>
                <w:vertAlign w:val="superscript"/>
              </w:rPr>
              <w:t>(4)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4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3"/>
              </w:rPr>
              <w:t>41,731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4"/>
              </w:rPr>
              <w:t>3,500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left="630"/>
              <w:spacing w:after="0"/>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1"/>
              </w:rPr>
              <w:t>Depreciation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Capital</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taxes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Assets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19"/>
                <w:szCs w:val="19"/>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Expenditures</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9,740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2,347</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7,480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13,775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18,932</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Discontinued operations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Corporate </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4"/>
                <w:szCs w:val="24"/>
                <w:color w:val="auto"/>
                <w:vertAlign w:val="superscript"/>
              </w:rPr>
              <w:t>(4)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left="400" w:hanging="392"/>
        <w:spacing w:after="0" w:line="222" w:lineRule="auto"/>
        <w:tabs>
          <w:tab w:leader="none" w:pos="40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Comprised principally of certain corporate expenses not allocated to the segments, interest on postretirement medical benefits, stock-based compensation costs, amortization expense associated with certain intangible and other nonoperating items. Corporate assets consist of cash, short-term investments, fixed income investments, held to maturity and investments in affiliates.</w:t>
      </w:r>
    </w:p>
    <w:p>
      <w:pPr>
        <w:spacing w:after="0" w:line="25" w:lineRule="exact"/>
        <w:rPr>
          <w:rFonts w:ascii="Arial" w:cs="Arial" w:eastAsia="Arial" w:hAnsi="Arial"/>
          <w:sz w:val="26"/>
          <w:szCs w:val="26"/>
          <w:color w:val="auto"/>
          <w:vertAlign w:val="superscript"/>
        </w:rPr>
      </w:pPr>
    </w:p>
    <w:p>
      <w:pPr>
        <w:ind w:left="400" w:hanging="392"/>
        <w:spacing w:after="0"/>
        <w:tabs>
          <w:tab w:leader="none" w:pos="400" w:val="left"/>
        </w:tabs>
        <w:numPr>
          <w:ilvl w:val="0"/>
          <w:numId w:val="41"/>
        </w:numPr>
        <w:rPr>
          <w:rFonts w:ascii="Arial" w:cs="Arial" w:eastAsia="Arial" w:hAnsi="Arial"/>
          <w:sz w:val="26"/>
          <w:szCs w:val="26"/>
          <w:color w:val="auto"/>
          <w:vertAlign w:val="superscript"/>
        </w:rPr>
      </w:pPr>
      <w:r>
        <w:rPr>
          <w:rFonts w:ascii="Arial" w:cs="Arial" w:eastAsia="Arial" w:hAnsi="Arial"/>
          <w:sz w:val="18"/>
          <w:szCs w:val="18"/>
          <w:color w:val="auto"/>
        </w:rPr>
        <w:t>Interest income excludes amounts which are included in the segments’ income (2013: $11 million; 2012: $- million; 2011: $3 million).</w:t>
      </w:r>
    </w:p>
    <w:p>
      <w:pPr>
        <w:spacing w:after="0" w:line="109"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Interest expense excludes amounts which are included in the segments’ income (2013: $23 million; 2012: $8 million; 2011: $8 million).</w:t>
      </w:r>
    </w:p>
    <w:p>
      <w:pPr>
        <w:spacing w:after="0" w:line="110"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 xml:space="preserve">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receivables, inventories, fixed assets and multiclient seismic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&amp; Amortization includes multiclient seismic data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by geographic area for the years ended December 31, 2013, 2012 and 2011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6"/>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6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13,897</w:t>
            </w: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13,535</w:t>
            </w:r>
          </w:p>
        </w:tc>
        <w:tc>
          <w:tcPr>
            <w:tcW w:w="36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FF0FC"/>
          </w:tcPr>
          <w:p>
            <w:pPr>
              <w:spacing w:after="0"/>
              <w:rPr>
                <w:sz w:val="22"/>
                <w:szCs w:val="22"/>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18"/>
                <w:szCs w:val="18"/>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12,366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11,444</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9,676</w:t>
            </w:r>
          </w:p>
        </w:tc>
        <w:tc>
          <w:tcPr>
            <w:tcW w:w="100" w:type="dxa"/>
            <w:vAlign w:val="bottom"/>
            <w:shd w:val="clear" w:color="auto" w:fill="CFF0FC"/>
          </w:tcPr>
          <w:p>
            <w:pPr>
              <w:spacing w:after="0"/>
              <w:rPr>
                <w:sz w:val="18"/>
                <w:szCs w:val="18"/>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Middle East &amp; Asia</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18"/>
                <w:szCs w:val="18"/>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442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Revenue is based on the location where services are provided.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each of the three years ended December 31, 2013, 2012 and 2011, no single customer exceeded 10% of consolidated revenue.</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2013, 2012 and 2011 was $12.0 billion, $11.8 billion and $10.7 billion,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 xml:space="preserve">Fixed Assets less accumulated depreciation </w:t>
      </w:r>
      <w:r>
        <w:rPr>
          <w:rFonts w:ascii="Arial" w:cs="Arial" w:eastAsia="Arial" w:hAnsi="Arial"/>
          <w:sz w:val="18"/>
          <w:szCs w:val="18"/>
          <w:color w:val="auto"/>
        </w:rPr>
        <w:t>by geographic area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54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2"/>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1,889</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8"/>
                <w:szCs w:val="18"/>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3,452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3,414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FF0FC"/>
          </w:tcPr>
          <w:p>
            <w:pPr>
              <w:spacing w:after="0"/>
              <w:rPr>
                <w:sz w:val="18"/>
                <w:szCs w:val="18"/>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Middle East &amp; Asia</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2,991</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8"/>
                <w:szCs w:val="18"/>
                <w:color w:val="auto"/>
              </w:rPr>
            </w:pPr>
          </w:p>
        </w:tc>
      </w:tr>
      <w:tr>
        <w:trPr>
          <w:trHeight w:val="215"/>
        </w:trPr>
        <w:tc>
          <w:tcPr>
            <w:tcW w:w="548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Unallocated </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1,906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FF0FC"/>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15,096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26"/>
          <w:szCs w:val="26"/>
          <w:color w:val="auto"/>
          <w:vertAlign w:val="superscript"/>
        </w:rPr>
      </w:pPr>
      <w:r>
        <w:rPr>
          <w:rFonts w:ascii="Arial" w:cs="Arial" w:eastAsia="Arial" w:hAnsi="Arial"/>
          <w:sz w:val="18"/>
          <w:szCs w:val="18"/>
          <w:color w:val="auto"/>
        </w:rPr>
        <w:t>Represents seismic vessels, including the related on-board equipment, which frequently transition between geographic areas.</w:t>
      </w:r>
    </w:p>
    <w:p>
      <w:pPr>
        <w:spacing w:after="0" w:line="345"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Benefit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1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to the United States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2"/>
              </w:rPr>
              <w:t>International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3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2011</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2012</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r>
      <w:tr>
        <w:trPr>
          <w:trHeight w:val="30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FF0FC"/>
          </w:tcPr>
          <w:p>
            <w:pPr>
              <w:spacing w:after="0"/>
              <w:rPr>
                <w:sz w:val="24"/>
                <w:szCs w:val="24"/>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4.25%</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24"/>
                <w:szCs w:val="2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5.47%</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Compensation increases</w:t>
            </w: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4.83%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4.91%</w:t>
            </w:r>
          </w:p>
        </w:tc>
      </w:tr>
      <w:tr>
        <w:trPr>
          <w:trHeight w:val="215"/>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Return on plan assets</w:t>
            </w: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7.50%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7.50%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7.50%</w:t>
            </w:r>
          </w:p>
        </w:tc>
      </w:tr>
      <w:tr>
        <w:trPr>
          <w:trHeight w:val="431"/>
        </w:trPr>
        <w:tc>
          <w:tcPr>
            <w:tcW w:w="6340" w:type="dxa"/>
            <w:vAlign w:val="bottom"/>
            <w:gridSpan w:val="5"/>
          </w:tcPr>
          <w:p>
            <w:pPr>
              <w:spacing w:after="0"/>
              <w:rPr>
                <w:sz w:val="20"/>
                <w:szCs w:val="20"/>
                <w:color w:val="auto"/>
              </w:rPr>
            </w:pPr>
            <w:r>
              <w:rPr>
                <w:rFonts w:ascii="Arial" w:cs="Arial" w:eastAsia="Arial" w:hAnsi="Arial"/>
                <w:sz w:val="18"/>
                <w:szCs w:val="18"/>
                <w:color w:val="auto"/>
              </w:rPr>
              <w:t>Net pension cost for 2013, 2012 and 2011 included the following components: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8"/>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321"/>
        </w:trPr>
        <w:tc>
          <w:tcPr>
            <w:tcW w:w="5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2"/>
              </w:rPr>
              <w:t>International</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3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r>
      <w:tr>
        <w:trPr>
          <w:trHeight w:val="3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the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86</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r>
      <w:tr>
        <w:trPr>
          <w:trHeight w:val="215"/>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(384)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(279)</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8"/>
                <w:szCs w:val="18"/>
                <w:color w:val="auto"/>
              </w:rPr>
            </w:pPr>
          </w:p>
        </w:tc>
      </w:tr>
      <w:tr>
        <w:trPr>
          <w:trHeight w:val="209"/>
        </w:trPr>
        <w:tc>
          <w:tcPr>
            <w:tcW w:w="5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US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gridSpan w:val="4"/>
          </w:tcPr>
          <w:p>
            <w:pPr>
              <w:ind w:left="600"/>
              <w:spacing w:after="0"/>
              <w:rPr>
                <w:sz w:val="20"/>
                <w:szCs w:val="20"/>
                <w:color w:val="auto"/>
              </w:rPr>
            </w:pPr>
            <w:r>
              <w:rPr>
                <w:rFonts w:ascii="Arial" w:cs="Arial" w:eastAsia="Arial" w:hAnsi="Arial"/>
                <w:sz w:val="18"/>
                <w:szCs w:val="18"/>
                <w:color w:val="auto"/>
              </w:rPr>
              <w:t>International</w:t>
            </w:r>
          </w:p>
        </w:tc>
      </w:tr>
      <w:tr>
        <w:trPr>
          <w:trHeight w:val="209"/>
        </w:trPr>
        <w:tc>
          <w:tcPr>
            <w:tcW w:w="3680" w:type="dxa"/>
            <w:vAlign w:val="bottom"/>
            <w:tcBorders>
              <w:bottom w:val="single" w:sz="8" w:color="CFF0FC"/>
            </w:tcBorders>
          </w:tcPr>
          <w:p>
            <w:pPr>
              <w:spacing w:after="0"/>
              <w:rPr>
                <w:sz w:val="18"/>
                <w:szCs w:val="18"/>
                <w:color w:val="auto"/>
              </w:rPr>
            </w:pPr>
          </w:p>
        </w:tc>
        <w:tc>
          <w:tcPr>
            <w:tcW w:w="28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FF0FC"/>
            </w:tcBorders>
          </w:tcPr>
          <w:p>
            <w:pPr>
              <w:spacing w:after="0"/>
              <w:rPr>
                <w:sz w:val="18"/>
                <w:szCs w:val="18"/>
                <w:color w:val="auto"/>
              </w:rPr>
            </w:pPr>
          </w:p>
        </w:tc>
      </w:tr>
      <w:tr>
        <w:trPr>
          <w:trHeight w:val="26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412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4.85%</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FF0FC"/>
          </w:tcPr>
          <w:p>
            <w:pPr>
              <w:ind w:left="580"/>
              <w:spacing w:after="0"/>
              <w:rPr>
                <w:sz w:val="20"/>
                <w:szCs w:val="20"/>
                <w:color w:val="auto"/>
              </w:rPr>
            </w:pPr>
            <w:r>
              <w:rPr>
                <w:rFonts w:ascii="Arial" w:cs="Arial" w:eastAsia="Arial" w:hAnsi="Arial"/>
                <w:sz w:val="18"/>
                <w:szCs w:val="18"/>
                <w:b w:val="1"/>
                <w:bCs w:val="1"/>
                <w:color w:val="auto"/>
              </w:rPr>
              <w:t>4.76%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4.38%</w:t>
            </w:r>
          </w:p>
        </w:tc>
      </w:t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Compensation increases</w:t>
            </w:r>
          </w:p>
        </w:tc>
        <w:tc>
          <w:tcPr>
            <w:tcW w:w="41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4.00%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220" w:type="dxa"/>
            <w:vAlign w:val="bottom"/>
            <w:gridSpan w:val="2"/>
          </w:tcPr>
          <w:p>
            <w:pPr>
              <w:ind w:left="580"/>
              <w:spacing w:after="0"/>
              <w:rPr>
                <w:sz w:val="20"/>
                <w:szCs w:val="20"/>
                <w:color w:val="auto"/>
              </w:rPr>
            </w:pPr>
            <w:r>
              <w:rPr>
                <w:rFonts w:ascii="Arial" w:cs="Arial" w:eastAsia="Arial" w:hAnsi="Arial"/>
                <w:sz w:val="18"/>
                <w:szCs w:val="18"/>
                <w:b w:val="1"/>
                <w:bCs w:val="1"/>
                <w:color w:val="auto"/>
              </w:rPr>
              <w:t>4.80%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r>
      <w:tr>
        <w:trPr>
          <w:trHeight w:val="412"/>
        </w:trPr>
        <w:tc>
          <w:tcPr>
            <w:tcW w:w="3680" w:type="dxa"/>
            <w:vAlign w:val="bottom"/>
          </w:tcPr>
          <w:p>
            <w:pPr>
              <w:spacing w:after="0"/>
              <w:rPr>
                <w:sz w:val="24"/>
                <w:szCs w:val="24"/>
                <w:color w:val="auto"/>
              </w:rPr>
            </w:pPr>
          </w:p>
        </w:tc>
        <w:tc>
          <w:tcPr>
            <w:tcW w:w="2840" w:type="dxa"/>
            <w:vAlign w:val="bottom"/>
          </w:tcPr>
          <w:p>
            <w:pPr>
              <w:jc w:val="right"/>
              <w:ind w:right="630"/>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21"/>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US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3,558</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3,073</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Projected benefit obligation at end of year</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3,418</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Plan assets at fair value at beginning of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2,910</w:t>
            </w:r>
          </w:p>
        </w:tc>
        <w:tc>
          <w:tcPr>
            <w:tcW w:w="4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2,655</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Company contributions</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3,269</w:t>
            </w:r>
          </w:p>
        </w:tc>
        <w:tc>
          <w:tcPr>
            <w:tcW w:w="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6,246</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(Unfunded Liability) / Asset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i w:val="1"/>
                <w:iCs w:val="1"/>
                <w:color w:val="auto"/>
              </w:rPr>
              <w:t>Amounts Recognized in Balance Sheet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(648)</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i w:val="1"/>
                <w:iCs w:val="1"/>
                <w:color w:val="auto"/>
              </w:rPr>
              <w:t>Amounts Recognized in Accumulated Other Comprehensive Loss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Actuarial losses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687</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1,197</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418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Accumulated benefit obligation</w:t>
            </w: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3,158</w:t>
            </w:r>
          </w:p>
        </w:tc>
        <w:tc>
          <w:tcPr>
            <w:tcW w:w="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3,262</w:t>
            </w: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5,593</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5,401</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allocation of plan assets and the target allocations by asset category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98"/>
              </w:rPr>
              <w:t>International</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Target</w:t>
            </w:r>
          </w:p>
        </w:tc>
        <w:tc>
          <w:tcPr>
            <w:tcW w:w="3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Target</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- 55%</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4"/>
              </w:rPr>
              <w:t>70%</w:t>
            </w: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Debt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- 45</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40</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88"/>
              </w:rPr>
              <w:t>0 - 3</w:t>
            </w:r>
          </w:p>
        </w:tc>
        <w:tc>
          <w:tcPr>
            <w:tcW w:w="13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2</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w w:val="83"/>
              </w:rPr>
              <w:t>0 - 3</w:t>
            </w:r>
          </w:p>
        </w:tc>
        <w:tc>
          <w:tcPr>
            <w:tcW w:w="13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jc w:val="right"/>
              <w:spacing w:after="0"/>
              <w:rPr>
                <w:sz w:val="20"/>
                <w:szCs w:val="20"/>
                <w:color w:val="auto"/>
              </w:rPr>
            </w:pPr>
            <w:r>
              <w:rPr>
                <w:rFonts w:ascii="Arial" w:cs="Arial" w:eastAsia="Arial" w:hAnsi="Arial"/>
                <w:sz w:val="18"/>
                <w:szCs w:val="18"/>
                <w:color w:val="auto"/>
              </w:rPr>
              <w:t>- 10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9"/>
              </w:rPr>
              <w:t>100%</w:t>
            </w:r>
          </w:p>
        </w:tc>
        <w:tc>
          <w:tcPr>
            <w:tcW w:w="8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Schlumberger’s investment policy includes guidelines and procedures designed to ensure that assets are prudently invested in order to meet the future benefit obligation of the pension plans. The policy does not permit the direct investment of plan assets in any Schlumberger security. Schlumberger’s investment horizon is long-term and, accordingly, the target asset allocations encompass a strategic, long-term perspective of capital markets, expected risk and return behavior, and perceived future economic conditions. The target asset allocations are reviewed periodically. Schlumberger may utilize certain derivative instruments, such as options, futures, swaps and forwards, within the plans to manage risks, as a substitute for physical securities or to obtain exposure to different markets.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57" w:name="page58"/>
    <w:bookmarkEnd w:id="57"/>
    <w:p>
      <w:pPr>
        <w:jc w:val="both"/>
        <w:ind w:right="20"/>
        <w:spacing w:after="0" w:line="276"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expected long-term rate of return on assets assumptions reflect the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8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fair value of Schlumberger’s pension plan assets at December 31, 2013 and 2012, by asset category, is presented below and was determined based on valuation techniques categorized as follows: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Level One: The use of quoted prices in active markets for identical instruments.</w:t>
      </w:r>
    </w:p>
    <w:p>
      <w:pPr>
        <w:spacing w:after="0" w:line="116" w:lineRule="exact"/>
        <w:rPr>
          <w:sz w:val="20"/>
          <w:szCs w:val="20"/>
          <w:color w:val="auto"/>
        </w:rPr>
      </w:pPr>
    </w:p>
    <w:p>
      <w:pPr>
        <w:ind w:left="1020" w:right="20" w:hanging="363"/>
        <w:spacing w:after="0" w:line="276" w:lineRule="auto"/>
        <w:rPr>
          <w:sz w:val="20"/>
          <w:szCs w:val="20"/>
          <w:color w:val="auto"/>
        </w:rPr>
      </w:pPr>
      <w:r>
        <w:rPr>
          <w:rFonts w:ascii="Arial" w:cs="Arial" w:eastAsia="Arial" w:hAnsi="Arial"/>
          <w:sz w:val="18"/>
          <w:szCs w:val="18"/>
          <w:color w:val="auto"/>
        </w:rPr>
        <w:t>— 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62" w:lineRule="exact"/>
        <w:rPr>
          <w:sz w:val="20"/>
          <w:szCs w:val="20"/>
          <w:color w:val="auto"/>
        </w:rPr>
      </w:pPr>
    </w:p>
    <w:p>
      <w:pPr>
        <w:ind w:left="1020" w:hanging="363"/>
        <w:spacing w:after="0" w:line="276" w:lineRule="auto"/>
        <w:rPr>
          <w:sz w:val="20"/>
          <w:szCs w:val="20"/>
          <w:color w:val="auto"/>
        </w:rPr>
      </w:pPr>
      <w:r>
        <w:rPr>
          <w:rFonts w:ascii="Arial" w:cs="Arial" w:eastAsia="Arial" w:hAnsi="Arial"/>
          <w:sz w:val="18"/>
          <w:szCs w:val="18"/>
          <w:color w:val="auto"/>
        </w:rPr>
        <w:t>— Level Three: The use of significant unobservable inputs that typically require the use of management’s estimates of assumptions that market participants would use in pricing.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2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color w:val="auto"/>
              </w:rPr>
              <w:t>US Plan Assets</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2012</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7"/>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6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72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Level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One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Two</w:t>
            </w:r>
          </w:p>
        </w:tc>
        <w:tc>
          <w:tcPr>
            <w:tcW w:w="14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Three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One</w:t>
            </w:r>
          </w:p>
        </w:tc>
        <w:tc>
          <w:tcPr>
            <w:tcW w:w="14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Two</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Three</w:t>
            </w:r>
          </w:p>
        </w:tc>
        <w:tc>
          <w:tcPr>
            <w:tcW w:w="0" w:type="dxa"/>
            <w:vAlign w:val="bottom"/>
          </w:tcPr>
          <w:p>
            <w:pPr>
              <w:spacing w:after="0"/>
              <w:rPr>
                <w:sz w:val="1"/>
                <w:szCs w:val="1"/>
                <w:color w:val="auto"/>
              </w:rPr>
            </w:pPr>
          </w:p>
        </w:tc>
      </w:tr>
      <w:tr>
        <w:trPr>
          <w:trHeight w:val="209"/>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200"/>
              <w:spacing w:after="0" w:line="216" w:lineRule="exact"/>
              <w:rPr>
                <w:sz w:val="20"/>
                <w:szCs w:val="20"/>
                <w:color w:val="auto"/>
              </w:rPr>
            </w:pPr>
            <w:r>
              <w:rPr>
                <w:rFonts w:ascii="Arial" w:cs="Arial" w:eastAsia="Arial" w:hAnsi="Arial"/>
                <w:sz w:val="24"/>
                <w:szCs w:val="24"/>
                <w:color w:val="auto"/>
                <w:vertAlign w:val="subscript"/>
              </w:rPr>
              <w:t>US</w:t>
            </w:r>
            <w:r>
              <w:rPr>
                <w:rFonts w:ascii="Arial" w:cs="Arial" w:eastAsia="Arial" w:hAnsi="Arial"/>
                <w:sz w:val="11"/>
                <w:szCs w:val="11"/>
                <w:color w:val="auto"/>
              </w:rPr>
              <w:t xml:space="preserve"> (a)</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00"/>
              <w:spacing w:after="0" w:line="216"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4"/>
                <w:szCs w:val="24"/>
                <w:color w:val="auto"/>
                <w:vertAlign w:val="superscript"/>
              </w:rPr>
              <w:t>(b)</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572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00"/>
              <w:spacing w:after="0" w:line="216" w:lineRule="exact"/>
              <w:rPr>
                <w:sz w:val="20"/>
                <w:szCs w:val="20"/>
                <w:color w:val="auto"/>
              </w:rPr>
            </w:pPr>
            <w:r>
              <w:rPr>
                <w:rFonts w:ascii="Arial" w:cs="Arial" w:eastAsia="Arial" w:hAnsi="Arial"/>
                <w:sz w:val="17"/>
                <w:szCs w:val="17"/>
                <w:color w:val="auto"/>
              </w:rPr>
              <w:t xml:space="preserve">Corporate bonds </w:t>
            </w:r>
            <w:r>
              <w:rPr>
                <w:rFonts w:ascii="Arial" w:cs="Arial" w:eastAsia="Arial" w:hAnsi="Arial"/>
                <w:sz w:val="24"/>
                <w:szCs w:val="24"/>
                <w:color w:val="auto"/>
                <w:vertAlign w:val="superscript"/>
              </w:rPr>
              <w:t>(c)</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548</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Government and government-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639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478</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20"/>
              <w:spacing w:after="0" w:line="229" w:lineRule="exact"/>
              <w:rPr>
                <w:sz w:val="20"/>
                <w:szCs w:val="20"/>
                <w:color w:val="auto"/>
              </w:rPr>
            </w:pPr>
            <w:r>
              <w:rPr>
                <w:rFonts w:ascii="Arial" w:cs="Arial" w:eastAsia="Arial" w:hAnsi="Arial"/>
                <w:sz w:val="18"/>
                <w:szCs w:val="18"/>
                <w:color w:val="auto"/>
              </w:rPr>
              <w:t xml:space="preserve">related debt securities </w:t>
            </w:r>
            <w:r>
              <w:rPr>
                <w:rFonts w:ascii="Arial" w:cs="Arial" w:eastAsia="Arial" w:hAnsi="Arial"/>
                <w:sz w:val="25"/>
                <w:szCs w:val="25"/>
                <w:color w:val="auto"/>
                <w:vertAlign w:val="superscript"/>
              </w:rPr>
              <w:t>(d)</w:t>
            </w: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800" w:type="dxa"/>
            <w:vAlign w:val="bottom"/>
            <w:shd w:val="clear" w:color="auto" w:fill="CFF0FC"/>
          </w:tcPr>
          <w:p>
            <w:pPr>
              <w:ind w:left="260"/>
              <w:spacing w:after="0" w:line="201" w:lineRule="exact"/>
              <w:rPr>
                <w:sz w:val="20"/>
                <w:szCs w:val="20"/>
                <w:color w:val="auto"/>
              </w:rPr>
            </w:pPr>
            <w:r>
              <w:rPr>
                <w:rFonts w:ascii="Arial" w:cs="Arial" w:eastAsia="Arial" w:hAnsi="Arial"/>
                <w:sz w:val="18"/>
                <w:szCs w:val="18"/>
                <w:color w:val="auto"/>
              </w:rPr>
              <w:t>Collateralized mortgage</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8"/>
              </w:rPr>
              <w:t>obligations and mortgage backed</w:t>
            </w:r>
          </w:p>
        </w:tc>
        <w:tc>
          <w:tcPr>
            <w:tcW w:w="14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420"/>
              <w:spacing w:after="0" w:line="229"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5"/>
                <w:szCs w:val="25"/>
                <w:color w:val="auto"/>
                <w:vertAlign w:val="superscript"/>
              </w:rPr>
              <w:t>(e)</w:t>
            </w:r>
          </w:p>
        </w:tc>
        <w:tc>
          <w:tcPr>
            <w:tcW w:w="14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60"/>
              <w:spacing w:after="0" w:line="216" w:lineRule="exact"/>
              <w:rPr>
                <w:sz w:val="20"/>
                <w:szCs w:val="20"/>
                <w:color w:val="auto"/>
              </w:rPr>
            </w:pPr>
            <w:r>
              <w:rPr>
                <w:rFonts w:ascii="Arial" w:cs="Arial" w:eastAsia="Arial" w:hAnsi="Arial"/>
                <w:sz w:val="17"/>
                <w:szCs w:val="17"/>
                <w:color w:val="auto"/>
              </w:rPr>
              <w:t xml:space="preserve">Private equity </w:t>
            </w:r>
            <w:r>
              <w:rPr>
                <w:rFonts w:ascii="Arial" w:cs="Arial" w:eastAsia="Arial" w:hAnsi="Arial"/>
                <w:sz w:val="24"/>
                <w:szCs w:val="24"/>
                <w:color w:val="auto"/>
                <w:vertAlign w:val="superscript"/>
              </w:rPr>
              <w:t>(f)</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5"/>
        </w:trPr>
        <w:tc>
          <w:tcPr>
            <w:tcW w:w="2800" w:type="dxa"/>
            <w:vAlign w:val="bottom"/>
          </w:tcPr>
          <w:p>
            <w:pPr>
              <w:ind w:left="260"/>
              <w:spacing w:after="0" w:line="216"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4"/>
                <w:szCs w:val="24"/>
                <w:color w:val="auto"/>
                <w:vertAlign w:val="superscript"/>
              </w:rPr>
              <w:t>(g)</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2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1"/>
        </w:trPr>
        <w:tc>
          <w:tcPr>
            <w:tcW w:w="2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International Plan Assets</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2012</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7"/>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7"/>
              </w:rPr>
              <w:t>Level</w:t>
            </w:r>
          </w:p>
        </w:tc>
        <w:tc>
          <w:tcPr>
            <w:tcW w:w="100" w:type="dxa"/>
            <w:vAlign w:val="bottom"/>
          </w:tcPr>
          <w:p>
            <w:pPr>
              <w:spacing w:after="0"/>
              <w:rPr>
                <w:sz w:val="16"/>
                <w:szCs w:val="16"/>
                <w:color w:val="auto"/>
              </w:rPr>
            </w:pPr>
          </w:p>
        </w:tc>
        <w:tc>
          <w:tcPr>
            <w:tcW w:w="7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Level</w:t>
            </w:r>
          </w:p>
        </w:tc>
        <w:tc>
          <w:tcPr>
            <w:tcW w:w="140" w:type="dxa"/>
            <w:vAlign w:val="bottom"/>
          </w:tcPr>
          <w:p>
            <w:pPr>
              <w:spacing w:after="0"/>
              <w:rPr>
                <w:sz w:val="16"/>
                <w:szCs w:val="16"/>
                <w:color w:val="auto"/>
              </w:rPr>
            </w:pPr>
          </w:p>
        </w:tc>
        <w:tc>
          <w:tcPr>
            <w:tcW w:w="72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Level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Level</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One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Two</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Three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One</w:t>
            </w:r>
          </w:p>
        </w:tc>
        <w:tc>
          <w:tcPr>
            <w:tcW w:w="14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Two</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Three</w:t>
            </w:r>
          </w:p>
        </w:tc>
        <w:tc>
          <w:tcPr>
            <w:tcW w:w="0" w:type="dxa"/>
            <w:vAlign w:val="bottom"/>
          </w:tcPr>
          <w:p>
            <w:pPr>
              <w:spacing w:after="0"/>
              <w:rPr>
                <w:sz w:val="1"/>
                <w:szCs w:val="1"/>
                <w:color w:val="auto"/>
              </w:rPr>
            </w:pPr>
          </w:p>
        </w:tc>
      </w:tr>
      <w:tr>
        <w:trPr>
          <w:trHeight w:val="209"/>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267</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180"/>
              <w:spacing w:after="0" w:line="216" w:lineRule="exact"/>
              <w:rPr>
                <w:sz w:val="20"/>
                <w:szCs w:val="20"/>
                <w:color w:val="auto"/>
              </w:rPr>
            </w:pPr>
            <w:r>
              <w:rPr>
                <w:rFonts w:ascii="Arial" w:cs="Arial" w:eastAsia="Arial" w:hAnsi="Arial"/>
                <w:sz w:val="24"/>
                <w:szCs w:val="24"/>
                <w:color w:val="auto"/>
                <w:vertAlign w:val="subscript"/>
              </w:rPr>
              <w:t>US</w:t>
            </w:r>
            <w:r>
              <w:rPr>
                <w:rFonts w:ascii="Arial" w:cs="Arial" w:eastAsia="Arial" w:hAnsi="Arial"/>
                <w:sz w:val="11"/>
                <w:szCs w:val="11"/>
                <w:color w:val="auto"/>
              </w:rPr>
              <w:t xml:space="preserve"> (a)</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180"/>
              <w:spacing w:after="0" w:line="216"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4"/>
                <w:szCs w:val="24"/>
                <w:color w:val="auto"/>
                <w:vertAlign w:val="superscript"/>
              </w:rPr>
              <w:t>(b)</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1,566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990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60"/>
              <w:spacing w:after="0" w:line="216" w:lineRule="exact"/>
              <w:rPr>
                <w:sz w:val="20"/>
                <w:szCs w:val="20"/>
                <w:color w:val="auto"/>
              </w:rPr>
            </w:pPr>
            <w:r>
              <w:rPr>
                <w:rFonts w:ascii="Arial" w:cs="Arial" w:eastAsia="Arial" w:hAnsi="Arial"/>
                <w:sz w:val="17"/>
                <w:szCs w:val="17"/>
                <w:color w:val="auto"/>
              </w:rPr>
              <w:t xml:space="preserve">Corporate bonds </w:t>
            </w:r>
            <w:r>
              <w:rPr>
                <w:rFonts w:ascii="Arial" w:cs="Arial" w:eastAsia="Arial" w:hAnsi="Arial"/>
                <w:sz w:val="24"/>
                <w:szCs w:val="24"/>
                <w:color w:val="auto"/>
                <w:vertAlign w:val="superscript"/>
              </w:rPr>
              <w:t>(c)</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576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800" w:type="dxa"/>
            <w:vAlign w:val="bottom"/>
          </w:tcPr>
          <w:p>
            <w:pPr>
              <w:ind w:left="260"/>
              <w:spacing w:after="0" w:line="201" w:lineRule="exact"/>
              <w:rPr>
                <w:sz w:val="20"/>
                <w:szCs w:val="20"/>
                <w:color w:val="auto"/>
              </w:rPr>
            </w:pPr>
            <w:r>
              <w:rPr>
                <w:rFonts w:ascii="Arial" w:cs="Arial" w:eastAsia="Arial" w:hAnsi="Arial"/>
                <w:sz w:val="18"/>
                <w:szCs w:val="18"/>
                <w:color w:val="auto"/>
              </w:rPr>
              <w:t>Government and government-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997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991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500"/>
              <w:spacing w:after="0" w:line="229" w:lineRule="exact"/>
              <w:rPr>
                <w:sz w:val="20"/>
                <w:szCs w:val="20"/>
                <w:color w:val="auto"/>
              </w:rPr>
            </w:pPr>
            <w:r>
              <w:rPr>
                <w:rFonts w:ascii="Arial" w:cs="Arial" w:eastAsia="Arial" w:hAnsi="Arial"/>
                <w:sz w:val="18"/>
                <w:szCs w:val="18"/>
                <w:color w:val="auto"/>
              </w:rPr>
              <w:t xml:space="preserve">related debt securities </w:t>
            </w:r>
            <w:r>
              <w:rPr>
                <w:rFonts w:ascii="Arial" w:cs="Arial" w:eastAsia="Arial" w:hAnsi="Arial"/>
                <w:sz w:val="25"/>
                <w:szCs w:val="25"/>
                <w:color w:val="auto"/>
                <w:vertAlign w:val="superscript"/>
              </w:rPr>
              <w:t>(d)</w:t>
            </w: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800" w:type="dxa"/>
            <w:vAlign w:val="bottom"/>
            <w:shd w:val="clear" w:color="auto" w:fill="CFF0FC"/>
          </w:tcPr>
          <w:p>
            <w:pPr>
              <w:ind w:left="260"/>
              <w:spacing w:after="0" w:line="201" w:lineRule="exact"/>
              <w:rPr>
                <w:sz w:val="20"/>
                <w:szCs w:val="20"/>
                <w:color w:val="auto"/>
              </w:rPr>
            </w:pPr>
            <w:r>
              <w:rPr>
                <w:rFonts w:ascii="Arial" w:cs="Arial" w:eastAsia="Arial" w:hAnsi="Arial"/>
                <w:sz w:val="18"/>
                <w:szCs w:val="18"/>
                <w:color w:val="auto"/>
              </w:rPr>
              <w:t>Collateralized mortgage</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obligations and mortgage</w:t>
            </w:r>
          </w:p>
        </w:tc>
        <w:tc>
          <w:tcPr>
            <w:tcW w:w="140" w:type="dxa"/>
            <w:vAlign w:val="bottom"/>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500"/>
              <w:spacing w:after="0" w:line="229" w:lineRule="exact"/>
              <w:rPr>
                <w:sz w:val="20"/>
                <w:szCs w:val="20"/>
                <w:color w:val="auto"/>
              </w:rPr>
            </w:pPr>
            <w:r>
              <w:rPr>
                <w:rFonts w:ascii="Arial" w:cs="Arial" w:eastAsia="Arial" w:hAnsi="Arial"/>
                <w:sz w:val="18"/>
                <w:szCs w:val="18"/>
                <w:color w:val="auto"/>
              </w:rPr>
              <w:t xml:space="preserve">backed securities </w:t>
            </w:r>
            <w:r>
              <w:rPr>
                <w:rFonts w:ascii="Arial" w:cs="Arial" w:eastAsia="Arial" w:hAnsi="Arial"/>
                <w:sz w:val="25"/>
                <w:szCs w:val="25"/>
                <w:color w:val="auto"/>
                <w:vertAlign w:val="superscript"/>
              </w:rPr>
              <w:t>(e)</w:t>
            </w:r>
          </w:p>
        </w:tc>
        <w:tc>
          <w:tcPr>
            <w:tcW w:w="14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60"/>
              <w:spacing w:after="0" w:line="216" w:lineRule="exact"/>
              <w:rPr>
                <w:sz w:val="20"/>
                <w:szCs w:val="20"/>
                <w:color w:val="auto"/>
              </w:rPr>
            </w:pPr>
            <w:r>
              <w:rPr>
                <w:rFonts w:ascii="Arial" w:cs="Arial" w:eastAsia="Arial" w:hAnsi="Arial"/>
                <w:sz w:val="17"/>
                <w:szCs w:val="17"/>
                <w:color w:val="auto"/>
              </w:rPr>
              <w:t xml:space="preserve">Private equity </w:t>
            </w:r>
            <w:r>
              <w:rPr>
                <w:rFonts w:ascii="Arial" w:cs="Arial" w:eastAsia="Arial" w:hAnsi="Arial"/>
                <w:sz w:val="24"/>
                <w:szCs w:val="24"/>
                <w:color w:val="auto"/>
                <w:vertAlign w:val="superscript"/>
              </w:rPr>
              <w:t>(f)</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260"/>
              <w:spacing w:after="0" w:line="216"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4"/>
                <w:szCs w:val="24"/>
                <w:color w:val="auto"/>
                <w:vertAlign w:val="superscript"/>
              </w:rPr>
              <w:t>(g)</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3,156</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hanging="312"/>
        <w:spacing w:after="0" w:line="221" w:lineRule="auto"/>
        <w:tabs>
          <w:tab w:leader="none" w:pos="32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jc w:val="both"/>
        <w:ind w:left="320" w:hanging="312"/>
        <w:spacing w:after="0" w:line="217" w:lineRule="auto"/>
        <w:tabs>
          <w:tab w:leader="none" w:pos="32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1" w:lineRule="exact"/>
        <w:rPr>
          <w:rFonts w:ascii="Arial" w:cs="Arial" w:eastAsia="Arial" w:hAnsi="Arial"/>
          <w:sz w:val="26"/>
          <w:szCs w:val="26"/>
          <w:color w:val="auto"/>
          <w:vertAlign w:val="superscript"/>
        </w:rPr>
      </w:pPr>
    </w:p>
    <w:p>
      <w:pPr>
        <w:ind w:left="320" w:hanging="312"/>
        <w:spacing w:after="0" w:line="187" w:lineRule="auto"/>
        <w:tabs>
          <w:tab w:leader="none" w:pos="32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Corporate bonds consist primarily of investment grade bonds from diversified industries.</w:t>
      </w:r>
    </w:p>
    <w:p>
      <w:pPr>
        <w:spacing w:after="0" w:line="1" w:lineRule="exact"/>
        <w:rPr>
          <w:rFonts w:ascii="Arial" w:cs="Arial" w:eastAsia="Arial" w:hAnsi="Arial"/>
          <w:sz w:val="24"/>
          <w:szCs w:val="24"/>
          <w:color w:val="auto"/>
          <w:vertAlign w:val="superscript"/>
        </w:rPr>
      </w:pPr>
    </w:p>
    <w:p>
      <w:pPr>
        <w:ind w:left="320" w:hanging="312"/>
        <w:spacing w:after="0" w:line="203" w:lineRule="auto"/>
        <w:tabs>
          <w:tab w:leader="none" w:pos="32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Government and government-related debt securities are comprised primarily of inflation protected US treasuries and, to a lesser extent, other government-related securities.</w:t>
      </w:r>
    </w:p>
    <w:p>
      <w:pPr>
        <w:spacing w:after="0" w:line="1" w:lineRule="exact"/>
        <w:rPr>
          <w:rFonts w:ascii="Arial" w:cs="Arial" w:eastAsia="Arial" w:hAnsi="Arial"/>
          <w:sz w:val="26"/>
          <w:szCs w:val="26"/>
          <w:color w:val="auto"/>
          <w:vertAlign w:val="superscript"/>
        </w:rPr>
      </w:pPr>
    </w:p>
    <w:p>
      <w:pPr>
        <w:jc w:val="both"/>
        <w:ind w:left="320" w:hanging="312"/>
        <w:spacing w:after="0" w:line="217" w:lineRule="auto"/>
        <w:tabs>
          <w:tab w:leader="none" w:pos="320" w:val="left"/>
        </w:tabs>
        <w:numPr>
          <w:ilvl w:val="0"/>
          <w:numId w:val="45"/>
        </w:numPr>
        <w:rPr>
          <w:rFonts w:ascii="Arial" w:cs="Arial" w:eastAsia="Arial" w:hAnsi="Arial"/>
          <w:sz w:val="26"/>
          <w:szCs w:val="26"/>
          <w:color w:val="auto"/>
          <w:vertAlign w:val="superscript"/>
        </w:rPr>
      </w:pPr>
      <w:r>
        <w:rPr>
          <w:rFonts w:ascii="Arial" w:cs="Arial" w:eastAsia="Arial" w:hAnsi="Arial"/>
          <w:sz w:val="18"/>
          <w:szCs w:val="18"/>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spacing w:after="0" w:line="1" w:lineRule="exact"/>
        <w:rPr>
          <w:rFonts w:ascii="Arial" w:cs="Arial" w:eastAsia="Arial" w:hAnsi="Arial"/>
          <w:sz w:val="26"/>
          <w:szCs w:val="26"/>
          <w:color w:val="auto"/>
          <w:vertAlign w:val="superscript"/>
        </w:rPr>
      </w:pPr>
    </w:p>
    <w:p>
      <w:pPr>
        <w:ind w:left="320" w:hanging="312"/>
        <w:spacing w:after="0" w:line="187" w:lineRule="auto"/>
        <w:tabs>
          <w:tab w:leader="none" w:pos="32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Private equity includes investments in several fund of funds limited partnerships.</w:t>
      </w:r>
    </w:p>
    <w:p>
      <w:pPr>
        <w:spacing w:after="0" w:line="1" w:lineRule="exact"/>
        <w:rPr>
          <w:rFonts w:ascii="Arial" w:cs="Arial" w:eastAsia="Arial" w:hAnsi="Arial"/>
          <w:sz w:val="24"/>
          <w:szCs w:val="24"/>
          <w:color w:val="auto"/>
          <w:vertAlign w:val="superscript"/>
        </w:rPr>
      </w:pPr>
    </w:p>
    <w:p>
      <w:pPr>
        <w:ind w:left="320" w:hanging="312"/>
        <w:spacing w:after="0" w:line="185" w:lineRule="auto"/>
        <w:tabs>
          <w:tab w:leader="none" w:pos="32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Real estate primarily includes investments in real estate limited partnerships, concentrated in commercial real estate.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$500 million to its postretirement benefit plans in 2014, subject to market and business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Other than Pensions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provides certain health care benefits to former US employees who have retired.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3" w:right="239" w:bottom="1440" w:gutter="0" w:footer="0" w:header="0"/>
        </w:sectPr>
      </w:pPr>
    </w:p>
    <w:bookmarkStart w:id="59" w:name="page60"/>
    <w:bookmarkEnd w:id="59"/>
    <w:p>
      <w:pPr>
        <w:spacing w:after="0" w:line="276"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10"/>
          </w:tcPr>
          <w:p>
            <w:pPr>
              <w:jc w:val="right"/>
              <w:spacing w:after="0"/>
              <w:rPr>
                <w:sz w:val="20"/>
                <w:szCs w:val="20"/>
                <w:color w:val="auto"/>
              </w:rPr>
            </w:pPr>
            <w:r>
              <w:rPr>
                <w:rFonts w:ascii="Arial" w:cs="Arial" w:eastAsia="Arial" w:hAnsi="Arial"/>
                <w:sz w:val="18"/>
                <w:szCs w:val="18"/>
                <w:color w:val="auto"/>
                <w:w w:val="96"/>
              </w:rPr>
              <w:t>Benefit Obligation at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6"/>
          </w:tcPr>
          <w:p>
            <w:pPr>
              <w:jc w:val="center"/>
              <w:spacing w:after="0"/>
              <w:rPr>
                <w:sz w:val="20"/>
                <w:szCs w:val="20"/>
                <w:color w:val="auto"/>
              </w:rPr>
            </w:pPr>
            <w:r>
              <w:rPr>
                <w:rFonts w:ascii="Arial" w:cs="Arial" w:eastAsia="Arial" w:hAnsi="Arial"/>
                <w:sz w:val="18"/>
                <w:szCs w:val="18"/>
                <w:color w:val="auto"/>
                <w:w w:val="91"/>
              </w:rPr>
              <w:t>Net Periodic Benefit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8"/>
          </w:tcPr>
          <w:p>
            <w:pPr>
              <w:jc w:val="right"/>
              <w:ind w:right="202"/>
              <w:spacing w:after="0"/>
              <w:rPr>
                <w:sz w:val="20"/>
                <w:szCs w:val="20"/>
                <w:color w:val="auto"/>
              </w:rPr>
            </w:pPr>
            <w:r>
              <w:rPr>
                <w:rFonts w:ascii="Arial" w:cs="Arial" w:eastAsia="Arial" w:hAnsi="Arial"/>
                <w:sz w:val="18"/>
                <w:szCs w:val="18"/>
                <w:color w:val="auto"/>
                <w:w w:val="90"/>
              </w:rPr>
              <w:t>December 31,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90"/>
              </w:rPr>
              <w:t>Cost for the year</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2011</w:t>
            </w: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6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4.85%</w:t>
            </w:r>
          </w:p>
        </w:tc>
        <w:tc>
          <w:tcPr>
            <w:tcW w:w="1000" w:type="dxa"/>
            <w:vAlign w:val="bottom"/>
            <w:gridSpan w:val="8"/>
            <w:shd w:val="clear" w:color="auto" w:fill="CFF0FC"/>
          </w:tcPr>
          <w:p>
            <w:pPr>
              <w:jc w:val="right"/>
              <w:ind w:right="40"/>
              <w:spacing w:after="0"/>
              <w:rPr>
                <w:sz w:val="20"/>
                <w:szCs w:val="20"/>
                <w:color w:val="auto"/>
              </w:rPr>
            </w:pPr>
            <w:r>
              <w:rPr>
                <w:rFonts w:ascii="Arial" w:cs="Arial" w:eastAsia="Arial" w:hAnsi="Arial"/>
                <w:sz w:val="18"/>
                <w:szCs w:val="18"/>
                <w:color w:val="auto"/>
              </w:rPr>
              <w:t>4.25%</w:t>
            </w:r>
          </w:p>
        </w:tc>
        <w:tc>
          <w:tcPr>
            <w:tcW w:w="1200" w:type="dxa"/>
            <w:vAlign w:val="bottom"/>
            <w:gridSpan w:val="6"/>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4.25%</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Return on plan assets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7.00%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medical cost trend rate</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7.50%</w:t>
            </w:r>
          </w:p>
        </w:tc>
        <w:tc>
          <w:tcPr>
            <w:tcW w:w="1000" w:type="dxa"/>
            <w:vAlign w:val="bottom"/>
            <w:gridSpan w:val="8"/>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1200" w:type="dxa"/>
            <w:vAlign w:val="bottom"/>
            <w:gridSpan w:val="6"/>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7.50%</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Ultimate medical cost trend rate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8"/>
          </w:tcPr>
          <w:p>
            <w:pPr>
              <w:jc w:val="right"/>
              <w:ind w:right="40"/>
              <w:spacing w:after="0"/>
              <w:rPr>
                <w:sz w:val="20"/>
                <w:szCs w:val="20"/>
                <w:color w:val="auto"/>
              </w:rPr>
            </w:pPr>
            <w:r>
              <w:rPr>
                <w:rFonts w:ascii="Arial" w:cs="Arial" w:eastAsia="Arial" w:hAnsi="Arial"/>
                <w:sz w:val="18"/>
                <w:szCs w:val="18"/>
                <w:color w:val="auto"/>
              </w:rPr>
              <w:t>5.00%</w:t>
            </w:r>
          </w:p>
        </w:tc>
        <w:tc>
          <w:tcPr>
            <w:tcW w:w="1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Year that the rate reaches the ultimate trend rate</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2023</w:t>
            </w:r>
          </w:p>
        </w:tc>
        <w:tc>
          <w:tcPr>
            <w:tcW w:w="240" w:type="dxa"/>
            <w:vAlign w:val="bottom"/>
            <w:shd w:val="clear" w:color="auto" w:fill="CFF0FC"/>
          </w:tcPr>
          <w:p>
            <w:pPr>
              <w:spacing w:after="0"/>
              <w:rPr>
                <w:sz w:val="18"/>
                <w:szCs w:val="18"/>
                <w:color w:val="auto"/>
              </w:rPr>
            </w:pPr>
          </w:p>
        </w:tc>
        <w:tc>
          <w:tcPr>
            <w:tcW w:w="1000" w:type="dxa"/>
            <w:vAlign w:val="bottom"/>
            <w:gridSpan w:val="8"/>
            <w:shd w:val="clear" w:color="auto" w:fill="CFF0FC"/>
          </w:tcPr>
          <w:p>
            <w:pPr>
              <w:jc w:val="right"/>
              <w:ind w:right="180"/>
              <w:spacing w:after="0"/>
              <w:rPr>
                <w:sz w:val="20"/>
                <w:szCs w:val="20"/>
                <w:color w:val="auto"/>
              </w:rPr>
            </w:pPr>
            <w:r>
              <w:rPr>
                <w:rFonts w:ascii="Arial" w:cs="Arial" w:eastAsia="Arial" w:hAnsi="Arial"/>
                <w:sz w:val="18"/>
                <w:szCs w:val="18"/>
                <w:color w:val="auto"/>
              </w:rPr>
              <w:t>2023</w:t>
            </w:r>
          </w:p>
        </w:tc>
        <w:tc>
          <w:tcPr>
            <w:tcW w:w="1200" w:type="dxa"/>
            <w:vAlign w:val="bottom"/>
            <w:gridSpan w:val="6"/>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31"/>
        </w:trPr>
        <w:tc>
          <w:tcPr>
            <w:tcW w:w="8060" w:type="dxa"/>
            <w:vAlign w:val="bottom"/>
            <w:gridSpan w:val="14"/>
          </w:tcPr>
          <w:p>
            <w:pPr>
              <w:spacing w:after="0"/>
              <w:rPr>
                <w:sz w:val="20"/>
                <w:szCs w:val="20"/>
                <w:color w:val="auto"/>
              </w:rPr>
            </w:pPr>
            <w:r>
              <w:rPr>
                <w:rFonts w:ascii="Arial" w:cs="Arial" w:eastAsia="Arial" w:hAnsi="Arial"/>
                <w:sz w:val="18"/>
                <w:szCs w:val="18"/>
                <w:color w:val="auto"/>
                <w:w w:val="97"/>
              </w:rPr>
              <w:t>The net periodic benefit cost for the US postretirement medical plan included the following components: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11"/>
          </w:tcPr>
          <w:p>
            <w:pPr>
              <w:jc w:val="right"/>
              <w:ind w:right="430"/>
              <w:spacing w:after="0"/>
              <w:rPr>
                <w:sz w:val="20"/>
                <w:szCs w:val="20"/>
                <w:color w:val="auto"/>
              </w:rPr>
            </w:pPr>
            <w:r>
              <w:rPr>
                <w:rFonts w:ascii="Arial" w:cs="Arial" w:eastAsia="Arial" w:hAnsi="Arial"/>
                <w:sz w:val="14"/>
                <w:szCs w:val="14"/>
                <w:i w:val="1"/>
                <w:iCs w:val="1"/>
                <w:color w:val="auto"/>
              </w:rPr>
              <w:t>(Stated 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32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gridSpan w:val="2"/>
          </w:tcPr>
          <w:p>
            <w:pPr>
              <w:spacing w:after="0"/>
              <w:rPr>
                <w:sz w:val="24"/>
                <w:szCs w:val="24"/>
                <w:color w:val="auto"/>
              </w:rPr>
            </w:pPr>
          </w:p>
        </w:tc>
        <w:tc>
          <w:tcPr>
            <w:tcW w:w="8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the period</w:t>
            </w:r>
          </w:p>
        </w:tc>
        <w:tc>
          <w:tcPr>
            <w:tcW w:w="108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48</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22"/>
                <w:szCs w:val="22"/>
                <w:color w:val="auto"/>
              </w:rPr>
            </w:pPr>
          </w:p>
        </w:tc>
        <w:tc>
          <w:tcPr>
            <w:tcW w:w="2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3"/>
              </w:rPr>
              <w:t>(37)</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credit</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340" w:type="dxa"/>
            <w:vAlign w:val="bottom"/>
            <w:gridSpan w:val="18"/>
          </w:tcPr>
          <w:p>
            <w:pPr>
              <w:spacing w:after="0"/>
              <w:rPr>
                <w:sz w:val="20"/>
                <w:szCs w:val="20"/>
                <w:color w:val="auto"/>
              </w:rPr>
            </w:pPr>
            <w:r>
              <w:rPr>
                <w:rFonts w:ascii="Arial" w:cs="Arial" w:eastAsia="Arial" w:hAnsi="Arial"/>
                <w:sz w:val="18"/>
                <w:szCs w:val="18"/>
                <w:color w:val="auto"/>
                <w:w w:val="92"/>
              </w:rPr>
              <w:t>The changes in the accumulated postretirement benefit obligation, plan assets and funded status were as follows: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11"/>
          </w:tcPr>
          <w:p>
            <w:pPr>
              <w:jc w:val="right"/>
              <w:ind w:right="430"/>
              <w:spacing w:after="0"/>
              <w:rPr>
                <w:sz w:val="20"/>
                <w:szCs w:val="20"/>
                <w:color w:val="auto"/>
              </w:rPr>
            </w:pPr>
            <w:r>
              <w:rPr>
                <w:rFonts w:ascii="Arial" w:cs="Arial" w:eastAsia="Arial" w:hAnsi="Arial"/>
                <w:sz w:val="14"/>
                <w:szCs w:val="14"/>
                <w:i w:val="1"/>
                <w:iCs w:val="1"/>
                <w:color w:val="auto"/>
              </w:rPr>
              <w:t>(Stated 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Accumulated Postretirement Benefit Obligation</w:t>
            </w:r>
          </w:p>
        </w:tc>
        <w:tc>
          <w:tcPr>
            <w:tcW w:w="5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1,410</w:t>
            </w:r>
          </w:p>
        </w:tc>
        <w:tc>
          <w:tcPr>
            <w:tcW w:w="220" w:type="dxa"/>
            <w:vAlign w:val="bottom"/>
          </w:tcPr>
          <w:p>
            <w:pPr>
              <w:spacing w:after="0"/>
              <w:rPr>
                <w:sz w:val="18"/>
                <w:szCs w:val="18"/>
                <w:color w:val="auto"/>
              </w:rPr>
            </w:pPr>
          </w:p>
        </w:tc>
        <w:tc>
          <w:tcPr>
            <w:tcW w:w="2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Actuarial (gains) losses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ind w:right="102"/>
              <w:spacing w:after="0"/>
              <w:rPr>
                <w:sz w:val="20"/>
                <w:szCs w:val="20"/>
                <w:color w:val="auto"/>
              </w:rPr>
            </w:pPr>
            <w:r>
              <w:rPr>
                <w:rFonts w:ascii="Arial" w:cs="Arial" w:eastAsia="Arial" w:hAnsi="Arial"/>
                <w:sz w:val="18"/>
                <w:szCs w:val="18"/>
                <w:b w:val="1"/>
                <w:bCs w:val="1"/>
                <w:color w:val="auto"/>
              </w:rPr>
              <w:t>(232)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02"/>
              <w:spacing w:after="0"/>
              <w:rPr>
                <w:sz w:val="20"/>
                <w:szCs w:val="20"/>
                <w:color w:val="auto"/>
              </w:rPr>
            </w:pPr>
            <w:r>
              <w:rPr>
                <w:rFonts w:ascii="Arial" w:cs="Arial" w:eastAsia="Arial" w:hAnsi="Arial"/>
                <w:sz w:val="18"/>
                <w:szCs w:val="18"/>
                <w:b w:val="1"/>
                <w:bCs w:val="1"/>
                <w:color w:val="auto"/>
              </w:rPr>
              <w:t>(41)</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obligation at end of year</w:t>
            </w:r>
          </w:p>
        </w:tc>
        <w:tc>
          <w:tcPr>
            <w:tcW w:w="50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1,247</w:t>
            </w: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gridSpan w:val="2"/>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i w:val="1"/>
                <w:iCs w:val="1"/>
                <w:color w:val="auto"/>
              </w:rPr>
              <w:t>Change in Plan Assets</w:t>
            </w: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Plan assets at fair value at beginning of year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576</w:t>
            </w:r>
          </w:p>
        </w:tc>
        <w:tc>
          <w:tcPr>
            <w:tcW w:w="220" w:type="dxa"/>
            <w:vAlign w:val="bottom"/>
          </w:tcPr>
          <w:p>
            <w:pPr>
              <w:spacing w:after="0"/>
              <w:rPr>
                <w:sz w:val="18"/>
                <w:szCs w:val="18"/>
                <w:color w:val="auto"/>
              </w:rPr>
            </w:pPr>
          </w:p>
        </w:tc>
        <w:tc>
          <w:tcPr>
            <w:tcW w:w="2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Company contributions</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02"/>
              <w:spacing w:after="0"/>
              <w:rPr>
                <w:sz w:val="20"/>
                <w:szCs w:val="20"/>
                <w:color w:val="auto"/>
              </w:rPr>
            </w:pPr>
            <w:r>
              <w:rPr>
                <w:rFonts w:ascii="Arial" w:cs="Arial" w:eastAsia="Arial" w:hAnsi="Arial"/>
                <w:sz w:val="18"/>
                <w:szCs w:val="18"/>
                <w:b w:val="1"/>
                <w:bCs w:val="1"/>
                <w:color w:val="auto"/>
              </w:rPr>
              <w:t>(41)</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731</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Unfunded Liability</w:t>
            </w: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FF0FC"/>
            </w:tcBorders>
            <w:vMerge w:val="continue"/>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vMerge w:val="continue"/>
          </w:tcPr>
          <w:p>
            <w:pPr>
              <w:spacing w:after="0"/>
              <w:rPr>
                <w:sz w:val="20"/>
                <w:szCs w:val="20"/>
                <w:color w:val="auto"/>
              </w:rPr>
            </w:pPr>
          </w:p>
        </w:tc>
        <w:tc>
          <w:tcPr>
            <w:tcW w:w="1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b w:val="1"/>
                <w:bCs w:val="1"/>
                <w:color w:val="auto"/>
              </w:rPr>
              <w:t>(516)</w:t>
            </w:r>
          </w:p>
        </w:tc>
        <w:tc>
          <w:tcPr>
            <w:tcW w:w="240" w:type="dxa"/>
            <w:vAlign w:val="bottom"/>
            <w:tcBorders>
              <w:bottom w:val="single" w:sz="8" w:color="CFF0FC"/>
            </w:tcBorders>
            <w:gridSpan w:val="2"/>
            <w:vMerge w:val="continue"/>
          </w:tcPr>
          <w:p>
            <w:pPr>
              <w:spacing w:after="0"/>
              <w:rPr>
                <w:sz w:val="20"/>
                <w:szCs w:val="20"/>
                <w:color w:val="auto"/>
              </w:rPr>
            </w:pPr>
          </w:p>
        </w:tc>
        <w:tc>
          <w:tcPr>
            <w:tcW w:w="40" w:type="dxa"/>
            <w:vAlign w:val="bottom"/>
            <w:tcBorders>
              <w:bottom w:val="single" w:sz="8" w:color="CFF0FC"/>
            </w:tcBorders>
            <w:gridSpan w:val="2"/>
            <w:vMerge w:val="continue"/>
          </w:tcPr>
          <w:p>
            <w:pPr>
              <w:spacing w:after="0"/>
              <w:rPr>
                <w:sz w:val="20"/>
                <w:szCs w:val="20"/>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(834)</w:t>
            </w:r>
          </w:p>
        </w:tc>
        <w:tc>
          <w:tcPr>
            <w:tcW w:w="120" w:type="dxa"/>
            <w:vAlign w:val="bottom"/>
            <w:tcBorders>
              <w:bottom w:val="single" w:sz="8" w:color="CFF0FC"/>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i w:val="1"/>
                <w:iCs w:val="1"/>
                <w:color w:val="auto"/>
                <w:w w:val="94"/>
              </w:rPr>
              <w:t>Amounts Recognized in Accumulated Other Comprehensive Loss</w:t>
            </w: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Actuarial losses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87</w:t>
            </w:r>
          </w:p>
        </w:tc>
        <w:tc>
          <w:tcPr>
            <w:tcW w:w="220" w:type="dxa"/>
            <w:vAlign w:val="bottom"/>
          </w:tcPr>
          <w:p>
            <w:pPr>
              <w:spacing w:after="0"/>
              <w:rPr>
                <w:sz w:val="18"/>
                <w:szCs w:val="18"/>
                <w:color w:val="auto"/>
              </w:rPr>
            </w:pPr>
          </w:p>
        </w:tc>
        <w:tc>
          <w:tcPr>
            <w:tcW w:w="2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02"/>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unfunded liability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assets of the US postretirement medical plan are invested 61% in equity securities and 39% debt securities at December 31, 2013. The fair value of these assets was primarily determined based on Level Two valuation techniques.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0" w:name="page61"/>
    <w:bookmarkEnd w:id="60"/>
    <w:p>
      <w:pPr>
        <w:jc w:val="both"/>
        <w:spacing w:after="0" w:line="276" w:lineRule="auto"/>
        <w:rPr>
          <w:sz w:val="20"/>
          <w:szCs w:val="20"/>
          <w:color w:val="auto"/>
        </w:rPr>
      </w:pPr>
      <w:r>
        <w:rPr>
          <w:rFonts w:ascii="Arial" w:cs="Arial" w:eastAsia="Arial" w:hAnsi="Arial"/>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07"/>
        </w:trPr>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One percentage</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One percentage</w:t>
            </w:r>
          </w:p>
        </w:tc>
      </w:tr>
      <w:tr>
        <w:trPr>
          <w:trHeight w:val="230"/>
        </w:trPr>
        <w:tc>
          <w:tcPr>
            <w:tcW w:w="51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point increase</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88"/>
              </w:rPr>
              <w:t>point decrease</w:t>
            </w:r>
          </w:p>
        </w:tc>
        <w:tc>
          <w:tcPr>
            <w:tcW w:w="120" w:type="dxa"/>
            <w:vAlign w:val="bottom"/>
            <w:tcBorders>
              <w:bottom w:val="single" w:sz="8" w:color="CFF0FC"/>
            </w:tcBorders>
          </w:tcPr>
          <w:p>
            <w:pPr>
              <w:spacing w:after="0"/>
              <w:rPr>
                <w:sz w:val="19"/>
                <w:szCs w:val="19"/>
                <w:color w:val="auto"/>
              </w:rPr>
            </w:pPr>
          </w:p>
        </w:tc>
      </w:tr>
      <w:tr>
        <w:trPr>
          <w:trHeight w:val="29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w:t>
            </w:r>
          </w:p>
        </w:tc>
      </w:tr>
      <w:tr>
        <w:trPr>
          <w:trHeight w:val="234"/>
        </w:trPr>
        <w:tc>
          <w:tcPr>
            <w:tcW w:w="51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(195)</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(which is disclosed net of the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Medicare Part D subsidy, which ranges from $4 million to $9 million per year)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2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00" w:type="dxa"/>
            <w:vAlign w:val="bottom"/>
            <w:gridSpan w:val="7"/>
          </w:tcPr>
          <w:p>
            <w:pPr>
              <w:ind w:left="64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Postretirement</w:t>
            </w:r>
          </w:p>
        </w:tc>
      </w:tr>
      <w:tr>
        <w:trPr>
          <w:trHeight w:val="209"/>
        </w:trPr>
        <w:tc>
          <w:tcPr>
            <w:tcW w:w="2960" w:type="dxa"/>
            <w:vAlign w:val="bottom"/>
            <w:tcBorders>
              <w:bottom w:val="single" w:sz="8" w:color="CFF0FC"/>
            </w:tcBorders>
          </w:tcPr>
          <w:p>
            <w:pPr>
              <w:spacing w:after="0"/>
              <w:rPr>
                <w:sz w:val="18"/>
                <w:szCs w:val="18"/>
                <w:color w:val="auto"/>
              </w:rPr>
            </w:pPr>
          </w:p>
        </w:tc>
        <w:tc>
          <w:tcPr>
            <w:tcW w:w="208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International</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5"/>
              </w:rPr>
              <w:t>Medical Plan</w:t>
            </w:r>
          </w:p>
        </w:tc>
        <w:tc>
          <w:tcPr>
            <w:tcW w:w="120" w:type="dxa"/>
            <w:vAlign w:val="bottom"/>
            <w:tcBorders>
              <w:bottom w:val="single" w:sz="8" w:color="CFF0FC"/>
            </w:tcBorders>
          </w:tcPr>
          <w:p>
            <w:pPr>
              <w:spacing w:after="0"/>
              <w:rPr>
                <w:sz w:val="18"/>
                <w:szCs w:val="18"/>
                <w:color w:val="auto"/>
              </w:rPr>
            </w:pPr>
          </w:p>
        </w:tc>
      </w:tr>
      <w:tr>
        <w:trPr>
          <w:trHeight w:val="30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278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w:t>
            </w:r>
          </w:p>
        </w:tc>
      </w:tr>
      <w:tr>
        <w:trPr>
          <w:trHeight w:val="215"/>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r>
      <w:tr>
        <w:trPr>
          <w:trHeight w:val="215"/>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r>
      <w:tr>
        <w:trPr>
          <w:trHeight w:val="215"/>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215"/>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2019 - 2023</w:t>
            </w: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r>
    </w:tbl>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at December 31, 2013 are non-cash pretax charges which have not yet been recognized in net periodic benefit cost. The estimated portion of each component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which is expected to be recognized as a component of net periodic benefit cost during the year ending December 31, 2014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07"/>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Pension</w:t>
            </w: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Postretirement</w:t>
            </w:r>
          </w:p>
        </w:tc>
      </w:tr>
      <w:tr>
        <w:trPr>
          <w:trHeight w:val="230"/>
        </w:trPr>
        <w:tc>
          <w:tcPr>
            <w:tcW w:w="6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Plans</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color w:val="auto"/>
                <w:w w:val="93"/>
              </w:rPr>
              <w:t>Medical Plan</w:t>
            </w:r>
          </w:p>
        </w:tc>
        <w:tc>
          <w:tcPr>
            <w:tcW w:w="120" w:type="dxa"/>
            <w:vAlign w:val="bottom"/>
            <w:tcBorders>
              <w:bottom w:val="single" w:sz="8" w:color="CFF0FC"/>
            </w:tcBorders>
          </w:tcPr>
          <w:p>
            <w:pPr>
              <w:spacing w:after="0"/>
              <w:rPr>
                <w:sz w:val="19"/>
                <w:szCs w:val="19"/>
                <w:color w:val="auto"/>
              </w:rPr>
            </w:pPr>
          </w:p>
        </w:tc>
      </w:tr>
      <w:tr>
        <w:trPr>
          <w:trHeight w:val="316"/>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actuarial losses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$671 million, $620 million and $582 million in 2013, 2012 and 2011, respectively.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Supplementary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4580" w:type="dxa"/>
            <w:vAlign w:val="bottom"/>
            <w:tcBorders>
              <w:bottom w:val="single" w:sz="8" w:color="CFF0FC"/>
            </w:tcBorders>
          </w:tcPr>
          <w:p>
            <w:pPr>
              <w:spacing w:after="0"/>
              <w:rPr>
                <w:sz w:val="24"/>
                <w:szCs w:val="24"/>
                <w:color w:val="auto"/>
              </w:rPr>
            </w:pPr>
          </w:p>
        </w:tc>
        <w:tc>
          <w:tcPr>
            <w:tcW w:w="12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20"/>
                <w:szCs w:val="20"/>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4580" w:type="dxa"/>
            <w:vAlign w:val="bottom"/>
            <w:tcBorders>
              <w:bottom w:val="single" w:sz="8" w:color="CFF0FC"/>
            </w:tcBorders>
          </w:tcPr>
          <w:p>
            <w:pPr>
              <w:spacing w:after="0"/>
              <w:rPr>
                <w:sz w:val="24"/>
                <w:szCs w:val="24"/>
                <w:color w:val="auto"/>
              </w:rPr>
            </w:pPr>
          </w:p>
        </w:tc>
        <w:tc>
          <w:tcPr>
            <w:tcW w:w="12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45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r>
      <w:tr>
        <w:trPr>
          <w:trHeight w:val="309"/>
        </w:trPr>
        <w:tc>
          <w:tcPr>
            <w:tcW w:w="3940" w:type="dxa"/>
            <w:vAlign w:val="bottom"/>
            <w:tcBorders>
              <w:bottom w:val="single" w:sz="8" w:color="CFF0FC"/>
            </w:tcBorders>
          </w:tcPr>
          <w:p>
            <w:pPr>
              <w:spacing w:after="0"/>
              <w:rPr>
                <w:sz w:val="24"/>
                <w:szCs w:val="24"/>
                <w:color w:val="auto"/>
              </w:rPr>
            </w:pPr>
          </w:p>
        </w:tc>
        <w:tc>
          <w:tcPr>
            <w:tcW w:w="188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FF0FC"/>
            </w:tcBorders>
          </w:tcPr>
          <w:p>
            <w:pPr>
              <w:spacing w:after="0"/>
              <w:rPr>
                <w:sz w:val="24"/>
                <w:szCs w:val="24"/>
                <w:color w:val="auto"/>
              </w:rPr>
            </w:pPr>
          </w:p>
        </w:tc>
      </w:tr>
      <w:tr>
        <w:trPr>
          <w:trHeight w:val="26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52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79"/>
              </w:rPr>
              <w:t>202</w:t>
            </w:r>
          </w:p>
        </w:tc>
        <w:tc>
          <w:tcPr>
            <w:tcW w:w="7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6"/>
              </w:rPr>
              <w:t>177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185</w:t>
            </w: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Provision</w:t>
            </w: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205</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5"/>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Amounts written off</w:t>
            </w:r>
          </w:p>
        </w:tc>
        <w:tc>
          <w:tcPr>
            <w:tcW w:w="1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3"/>
              </w:rPr>
              <w:t>(23)</w:t>
            </w: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Divestiture of business</w:t>
            </w: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9"/>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188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384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202</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6"/>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321"/>
        </w:trPr>
        <w:tc>
          <w:tcPr>
            <w:tcW w:w="67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r>
      <w:tr>
        <w:trPr>
          <w:trHeight w:val="27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Payroll, vacation and employee benefits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1,910</w:t>
            </w:r>
          </w:p>
        </w:tc>
        <w:tc>
          <w:tcPr>
            <w:tcW w:w="38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w:t>
            </w:r>
          </w:p>
        </w:tc>
        <w:tc>
          <w:tcPr>
            <w:tcW w:w="140" w:type="dxa"/>
            <w:vAlign w:val="bottom"/>
            <w:shd w:val="clear" w:color="auto" w:fill="CFF0FC"/>
          </w:tcPr>
          <w:p>
            <w:pPr>
              <w:spacing w:after="0"/>
              <w:rPr>
                <w:sz w:val="24"/>
                <w:szCs w:val="24"/>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Trade</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3,550</w:t>
            </w:r>
          </w:p>
        </w:tc>
        <w:tc>
          <w:tcPr>
            <w:tcW w:w="140" w:type="dxa"/>
            <w:vAlign w:val="bottom"/>
          </w:tcPr>
          <w:p>
            <w:pPr>
              <w:spacing w:after="0"/>
              <w:rPr>
                <w:sz w:val="18"/>
                <w:szCs w:val="18"/>
                <w:color w:val="auto"/>
              </w:rPr>
            </w:pPr>
          </w:p>
        </w:tc>
      </w:tr>
      <w:tr>
        <w:trPr>
          <w:trHeight w:val="21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2,772</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FF0FC"/>
          </w:tcPr>
          <w:p>
            <w:pPr>
              <w:spacing w:after="0"/>
              <w:rPr>
                <w:sz w:val="18"/>
                <w:szCs w:val="18"/>
                <w:color w:val="auto"/>
              </w:rPr>
            </w:pPr>
          </w:p>
        </w:tc>
      </w:tr>
      <w:tr>
        <w:trPr>
          <w:trHeight w:val="222"/>
        </w:trPr>
        <w:tc>
          <w:tcPr>
            <w:tcW w:w="67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8,837</w:t>
            </w:r>
          </w:p>
        </w:tc>
        <w:tc>
          <w:tcPr>
            <w:tcW w:w="1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Discontinued Operations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the second quarter of 2013, Schlumberger completed the wind down of its operations in Iran and, therefore, has classified the historical results of this business as a discontinued operation.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second quarter of 2012, Schlumberger sold its Wilson distribution business to National Oilwell Varco Inc. (“NOV”) for $906 million in cash, resulting in a pretax gain of $137 million ($16 million after-tax). During the third quarter of 2012, Schlumberger completed the sale of its 56% interest in CE Franklin Ltd. to NOV for $122 million in cash, resulting in a pretax gain of $30 million ($12 million after-tax). As Wilson and CE Franklin comprised Schlumberger’s entire Distribution segment, the results of this entire segment have been classified as discontinued operations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$385 million in cash. An after-tax gain of $220 million was recognized in connection with this transaction, and is classified in </w:t>
      </w: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 The historical results of this business were not significant to Schlumberger’s consolidated financial statements and, as such, have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reclassified to discontinued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321"/>
        </w:trPr>
        <w:tc>
          <w:tcPr>
            <w:tcW w:w="4620" w:type="dxa"/>
            <w:vAlign w:val="bottom"/>
            <w:tcBorders>
              <w:bottom w:val="single" w:sz="8" w:color="CFF0FC"/>
            </w:tcBorders>
          </w:tcPr>
          <w:p>
            <w:pPr>
              <w:spacing w:after="0"/>
              <w:rPr>
                <w:sz w:val="24"/>
                <w:szCs w:val="24"/>
                <w:color w:val="auto"/>
              </w:rPr>
            </w:pPr>
          </w:p>
        </w:tc>
        <w:tc>
          <w:tcPr>
            <w:tcW w:w="118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4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FF0FC"/>
          </w:tcPr>
          <w:p>
            <w:pPr>
              <w:spacing w:after="0"/>
              <w:rPr>
                <w:sz w:val="24"/>
                <w:szCs w:val="24"/>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w w:val="86"/>
              </w:rPr>
              <w:t>102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1,399</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8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Tax expense</w:t>
            </w: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Gain on divestitures, net of tax</w:t>
            </w: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4"/>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6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Schlumberger management is responsible for establishing and maintaining adequate internal control over financial reporting as defined in Rule 13a–15(f)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Schlumberger management assessed the effectiveness of its internal control over financial reporting as of December 31, 2013. In making this assessment, it used the criteria set forth in 1992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Schlumberger’s management has concluded that, as of December 31, 2013, its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based on those criteria.</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effectiveness of Schlumberger’s internal control over financial reporting as of December 31, 2013,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6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1992.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Quarterly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2013 and 2012.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307"/>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Net Income</w:t>
            </w:r>
          </w:p>
        </w:tc>
        <w:tc>
          <w:tcPr>
            <w:tcW w:w="100" w:type="dxa"/>
            <w:vAlign w:val="bottom"/>
          </w:tcPr>
          <w:p>
            <w:pPr>
              <w:spacing w:after="0"/>
              <w:rPr>
                <w:sz w:val="24"/>
                <w:szCs w:val="24"/>
                <w:color w:val="auto"/>
              </w:rPr>
            </w:pPr>
          </w:p>
        </w:tc>
        <w:tc>
          <w:tcPr>
            <w:tcW w:w="2700" w:type="dxa"/>
            <w:vAlign w:val="bottom"/>
            <w:gridSpan w:val="7"/>
          </w:tcPr>
          <w:p>
            <w:pPr>
              <w:ind w:left="580"/>
              <w:spacing w:after="0"/>
              <w:rPr>
                <w:sz w:val="20"/>
                <w:szCs w:val="20"/>
                <w:color w:val="auto"/>
              </w:rPr>
            </w:pPr>
            <w:r>
              <w:rPr>
                <w:rFonts w:ascii="Arial" w:cs="Arial" w:eastAsia="Arial" w:hAnsi="Arial"/>
                <w:sz w:val="18"/>
                <w:szCs w:val="18"/>
                <w:color w:val="auto"/>
              </w:rPr>
              <w:t>Earnings per share</w:t>
            </w:r>
          </w:p>
        </w:tc>
      </w:tr>
      <w:tr>
        <w:trPr>
          <w:trHeight w:val="230"/>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attributable to</w:t>
            </w:r>
          </w:p>
        </w:tc>
        <w:tc>
          <w:tcPr>
            <w:tcW w:w="100" w:type="dxa"/>
            <w:vAlign w:val="bottom"/>
          </w:tcPr>
          <w:p>
            <w:pPr>
              <w:spacing w:after="0"/>
              <w:rPr>
                <w:sz w:val="19"/>
                <w:szCs w:val="19"/>
                <w:color w:val="auto"/>
              </w:rPr>
            </w:pPr>
          </w:p>
        </w:tc>
        <w:tc>
          <w:tcPr>
            <w:tcW w:w="2700" w:type="dxa"/>
            <w:vAlign w:val="bottom"/>
            <w:gridSpan w:val="7"/>
          </w:tcPr>
          <w:p>
            <w:pPr>
              <w:ind w:left="600"/>
              <w:spacing w:after="0" w:line="229" w:lineRule="exact"/>
              <w:rPr>
                <w:sz w:val="20"/>
                <w:szCs w:val="20"/>
                <w:color w:val="auto"/>
              </w:rPr>
            </w:pPr>
            <w:r>
              <w:rPr>
                <w:rFonts w:ascii="Arial" w:cs="Arial" w:eastAsia="Arial" w:hAnsi="Arial"/>
                <w:sz w:val="18"/>
                <w:szCs w:val="18"/>
                <w:color w:val="auto"/>
              </w:rPr>
              <w:t xml:space="preserve">of Schlumberger </w:t>
            </w:r>
            <w:r>
              <w:rPr>
                <w:rFonts w:ascii="Arial" w:cs="Arial" w:eastAsia="Arial" w:hAnsi="Arial"/>
                <w:sz w:val="25"/>
                <w:szCs w:val="25"/>
                <w:color w:val="auto"/>
                <w:vertAlign w:val="superscript"/>
              </w:rPr>
              <w:t>2</w:t>
            </w:r>
          </w:p>
        </w:tc>
      </w:tr>
      <w:tr>
        <w:trPr>
          <w:trHeight w:val="209"/>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40"/>
              <w:spacing w:after="0" w:line="209" w:lineRule="exact"/>
              <w:rPr>
                <w:sz w:val="20"/>
                <w:szCs w:val="20"/>
                <w:color w:val="auto"/>
              </w:rPr>
            </w:pPr>
            <w:r>
              <w:rPr>
                <w:rFonts w:ascii="Arial" w:cs="Arial" w:eastAsia="Arial" w:hAnsi="Arial"/>
                <w:sz w:val="17"/>
                <w:szCs w:val="17"/>
                <w:color w:val="auto"/>
              </w:rPr>
              <w:t xml:space="preserve">Margin </w:t>
            </w:r>
            <w:r>
              <w:rPr>
                <w:rFonts w:ascii="Arial" w:cs="Arial" w:eastAsia="Arial" w:hAnsi="Arial"/>
                <w:sz w:val="24"/>
                <w:szCs w:val="24"/>
                <w:color w:val="auto"/>
                <w:vertAlign w:val="superscript"/>
              </w:rPr>
              <w:t>1, 2</w:t>
            </w:r>
          </w:p>
        </w:tc>
        <w:tc>
          <w:tcPr>
            <w:tcW w:w="1480" w:type="dxa"/>
            <w:vAlign w:val="bottom"/>
            <w:gridSpan w:val="3"/>
          </w:tcPr>
          <w:p>
            <w:pPr>
              <w:jc w:val="center"/>
              <w:ind w:right="220"/>
              <w:spacing w:after="0" w:line="209" w:lineRule="exact"/>
              <w:rPr>
                <w:sz w:val="20"/>
                <w:szCs w:val="20"/>
                <w:color w:val="auto"/>
              </w:rPr>
            </w:pPr>
            <w:r>
              <w:rPr>
                <w:rFonts w:ascii="Arial" w:cs="Arial" w:eastAsia="Arial" w:hAnsi="Arial"/>
                <w:sz w:val="17"/>
                <w:szCs w:val="17"/>
                <w:color w:val="auto"/>
                <w:w w:val="92"/>
              </w:rPr>
              <w:t xml:space="preserve">Schlumberger </w:t>
            </w:r>
            <w:r>
              <w:rPr>
                <w:rFonts w:ascii="Arial" w:cs="Arial" w:eastAsia="Arial" w:hAnsi="Arial"/>
                <w:sz w:val="24"/>
                <w:szCs w:val="24"/>
                <w:color w:val="auto"/>
                <w:w w:val="92"/>
                <w:vertAlign w:val="superscript"/>
              </w:rPr>
              <w:t>2</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Diluted</w:t>
            </w:r>
          </w:p>
        </w:tc>
        <w:tc>
          <w:tcPr>
            <w:tcW w:w="100" w:type="dxa"/>
            <w:vAlign w:val="bottom"/>
            <w:gridSpan w:val="2"/>
          </w:tcPr>
          <w:p>
            <w:pPr>
              <w:spacing w:after="0"/>
              <w:rPr>
                <w:sz w:val="18"/>
                <w:szCs w:val="18"/>
                <w:color w:val="auto"/>
              </w:rPr>
            </w:pPr>
          </w:p>
        </w:tc>
      </w:tr>
      <w:tr>
        <w:trPr>
          <w:trHeight w:val="209"/>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Quarters-2013</w:t>
            </w: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4120" w:type="dxa"/>
            <w:vAlign w:val="bottom"/>
          </w:tcPr>
          <w:p>
            <w:pPr>
              <w:spacing w:after="0" w:line="216" w:lineRule="exact"/>
              <w:rPr>
                <w:sz w:val="20"/>
                <w:szCs w:val="20"/>
                <w:color w:val="auto"/>
              </w:rPr>
            </w:pPr>
            <w:r>
              <w:rPr>
                <w:rFonts w:ascii="Arial" w:cs="Arial" w:eastAsia="Arial" w:hAnsi="Arial"/>
                <w:sz w:val="17"/>
                <w:szCs w:val="17"/>
                <w:color w:val="auto"/>
              </w:rPr>
              <w:t xml:space="preserve">First </w:t>
            </w:r>
            <w:r>
              <w:rPr>
                <w:rFonts w:ascii="Arial" w:cs="Arial" w:eastAsia="Arial" w:hAnsi="Arial"/>
                <w:sz w:val="24"/>
                <w:szCs w:val="24"/>
                <w:color w:val="auto"/>
                <w:vertAlign w:val="superscript"/>
              </w:rPr>
              <w:t>(3)</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10,570</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2,163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0.95</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0.94</w:t>
            </w:r>
          </w:p>
        </w:tc>
        <w:tc>
          <w:tcPr>
            <w:tcW w:w="80" w:type="dxa"/>
            <w:vAlign w:val="bottom"/>
          </w:tcPr>
          <w:p>
            <w:pPr>
              <w:spacing w:after="0"/>
              <w:rPr>
                <w:sz w:val="18"/>
                <w:szCs w:val="18"/>
                <w:color w:val="auto"/>
              </w:rPr>
            </w:pPr>
          </w:p>
        </w:tc>
      </w:tr>
      <w:tr>
        <w:trPr>
          <w:trHeight w:val="215"/>
        </w:trPr>
        <w:tc>
          <w:tcPr>
            <w:tcW w:w="412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Second </w:t>
            </w:r>
            <w:r>
              <w:rPr>
                <w:rFonts w:ascii="Arial" w:cs="Arial" w:eastAsia="Arial" w:hAnsi="Arial"/>
                <w:sz w:val="24"/>
                <w:szCs w:val="24"/>
                <w:color w:val="auto"/>
                <w:vertAlign w:val="superscript"/>
              </w:rPr>
              <w:t>(4)</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11,182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2,471</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2,095</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1.57</w:t>
            </w:r>
          </w:p>
        </w:tc>
        <w:tc>
          <w:tcPr>
            <w:tcW w:w="80" w:type="dxa"/>
            <w:vAlign w:val="bottom"/>
            <w:shd w:val="clear" w:color="auto" w:fill="CFF0FC"/>
          </w:tcPr>
          <w:p>
            <w:pPr>
              <w:spacing w:after="0"/>
              <w:rPr>
                <w:sz w:val="18"/>
                <w:szCs w:val="18"/>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Third</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2,680</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w:t>
            </w:r>
          </w:p>
        </w:tc>
        <w:tc>
          <w:tcPr>
            <w:tcW w:w="80" w:type="dxa"/>
            <w:vAlign w:val="bottom"/>
          </w:tcPr>
          <w:p>
            <w:pPr>
              <w:spacing w:after="0"/>
              <w:rPr>
                <w:sz w:val="18"/>
                <w:szCs w:val="18"/>
                <w:color w:val="auto"/>
              </w:rPr>
            </w:pPr>
          </w:p>
        </w:tc>
      </w:tr>
      <w:tr>
        <w:trPr>
          <w:trHeight w:val="215"/>
        </w:trPr>
        <w:tc>
          <w:tcPr>
            <w:tcW w:w="412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Fourth </w:t>
            </w:r>
            <w:r>
              <w:rPr>
                <w:rFonts w:ascii="Arial" w:cs="Arial" w:eastAsia="Arial" w:hAnsi="Arial"/>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11,906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2,623</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1,664</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FF0FC"/>
          </w:tcPr>
          <w:p>
            <w:pPr>
              <w:spacing w:after="0"/>
              <w:rPr>
                <w:sz w:val="18"/>
                <w:szCs w:val="18"/>
                <w:color w:val="auto"/>
              </w:rPr>
            </w:pPr>
          </w:p>
        </w:tc>
      </w:tr>
      <w:tr>
        <w:trPr>
          <w:trHeight w:val="249"/>
        </w:trPr>
        <w:tc>
          <w:tcPr>
            <w:tcW w:w="4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45,266</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9,935</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6,732</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r>
      <w:tr>
        <w:trPr>
          <w:trHeight w:val="196"/>
        </w:trPr>
        <w:tc>
          <w:tcPr>
            <w:tcW w:w="41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Quarters-2012</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4120" w:type="dxa"/>
            <w:vAlign w:val="bottom"/>
          </w:tcPr>
          <w:p>
            <w:pPr>
              <w:spacing w:after="0" w:line="216" w:lineRule="exact"/>
              <w:rPr>
                <w:sz w:val="20"/>
                <w:szCs w:val="20"/>
                <w:color w:val="auto"/>
              </w:rPr>
            </w:pPr>
            <w:r>
              <w:rPr>
                <w:rFonts w:ascii="Arial" w:cs="Arial" w:eastAsia="Arial" w:hAnsi="Arial"/>
                <w:sz w:val="17"/>
                <w:szCs w:val="17"/>
                <w:color w:val="auto"/>
              </w:rPr>
              <w:t xml:space="preserve">First </w:t>
            </w:r>
            <w:r>
              <w:rPr>
                <w:rFonts w:ascii="Arial" w:cs="Arial" w:eastAsia="Arial" w:hAnsi="Arial"/>
                <w:sz w:val="24"/>
                <w:szCs w:val="24"/>
                <w:color w:val="auto"/>
                <w:vertAlign w:val="superscript"/>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18"/>
                <w:szCs w:val="18"/>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0.97</w:t>
            </w:r>
          </w:p>
        </w:tc>
        <w:tc>
          <w:tcPr>
            <w:tcW w:w="80" w:type="dxa"/>
            <w:vAlign w:val="bottom"/>
          </w:tcPr>
          <w:p>
            <w:pPr>
              <w:spacing w:after="0"/>
              <w:rPr>
                <w:sz w:val="18"/>
                <w:szCs w:val="18"/>
                <w:color w:val="auto"/>
              </w:rPr>
            </w:pPr>
          </w:p>
        </w:tc>
      </w:tr>
      <w:tr>
        <w:trPr>
          <w:trHeight w:val="215"/>
        </w:trPr>
        <w:tc>
          <w:tcPr>
            <w:tcW w:w="412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Second </w:t>
            </w:r>
            <w:r>
              <w:rPr>
                <w:rFonts w:ascii="Arial" w:cs="Arial" w:eastAsia="Arial" w:hAnsi="Arial"/>
                <w:sz w:val="24"/>
                <w:szCs w:val="24"/>
                <w:color w:val="auto"/>
                <w:vertAlign w:val="superscript"/>
              </w:rPr>
              <w:t>(7)</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10,341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8"/>
                <w:szCs w:val="18"/>
                <w:color w:val="auto"/>
              </w:rPr>
            </w:pPr>
          </w:p>
        </w:tc>
      </w:tr>
      <w:tr>
        <w:trPr>
          <w:trHeight w:val="215"/>
        </w:trPr>
        <w:tc>
          <w:tcPr>
            <w:tcW w:w="4120" w:type="dxa"/>
            <w:vAlign w:val="bottom"/>
          </w:tcPr>
          <w:p>
            <w:pPr>
              <w:spacing w:after="0" w:line="216" w:lineRule="exact"/>
              <w:rPr>
                <w:sz w:val="20"/>
                <w:szCs w:val="20"/>
                <w:color w:val="auto"/>
              </w:rPr>
            </w:pPr>
            <w:r>
              <w:rPr>
                <w:rFonts w:ascii="Arial" w:cs="Arial" w:eastAsia="Arial" w:hAnsi="Arial"/>
                <w:sz w:val="17"/>
                <w:szCs w:val="17"/>
                <w:color w:val="auto"/>
              </w:rPr>
              <w:t xml:space="preserve">Third </w:t>
            </w:r>
            <w:r>
              <w:rPr>
                <w:rFonts w:ascii="Arial" w:cs="Arial" w:eastAsia="Arial" w:hAnsi="Arial"/>
                <w:sz w:val="24"/>
                <w:szCs w:val="24"/>
                <w:color w:val="auto"/>
                <w:vertAlign w:val="superscript"/>
              </w:rPr>
              <w:t>(8)</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10,498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r>
      <w:tr>
        <w:trPr>
          <w:trHeight w:val="215"/>
        </w:trPr>
        <w:tc>
          <w:tcPr>
            <w:tcW w:w="412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Fourth </w:t>
            </w:r>
            <w:r>
              <w:rPr>
                <w:rFonts w:ascii="Arial" w:cs="Arial" w:eastAsia="Arial" w:hAnsi="Arial"/>
                <w:sz w:val="24"/>
                <w:szCs w:val="24"/>
                <w:color w:val="auto"/>
                <w:vertAlign w:val="superscript"/>
              </w:rPr>
              <w:t>(9)</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2,321</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26"/>
          <w:szCs w:val="26"/>
          <w:color w:val="auto"/>
          <w:vertAlign w:val="superscript"/>
        </w:rPr>
      </w:pPr>
      <w:r>
        <w:rPr>
          <w:rFonts w:ascii="Arial" w:cs="Arial" w:eastAsia="Arial" w:hAnsi="Arial"/>
          <w:sz w:val="18"/>
          <w:szCs w:val="18"/>
          <w:color w:val="auto"/>
        </w:rPr>
        <w:t xml:space="preserve">Gross margin equals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less </w:t>
      </w:r>
      <w:r>
        <w:rPr>
          <w:rFonts w:ascii="Arial" w:cs="Arial" w:eastAsia="Arial" w:hAnsi="Arial"/>
          <w:sz w:val="18"/>
          <w:szCs w:val="18"/>
          <w:i w:val="1"/>
          <w:iCs w:val="1"/>
          <w:color w:val="auto"/>
        </w:rPr>
        <w:t>Cost of revenue</w:t>
      </w:r>
      <w:r>
        <w:rPr>
          <w:rFonts w:ascii="Arial" w:cs="Arial" w:eastAsia="Arial" w:hAnsi="Arial"/>
          <w:sz w:val="18"/>
          <w:szCs w:val="18"/>
          <w:color w:val="auto"/>
        </w:rPr>
        <w:t>.</w:t>
      </w:r>
    </w:p>
    <w:p>
      <w:pPr>
        <w:spacing w:after="0" w:line="1" w:lineRule="exact"/>
        <w:rPr>
          <w:rFonts w:ascii="Arial" w:cs="Arial" w:eastAsia="Arial" w:hAnsi="Arial"/>
          <w:sz w:val="26"/>
          <w:szCs w:val="26"/>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Amounts may not add due to rounding.</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first quarter of 2013 includes after-tax charges of $92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second quarter of 2013 includes after-tax credits of $683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fourth quarter of 2013 includes after-tax charges of $122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first quarter of 2012 includes after-tax charges of $13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second quarter of 2012 includes after-tax charges of $21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third quarter of 2012 includes after-tax charges of $28 million.</w:t>
      </w:r>
    </w:p>
    <w:p>
      <w:pPr>
        <w:spacing w:after="0" w:line="2" w:lineRule="exact"/>
        <w:rPr>
          <w:rFonts w:ascii="Arial" w:cs="Arial" w:eastAsia="Arial" w:hAnsi="Arial"/>
          <w:sz w:val="24"/>
          <w:szCs w:val="24"/>
          <w:color w:val="auto"/>
          <w:vertAlign w:val="superscript"/>
        </w:rPr>
      </w:pPr>
    </w:p>
    <w:p>
      <w:pPr>
        <w:ind w:left="400" w:hanging="392"/>
        <w:spacing w:after="0" w:line="185" w:lineRule="auto"/>
        <w:tabs>
          <w:tab w:leader="none" w:pos="40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Net income in the fourth quarter of 2012 includes after-tax charges of $77 million.</w:t>
      </w:r>
    </w:p>
    <w:p>
      <w:pPr>
        <w:spacing w:after="0" w:line="110"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2013 that has materially affected, or is reasonably likely to materially affect, Schlumberger’s internal control over financial reporting.</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III</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 of Schlumberger.</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2014 Proxy Statement is incorporated herein by reference.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http://www.slb.com/about/codeofconduct.aspx. Schlumberger intends to disclose future amendments to the Code of Conduct and any grant of a waiver from a provision of the Code of Conduct requiring disclosure under applicable SEC rules at http://www.slb.com/about/codeofconduct.aspx.</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Tables and Accompanying Narrative,” “Compensation Committee Report” and “Director Compensation in Fiscal Year 2013” in Schlumberger’s 2014 Proxy Statement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under the captions “Stock Ownership Information—Security Ownership by Certain Beneficial Owners,” “Stock Ownership Information— Security Ownership by Management” and “Equity Compensation Plan Information” in Schlumberger’s 2014 Proxy Statement is incorporated herein by reference.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information under the captions “Corporate Governance—Board Independence” and “Corporate Governance—Policies and Procedures for Approval of Related Person Transactions” in Schlumberger’s 2014 Proxy Statement is incorporated herein by reference.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2014 Proxy Statement is incorporated herein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IV</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8000" w:type="dxa"/>
            <w:vAlign w:val="bottom"/>
            <w:gridSpan w:val="10"/>
            <w:vMerge w:val="restart"/>
          </w:tcPr>
          <w:p>
            <w:pPr>
              <w:spacing w:after="0"/>
              <w:rPr>
                <w:sz w:val="20"/>
                <w:szCs w:val="20"/>
                <w:color w:val="auto"/>
              </w:rPr>
            </w:pPr>
            <w:r>
              <w:rPr>
                <w:rFonts w:ascii="Arial" w:cs="Arial" w:eastAsia="Arial" w:hAnsi="Arial"/>
                <w:sz w:val="18"/>
                <w:szCs w:val="18"/>
                <w:color w:val="auto"/>
              </w:rPr>
              <w:t>(1)  Financial Statements</w:t>
            </w:r>
          </w:p>
        </w:tc>
        <w:tc>
          <w:tcPr>
            <w:tcW w:w="1420" w:type="dxa"/>
            <w:vAlign w:val="bottom"/>
          </w:tcPr>
          <w:p>
            <w:pPr>
              <w:jc w:val="center"/>
              <w:ind w:left="632"/>
              <w:spacing w:after="0"/>
              <w:rPr>
                <w:sz w:val="20"/>
                <w:szCs w:val="20"/>
                <w:color w:val="auto"/>
              </w:rPr>
            </w:pPr>
            <w:r>
              <w:rPr>
                <w:rFonts w:ascii="Arial" w:cs="Arial" w:eastAsia="Arial" w:hAnsi="Arial"/>
                <w:sz w:val="14"/>
                <w:szCs w:val="14"/>
                <w:color w:val="auto"/>
                <w:w w:val="85"/>
              </w:rPr>
              <w:t>Page(s)</w:t>
            </w:r>
          </w:p>
        </w:tc>
        <w:tc>
          <w:tcPr>
            <w:tcW w:w="0" w:type="dxa"/>
            <w:vAlign w:val="bottom"/>
          </w:tcPr>
          <w:p>
            <w:pPr>
              <w:spacing w:after="0"/>
              <w:rPr>
                <w:sz w:val="1"/>
                <w:szCs w:val="1"/>
                <w:color w:val="auto"/>
              </w:rPr>
            </w:pPr>
          </w:p>
        </w:tc>
      </w:tr>
      <w:tr>
        <w:trPr>
          <w:trHeight w:val="186"/>
        </w:trPr>
        <w:tc>
          <w:tcPr>
            <w:tcW w:w="8000" w:type="dxa"/>
            <w:vAlign w:val="bottom"/>
            <w:gridSpan w:val="10"/>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760" w:type="dxa"/>
            <w:vAlign w:val="bottom"/>
            <w:tcBorders>
              <w:bottom w:val="single" w:sz="8" w:color="0000EE"/>
            </w:tcBorders>
            <w:gridSpan w:val="5"/>
          </w:tcPr>
          <w:p>
            <w:pPr>
              <w:spacing w:after="0" w:line="189"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Consolidated Statement of Income for the three years ended December 31, 2013</w:t>
              </w:r>
            </w:hyperlink>
          </w:p>
        </w:tc>
        <w:tc>
          <w:tcPr>
            <w:tcW w:w="1900" w:type="dxa"/>
            <w:vAlign w:val="bottom"/>
            <w:gridSpan w:val="4"/>
          </w:tcPr>
          <w:p>
            <w:pPr>
              <w:spacing w:after="0"/>
              <w:rPr>
                <w:sz w:val="16"/>
                <w:szCs w:val="16"/>
                <w:color w:val="auto"/>
              </w:rPr>
            </w:pPr>
          </w:p>
        </w:tc>
        <w:tc>
          <w:tcPr>
            <w:tcW w:w="1420" w:type="dxa"/>
            <w:vAlign w:val="bottom"/>
          </w:tcPr>
          <w:p>
            <w:pPr>
              <w:jc w:val="center"/>
              <w:ind w:left="632"/>
              <w:spacing w:after="0" w:line="189"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660" w:type="dxa"/>
            <w:vAlign w:val="bottom"/>
            <w:gridSpan w:val="9"/>
          </w:tcPr>
          <w:p>
            <w:pPr>
              <w:spacing w:after="0" w:line="195"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Consolidated Statement of Comprehensive Income for the three years ended December 31, 2013</w:t>
              </w:r>
            </w:hyperlink>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692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Balance Sheet at December 31, 2013 and 2012</w:t>
              </w:r>
            </w:hyperlink>
          </w:p>
        </w:tc>
        <w:tc>
          <w:tcPr>
            <w:tcW w:w="740" w:type="dxa"/>
            <w:vAlign w:val="bottom"/>
          </w:tcPr>
          <w:p>
            <w:pPr>
              <w:spacing w:after="0"/>
              <w:rPr>
                <w:sz w:val="16"/>
                <w:szCs w:val="16"/>
                <w:color w:val="auto"/>
              </w:rPr>
            </w:pPr>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7660" w:type="dxa"/>
            <w:vAlign w:val="bottom"/>
            <w:gridSpan w:val="9"/>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 of Cash Flows for the three years ended December 31, 2013</w:t>
              </w:r>
            </w:hyperlink>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6740" w:type="dxa"/>
            <w:vAlign w:val="bottom"/>
            <w:tcBorders>
              <w:bottom w:val="single" w:sz="8" w:color="0000EE"/>
            </w:tcBorders>
            <w:gridSpan w:val="7"/>
          </w:tcPr>
          <w:p>
            <w:pPr>
              <w:spacing w:after="0" w:line="195"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 of Stockholders’ Equity for the three years ended December 31, 2013</w:t>
              </w:r>
            </w:hyperlink>
          </w:p>
        </w:tc>
        <w:tc>
          <w:tcPr>
            <w:tcW w:w="920" w:type="dxa"/>
            <w:vAlign w:val="bottom"/>
            <w:gridSpan w:val="2"/>
          </w:tcPr>
          <w:p>
            <w:pPr>
              <w:spacing w:after="0"/>
              <w:rPr>
                <w:sz w:val="16"/>
                <w:szCs w:val="16"/>
                <w:color w:val="auto"/>
              </w:rPr>
            </w:pPr>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7"/>
              </w:rPr>
              <w:t>35 and 36</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140" w:type="dxa"/>
            <w:vAlign w:val="bottom"/>
            <w:tcBorders>
              <w:bottom w:val="single" w:sz="8" w:color="0000EE"/>
            </w:tcBorders>
            <w:gridSpan w:val="2"/>
          </w:tcPr>
          <w:p>
            <w:pPr>
              <w:spacing w:after="0" w:line="195"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Notes to Consolidated Financial Statements</w:t>
              </w:r>
            </w:hyperlink>
          </w:p>
        </w:tc>
        <w:tc>
          <w:tcPr>
            <w:tcW w:w="4520" w:type="dxa"/>
            <w:vAlign w:val="bottom"/>
            <w:gridSpan w:val="7"/>
          </w:tcPr>
          <w:p>
            <w:pPr>
              <w:spacing w:after="0"/>
              <w:rPr>
                <w:sz w:val="16"/>
                <w:szCs w:val="16"/>
                <w:color w:val="auto"/>
              </w:rPr>
            </w:pPr>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37 to 62</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660" w:type="dxa"/>
            <w:vAlign w:val="bottom"/>
            <w:gridSpan w:val="9"/>
          </w:tcPr>
          <w:p>
            <w:pPr>
              <w:spacing w:after="0" w:line="195"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18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Quarterly Results (Unaudited)</w:t>
              </w:r>
            </w:hyperlink>
          </w:p>
        </w:tc>
        <w:tc>
          <w:tcPr>
            <w:tcW w:w="2020" w:type="dxa"/>
            <w:vAlign w:val="bottom"/>
            <w:tcBorders>
              <w:top w:val="single" w:sz="8" w:color="0000EE"/>
            </w:tcBorders>
            <w:gridSpan w:val="2"/>
          </w:tcPr>
          <w:p>
            <w:pPr>
              <w:spacing w:after="0"/>
              <w:rPr>
                <w:sz w:val="16"/>
                <w:szCs w:val="16"/>
                <w:color w:val="auto"/>
              </w:rPr>
            </w:pPr>
          </w:p>
        </w:tc>
        <w:tc>
          <w:tcPr>
            <w:tcW w:w="3460" w:type="dxa"/>
            <w:vAlign w:val="bottom"/>
            <w:gridSpan w:val="6"/>
          </w:tcPr>
          <w:p>
            <w:pPr>
              <w:spacing w:after="0"/>
              <w:rPr>
                <w:sz w:val="16"/>
                <w:szCs w:val="16"/>
                <w:color w:val="auto"/>
              </w:rPr>
            </w:pPr>
          </w:p>
        </w:tc>
        <w:tc>
          <w:tcPr>
            <w:tcW w:w="142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Financial statements of companies accounted for under the equity method and unconsolidated subsidiaries have been omitted because they do not meet the materiality tests for assets or income.</w:t>
      </w:r>
    </w:p>
    <w:p>
      <w:pPr>
        <w:spacing w:after="0" w:line="197" w:lineRule="exact"/>
        <w:rPr>
          <w:sz w:val="20"/>
          <w:szCs w:val="20"/>
          <w:color w:val="auto"/>
        </w:rPr>
      </w:pPr>
    </w:p>
    <w:p>
      <w:pPr>
        <w:ind w:left="1260" w:hanging="337"/>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22" w:lineRule="exact"/>
        <w:rPr>
          <w:rFonts w:ascii="Arial" w:cs="Arial" w:eastAsia="Arial" w:hAnsi="Arial"/>
          <w:sz w:val="18"/>
          <w:szCs w:val="18"/>
          <w:color w:val="auto"/>
        </w:rPr>
      </w:pPr>
    </w:p>
    <w:p>
      <w:pPr>
        <w:ind w:left="1260" w:right="1980" w:hanging="337"/>
        <w:spacing w:after="0" w:line="259"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to Exhibits”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160" w:type="dxa"/>
            <w:vAlign w:val="bottom"/>
          </w:tcPr>
          <w:p>
            <w:pPr>
              <w:ind w:left="220"/>
              <w:spacing w:after="0"/>
              <w:rPr>
                <w:sz w:val="20"/>
                <w:szCs w:val="20"/>
                <w:color w:val="auto"/>
              </w:rPr>
            </w:pPr>
            <w:r>
              <w:rPr>
                <w:rFonts w:ascii="Arial" w:cs="Arial" w:eastAsia="Arial" w:hAnsi="Arial"/>
                <w:sz w:val="18"/>
                <w:szCs w:val="18"/>
                <w:color w:val="auto"/>
              </w:rPr>
              <w:t>January 31, 2014</w:t>
            </w:r>
          </w:p>
        </w:tc>
        <w:tc>
          <w:tcPr>
            <w:tcW w:w="46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CHLUMBERGER</w:t>
            </w:r>
            <w:r>
              <w:rPr>
                <w:rFonts w:ascii="Arial" w:cs="Arial" w:eastAsia="Arial" w:hAnsi="Arial"/>
                <w:sz w:val="18"/>
                <w:szCs w:val="18"/>
                <w:color w:val="auto"/>
              </w:rPr>
              <w:t xml:space="preserve"> L</w:t>
            </w:r>
            <w:r>
              <w:rPr>
                <w:rFonts w:ascii="Arial" w:cs="Arial" w:eastAsia="Arial" w:hAnsi="Arial"/>
                <w:sz w:val="13"/>
                <w:szCs w:val="13"/>
                <w:color w:val="auto"/>
              </w:rPr>
              <w:t>IMITED</w:t>
            </w:r>
          </w:p>
        </w:tc>
      </w:tr>
      <w:tr>
        <w:trPr>
          <w:trHeight w:val="431"/>
        </w:trPr>
        <w:tc>
          <w:tcPr>
            <w:tcW w:w="600" w:type="dxa"/>
            <w:vAlign w:val="bottom"/>
          </w:tcPr>
          <w:p>
            <w:pPr>
              <w:spacing w:after="0"/>
              <w:rPr>
                <w:sz w:val="24"/>
                <w:szCs w:val="24"/>
                <w:color w:val="auto"/>
              </w:rPr>
            </w:pPr>
          </w:p>
        </w:tc>
        <w:tc>
          <w:tcPr>
            <w:tcW w:w="6160" w:type="dxa"/>
            <w:vAlign w:val="bottom"/>
          </w:tcPr>
          <w:p>
            <w:pPr>
              <w:ind w:left="5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H</w:t>
            </w:r>
            <w:r>
              <w:rPr>
                <w:rFonts w:ascii="Arial" w:cs="Arial" w:eastAsia="Arial" w:hAnsi="Arial"/>
                <w:sz w:val="13"/>
                <w:szCs w:val="13"/>
                <w:color w:val="auto"/>
              </w:rPr>
              <w:t>OWARD</w:t>
            </w:r>
            <w:r>
              <w:rPr>
                <w:rFonts w:ascii="Arial" w:cs="Arial" w:eastAsia="Arial" w:hAnsi="Arial"/>
                <w:sz w:val="18"/>
                <w:szCs w:val="18"/>
                <w:color w:val="auto"/>
              </w:rPr>
              <w:t xml:space="preserve"> G</w:t>
            </w:r>
            <w:r>
              <w:rPr>
                <w:rFonts w:ascii="Arial" w:cs="Arial" w:eastAsia="Arial" w:hAnsi="Arial"/>
                <w:sz w:val="13"/>
                <w:szCs w:val="13"/>
                <w:color w:val="auto"/>
              </w:rPr>
              <w:t>UILD</w:t>
            </w:r>
          </w:p>
        </w:tc>
      </w:tr>
      <w:tr>
        <w:trPr>
          <w:trHeight w:val="194"/>
        </w:trPr>
        <w:tc>
          <w:tcPr>
            <w:tcW w:w="6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Howard Guild</w:t>
            </w:r>
          </w:p>
        </w:tc>
      </w:tr>
      <w:tr>
        <w:trPr>
          <w:trHeight w:val="230"/>
        </w:trPr>
        <w:tc>
          <w:tcPr>
            <w:tcW w:w="6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r>
      <w:tr>
        <w:trPr>
          <w:trHeight w:val="34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 and Chief Executive Officer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0"/>
              </w:rPr>
              <w:t>Paal Kibsgaard</w:t>
            </w:r>
          </w:p>
        </w:tc>
        <w:tc>
          <w:tcPr>
            <w:tcW w:w="4260" w:type="dxa"/>
            <w:vAlign w:val="bottom"/>
          </w:tcPr>
          <w:p>
            <w:pPr>
              <w:ind w:left="440"/>
              <w:spacing w:after="0"/>
              <w:rPr>
                <w:sz w:val="20"/>
                <w:szCs w:val="20"/>
                <w:color w:val="auto"/>
              </w:rPr>
            </w:pPr>
            <w:r>
              <w:rPr>
                <w:rFonts w:ascii="Arial" w:cs="Arial" w:eastAsia="Arial" w:hAnsi="Arial"/>
                <w:sz w:val="18"/>
                <w:szCs w:val="18"/>
                <w:color w:val="auto"/>
              </w:rPr>
              <w:t>(Principal Executive Officer)</w:t>
            </w:r>
          </w:p>
        </w:tc>
      </w:tr>
      <w:tr>
        <w:trPr>
          <w:trHeight w:val="36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3"/>
                <w:szCs w:val="13"/>
                <w:color w:val="auto"/>
                <w:w w:val="98"/>
              </w:rPr>
              <w:t>S</w:t>
            </w:r>
            <w:r>
              <w:rPr>
                <w:rFonts w:ascii="Arial" w:cs="Arial" w:eastAsia="Arial" w:hAnsi="Arial"/>
                <w:sz w:val="18"/>
                <w:szCs w:val="18"/>
                <w:color w:val="auto"/>
                <w:w w:val="98"/>
              </w:rPr>
              <w:t>/ S</w:t>
            </w:r>
            <w:r>
              <w:rPr>
                <w:rFonts w:ascii="Arial" w:cs="Arial" w:eastAsia="Arial" w:hAnsi="Arial"/>
                <w:sz w:val="13"/>
                <w:szCs w:val="13"/>
                <w:color w:val="auto"/>
                <w:w w:val="98"/>
              </w:rPr>
              <w:t>IMON</w:t>
            </w:r>
            <w:r>
              <w:rPr>
                <w:rFonts w:ascii="Arial" w:cs="Arial" w:eastAsia="Arial" w:hAnsi="Arial"/>
                <w:sz w:val="18"/>
                <w:szCs w:val="18"/>
                <w:color w:val="auto"/>
                <w:w w:val="98"/>
              </w:rPr>
              <w:t xml:space="preserve"> A</w:t>
            </w:r>
            <w:r>
              <w:rPr>
                <w:rFonts w:ascii="Arial" w:cs="Arial" w:eastAsia="Arial" w:hAnsi="Arial"/>
                <w:sz w:val="13"/>
                <w:szCs w:val="13"/>
                <w:color w:val="auto"/>
                <w:w w:val="98"/>
              </w:rPr>
              <w:t>YAT</w:t>
            </w:r>
          </w:p>
        </w:tc>
        <w:tc>
          <w:tcPr>
            <w:tcW w:w="4260" w:type="dxa"/>
            <w:vAlign w:val="bottom"/>
          </w:tcPr>
          <w:p>
            <w:pPr>
              <w:ind w:left="44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Simon Ayat</w:t>
            </w:r>
          </w:p>
        </w:tc>
        <w:tc>
          <w:tcPr>
            <w:tcW w:w="4260" w:type="dxa"/>
            <w:vAlign w:val="bottom"/>
          </w:tcPr>
          <w:p>
            <w:pPr>
              <w:ind w:left="440"/>
              <w:spacing w:after="0"/>
              <w:rPr>
                <w:sz w:val="20"/>
                <w:szCs w:val="20"/>
                <w:color w:val="auto"/>
              </w:rPr>
            </w:pPr>
            <w:r>
              <w:rPr>
                <w:rFonts w:ascii="Arial" w:cs="Arial" w:eastAsia="Arial" w:hAnsi="Arial"/>
                <w:sz w:val="18"/>
                <w:szCs w:val="18"/>
                <w:color w:val="auto"/>
              </w:rPr>
              <w:t>(Principal Financial Officer)</w:t>
            </w:r>
          </w:p>
        </w:tc>
      </w:tr>
      <w:tr>
        <w:trPr>
          <w:trHeight w:val="36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H</w:t>
            </w:r>
            <w:r>
              <w:rPr>
                <w:rFonts w:ascii="Arial" w:cs="Arial" w:eastAsia="Arial" w:hAnsi="Arial"/>
                <w:sz w:val="13"/>
                <w:szCs w:val="13"/>
                <w:color w:val="auto"/>
                <w:w w:val="99"/>
              </w:rPr>
              <w:t>OWARD</w:t>
            </w:r>
            <w:r>
              <w:rPr>
                <w:rFonts w:ascii="Arial" w:cs="Arial" w:eastAsia="Arial" w:hAnsi="Arial"/>
                <w:sz w:val="18"/>
                <w:szCs w:val="18"/>
                <w:color w:val="auto"/>
                <w:w w:val="99"/>
              </w:rPr>
              <w:t xml:space="preserve"> G</w:t>
            </w:r>
            <w:r>
              <w:rPr>
                <w:rFonts w:ascii="Arial" w:cs="Arial" w:eastAsia="Arial" w:hAnsi="Arial"/>
                <w:sz w:val="13"/>
                <w:szCs w:val="13"/>
                <w:color w:val="auto"/>
                <w:w w:val="99"/>
              </w:rPr>
              <w:t>UILD</w:t>
            </w:r>
          </w:p>
        </w:tc>
        <w:tc>
          <w:tcPr>
            <w:tcW w:w="4260" w:type="dxa"/>
            <w:vAlign w:val="bottom"/>
          </w:tcPr>
          <w:p>
            <w:pPr>
              <w:ind w:left="440"/>
              <w:spacing w:after="0"/>
              <w:rPr>
                <w:sz w:val="20"/>
                <w:szCs w:val="20"/>
                <w:color w:val="auto"/>
              </w:rPr>
            </w:pPr>
            <w:r>
              <w:rPr>
                <w:rFonts w:ascii="Arial" w:cs="Arial" w:eastAsia="Arial" w:hAnsi="Arial"/>
                <w:sz w:val="18"/>
                <w:szCs w:val="18"/>
                <w:color w:val="auto"/>
              </w:rPr>
              <w:t>Chief Accounting Officer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3"/>
              </w:rPr>
              <w:t>Howard Guild</w:t>
            </w:r>
          </w:p>
        </w:tc>
        <w:tc>
          <w:tcPr>
            <w:tcW w:w="4260" w:type="dxa"/>
            <w:vAlign w:val="bottom"/>
          </w:tcPr>
          <w:p>
            <w:pPr>
              <w:ind w:left="440"/>
              <w:spacing w:after="0"/>
              <w:rPr>
                <w:sz w:val="20"/>
                <w:szCs w:val="20"/>
                <w:color w:val="auto"/>
              </w:rPr>
            </w:pPr>
            <w:r>
              <w:rPr>
                <w:rFonts w:ascii="Arial" w:cs="Arial" w:eastAsia="Arial" w:hAnsi="Arial"/>
                <w:sz w:val="18"/>
                <w:szCs w:val="18"/>
                <w:color w:val="auto"/>
              </w:rPr>
              <w:t>(Principal Accounting Officer)</w:t>
            </w:r>
          </w:p>
        </w:tc>
      </w:tr>
      <w:tr>
        <w:trPr>
          <w:trHeight w:val="36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0"/>
              </w:rPr>
              <w:t>Peter L.S. Currie</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Chairman</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88"/>
              </w:rPr>
              <w:t>Tony Isaac</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2"/>
              </w:rPr>
              <w:t>K.V. Kamath</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4"/>
              </w:rPr>
              <w:t>Nikolay Kudryavtsev</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2"/>
              </w:rPr>
              <w:t>Adrian Lajous</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4"/>
              </w:rPr>
              <w:t>Michael E. Marks</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0"/>
              </w:rPr>
              <w:t>Lubna S. Olayan</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1"/>
              </w:rPr>
              <w:t>Leo Rafael Reif</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0"/>
              </w:rPr>
              <w:t>Tore Sandvold</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6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1"/>
              </w:rPr>
              <w:t>Henri Seydoux</w:t>
            </w:r>
          </w:p>
        </w:tc>
        <w:tc>
          <w:tcPr>
            <w:tcW w:w="4260" w:type="dxa"/>
            <w:vAlign w:val="bottom"/>
          </w:tcPr>
          <w:p>
            <w:pPr>
              <w:spacing w:after="0"/>
              <w:rPr>
                <w:sz w:val="19"/>
                <w:szCs w:val="19"/>
                <w:color w:val="auto"/>
              </w:rPr>
            </w:pPr>
          </w:p>
        </w:tc>
      </w:tr>
      <w:tr>
        <w:trPr>
          <w:trHeight w:val="34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w:t>
            </w:r>
            <w:r>
              <w:rPr>
                <w:rFonts w:ascii="Arial" w:cs="Arial" w:eastAsia="Arial" w:hAnsi="Arial"/>
                <w:sz w:val="13"/>
                <w:szCs w:val="13"/>
                <w:color w:val="auto"/>
                <w:w w:val="97"/>
              </w:rPr>
              <w:t>LEXANDER</w:t>
            </w:r>
            <w:r>
              <w:rPr>
                <w:rFonts w:ascii="Arial" w:cs="Arial" w:eastAsia="Arial" w:hAnsi="Arial"/>
                <w:sz w:val="18"/>
                <w:szCs w:val="18"/>
                <w:color w:val="auto"/>
                <w:w w:val="97"/>
              </w:rPr>
              <w:t xml:space="preserve"> C. J</w:t>
            </w:r>
            <w:r>
              <w:rPr>
                <w:rFonts w:ascii="Arial" w:cs="Arial" w:eastAsia="Arial" w:hAnsi="Arial"/>
                <w:sz w:val="13"/>
                <w:szCs w:val="13"/>
                <w:color w:val="auto"/>
                <w:w w:val="97"/>
              </w:rPr>
              <w:t>UDEN</w:t>
            </w:r>
          </w:p>
        </w:tc>
        <w:tc>
          <w:tcPr>
            <w:tcW w:w="4260" w:type="dxa"/>
            <w:vAlign w:val="bottom"/>
          </w:tcPr>
          <w:p>
            <w:pPr>
              <w:ind w:left="440"/>
              <w:spacing w:after="0"/>
              <w:rPr>
                <w:sz w:val="20"/>
                <w:szCs w:val="20"/>
                <w:color w:val="auto"/>
              </w:rPr>
            </w:pPr>
            <w:r>
              <w:rPr>
                <w:rFonts w:ascii="Arial" w:cs="Arial" w:eastAsia="Arial" w:hAnsi="Arial"/>
                <w:sz w:val="18"/>
                <w:szCs w:val="18"/>
                <w:color w:val="auto"/>
              </w:rPr>
              <w:t>January 31, 2014</w:t>
            </w:r>
          </w:p>
        </w:tc>
      </w:tr>
      <w:tr>
        <w:trPr>
          <w:trHeight w:val="223"/>
        </w:trPr>
        <w:tc>
          <w:tcPr>
            <w:tcW w:w="5500" w:type="dxa"/>
            <w:vAlign w:val="bottom"/>
          </w:tcPr>
          <w:p>
            <w:pPr>
              <w:jc w:val="center"/>
              <w:spacing w:after="0"/>
              <w:rPr>
                <w:sz w:val="20"/>
                <w:szCs w:val="20"/>
                <w:color w:val="auto"/>
              </w:rPr>
            </w:pPr>
            <w:r>
              <w:rPr>
                <w:rFonts w:ascii="Arial" w:cs="Arial" w:eastAsia="Arial" w:hAnsi="Arial"/>
                <w:sz w:val="18"/>
                <w:szCs w:val="18"/>
                <w:color w:val="auto"/>
                <w:w w:val="93"/>
              </w:rPr>
              <w:t>*By Alexander C. Juden Attorney-in-Fact</w:t>
            </w:r>
          </w:p>
        </w:tc>
        <w:tc>
          <w:tcPr>
            <w:tcW w:w="4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INDEX TO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Exhibit</w:t>
            </w:r>
          </w:p>
        </w:tc>
      </w:tr>
      <w:tr>
        <w:trPr>
          <w:trHeight w:val="215"/>
        </w:trPr>
        <w:tc>
          <w:tcPr>
            <w:tcW w:w="10480" w:type="dxa"/>
            <w:vAlign w:val="bottom"/>
          </w:tcPr>
          <w:p>
            <w:pPr>
              <w:spacing w:after="0"/>
              <w:rPr>
                <w:sz w:val="20"/>
                <w:szCs w:val="20"/>
                <w:color w:val="auto"/>
              </w:rPr>
            </w:pPr>
            <w:r>
              <w:rPr>
                <w:rFonts w:ascii="Arial" w:cs="Arial" w:eastAsia="Arial" w:hAnsi="Arial"/>
                <w:sz w:val="18"/>
                <w:szCs w:val="18"/>
                <w:color w:val="auto"/>
                <w:w w:val="97"/>
              </w:rPr>
              <w:t>Articles of Incorporation of Schlumberger Limited (Schlumberger N.V.), as last amended on April 6, 2011 (incorporated by reference to</w:t>
            </w: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Exhibit 3 to Schlumberger’s Current Report on Form 8-K filed on April 7, 2011)</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Amended and Restated By-Laws of Schlumberger Limited (Schlumberger N.V.), as last amended on July 19, 2012 (incorporated by reference</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to Exhibit 3.1 to Schlumberger’s Current Report on Form 8-K filed on July 20, 2012)</w:t>
            </w:r>
          </w:p>
        </w:tc>
        <w:tc>
          <w:tcPr>
            <w:tcW w:w="940" w:type="dxa"/>
            <w:vAlign w:val="bottom"/>
          </w:tcPr>
          <w:p>
            <w:pPr>
              <w:spacing w:after="0"/>
              <w:rPr>
                <w:sz w:val="19"/>
                <w:szCs w:val="19"/>
                <w:color w:val="auto"/>
              </w:rPr>
            </w:pPr>
          </w:p>
        </w:tc>
      </w:tr>
      <w:tr>
        <w:trPr>
          <w:trHeight w:val="322"/>
        </w:trPr>
        <w:tc>
          <w:tcPr>
            <w:tcW w:w="10480" w:type="dxa"/>
            <w:vAlign w:val="bottom"/>
          </w:tcPr>
          <w:p>
            <w:pPr>
              <w:spacing w:after="0"/>
              <w:rPr>
                <w:sz w:val="20"/>
                <w:szCs w:val="20"/>
                <w:color w:val="auto"/>
              </w:rPr>
            </w:pPr>
            <w:r>
              <w:rPr>
                <w:rFonts w:ascii="Arial" w:cs="Arial" w:eastAsia="Arial" w:hAnsi="Arial"/>
                <w:sz w:val="18"/>
                <w:szCs w:val="18"/>
                <w:color w:val="auto"/>
                <w:w w:val="91"/>
              </w:rPr>
              <w:t>Indenture dated as of December 3, 2013, by and among Schlumberger Investment SA, as issuer, Schlumberger Limited, as guarantor, and The</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10480" w:type="dxa"/>
            <w:vAlign w:val="bottom"/>
          </w:tcPr>
          <w:p>
            <w:pPr>
              <w:spacing w:after="0"/>
              <w:rPr>
                <w:sz w:val="20"/>
                <w:szCs w:val="20"/>
                <w:color w:val="auto"/>
              </w:rPr>
            </w:pPr>
            <w:r>
              <w:rPr>
                <w:rFonts w:ascii="Arial" w:cs="Arial" w:eastAsia="Arial" w:hAnsi="Arial"/>
                <w:sz w:val="18"/>
                <w:szCs w:val="18"/>
                <w:color w:val="auto"/>
                <w:w w:val="96"/>
              </w:rPr>
              <w:t>Bank of New York Mellon Trust Company, N.A., as trustee (incorporated by reference to Exhibit 4.1 to Schlumberger’s Current Report on</w:t>
            </w:r>
          </w:p>
        </w:tc>
        <w:tc>
          <w:tcPr>
            <w:tcW w:w="940" w:type="dxa"/>
            <w:vAlign w:val="bottom"/>
          </w:tcPr>
          <w:p>
            <w:pPr>
              <w:spacing w:after="0"/>
              <w:rPr>
                <w:sz w:val="18"/>
                <w:szCs w:val="18"/>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Form 8-K filed on December 3, 2013)</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1"/>
              </w:rPr>
              <w:t>First Supplemental Indenture dated as of December 3, 2013, by and among Schlumberger Investment SA, as issuer, Schlumberger Limited, as</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10480" w:type="dxa"/>
            <w:vAlign w:val="bottom"/>
          </w:tcPr>
          <w:p>
            <w:pPr>
              <w:spacing w:after="0"/>
              <w:rPr>
                <w:sz w:val="20"/>
                <w:szCs w:val="20"/>
                <w:color w:val="auto"/>
              </w:rPr>
            </w:pPr>
            <w:r>
              <w:rPr>
                <w:rFonts w:ascii="Arial" w:cs="Arial" w:eastAsia="Arial" w:hAnsi="Arial"/>
                <w:sz w:val="18"/>
                <w:szCs w:val="18"/>
                <w:color w:val="auto"/>
                <w:w w:val="95"/>
              </w:rPr>
              <w:t>guarantor, and The Bank of New York Mellon Trust Company, N.A., as trustee (including form of global notes representing 3.650% Senior</w:t>
            </w:r>
          </w:p>
        </w:tc>
        <w:tc>
          <w:tcPr>
            <w:tcW w:w="940" w:type="dxa"/>
            <w:vAlign w:val="bottom"/>
          </w:tcPr>
          <w:p>
            <w:pPr>
              <w:spacing w:after="0"/>
              <w:rPr>
                <w:sz w:val="18"/>
                <w:szCs w:val="18"/>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8"/>
              </w:rPr>
              <w:t>Notes due 2023) (incorporated by reference to Exhibit 4.2 to Schlumberger’s Current Report on Form 8-K filed on December 3, 2013)</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Schlumberger 1994 Stock Option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10.1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Fifth Amendment to Schlumberger 1994 Stock Option Plan (incorporated by reference to Exhibit 10.3 to Schlumberger’s Quarterly Report on</w:t>
            </w: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Schlumberger Limited Supplementary Benefit Plan, as conformed to include amendments through January 1, 2009 (incorporated by reference</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to Exhibit 10.2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Schlumberger Limited Restoration Savings Plan, as conformed to include amendments through January 1, 2009 (incorporated by reference to</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Exhibit 10.3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First Amendment to Schlumberger Limited Restoration Savings Plan (incorporated by reference to Exhibit 10.3 to Schlumberger’s Quarterly</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Report on Form 10-Q for the quarter ended March 31,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Schlumberger 1998 Stock Option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10.4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5"/>
              </w:rPr>
              <w:t>Third Amendment to Schlumberger 1998 Stock Option Plan (incorporated by reference to Exhibit 10.4 to Schlumberger’s Quarterly Report</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Schlumberger 2001 Stock Option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10.5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Second Amendment to Schlumberger 2001 Stock Option Plan (incorporated by reference to Exhibit 10.5 to Schlumberger’s Quarterly Report</w:t>
            </w: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Schlumberger Limited 2004 Stock and Deferral Plan for Non-Employee Directors, amended and restated effective January 19, 2012</w:t>
            </w:r>
          </w:p>
        </w:tc>
        <w:tc>
          <w:tcPr>
            <w:tcW w:w="94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(incorporated by reference to Exhibit 10 to Schlumberger’s Current Report on Form 8-K filed on April 11, 2012.)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Schlumberger 2005 Stock Incentive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10.6 to Schlumberger’s Annual Report on Form 10-K for the year ended December 31, 2008)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Third Amendment to Schlumberger 2005 Stock Incentive Plan (incorporated by reference to Exhibit 10.6 to Schlumberger’s Quarterly Report</w:t>
            </w:r>
          </w:p>
        </w:tc>
        <w:tc>
          <w:tcPr>
            <w:tcW w:w="94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Schlumberger 2008 Stock Incentive Plan, as conformed to include amendments through January 1, 2009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10.8 to Schlumberger’s Annual Report on Form 10-K for the year ended December 31, 2008) (+)</w:t>
            </w:r>
          </w:p>
        </w:tc>
        <w:tc>
          <w:tcPr>
            <w:tcW w:w="940" w:type="dxa"/>
            <w:vAlign w:val="bottom"/>
          </w:tcPr>
          <w:p>
            <w:pPr>
              <w:spacing w:after="0"/>
              <w:rPr>
                <w:sz w:val="19"/>
                <w:szCs w:val="19"/>
                <w:color w:val="auto"/>
              </w:rPr>
            </w:pPr>
          </w:p>
        </w:tc>
      </w:tr>
      <w:tr>
        <w:trPr>
          <w:trHeight w:val="431"/>
        </w:trPr>
        <w:tc>
          <w:tcPr>
            <w:tcW w:w="10480" w:type="dxa"/>
            <w:vAlign w:val="bottom"/>
          </w:tcPr>
          <w:p>
            <w:pPr>
              <w:ind w:left="5620"/>
              <w:spacing w:after="0"/>
              <w:rPr>
                <w:sz w:val="20"/>
                <w:szCs w:val="20"/>
                <w:color w:val="auto"/>
              </w:rPr>
            </w:pPr>
            <w:r>
              <w:rPr>
                <w:rFonts w:ascii="Arial" w:cs="Arial" w:eastAsia="Arial" w:hAnsi="Arial"/>
                <w:sz w:val="18"/>
                <w:szCs w:val="18"/>
                <w:color w:val="auto"/>
              </w:rPr>
              <w:t>69</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8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Exhibit</w:t>
            </w:r>
          </w:p>
        </w:tc>
      </w:tr>
      <w:tr>
        <w:trPr>
          <w:trHeight w:val="401"/>
        </w:trPr>
        <w:tc>
          <w:tcPr>
            <w:tcW w:w="10480" w:type="dxa"/>
            <w:vAlign w:val="bottom"/>
          </w:tcPr>
          <w:p>
            <w:pPr>
              <w:spacing w:after="0"/>
              <w:rPr>
                <w:sz w:val="20"/>
                <w:szCs w:val="20"/>
                <w:color w:val="auto"/>
              </w:rPr>
            </w:pPr>
            <w:r>
              <w:rPr>
                <w:rFonts w:ascii="Arial" w:cs="Arial" w:eastAsia="Arial" w:hAnsi="Arial"/>
                <w:sz w:val="18"/>
                <w:szCs w:val="18"/>
                <w:color w:val="auto"/>
                <w:w w:val="97"/>
              </w:rPr>
              <w:t>Second Amendment to Schlumberger 2008 Stock Incentive Plan (incorporated by reference to Exhibit 10.7 to Schlumberger’s Quarterly</w:t>
            </w:r>
          </w:p>
        </w:tc>
        <w:tc>
          <w:tcPr>
            <w:tcW w:w="9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Schlumberger 2010 Omnibus Stock Incentive Plan (incorporated by reference to Exhibit 10.1 to Schlumberger’s Current Report on Form 8-K</w:t>
            </w:r>
          </w:p>
        </w:tc>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filed on April 9, 2010)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First Amendment to Schlumberger 2010 Omnibus Stock Incentive Plan (incorporated by reference to Exhibit 10.8 to Schlumberger’s</w:t>
            </w: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Form of 2013 One Year Performance Share Unit Award Agreement under Schlumberger 2010 Omnibus Stock Incentive Plan (incorporated by</w:t>
            </w: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reference to Exhibit 10.4 to Schlumberger’s Quarterly Report on Form 10-Q for the quarter ended March 31,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Form of 2013 Two Year Performance Share Unit Award Agreement under Schlumberger 2010 Omnibus Stock Incentive Plan (incorporated</w:t>
            </w: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by reference to Exhibit 10.5 to Schlumberger’s Quarterly Report on Form 10-Q for the quarter ended March 31,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Form of 2013 Three Year Performance Share Unit Award Agreement under Schlumberger 2010 Omnibus Stock Incentive Plan (incorporated</w:t>
            </w: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by reference to Exhibit 10.6 to Schlumberger’s Quarterly Report on Form 10-Q for the quarter ended March 31,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French Sub-Plan of Schlumberger 2010 Omnibus Stock Incentive Plan for Employees in France (incorporated by reference to Exhibit 10.7 to</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Schlumberger’s Quarterly Report on Form 10-Q for the quarter ended March 31,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Form of Option Agreement (Employees in France), Incentive Stock Option, under Schlumberger 2010 Omnibus Stock Incentive Plan</w:t>
            </w: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7"/>
              </w:rPr>
              <w:t>(incorporated by reference to Exhibit 10.10 to Schlumberger’s 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5"/>
              </w:rPr>
              <w:t>Form of Option Agreement (Employees in France), Non-Qualified Stock Option, under Schlumberger 2010 Omnibus Stock Incentive Plan</w:t>
            </w:r>
          </w:p>
        </w:tc>
        <w:tc>
          <w:tcPr>
            <w:tcW w:w="9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7"/>
              </w:rPr>
              <w:t>(incorporated by reference to Exhibit 10.11 to Schlumberger’s 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rPr>
              <w:t>Form of Restricted Stock Unit Award Agreement (Employees in France) under Schlumberger 2010 Omnibus Stock Incentive Plan</w:t>
            </w:r>
          </w:p>
        </w:tc>
        <w:tc>
          <w:tcPr>
            <w:tcW w:w="94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7"/>
              </w:rPr>
              <w:t>(incorporated by reference to Exhibit 10.12 to Schlumberger’s 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8"/>
              </w:rPr>
              <w:t>Form of 2013 One Year Performance Share Unit Award Agreement (Employees in France) under Schlumberger 2010 Omnibus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15"/>
        </w:trPr>
        <w:tc>
          <w:tcPr>
            <w:tcW w:w="10480" w:type="dxa"/>
            <w:vAlign w:val="bottom"/>
          </w:tcPr>
          <w:p>
            <w:pPr>
              <w:spacing w:after="0"/>
              <w:rPr>
                <w:sz w:val="20"/>
                <w:szCs w:val="20"/>
                <w:color w:val="auto"/>
              </w:rPr>
            </w:pPr>
            <w:r>
              <w:rPr>
                <w:rFonts w:ascii="Arial" w:cs="Arial" w:eastAsia="Arial" w:hAnsi="Arial"/>
                <w:sz w:val="18"/>
                <w:szCs w:val="18"/>
                <w:color w:val="auto"/>
                <w:w w:val="93"/>
              </w:rPr>
              <w:t>Incentive Plan (incorporated by reference to Exhibit 10.1 to Schlumberger’s Quarterly Report on Form 10-Q for the quarter ended September</w:t>
            </w:r>
          </w:p>
        </w:tc>
        <w:tc>
          <w:tcPr>
            <w:tcW w:w="940" w:type="dxa"/>
            <w:vAlign w:val="bottom"/>
          </w:tcPr>
          <w:p>
            <w:pPr>
              <w:spacing w:after="0"/>
              <w:rPr>
                <w:sz w:val="18"/>
                <w:szCs w:val="18"/>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Schlumberger 2013 Omnibus Stock Incentive Plan (incorporated by reference to Appendix A to Schlumberger’s Definitive Proxy Statement</w:t>
            </w:r>
          </w:p>
        </w:tc>
        <w:tc>
          <w:tcPr>
            <w:tcW w:w="94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on Schedule 14A filed on March 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First Amendment to Schlumberger 2013 Omnibus Stock Incentive Plan (incorporated by reference to Exhibit 10.9 to Schlumberger’s</w:t>
            </w: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6"/>
              </w:rPr>
              <w:t>Schlumberger Discounted Stock Purchase Plan, as amended and restated effective as of January 1, 2013 (incorporated by reference to</w:t>
            </w:r>
          </w:p>
        </w:tc>
        <w:tc>
          <w:tcPr>
            <w:tcW w:w="94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Appendix B to Schlumberger’s Definitive Proxy Statement on Schedule 14A filed on March 1,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Form of Option Agreement, Capped Incentive Stock Option (incorporated by reference to Exhibit 10.1 to Schlumberger’s Current Report on</w:t>
            </w: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Form 8-K filed on January 19, 2006)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8"/>
              </w:rPr>
              <w:t>Form of Option Agreement, Capped Non-Qualified Stock Option (incorporated by reference to Exhibit 10.2 to Schlumberger’s Current</w:t>
            </w:r>
          </w:p>
        </w:tc>
        <w:tc>
          <w:tcPr>
            <w:tcW w:w="94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Report on Form 8-K filed on January 19, 2006)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5"/>
              </w:rPr>
              <w:t>Form of Option Agreement, Uncapped Incentive Stock Option (for 2001, 2005 and 2008 stock plans) (incorporated by reference to Exhibit</w:t>
            </w:r>
          </w:p>
        </w:tc>
        <w:tc>
          <w:tcPr>
            <w:tcW w:w="94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10.11 to Schlumberger’s Annual Report on Form 10-K for the year ended December 31, 2009) (+)</w:t>
            </w:r>
          </w:p>
        </w:tc>
        <w:tc>
          <w:tcPr>
            <w:tcW w:w="940" w:type="dxa"/>
            <w:vAlign w:val="bottom"/>
          </w:tcPr>
          <w:p>
            <w:pPr>
              <w:spacing w:after="0"/>
              <w:rPr>
                <w:sz w:val="19"/>
                <w:szCs w:val="19"/>
                <w:color w:val="auto"/>
              </w:rPr>
            </w:pPr>
          </w:p>
        </w:tc>
      </w:tr>
      <w:tr>
        <w:trPr>
          <w:trHeight w:val="431"/>
        </w:trPr>
        <w:tc>
          <w:tcPr>
            <w:tcW w:w="10480" w:type="dxa"/>
            <w:vAlign w:val="bottom"/>
          </w:tcPr>
          <w:p>
            <w:pPr>
              <w:ind w:left="5620"/>
              <w:spacing w:after="0"/>
              <w:rPr>
                <w:sz w:val="20"/>
                <w:szCs w:val="20"/>
                <w:color w:val="auto"/>
              </w:rPr>
            </w:pPr>
            <w:r>
              <w:rPr>
                <w:rFonts w:ascii="Arial" w:cs="Arial" w:eastAsia="Arial" w:hAnsi="Arial"/>
                <w:sz w:val="18"/>
                <w:szCs w:val="18"/>
                <w:color w:val="auto"/>
              </w:rPr>
              <w:t>70</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8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Exhibit</w:t>
            </w:r>
          </w:p>
        </w:tc>
      </w:tr>
      <w:tr>
        <w:trPr>
          <w:trHeight w:val="401"/>
        </w:trPr>
        <w:tc>
          <w:tcPr>
            <w:tcW w:w="10480" w:type="dxa"/>
            <w:vAlign w:val="bottom"/>
          </w:tcPr>
          <w:p>
            <w:pPr>
              <w:spacing w:after="0"/>
              <w:rPr>
                <w:sz w:val="20"/>
                <w:szCs w:val="20"/>
                <w:color w:val="auto"/>
              </w:rPr>
            </w:pPr>
            <w:r>
              <w:rPr>
                <w:rFonts w:ascii="Arial" w:cs="Arial" w:eastAsia="Arial" w:hAnsi="Arial"/>
                <w:sz w:val="18"/>
                <w:szCs w:val="18"/>
                <w:color w:val="auto"/>
                <w:w w:val="97"/>
              </w:rPr>
              <w:t>Form of Option Agreement, Uncapped Non-Qualified Stock Option (for 2001, 2005 and 2008 stock plans) (incorporated by reference to</w:t>
            </w: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Exhibit 10.12 to Schlumberger’s Annual Report on Form 10-K for the year ended December 31, 2009)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Form of Smith International, Inc. 2010 Restricted Stock Unit Agreement (incorporated by reference to Exhibit 10.3 to Schlumberger’s</w:t>
            </w:r>
          </w:p>
        </w:tc>
        <w:tc>
          <w:tcPr>
            <w:tcW w:w="9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2010)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9"/>
              </w:rPr>
              <w:t>Employment Agreement dated March 9, 2010 and effective as of February 9, 2010, between Schlumberger Limited and Chakib Sbiti</w:t>
            </w:r>
          </w:p>
        </w:tc>
        <w:tc>
          <w:tcPr>
            <w:tcW w:w="94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7"/>
              </w:rPr>
              <w:t>(incorporated by reference to Exhibit 10.3 to Schlumberger’s Quarterly Report on Form 10-Q for the quarter ended March 31, 2010)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2"/>
              </w:rPr>
              <w:t>Employment Agreement dated June 11, 2013 and effective as of July 1, 2013, between Schlumberger Limited and Satish Pai (incorporated by</w:t>
            </w:r>
          </w:p>
        </w:tc>
        <w:tc>
          <w:tcPr>
            <w:tcW w:w="9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reference to Exhibit 10.1 to Schlumberger’s 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Employment Agreement dated February 19, 2013 and effective as of March 1, 2013, between Schlumberger Limited and Kjell-Erik Oestdahl</w:t>
            </w:r>
          </w:p>
        </w:tc>
        <w:tc>
          <w:tcPr>
            <w:tcW w:w="94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w w:val="98"/>
              </w:rPr>
              <w:t>(incorporated by reference to Exhibit 10.2 to Schlumberger’s Quarterly Report on Form 10-Q for the quarter ended June 30, 2013)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rPr>
              <w:t>Form of Indemnification Agreement (incorporated by reference to Exhibit 10 to Schlumberger’s Current Report on Form 8-K filed on</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October 21, 2013)</w:t>
            </w:r>
          </w:p>
        </w:tc>
        <w:tc>
          <w:tcPr>
            <w:tcW w:w="940" w:type="dxa"/>
            <w:vAlign w:val="bottom"/>
          </w:tcPr>
          <w:p>
            <w:pPr>
              <w:spacing w:after="0"/>
              <w:rPr>
                <w:sz w:val="19"/>
                <w:szCs w:val="19"/>
                <w:color w:val="auto"/>
              </w:rPr>
            </w:pPr>
          </w:p>
        </w:tc>
      </w:tr>
      <w:tr>
        <w:trPr>
          <w:trHeight w:val="861"/>
        </w:trPr>
        <w:tc>
          <w:tcPr>
            <w:tcW w:w="10480" w:type="dxa"/>
            <w:vAlign w:val="bottom"/>
          </w:tcPr>
          <w:p>
            <w:pPr>
              <w:spacing w:after="0"/>
              <w:rPr>
                <w:sz w:val="20"/>
                <w:szCs w:val="20"/>
                <w:color w:val="auto"/>
              </w:rPr>
            </w:pPr>
            <w:r>
              <w:rPr>
                <w:rFonts w:ascii="Arial" w:cs="Arial" w:eastAsia="Arial" w:hAnsi="Arial"/>
                <w:sz w:val="18"/>
                <w:szCs w:val="18"/>
                <w:color w:val="auto"/>
              </w:rPr>
              <w:t>Subsidiaries (*)</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1"/>
        </w:trPr>
        <w:tc>
          <w:tcPr>
            <w:tcW w:w="104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1"/>
        </w:trPr>
        <w:tc>
          <w:tcPr>
            <w:tcW w:w="10480" w:type="dxa"/>
            <w:vAlign w:val="bottom"/>
          </w:tcPr>
          <w:p>
            <w:pPr>
              <w:spacing w:after="0"/>
              <w:rPr>
                <w:sz w:val="20"/>
                <w:szCs w:val="20"/>
                <w:color w:val="auto"/>
              </w:rPr>
            </w:pPr>
            <w:r>
              <w:rPr>
                <w:rFonts w:ascii="Arial" w:cs="Arial" w:eastAsia="Arial" w:hAnsi="Arial"/>
                <w:sz w:val="18"/>
                <w:szCs w:val="18"/>
                <w:color w:val="auto"/>
              </w:rPr>
              <w:t>Powers of Attorney (*)</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 13a-14(a) as Adopted Pursuant to Section 302 of the Sarbanes-Oxley Act of 2002</w:t>
            </w:r>
          </w:p>
        </w:tc>
        <w:tc>
          <w:tcPr>
            <w:tcW w:w="9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r>
      <w:tr>
        <w:trPr>
          <w:trHeight w:val="431"/>
        </w:trPr>
        <w:tc>
          <w:tcPr>
            <w:tcW w:w="104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13a-14(a) as Adopted Pursuant to Section 302 of the Sarbanes-Oxley Act of 2002 (*)</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Sarbanes-Oxley Act</w:t>
            </w: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of 2002 (*)</w:t>
            </w:r>
          </w:p>
        </w:tc>
        <w:tc>
          <w:tcPr>
            <w:tcW w:w="940" w:type="dxa"/>
            <w:vAlign w:val="bottom"/>
          </w:tcPr>
          <w:p>
            <w:pPr>
              <w:spacing w:after="0"/>
              <w:rPr>
                <w:sz w:val="19"/>
                <w:szCs w:val="19"/>
                <w:color w:val="auto"/>
              </w:rPr>
            </w:pPr>
          </w:p>
        </w:tc>
      </w:tr>
      <w:tr>
        <w:trPr>
          <w:trHeight w:val="416"/>
        </w:trPr>
        <w:tc>
          <w:tcPr>
            <w:tcW w:w="104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 Act of</w:t>
            </w: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2002 (*)</w:t>
            </w:r>
          </w:p>
        </w:tc>
        <w:tc>
          <w:tcPr>
            <w:tcW w:w="940" w:type="dxa"/>
            <w:vAlign w:val="bottom"/>
          </w:tcPr>
          <w:p>
            <w:pPr>
              <w:spacing w:after="0"/>
              <w:rPr>
                <w:sz w:val="19"/>
                <w:szCs w:val="19"/>
                <w:color w:val="auto"/>
              </w:rPr>
            </w:pPr>
          </w:p>
        </w:tc>
      </w:tr>
      <w:tr>
        <w:trPr>
          <w:trHeight w:val="431"/>
        </w:trPr>
        <w:tc>
          <w:tcPr>
            <w:tcW w:w="10480" w:type="dxa"/>
            <w:vAlign w:val="bottom"/>
          </w:tcPr>
          <w:p>
            <w:pPr>
              <w:spacing w:after="0"/>
              <w:rPr>
                <w:sz w:val="20"/>
                <w:szCs w:val="20"/>
                <w:color w:val="auto"/>
              </w:rPr>
            </w:pPr>
            <w:r>
              <w:rPr>
                <w:rFonts w:ascii="Arial" w:cs="Arial" w:eastAsia="Arial" w:hAnsi="Arial"/>
                <w:sz w:val="18"/>
                <w:szCs w:val="18"/>
                <w:color w:val="auto"/>
              </w:rPr>
              <w:t>Mine Safety Disclosure (*)</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1"/>
        </w:trPr>
        <w:tc>
          <w:tcPr>
            <w:tcW w:w="10480" w:type="dxa"/>
            <w:vAlign w:val="bottom"/>
          </w:tcPr>
          <w:p>
            <w:pPr>
              <w:spacing w:after="0"/>
              <w:rPr>
                <w:sz w:val="20"/>
                <w:szCs w:val="20"/>
                <w:color w:val="auto"/>
              </w:rPr>
            </w:pPr>
            <w:r>
              <w:rPr>
                <w:rFonts w:ascii="Arial" w:cs="Arial" w:eastAsia="Arial" w:hAnsi="Arial"/>
                <w:sz w:val="18"/>
                <w:szCs w:val="18"/>
                <w:color w:val="auto"/>
                <w:w w:val="97"/>
              </w:rPr>
              <w:t>The following materials from Schlumberger Limited’s Annual Report on Form 10-K for the year ended December 31, 2013, formatted in</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r>
    </w:tbl>
    <w:p>
      <w:pPr>
        <w:jc w:val="both"/>
        <w:ind w:right="1200"/>
        <w:spacing w:after="0" w:line="254" w:lineRule="auto"/>
        <w:rPr>
          <w:sz w:val="20"/>
          <w:szCs w:val="20"/>
          <w:color w:val="auto"/>
        </w:rPr>
      </w:pPr>
      <w:r>
        <w:rPr>
          <w:rFonts w:ascii="Arial" w:cs="Arial" w:eastAsia="Arial" w:hAnsi="Arial"/>
          <w:sz w:val="18"/>
          <w:szCs w:val="18"/>
          <w:color w:val="auto"/>
        </w:rPr>
        <w:t>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 (*)</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Exhibits electronically filed with this Form 10-K. All other exhibits incorporated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Listed below are the significant subsidiaries of the Registrant as of December 31, 2013,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Antilles N.V., Curacao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Schlumberger B.V., Netherlands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Canada Limited, Canada</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SA, France</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Services Petroliers Schlumberger, France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Norge AS, Norway</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Corporation, Delaware</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Technology Corporation, Texas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Smith International Inc, Delaware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UK Limited, UK</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M-I Holdings (UK) Limited, UK</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Plc, UK</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Schlumberger Oilfield UK Plc, UK</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 Holdings BV, Netherlands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Schlumberger Oilfield Holdings Limited, BVI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Limited, BVI</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Dowell Schlumberger Corporation, BVI</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Logelco, Inc., Panama</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Middle East SA., Panama</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Offshore Services Limited, BVI</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Overseas, SA, Panama</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Seaco, Inc., Panama</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Surenco, SA, Panama</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WesternGeco Seismic Holdings Limited, BVI</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0" w:lineRule="exact"/>
        <w:rPr>
          <w:sz w:val="20"/>
          <w:szCs w:val="20"/>
          <w:color w:val="auto"/>
        </w:rPr>
      </w:pPr>
    </w:p>
    <w:p>
      <w:pPr>
        <w:ind w:right="40" w:firstLine="259"/>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333-104225; 333-115277; 333-124534; 333-151920; 333-173055, as amended by post-effective amendment on Form S-8; 333-188589; and 333-188590); on Form S-3 (Nos. 333-190822 and 333-173368 ); and on Form S-4 (Nos. 333-97899 and 333-166326, as amended by post-effective amendment on Form S-8) of Schlumberger Limited of our report dated January 31, 2014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16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2014</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and/or an officer of Schlumberger Limited, a Curaçao corporation (“the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2013,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Peter L.S. Currie</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Director</w:t>
      </w:r>
    </w:p>
    <w:p>
      <w:pPr>
        <w:spacing w:after="0" w:line="14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Tony Isaac</w:t>
      </w:r>
    </w:p>
    <w:p>
      <w:pPr>
        <w:spacing w:after="0" w:line="22"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Chairman of the Board</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K.Vaman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K.Vaman Kamath</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Director</w:t>
      </w:r>
    </w:p>
    <w:p>
      <w:pPr>
        <w:spacing w:after="0" w:line="14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Paal Kibsgaard</w:t>
      </w:r>
    </w:p>
    <w:p>
      <w:pPr>
        <w:spacing w:after="0" w:line="22" w:lineRule="exact"/>
        <w:rPr>
          <w:sz w:val="20"/>
          <w:szCs w:val="20"/>
          <w:color w:val="auto"/>
        </w:rPr>
      </w:pPr>
    </w:p>
    <w:p>
      <w:pPr>
        <w:jc w:val="center"/>
        <w:ind w:right="1460"/>
        <w:spacing w:after="0"/>
        <w:rPr>
          <w:sz w:val="20"/>
          <w:szCs w:val="20"/>
          <w:color w:val="auto"/>
        </w:rPr>
      </w:pPr>
      <w:r>
        <w:rPr>
          <w:rFonts w:ascii="Arial" w:cs="Arial" w:eastAsia="Arial" w:hAnsi="Arial"/>
          <w:sz w:val="16"/>
          <w:szCs w:val="16"/>
          <w:color w:val="auto"/>
        </w:rPr>
        <w:t>Director and Chief Executive Officer</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Nikolay Kudryavtsev</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Director</w:t>
      </w:r>
    </w:p>
    <w:p>
      <w:pPr>
        <w:spacing w:after="0" w:line="14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3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Adrian Lajous</w:t>
      </w:r>
    </w:p>
    <w:p>
      <w:pPr>
        <w:spacing w:after="0" w:line="22"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24765</wp:posOffset>
            </wp:positionV>
            <wp:extent cx="3555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Michael E. Marks</w:t>
      </w:r>
    </w:p>
    <w:p>
      <w:pPr>
        <w:spacing w:after="0" w:line="18"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Director</w:t>
      </w:r>
    </w:p>
    <w:p>
      <w:pPr>
        <w:spacing w:after="0" w:line="126"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24765</wp:posOffset>
            </wp:positionV>
            <wp:extent cx="3555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Lubna S. Olayan</w:t>
      </w:r>
    </w:p>
    <w:p>
      <w:pPr>
        <w:spacing w:after="0" w:line="18"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Director</w:t>
      </w:r>
    </w:p>
    <w:p>
      <w:pPr>
        <w:spacing w:after="0" w:line="126" w:lineRule="exact"/>
        <w:rPr>
          <w:sz w:val="20"/>
          <w:szCs w:val="20"/>
          <w:color w:val="auto"/>
        </w:rPr>
      </w:pPr>
    </w:p>
    <w:p>
      <w:pPr>
        <w:jc w:val="center"/>
        <w:ind w:right="1980"/>
        <w:spacing w:after="0"/>
        <w:rPr>
          <w:sz w:val="20"/>
          <w:szCs w:val="20"/>
          <w:color w:val="auto"/>
        </w:rPr>
      </w:pPr>
      <w:r>
        <w:rPr>
          <w:rFonts w:ascii="Arial" w:cs="Arial" w:eastAsia="Arial" w:hAnsi="Arial"/>
          <w:sz w:val="19"/>
          <w:szCs w:val="19"/>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17145</wp:posOffset>
            </wp:positionV>
            <wp:extent cx="3555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11"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Leo Rafael Reif</w:t>
      </w:r>
    </w:p>
    <w:p>
      <w:pPr>
        <w:spacing w:after="0" w:line="18"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Director</w:t>
      </w:r>
    </w:p>
    <w:p>
      <w:pPr>
        <w:spacing w:after="0" w:line="126" w:lineRule="exact"/>
        <w:rPr>
          <w:sz w:val="20"/>
          <w:szCs w:val="20"/>
          <w:color w:val="auto"/>
        </w:rPr>
      </w:pPr>
    </w:p>
    <w:p>
      <w:pPr>
        <w:jc w:val="center"/>
        <w:ind w:right="1980"/>
        <w:spacing w:after="0"/>
        <w:rPr>
          <w:sz w:val="20"/>
          <w:szCs w:val="20"/>
          <w:color w:val="auto"/>
        </w:rPr>
      </w:pPr>
      <w:r>
        <w:rPr>
          <w:rFonts w:ascii="Arial" w:cs="Arial" w:eastAsia="Arial" w:hAnsi="Arial"/>
          <w:sz w:val="20"/>
          <w:szCs w:val="20"/>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10160</wp:posOffset>
            </wp:positionV>
            <wp:extent cx="3555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jc w:val="center"/>
        <w:ind w:right="1980"/>
        <w:spacing w:after="0"/>
        <w:rPr>
          <w:sz w:val="20"/>
          <w:szCs w:val="20"/>
          <w:color w:val="auto"/>
        </w:rPr>
      </w:pPr>
      <w:r>
        <w:rPr>
          <w:rFonts w:ascii="Arial" w:cs="Arial" w:eastAsia="Arial" w:hAnsi="Arial"/>
          <w:sz w:val="18"/>
          <w:szCs w:val="18"/>
          <w:color w:val="auto"/>
        </w:rPr>
        <w:t>Tore Sandvold</w:t>
      </w:r>
    </w:p>
    <w:p>
      <w:pPr>
        <w:spacing w:after="0" w:line="18"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Director</w:t>
      </w:r>
    </w:p>
    <w:p>
      <w:pPr>
        <w:spacing w:after="0" w:line="126" w:lineRule="exact"/>
        <w:rPr>
          <w:sz w:val="20"/>
          <w:szCs w:val="20"/>
          <w:color w:val="auto"/>
        </w:rPr>
      </w:pPr>
    </w:p>
    <w:p>
      <w:pPr>
        <w:jc w:val="center"/>
        <w:ind w:right="1980"/>
        <w:spacing w:after="0"/>
        <w:rPr>
          <w:sz w:val="20"/>
          <w:szCs w:val="20"/>
          <w:color w:val="auto"/>
        </w:rPr>
      </w:pPr>
      <w:r>
        <w:rPr>
          <w:rFonts w:ascii="Arial" w:cs="Arial" w:eastAsia="Arial" w:hAnsi="Arial"/>
          <w:sz w:val="20"/>
          <w:szCs w:val="20"/>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10160</wp:posOffset>
            </wp:positionV>
            <wp:extent cx="3555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jc w:val="center"/>
        <w:ind w:right="1980"/>
        <w:spacing w:after="0"/>
        <w:rPr>
          <w:sz w:val="20"/>
          <w:szCs w:val="20"/>
          <w:color w:val="auto"/>
        </w:rPr>
      </w:pPr>
      <w:r>
        <w:rPr>
          <w:rFonts w:ascii="Arial" w:cs="Arial" w:eastAsia="Arial" w:hAnsi="Arial"/>
          <w:sz w:val="18"/>
          <w:szCs w:val="18"/>
          <w:color w:val="auto"/>
        </w:rPr>
        <w:t>Henri Seydoux</w:t>
      </w:r>
    </w:p>
    <w:p>
      <w:pPr>
        <w:spacing w:after="0" w:line="18"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Director</w:t>
      </w:r>
    </w:p>
    <w:p>
      <w:pPr>
        <w:spacing w:after="0" w:line="1007" w:lineRule="exact"/>
        <w:rPr>
          <w:sz w:val="20"/>
          <w:szCs w:val="20"/>
          <w:color w:val="auto"/>
        </w:rPr>
      </w:pPr>
    </w:p>
    <w:p>
      <w:pPr>
        <w:sectPr>
          <w:pgSz w:w="11900" w:h="16838" w:orient="portrait"/>
          <w:cols w:equalWidth="0" w:num="2">
            <w:col w:w="7080" w:space="720"/>
            <w:col w:w="3620"/>
          </w:cols>
          <w:pgMar w:left="240" w:top="121"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 January 16, 2014</w:t>
      </w:r>
    </w:p>
    <w:p>
      <w:pPr>
        <w:sectPr>
          <w:pgSz w:w="11900" w:h="16838" w:orient="portrait"/>
          <w:cols w:equalWidth="0" w:num="1">
            <w:col w:w="11420"/>
          </w:cols>
          <w:pgMar w:left="240" w:top="121"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6" w:lineRule="exact"/>
        <w:rPr>
          <w:sz w:val="20"/>
          <w:szCs w:val="20"/>
          <w:color w:val="auto"/>
        </w:rPr>
      </w:pPr>
    </w:p>
    <w:p>
      <w:pPr>
        <w:ind w:left="560" w:hanging="17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16" w:lineRule="exact"/>
        <w:rPr>
          <w:rFonts w:ascii="Arial" w:cs="Arial" w:eastAsia="Arial" w:hAnsi="Arial"/>
          <w:sz w:val="18"/>
          <w:szCs w:val="18"/>
          <w:color w:val="auto"/>
        </w:rPr>
      </w:pPr>
    </w:p>
    <w:p>
      <w:pPr>
        <w:ind w:firstLine="388"/>
        <w:spacing w:after="0" w:line="340" w:lineRule="auto"/>
        <w:tabs>
          <w:tab w:leader="none" w:pos="5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firstLine="388"/>
        <w:spacing w:after="0" w:line="276" w:lineRule="auto"/>
        <w:tabs>
          <w:tab w:leader="none" w:pos="5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2" w:lineRule="auto"/>
        <w:tabs>
          <w:tab w:leader="none" w:pos="5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right="20" w:hanging="304"/>
        <w:spacing w:after="0" w:line="262"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right="20" w:hanging="304"/>
        <w:spacing w:after="0" w:line="262"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right="20" w:hanging="304"/>
        <w:spacing w:after="0" w:line="306" w:lineRule="auto"/>
        <w:tabs>
          <w:tab w:leader="none" w:pos="9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920" w:right="20" w:hanging="304"/>
        <w:spacing w:after="0" w:line="262"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0" w:firstLine="388"/>
        <w:spacing w:after="0" w:line="306" w:lineRule="auto"/>
        <w:tabs>
          <w:tab w:leader="none" w:pos="55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20" w:right="20" w:hanging="304"/>
        <w:spacing w:after="0" w:line="276"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20" w:hanging="304"/>
        <w:spacing w:after="0" w:line="276"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January 31,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4"/>
        </w:trPr>
        <w:tc>
          <w:tcPr>
            <w:tcW w:w="6860" w:type="dxa"/>
            <w:vAlign w:val="bottom"/>
          </w:tcPr>
          <w:p>
            <w:pPr>
              <w:spacing w:after="0"/>
              <w:rPr>
                <w:sz w:val="16"/>
                <w:szCs w:val="16"/>
                <w:color w:val="auto"/>
              </w:rPr>
            </w:pPr>
          </w:p>
        </w:tc>
        <w:tc>
          <w:tcPr>
            <w:tcW w:w="4560" w:type="dxa"/>
            <w:vAlign w:val="bottom"/>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6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6" w:lineRule="exact"/>
        <w:rPr>
          <w:sz w:val="20"/>
          <w:szCs w:val="20"/>
          <w:color w:val="auto"/>
        </w:rPr>
      </w:pPr>
    </w:p>
    <w:p>
      <w:pPr>
        <w:ind w:left="560" w:hanging="172"/>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16" w:lineRule="exact"/>
        <w:rPr>
          <w:rFonts w:ascii="Arial" w:cs="Arial" w:eastAsia="Arial" w:hAnsi="Arial"/>
          <w:sz w:val="18"/>
          <w:szCs w:val="18"/>
          <w:color w:val="auto"/>
        </w:rPr>
      </w:pPr>
    </w:p>
    <w:p>
      <w:pPr>
        <w:ind w:firstLine="388"/>
        <w:spacing w:after="0" w:line="340" w:lineRule="auto"/>
        <w:tabs>
          <w:tab w:leader="none" w:pos="573"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firstLine="388"/>
        <w:spacing w:after="0" w:line="276" w:lineRule="auto"/>
        <w:tabs>
          <w:tab w:leader="none" w:pos="5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2" w:lineRule="auto"/>
        <w:tabs>
          <w:tab w:leader="none" w:pos="5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right="20" w:hanging="304"/>
        <w:spacing w:after="0" w:line="262"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right="20" w:hanging="304"/>
        <w:spacing w:after="0" w:line="262"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right="20" w:hanging="304"/>
        <w:spacing w:after="0" w:line="306" w:lineRule="auto"/>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920" w:right="20" w:hanging="304"/>
        <w:spacing w:after="0" w:line="262"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0" w:firstLine="388"/>
        <w:spacing w:after="0" w:line="306" w:lineRule="auto"/>
        <w:tabs>
          <w:tab w:leader="none" w:pos="5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20" w:right="20" w:hanging="304"/>
        <w:spacing w:after="0" w:line="276"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20" w:hanging="304"/>
        <w:spacing w:after="0" w:line="276"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Date: January 31, 2014</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7280" w:type="dxa"/>
            <w:vAlign w:val="bottom"/>
          </w:tcPr>
          <w:p>
            <w:pPr>
              <w:spacing w:after="0"/>
              <w:rPr>
                <w:sz w:val="16"/>
                <w:szCs w:val="16"/>
                <w:color w:val="auto"/>
              </w:rPr>
            </w:pPr>
          </w:p>
        </w:tc>
        <w:tc>
          <w:tcPr>
            <w:tcW w:w="4140" w:type="dxa"/>
            <w:vAlign w:val="bottom"/>
          </w:tcPr>
          <w:p>
            <w:pPr>
              <w:ind w:left="40"/>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7280" w:type="dxa"/>
            <w:vAlign w:val="bottom"/>
          </w:tcPr>
          <w:p>
            <w:pPr>
              <w:spacing w:after="0"/>
              <w:rPr>
                <w:sz w:val="19"/>
                <w:szCs w:val="19"/>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w w:val="98"/>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Schlumberger N.V. (Schlumberger Limited) (the “Company”) for the year ended December 31, 2013 as filed with the Securities and Exchange Commission on the date hereof (the “Report”), I, Paal Kibsgaard, Chief Executive Officer of the Company, certify, pursuant to 18 U.S.C. § 1350, as adopted pursuant to § 906 of the Sarbanes-Oxley Act of 2002, that:</w:t>
      </w:r>
    </w:p>
    <w:p>
      <w:pPr>
        <w:spacing w:after="0" w:line="76" w:lineRule="exact"/>
        <w:rPr>
          <w:sz w:val="20"/>
          <w:szCs w:val="20"/>
          <w:color w:val="auto"/>
        </w:rPr>
      </w:pPr>
    </w:p>
    <w:p>
      <w:pPr>
        <w:ind w:left="820" w:right="20" w:hanging="295"/>
        <w:spacing w:after="0" w:line="276"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820" w:hanging="295"/>
        <w:spacing w:after="0"/>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January 31, 2014</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4"/>
        </w:trPr>
        <w:tc>
          <w:tcPr>
            <w:tcW w:w="5340" w:type="dxa"/>
            <w:vAlign w:val="bottom"/>
          </w:tcPr>
          <w:p>
            <w:pPr>
              <w:spacing w:after="0"/>
              <w:rPr>
                <w:sz w:val="16"/>
                <w:szCs w:val="16"/>
                <w:color w:val="auto"/>
              </w:rPr>
            </w:pPr>
          </w:p>
        </w:tc>
        <w:tc>
          <w:tcPr>
            <w:tcW w:w="3020" w:type="dxa"/>
            <w:vAlign w:val="bottom"/>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534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2013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820" w:right="20" w:hanging="295"/>
        <w:spacing w:after="0" w:line="276"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820" w:hanging="295"/>
        <w:spacing w:after="0"/>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January 31, 2014</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340" w:type="dxa"/>
            <w:vAlign w:val="bottom"/>
          </w:tcPr>
          <w:p>
            <w:pPr>
              <w:spacing w:after="0"/>
              <w:rPr>
                <w:sz w:val="16"/>
                <w:szCs w:val="16"/>
                <w:color w:val="auto"/>
              </w:rPr>
            </w:pPr>
          </w:p>
        </w:tc>
        <w:tc>
          <w:tcPr>
            <w:tcW w:w="3020" w:type="dxa"/>
            <w:vAlign w:val="bottom"/>
          </w:tcPr>
          <w:p>
            <w:pPr>
              <w:ind w:left="40"/>
              <w:spacing w:after="0" w:line="195" w:lineRule="exact"/>
              <w:rPr>
                <w:sz w:val="20"/>
                <w:szCs w:val="20"/>
                <w:color w:val="auto"/>
              </w:rPr>
            </w:pPr>
            <w:r>
              <w:rPr>
                <w:rFonts w:ascii="Arial" w:cs="Arial" w:eastAsia="Arial" w:hAnsi="Arial"/>
                <w:sz w:val="18"/>
                <w:szCs w:val="18"/>
                <w:color w:val="auto"/>
              </w:rPr>
              <w:t>Simon Ayat</w:t>
            </w:r>
          </w:p>
        </w:tc>
      </w:tr>
      <w:tr>
        <w:trPr>
          <w:trHeight w:val="215"/>
        </w:trPr>
        <w:tc>
          <w:tcPr>
            <w:tcW w:w="534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3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78" w:name="page79"/>
    <w:bookmarkEnd w:id="78"/>
    <w:p>
      <w:pPr>
        <w:ind w:left="10620"/>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Mine Safety Disclosure</w:t>
      </w:r>
    </w:p>
    <w:p>
      <w:pPr>
        <w:spacing w:after="0" w:line="228" w:lineRule="exact"/>
        <w:rPr>
          <w:sz w:val="20"/>
          <w:szCs w:val="20"/>
          <w:color w:val="auto"/>
        </w:rPr>
      </w:pPr>
    </w:p>
    <w:p>
      <w:pPr>
        <w:ind w:right="520" w:firstLine="761"/>
        <w:spacing w:after="0" w:line="262"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3" w:lineRule="exact"/>
        <w:rPr>
          <w:sz w:val="20"/>
          <w:szCs w:val="20"/>
          <w:color w:val="auto"/>
        </w:rPr>
      </w:pPr>
    </w:p>
    <w:p>
      <w:pPr>
        <w:ind w:right="180" w:firstLine="761"/>
        <w:spacing w:after="0" w:line="285"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full year ended December 31, 2013. Due to timing and other factors, the data may not agree with the mine data retrieval system maintained by the MSHA at www.MSHA.gov.</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40" w:type="dxa"/>
            <w:vAlign w:val="bottom"/>
            <w:gridSpan w:val="4"/>
          </w:tcPr>
          <w:p>
            <w:pPr>
              <w:ind w:left="440"/>
              <w:spacing w:after="0"/>
              <w:rPr>
                <w:sz w:val="20"/>
                <w:szCs w:val="20"/>
                <w:color w:val="auto"/>
              </w:rPr>
            </w:pPr>
            <w:r>
              <w:rPr>
                <w:rFonts w:ascii="Arial" w:cs="Arial" w:eastAsia="Arial" w:hAnsi="Arial"/>
                <w:sz w:val="18"/>
                <w:szCs w:val="18"/>
                <w:b w:val="1"/>
                <w:bCs w:val="1"/>
                <w:color w:val="auto"/>
              </w:rPr>
              <w:t>Full Year 2013</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3"/>
        </w:trPr>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Received</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60" w:type="dxa"/>
            <w:vAlign w:val="bottom"/>
            <w:gridSpan w:val="2"/>
          </w:tcPr>
          <w:p>
            <w:pPr>
              <w:ind w:left="60"/>
              <w:spacing w:after="0" w:line="242" w:lineRule="exact"/>
              <w:rPr>
                <w:sz w:val="20"/>
                <w:szCs w:val="20"/>
                <w:color w:val="auto"/>
              </w:rPr>
            </w:pPr>
            <w:r>
              <w:rPr>
                <w:rFonts w:ascii="Arial" w:cs="Arial" w:eastAsia="Arial" w:hAnsi="Arial"/>
                <w:sz w:val="22"/>
                <w:szCs w:val="22"/>
                <w:color w:val="auto"/>
                <w:w w:val="90"/>
              </w:rPr>
              <w:t>Received Notice of</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60" w:type="dxa"/>
            <w:vAlign w:val="bottom"/>
            <w:gridSpan w:val="2"/>
          </w:tcPr>
          <w:p>
            <w:pPr>
              <w:ind w:left="60"/>
              <w:spacing w:after="0" w:line="242" w:lineRule="exact"/>
              <w:rPr>
                <w:sz w:val="20"/>
                <w:szCs w:val="20"/>
                <w:color w:val="auto"/>
              </w:rPr>
            </w:pPr>
            <w:r>
              <w:rPr>
                <w:rFonts w:ascii="Arial" w:cs="Arial" w:eastAsia="Arial" w:hAnsi="Arial"/>
                <w:sz w:val="22"/>
                <w:szCs w:val="22"/>
                <w:color w:val="auto"/>
                <w:w w:val="94"/>
              </w:rPr>
              <w:t>Notice of Potential</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89"/>
              </w:rPr>
              <w:t>Legal</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40" w:type="dxa"/>
            <w:vAlign w:val="bottom"/>
            <w:gridSpan w:val="3"/>
          </w:tcPr>
          <w:p>
            <w:pPr>
              <w:ind w:left="40"/>
              <w:spacing w:after="0" w:line="242" w:lineRule="exact"/>
              <w:rPr>
                <w:sz w:val="20"/>
                <w:szCs w:val="20"/>
                <w:color w:val="auto"/>
              </w:rPr>
            </w:pPr>
            <w:r>
              <w:rPr>
                <w:rFonts w:ascii="Arial" w:cs="Arial" w:eastAsia="Arial" w:hAnsi="Arial"/>
                <w:sz w:val="22"/>
                <w:szCs w:val="22"/>
                <w:color w:val="auto"/>
                <w:w w:val="93"/>
              </w:rPr>
              <w:t>Pattern of to Have Actions</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7"/>
              </w:rPr>
              <w:t>Section</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40" w:type="dxa"/>
            <w:vAlign w:val="bottom"/>
            <w:gridSpan w:val="3"/>
          </w:tcPr>
          <w:p>
            <w:pPr>
              <w:ind w:left="20"/>
              <w:spacing w:after="0" w:line="242" w:lineRule="exact"/>
              <w:rPr>
                <w:sz w:val="20"/>
                <w:szCs w:val="20"/>
                <w:color w:val="auto"/>
              </w:rPr>
            </w:pPr>
            <w:r>
              <w:rPr>
                <w:rFonts w:ascii="Arial" w:cs="Arial" w:eastAsia="Arial" w:hAnsi="Arial"/>
                <w:sz w:val="22"/>
                <w:szCs w:val="22"/>
                <w:color w:val="auto"/>
                <w:w w:val="92"/>
              </w:rPr>
              <w:t>Violations Pattern Pending</w:t>
            </w:r>
          </w:p>
        </w:tc>
        <w:tc>
          <w:tcPr>
            <w:tcW w:w="740" w:type="dxa"/>
            <w:vAlign w:val="bottom"/>
          </w:tcPr>
          <w:p>
            <w:pPr>
              <w:jc w:val="center"/>
              <w:spacing w:after="0" w:line="242" w:lineRule="exact"/>
              <w:rPr>
                <w:sz w:val="20"/>
                <w:szCs w:val="20"/>
                <w:color w:val="auto"/>
              </w:rPr>
            </w:pPr>
            <w:r>
              <w:rPr>
                <w:rFonts w:ascii="Arial" w:cs="Arial" w:eastAsia="Arial" w:hAnsi="Arial"/>
                <w:sz w:val="22"/>
                <w:szCs w:val="22"/>
                <w:color w:val="auto"/>
                <w:w w:val="89"/>
              </w:rPr>
              <w:t>Legal</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9"/>
              </w:rPr>
              <w:t>Legal</w:t>
            </w: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w w:val="94"/>
              </w:rPr>
              <w:t>Mine or Operating</w:t>
            </w:r>
          </w:p>
        </w:tc>
        <w:tc>
          <w:tcPr>
            <w:tcW w:w="760" w:type="dxa"/>
            <w:vAlign w:val="bottom"/>
          </w:tcPr>
          <w:p>
            <w:pPr>
              <w:jc w:val="center"/>
              <w:spacing w:after="0" w:line="242" w:lineRule="exact"/>
              <w:rPr>
                <w:sz w:val="20"/>
                <w:szCs w:val="20"/>
                <w:color w:val="auto"/>
              </w:rPr>
            </w:pPr>
            <w:r>
              <w:rPr>
                <w:rFonts w:ascii="Arial" w:cs="Arial" w:eastAsia="Arial" w:hAnsi="Arial"/>
                <w:sz w:val="22"/>
                <w:szCs w:val="22"/>
                <w:color w:val="auto"/>
                <w:w w:val="87"/>
              </w:rPr>
              <w:t>Section</w:t>
            </w:r>
          </w:p>
        </w:tc>
        <w:tc>
          <w:tcPr>
            <w:tcW w:w="700" w:type="dxa"/>
            <w:vAlign w:val="bottom"/>
          </w:tcPr>
          <w:p>
            <w:pPr>
              <w:spacing w:after="0"/>
              <w:rPr>
                <w:sz w:val="21"/>
                <w:szCs w:val="21"/>
                <w:color w:val="auto"/>
              </w:rPr>
            </w:pP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91"/>
              </w:rPr>
              <w:t>104(d)</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90"/>
              </w:rPr>
              <w:t>Under</w:t>
            </w:r>
          </w:p>
        </w:tc>
        <w:tc>
          <w:tcPr>
            <w:tcW w:w="900" w:type="dxa"/>
            <w:vAlign w:val="bottom"/>
          </w:tcPr>
          <w:p>
            <w:pPr>
              <w:jc w:val="center"/>
              <w:spacing w:after="0" w:line="242" w:lineRule="exact"/>
              <w:rPr>
                <w:sz w:val="20"/>
                <w:szCs w:val="20"/>
                <w:color w:val="auto"/>
              </w:rPr>
            </w:pPr>
            <w:r>
              <w:rPr>
                <w:rFonts w:ascii="Arial" w:cs="Arial" w:eastAsia="Arial" w:hAnsi="Arial"/>
                <w:sz w:val="22"/>
                <w:szCs w:val="22"/>
                <w:color w:val="auto"/>
                <w:w w:val="90"/>
              </w:rPr>
              <w:t>Under</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83"/>
              </w:rPr>
              <w:t>as of</w:t>
            </w:r>
          </w:p>
        </w:tc>
        <w:tc>
          <w:tcPr>
            <w:tcW w:w="1520" w:type="dxa"/>
            <w:vAlign w:val="bottom"/>
            <w:gridSpan w:val="2"/>
          </w:tcPr>
          <w:p>
            <w:pPr>
              <w:ind w:left="20"/>
              <w:spacing w:after="0" w:line="242" w:lineRule="exact"/>
              <w:rPr>
                <w:sz w:val="20"/>
                <w:szCs w:val="20"/>
                <w:color w:val="auto"/>
              </w:rPr>
            </w:pPr>
            <w:r>
              <w:rPr>
                <w:rFonts w:ascii="Arial" w:cs="Arial" w:eastAsia="Arial" w:hAnsi="Arial"/>
                <w:sz w:val="22"/>
                <w:szCs w:val="22"/>
                <w:color w:val="auto"/>
                <w:w w:val="98"/>
              </w:rPr>
              <w:t>Actions Actions</w:t>
            </w: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rPr>
              <w:t>Name/MSHA</w:t>
            </w:r>
          </w:p>
        </w:tc>
        <w:tc>
          <w:tcPr>
            <w:tcW w:w="760" w:type="dxa"/>
            <w:vAlign w:val="bottom"/>
          </w:tcPr>
          <w:p>
            <w:pPr>
              <w:jc w:val="center"/>
              <w:spacing w:after="0" w:line="242" w:lineRule="exact"/>
              <w:rPr>
                <w:sz w:val="20"/>
                <w:szCs w:val="20"/>
                <w:color w:val="auto"/>
              </w:rPr>
            </w:pPr>
            <w:r>
              <w:rPr>
                <w:rFonts w:ascii="Arial" w:cs="Arial" w:eastAsia="Arial" w:hAnsi="Arial"/>
                <w:sz w:val="22"/>
                <w:szCs w:val="22"/>
                <w:color w:val="auto"/>
                <w:w w:val="87"/>
              </w:rPr>
              <w:t>104</w:t>
            </w:r>
          </w:p>
        </w:tc>
        <w:tc>
          <w:tcPr>
            <w:tcW w:w="1480" w:type="dxa"/>
            <w:vAlign w:val="bottom"/>
            <w:gridSpan w:val="2"/>
          </w:tcPr>
          <w:p>
            <w:pPr>
              <w:ind w:left="40"/>
              <w:spacing w:after="0" w:line="242" w:lineRule="exact"/>
              <w:rPr>
                <w:sz w:val="20"/>
                <w:szCs w:val="20"/>
                <w:color w:val="auto"/>
              </w:rPr>
            </w:pPr>
            <w:r>
              <w:rPr>
                <w:rFonts w:ascii="Arial" w:cs="Arial" w:eastAsia="Arial" w:hAnsi="Arial"/>
                <w:sz w:val="22"/>
                <w:szCs w:val="22"/>
                <w:color w:val="auto"/>
                <w:w w:val="89"/>
              </w:rPr>
              <w:t>SectionCitations</w:t>
            </w:r>
          </w:p>
        </w:tc>
        <w:tc>
          <w:tcPr>
            <w:tcW w:w="800" w:type="dxa"/>
            <w:vAlign w:val="bottom"/>
          </w:tcPr>
          <w:p>
            <w:pPr>
              <w:jc w:val="center"/>
              <w:spacing w:after="0" w:line="242" w:lineRule="exact"/>
              <w:rPr>
                <w:sz w:val="20"/>
                <w:szCs w:val="20"/>
                <w:color w:val="auto"/>
              </w:rPr>
            </w:pPr>
            <w:r>
              <w:rPr>
                <w:rFonts w:ascii="Arial" w:cs="Arial" w:eastAsia="Arial" w:hAnsi="Arial"/>
                <w:sz w:val="22"/>
                <w:szCs w:val="22"/>
                <w:color w:val="auto"/>
                <w:w w:val="87"/>
              </w:rPr>
              <w:t>Section</w:t>
            </w:r>
          </w:p>
        </w:tc>
        <w:tc>
          <w:tcPr>
            <w:tcW w:w="840" w:type="dxa"/>
            <w:vAlign w:val="bottom"/>
            <w:gridSpan w:val="2"/>
          </w:tcPr>
          <w:p>
            <w:pPr>
              <w:jc w:val="center"/>
              <w:ind w:right="60"/>
              <w:spacing w:after="0" w:line="242" w:lineRule="exact"/>
              <w:rPr>
                <w:sz w:val="20"/>
                <w:szCs w:val="20"/>
                <w:color w:val="auto"/>
              </w:rPr>
            </w:pPr>
            <w:r>
              <w:rPr>
                <w:rFonts w:ascii="Arial" w:cs="Arial" w:eastAsia="Arial" w:hAnsi="Arial"/>
                <w:sz w:val="22"/>
                <w:szCs w:val="22"/>
                <w:color w:val="auto"/>
                <w:w w:val="89"/>
              </w:rPr>
              <w:t>Section</w:t>
            </w:r>
          </w:p>
        </w:tc>
        <w:tc>
          <w:tcPr>
            <w:tcW w:w="1100" w:type="dxa"/>
            <w:vAlign w:val="bottom"/>
            <w:gridSpan w:val="2"/>
          </w:tcPr>
          <w:p>
            <w:pPr>
              <w:jc w:val="center"/>
              <w:ind w:right="20"/>
              <w:spacing w:after="0" w:line="242" w:lineRule="exact"/>
              <w:rPr>
                <w:sz w:val="20"/>
                <w:szCs w:val="20"/>
                <w:color w:val="auto"/>
              </w:rPr>
            </w:pPr>
            <w:r>
              <w:rPr>
                <w:rFonts w:ascii="Arial" w:cs="Arial" w:eastAsia="Arial" w:hAnsi="Arial"/>
                <w:sz w:val="22"/>
                <w:szCs w:val="22"/>
                <w:color w:val="auto"/>
                <w:w w:val="84"/>
              </w:rPr>
              <w:t>Proposed</w:t>
            </w:r>
          </w:p>
        </w:tc>
        <w:tc>
          <w:tcPr>
            <w:tcW w:w="860" w:type="dxa"/>
            <w:vAlign w:val="bottom"/>
          </w:tcPr>
          <w:p>
            <w:pPr>
              <w:jc w:val="center"/>
              <w:ind w:left="12"/>
              <w:spacing w:after="0" w:line="242" w:lineRule="exact"/>
              <w:rPr>
                <w:sz w:val="20"/>
                <w:szCs w:val="20"/>
                <w:color w:val="auto"/>
              </w:rPr>
            </w:pPr>
            <w:r>
              <w:rPr>
                <w:rFonts w:ascii="Arial" w:cs="Arial" w:eastAsia="Arial" w:hAnsi="Arial"/>
                <w:sz w:val="22"/>
                <w:szCs w:val="22"/>
                <w:color w:val="auto"/>
                <w:w w:val="95"/>
              </w:rPr>
              <w:t>Mining</w:t>
            </w: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89"/>
              </w:rPr>
              <w:t>Section</w:t>
            </w:r>
          </w:p>
        </w:tc>
        <w:tc>
          <w:tcPr>
            <w:tcW w:w="900" w:type="dxa"/>
            <w:vAlign w:val="bottom"/>
          </w:tcPr>
          <w:p>
            <w:pPr>
              <w:jc w:val="center"/>
              <w:spacing w:after="0" w:line="242" w:lineRule="exact"/>
              <w:rPr>
                <w:sz w:val="20"/>
                <w:szCs w:val="20"/>
                <w:color w:val="auto"/>
              </w:rPr>
            </w:pPr>
            <w:r>
              <w:rPr>
                <w:rFonts w:ascii="Arial" w:cs="Arial" w:eastAsia="Arial" w:hAnsi="Arial"/>
                <w:sz w:val="22"/>
                <w:szCs w:val="22"/>
                <w:color w:val="auto"/>
                <w:w w:val="87"/>
              </w:rPr>
              <w:t>Section</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86"/>
              </w:rPr>
              <w:t>Last</w:t>
            </w:r>
          </w:p>
        </w:tc>
        <w:tc>
          <w:tcPr>
            <w:tcW w:w="1520" w:type="dxa"/>
            <w:vAlign w:val="bottom"/>
            <w:gridSpan w:val="2"/>
          </w:tcPr>
          <w:p>
            <w:pPr>
              <w:spacing w:after="0" w:line="242" w:lineRule="exact"/>
              <w:rPr>
                <w:sz w:val="20"/>
                <w:szCs w:val="20"/>
                <w:color w:val="auto"/>
              </w:rPr>
            </w:pPr>
            <w:r>
              <w:rPr>
                <w:rFonts w:ascii="Arial" w:cs="Arial" w:eastAsia="Arial" w:hAnsi="Arial"/>
                <w:sz w:val="22"/>
                <w:szCs w:val="22"/>
                <w:color w:val="auto"/>
                <w:w w:val="88"/>
              </w:rPr>
              <w:t>InitiatedResolved</w:t>
            </w: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rPr>
              <w:t>Identification</w:t>
            </w:r>
          </w:p>
        </w:tc>
        <w:tc>
          <w:tcPr>
            <w:tcW w:w="760" w:type="dxa"/>
            <w:vAlign w:val="bottom"/>
          </w:tcPr>
          <w:p>
            <w:pPr>
              <w:jc w:val="center"/>
              <w:spacing w:after="0" w:line="242" w:lineRule="exact"/>
              <w:rPr>
                <w:sz w:val="20"/>
                <w:szCs w:val="20"/>
                <w:color w:val="auto"/>
              </w:rPr>
            </w:pPr>
            <w:r>
              <w:rPr>
                <w:rFonts w:ascii="Arial" w:cs="Arial" w:eastAsia="Arial" w:hAnsi="Arial"/>
                <w:sz w:val="22"/>
                <w:szCs w:val="22"/>
                <w:color w:val="auto"/>
                <w:w w:val="90"/>
              </w:rPr>
              <w:t>S&amp;S</w:t>
            </w:r>
          </w:p>
        </w:tc>
        <w:tc>
          <w:tcPr>
            <w:tcW w:w="700" w:type="dxa"/>
            <w:vAlign w:val="bottom"/>
          </w:tcPr>
          <w:p>
            <w:pPr>
              <w:jc w:val="center"/>
              <w:spacing w:after="0" w:line="242" w:lineRule="exact"/>
              <w:rPr>
                <w:sz w:val="20"/>
                <w:szCs w:val="20"/>
                <w:color w:val="auto"/>
              </w:rPr>
            </w:pPr>
            <w:r>
              <w:rPr>
                <w:rFonts w:ascii="Arial" w:cs="Arial" w:eastAsia="Arial" w:hAnsi="Arial"/>
                <w:sz w:val="22"/>
                <w:szCs w:val="22"/>
                <w:color w:val="auto"/>
                <w:w w:val="91"/>
              </w:rPr>
              <w:t>104(b)</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1"/>
              </w:rPr>
              <w:t>and</w:t>
            </w:r>
          </w:p>
        </w:tc>
        <w:tc>
          <w:tcPr>
            <w:tcW w:w="1640" w:type="dxa"/>
            <w:vAlign w:val="bottom"/>
            <w:gridSpan w:val="3"/>
          </w:tcPr>
          <w:p>
            <w:pPr>
              <w:ind w:left="20"/>
              <w:spacing w:after="0" w:line="242" w:lineRule="exact"/>
              <w:rPr>
                <w:sz w:val="20"/>
                <w:szCs w:val="20"/>
                <w:color w:val="auto"/>
              </w:rPr>
            </w:pPr>
            <w:r>
              <w:rPr>
                <w:rFonts w:ascii="Arial" w:cs="Arial" w:eastAsia="Arial" w:hAnsi="Arial"/>
                <w:sz w:val="22"/>
                <w:szCs w:val="22"/>
                <w:color w:val="auto"/>
                <w:w w:val="99"/>
              </w:rPr>
              <w:t>110(b)(2) 107(a)</w:t>
            </w:r>
          </w:p>
        </w:tc>
        <w:tc>
          <w:tcPr>
            <w:tcW w:w="1100" w:type="dxa"/>
            <w:vAlign w:val="bottom"/>
            <w:gridSpan w:val="2"/>
          </w:tcPr>
          <w:p>
            <w:pPr>
              <w:jc w:val="center"/>
              <w:ind w:right="40"/>
              <w:spacing w:after="0" w:line="242" w:lineRule="exact"/>
              <w:rPr>
                <w:sz w:val="20"/>
                <w:szCs w:val="20"/>
                <w:color w:val="auto"/>
              </w:rPr>
            </w:pPr>
            <w:r>
              <w:rPr>
                <w:rFonts w:ascii="Arial" w:cs="Arial" w:eastAsia="Arial" w:hAnsi="Arial"/>
                <w:sz w:val="22"/>
                <w:szCs w:val="22"/>
                <w:color w:val="auto"/>
                <w:w w:val="97"/>
              </w:rPr>
              <w:t>MSHA</w:t>
            </w:r>
          </w:p>
        </w:tc>
        <w:tc>
          <w:tcPr>
            <w:tcW w:w="860" w:type="dxa"/>
            <w:vAlign w:val="bottom"/>
          </w:tcPr>
          <w:p>
            <w:pPr>
              <w:jc w:val="center"/>
              <w:ind w:left="12"/>
              <w:spacing w:after="0" w:line="242" w:lineRule="exact"/>
              <w:rPr>
                <w:sz w:val="20"/>
                <w:szCs w:val="20"/>
                <w:color w:val="auto"/>
              </w:rPr>
            </w:pPr>
            <w:r>
              <w:rPr>
                <w:rFonts w:ascii="Arial" w:cs="Arial" w:eastAsia="Arial" w:hAnsi="Arial"/>
                <w:sz w:val="22"/>
                <w:szCs w:val="22"/>
                <w:color w:val="auto"/>
                <w:w w:val="86"/>
              </w:rPr>
              <w:t>Related</w:t>
            </w: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88"/>
              </w:rPr>
              <w:t>104(e)</w:t>
            </w:r>
          </w:p>
        </w:tc>
        <w:tc>
          <w:tcPr>
            <w:tcW w:w="900" w:type="dxa"/>
            <w:vAlign w:val="bottom"/>
          </w:tcPr>
          <w:p>
            <w:pPr>
              <w:jc w:val="center"/>
              <w:spacing w:after="0" w:line="242" w:lineRule="exact"/>
              <w:rPr>
                <w:sz w:val="20"/>
                <w:szCs w:val="20"/>
                <w:color w:val="auto"/>
              </w:rPr>
            </w:pPr>
            <w:r>
              <w:rPr>
                <w:rFonts w:ascii="Arial" w:cs="Arial" w:eastAsia="Arial" w:hAnsi="Arial"/>
                <w:sz w:val="22"/>
                <w:szCs w:val="22"/>
                <w:color w:val="auto"/>
                <w:w w:val="88"/>
              </w:rPr>
              <w:t>104(e)</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94"/>
              </w:rPr>
              <w:t>Day of</w:t>
            </w:r>
          </w:p>
        </w:tc>
        <w:tc>
          <w:tcPr>
            <w:tcW w:w="740" w:type="dxa"/>
            <w:vAlign w:val="bottom"/>
          </w:tcPr>
          <w:p>
            <w:pPr>
              <w:jc w:val="center"/>
              <w:spacing w:after="0" w:line="242" w:lineRule="exact"/>
              <w:rPr>
                <w:sz w:val="20"/>
                <w:szCs w:val="20"/>
                <w:color w:val="auto"/>
              </w:rPr>
            </w:pPr>
            <w:r>
              <w:rPr>
                <w:rFonts w:ascii="Arial" w:cs="Arial" w:eastAsia="Arial" w:hAnsi="Arial"/>
                <w:sz w:val="22"/>
                <w:szCs w:val="22"/>
                <w:color w:val="auto"/>
                <w:w w:val="92"/>
              </w:rPr>
              <w:t>During</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92"/>
              </w:rPr>
              <w:t>During</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Number</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9"/>
              </w:rPr>
              <w:t>Citations Orders</w:t>
            </w:r>
          </w:p>
        </w:tc>
        <w:tc>
          <w:tcPr>
            <w:tcW w:w="5240" w:type="dxa"/>
            <w:vAlign w:val="bottom"/>
            <w:tcBorders>
              <w:bottom w:val="single" w:sz="8" w:color="auto"/>
            </w:tcBorders>
            <w:gridSpan w:val="8"/>
          </w:tcPr>
          <w:p>
            <w:pPr>
              <w:ind w:left="80"/>
              <w:spacing w:after="0"/>
              <w:rPr>
                <w:sz w:val="20"/>
                <w:szCs w:val="20"/>
                <w:color w:val="auto"/>
              </w:rPr>
            </w:pPr>
            <w:r>
              <w:rPr>
                <w:rFonts w:ascii="Arial" w:cs="Arial" w:eastAsia="Arial" w:hAnsi="Arial"/>
                <w:sz w:val="22"/>
                <w:szCs w:val="22"/>
                <w:color w:val="auto"/>
                <w:w w:val="89"/>
              </w:rPr>
              <w:t>Orders Violations Orders Assessments</w:t>
            </w:r>
            <w:r>
              <w:rPr>
                <w:rFonts w:ascii="Arial" w:cs="Arial" w:eastAsia="Arial" w:hAnsi="Arial"/>
                <w:sz w:val="18"/>
                <w:szCs w:val="18"/>
                <w:color w:val="auto"/>
                <w:w w:val="89"/>
              </w:rPr>
              <w:t>(1)</w:t>
            </w:r>
            <w:r>
              <w:rPr>
                <w:rFonts w:ascii="Arial" w:cs="Arial" w:eastAsia="Arial" w:hAnsi="Arial"/>
                <w:sz w:val="22"/>
                <w:szCs w:val="22"/>
                <w:color w:val="auto"/>
                <w:w w:val="89"/>
              </w:rPr>
              <w:t>Fatalities (yes/no)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(yes/no)</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Period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Period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Period</w:t>
            </w:r>
          </w:p>
        </w:tc>
        <w:tc>
          <w:tcPr>
            <w:tcW w:w="0" w:type="dxa"/>
            <w:vAlign w:val="bottom"/>
          </w:tcPr>
          <w:p>
            <w:pPr>
              <w:spacing w:after="0"/>
              <w:rPr>
                <w:sz w:val="1"/>
                <w:szCs w:val="1"/>
                <w:color w:val="auto"/>
              </w:rPr>
            </w:pPr>
          </w:p>
        </w:tc>
      </w:tr>
      <w:tr>
        <w:trPr>
          <w:trHeight w:val="510"/>
        </w:trPr>
        <w:tc>
          <w:tcPr>
            <w:tcW w:w="1680" w:type="dxa"/>
            <w:vAlign w:val="bottom"/>
          </w:tcPr>
          <w:p>
            <w:pPr>
              <w:spacing w:after="0"/>
              <w:rPr>
                <w:sz w:val="20"/>
                <w:szCs w:val="20"/>
                <w:color w:val="auto"/>
              </w:rPr>
            </w:pPr>
            <w:r>
              <w:rPr>
                <w:rFonts w:ascii="Arial" w:cs="Arial" w:eastAsia="Arial" w:hAnsi="Arial"/>
                <w:sz w:val="22"/>
                <w:szCs w:val="22"/>
                <w:color w:val="auto"/>
              </w:rPr>
              <w:t>Amelia Barite</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22"/>
                <w:szCs w:val="22"/>
                <w:color w:val="auto"/>
                <w:w w:val="85"/>
              </w:rPr>
              <w:t>$400</w:t>
            </w: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rPr>
              <w:t>Plant/1600825</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680" w:type="dxa"/>
            <w:vAlign w:val="bottom"/>
          </w:tcPr>
          <w:p>
            <w:pPr>
              <w:spacing w:after="0"/>
              <w:rPr>
                <w:sz w:val="20"/>
                <w:szCs w:val="20"/>
                <w:color w:val="auto"/>
              </w:rPr>
            </w:pPr>
            <w:r>
              <w:rPr>
                <w:rFonts w:ascii="Arial" w:cs="Arial" w:eastAsia="Arial" w:hAnsi="Arial"/>
                <w:sz w:val="22"/>
                <w:szCs w:val="22"/>
                <w:color w:val="auto"/>
              </w:rPr>
              <w:t>Battle Mountain</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rPr>
              <w:t>Grinding</w:t>
            </w:r>
          </w:p>
        </w:tc>
        <w:tc>
          <w:tcPr>
            <w:tcW w:w="760" w:type="dxa"/>
            <w:vAlign w:val="bottom"/>
          </w:tcPr>
          <w:p>
            <w:pPr>
              <w:jc w:val="center"/>
              <w:spacing w:after="0" w:line="242" w:lineRule="exact"/>
              <w:rPr>
                <w:sz w:val="20"/>
                <w:szCs w:val="20"/>
                <w:color w:val="auto"/>
              </w:rPr>
            </w:pPr>
            <w:r>
              <w:rPr>
                <w:rFonts w:ascii="Arial" w:cs="Arial" w:eastAsia="Arial" w:hAnsi="Arial"/>
                <w:sz w:val="22"/>
                <w:szCs w:val="22"/>
                <w:color w:val="auto"/>
                <w:w w:val="97"/>
              </w:rPr>
              <w:t>1</w:t>
            </w:r>
          </w:p>
        </w:tc>
        <w:tc>
          <w:tcPr>
            <w:tcW w:w="700" w:type="dxa"/>
            <w:vAlign w:val="bottom"/>
          </w:tcPr>
          <w:p>
            <w:pPr>
              <w:jc w:val="center"/>
              <w:spacing w:after="0" w:line="242" w:lineRule="exact"/>
              <w:rPr>
                <w:sz w:val="20"/>
                <w:szCs w:val="20"/>
                <w:color w:val="auto"/>
              </w:rPr>
            </w:pPr>
            <w:r>
              <w:rPr>
                <w:rFonts w:ascii="Arial" w:cs="Arial" w:eastAsia="Arial" w:hAnsi="Arial"/>
                <w:sz w:val="22"/>
                <w:szCs w:val="22"/>
                <w:color w:val="auto"/>
                <w:w w:val="81"/>
              </w:rPr>
              <w:t>0</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1"/>
              </w:rPr>
              <w:t>0</w:t>
            </w:r>
          </w:p>
        </w:tc>
        <w:tc>
          <w:tcPr>
            <w:tcW w:w="80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840" w:type="dxa"/>
            <w:vAlign w:val="bottom"/>
            <w:gridSpan w:val="2"/>
          </w:tcPr>
          <w:p>
            <w:pPr>
              <w:jc w:val="center"/>
              <w:ind w:right="60"/>
              <w:spacing w:after="0" w:line="242" w:lineRule="exact"/>
              <w:rPr>
                <w:sz w:val="20"/>
                <w:szCs w:val="20"/>
                <w:color w:val="auto"/>
              </w:rPr>
            </w:pPr>
            <w:r>
              <w:rPr>
                <w:rFonts w:ascii="Arial" w:cs="Arial" w:eastAsia="Arial" w:hAnsi="Arial"/>
                <w:sz w:val="22"/>
                <w:szCs w:val="22"/>
                <w:color w:val="auto"/>
                <w:w w:val="81"/>
              </w:rPr>
              <w:t>0</w:t>
            </w:r>
          </w:p>
        </w:tc>
        <w:tc>
          <w:tcPr>
            <w:tcW w:w="720" w:type="dxa"/>
            <w:vAlign w:val="bottom"/>
          </w:tcPr>
          <w:p>
            <w:pPr>
              <w:jc w:val="center"/>
              <w:ind w:left="232"/>
              <w:spacing w:after="0" w:line="242" w:lineRule="exact"/>
              <w:rPr>
                <w:sz w:val="20"/>
                <w:szCs w:val="20"/>
                <w:color w:val="auto"/>
              </w:rPr>
            </w:pPr>
            <w:r>
              <w:rPr>
                <w:rFonts w:ascii="Arial" w:cs="Arial" w:eastAsia="Arial" w:hAnsi="Arial"/>
                <w:sz w:val="22"/>
                <w:szCs w:val="22"/>
                <w:color w:val="auto"/>
              </w:rPr>
              <w:t>$0*</w:t>
            </w:r>
          </w:p>
        </w:tc>
        <w:tc>
          <w:tcPr>
            <w:tcW w:w="380" w:type="dxa"/>
            <w:vAlign w:val="bottom"/>
          </w:tcPr>
          <w:p>
            <w:pPr>
              <w:spacing w:after="0"/>
              <w:rPr>
                <w:sz w:val="21"/>
                <w:szCs w:val="21"/>
                <w:color w:val="auto"/>
              </w:rPr>
            </w:pPr>
          </w:p>
        </w:tc>
        <w:tc>
          <w:tcPr>
            <w:tcW w:w="860" w:type="dxa"/>
            <w:vAlign w:val="bottom"/>
          </w:tcPr>
          <w:p>
            <w:pPr>
              <w:jc w:val="center"/>
              <w:ind w:left="12"/>
              <w:spacing w:after="0" w:line="242" w:lineRule="exact"/>
              <w:rPr>
                <w:sz w:val="20"/>
                <w:szCs w:val="20"/>
                <w:color w:val="auto"/>
              </w:rPr>
            </w:pPr>
            <w:r>
              <w:rPr>
                <w:rFonts w:ascii="Arial" w:cs="Arial" w:eastAsia="Arial" w:hAnsi="Arial"/>
                <w:sz w:val="22"/>
                <w:szCs w:val="22"/>
                <w:color w:val="auto"/>
                <w:w w:val="81"/>
              </w:rPr>
              <w:t>0</w:t>
            </w: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87"/>
              </w:rPr>
              <w:t>N</w:t>
            </w:r>
          </w:p>
        </w:tc>
        <w:tc>
          <w:tcPr>
            <w:tcW w:w="900" w:type="dxa"/>
            <w:vAlign w:val="bottom"/>
          </w:tcPr>
          <w:p>
            <w:pPr>
              <w:jc w:val="center"/>
              <w:spacing w:after="0" w:line="242" w:lineRule="exact"/>
              <w:rPr>
                <w:sz w:val="20"/>
                <w:szCs w:val="20"/>
                <w:color w:val="auto"/>
              </w:rPr>
            </w:pPr>
            <w:r>
              <w:rPr>
                <w:rFonts w:ascii="Arial" w:cs="Arial" w:eastAsia="Arial" w:hAnsi="Arial"/>
                <w:sz w:val="22"/>
                <w:szCs w:val="22"/>
                <w:color w:val="auto"/>
              </w:rPr>
              <w:t>N</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74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1"/>
              </w:rPr>
              <w:t>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Plant/2600828</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1680" w:type="dxa"/>
            <w:vAlign w:val="bottom"/>
          </w:tcPr>
          <w:p>
            <w:pPr>
              <w:spacing w:after="0"/>
              <w:rPr>
                <w:sz w:val="20"/>
                <w:szCs w:val="20"/>
                <w:color w:val="auto"/>
              </w:rPr>
            </w:pPr>
            <w:r>
              <w:rPr>
                <w:rFonts w:ascii="Arial" w:cs="Arial" w:eastAsia="Arial" w:hAnsi="Arial"/>
                <w:sz w:val="22"/>
                <w:szCs w:val="22"/>
                <w:color w:val="auto"/>
              </w:rPr>
              <w:t>Galveston GBT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rPr>
              <w:t>Barite Grinding</w:t>
            </w:r>
          </w:p>
        </w:tc>
        <w:tc>
          <w:tcPr>
            <w:tcW w:w="76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700" w:type="dxa"/>
            <w:vAlign w:val="bottom"/>
          </w:tcPr>
          <w:p>
            <w:pPr>
              <w:jc w:val="center"/>
              <w:spacing w:after="0" w:line="242" w:lineRule="exact"/>
              <w:rPr>
                <w:sz w:val="20"/>
                <w:szCs w:val="20"/>
                <w:color w:val="auto"/>
              </w:rPr>
            </w:pPr>
            <w:r>
              <w:rPr>
                <w:rFonts w:ascii="Arial" w:cs="Arial" w:eastAsia="Arial" w:hAnsi="Arial"/>
                <w:sz w:val="22"/>
                <w:szCs w:val="22"/>
                <w:color w:val="auto"/>
                <w:w w:val="81"/>
              </w:rPr>
              <w:t>0</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1"/>
              </w:rPr>
              <w:t>0</w:t>
            </w:r>
          </w:p>
        </w:tc>
        <w:tc>
          <w:tcPr>
            <w:tcW w:w="80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840" w:type="dxa"/>
            <w:vAlign w:val="bottom"/>
            <w:gridSpan w:val="2"/>
          </w:tcPr>
          <w:p>
            <w:pPr>
              <w:jc w:val="center"/>
              <w:ind w:right="60"/>
              <w:spacing w:after="0" w:line="242" w:lineRule="exact"/>
              <w:rPr>
                <w:sz w:val="20"/>
                <w:szCs w:val="20"/>
                <w:color w:val="auto"/>
              </w:rPr>
            </w:pPr>
            <w:r>
              <w:rPr>
                <w:rFonts w:ascii="Arial" w:cs="Arial" w:eastAsia="Arial" w:hAnsi="Arial"/>
                <w:sz w:val="22"/>
                <w:szCs w:val="22"/>
                <w:color w:val="auto"/>
                <w:w w:val="81"/>
              </w:rPr>
              <w:t>0</w:t>
            </w:r>
          </w:p>
        </w:tc>
        <w:tc>
          <w:tcPr>
            <w:tcW w:w="1100" w:type="dxa"/>
            <w:vAlign w:val="bottom"/>
            <w:gridSpan w:val="2"/>
          </w:tcPr>
          <w:p>
            <w:pPr>
              <w:jc w:val="center"/>
              <w:ind w:right="40"/>
              <w:spacing w:after="0" w:line="242" w:lineRule="exact"/>
              <w:rPr>
                <w:sz w:val="20"/>
                <w:szCs w:val="20"/>
                <w:color w:val="auto"/>
              </w:rPr>
            </w:pPr>
            <w:r>
              <w:rPr>
                <w:rFonts w:ascii="Arial" w:cs="Arial" w:eastAsia="Arial" w:hAnsi="Arial"/>
                <w:sz w:val="22"/>
                <w:szCs w:val="22"/>
                <w:color w:val="auto"/>
                <w:w w:val="85"/>
              </w:rPr>
              <w:t>$200</w:t>
            </w:r>
          </w:p>
        </w:tc>
        <w:tc>
          <w:tcPr>
            <w:tcW w:w="860" w:type="dxa"/>
            <w:vAlign w:val="bottom"/>
          </w:tcPr>
          <w:p>
            <w:pPr>
              <w:jc w:val="center"/>
              <w:ind w:left="12"/>
              <w:spacing w:after="0" w:line="242" w:lineRule="exact"/>
              <w:rPr>
                <w:sz w:val="20"/>
                <w:szCs w:val="20"/>
                <w:color w:val="auto"/>
              </w:rPr>
            </w:pPr>
            <w:r>
              <w:rPr>
                <w:rFonts w:ascii="Arial" w:cs="Arial" w:eastAsia="Arial" w:hAnsi="Arial"/>
                <w:sz w:val="22"/>
                <w:szCs w:val="22"/>
                <w:color w:val="auto"/>
                <w:w w:val="81"/>
              </w:rPr>
              <w:t>0</w:t>
            </w: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87"/>
              </w:rPr>
              <w:t>N</w:t>
            </w:r>
          </w:p>
        </w:tc>
        <w:tc>
          <w:tcPr>
            <w:tcW w:w="900" w:type="dxa"/>
            <w:vAlign w:val="bottom"/>
          </w:tcPr>
          <w:p>
            <w:pPr>
              <w:jc w:val="center"/>
              <w:spacing w:after="0" w:line="242" w:lineRule="exact"/>
              <w:rPr>
                <w:sz w:val="20"/>
                <w:szCs w:val="20"/>
                <w:color w:val="auto"/>
              </w:rPr>
            </w:pPr>
            <w:r>
              <w:rPr>
                <w:rFonts w:ascii="Arial" w:cs="Arial" w:eastAsia="Arial" w:hAnsi="Arial"/>
                <w:sz w:val="22"/>
                <w:szCs w:val="22"/>
                <w:color w:val="auto"/>
              </w:rPr>
              <w:t>N</w:t>
            </w:r>
          </w:p>
        </w:tc>
        <w:tc>
          <w:tcPr>
            <w:tcW w:w="68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740" w:type="dxa"/>
            <w:vAlign w:val="bottom"/>
          </w:tcPr>
          <w:p>
            <w:pPr>
              <w:jc w:val="center"/>
              <w:spacing w:after="0" w:line="242" w:lineRule="exact"/>
              <w:rPr>
                <w:sz w:val="20"/>
                <w:szCs w:val="20"/>
                <w:color w:val="auto"/>
              </w:rPr>
            </w:pPr>
            <w:r>
              <w:rPr>
                <w:rFonts w:ascii="Arial" w:cs="Arial" w:eastAsia="Arial" w:hAnsi="Arial"/>
                <w:sz w:val="22"/>
                <w:szCs w:val="22"/>
                <w:color w:val="auto"/>
                <w:w w:val="97"/>
              </w:rPr>
              <w:t>0</w:t>
            </w:r>
          </w:p>
        </w:tc>
        <w:tc>
          <w:tcPr>
            <w:tcW w:w="780" w:type="dxa"/>
            <w:vAlign w:val="bottom"/>
          </w:tcPr>
          <w:p>
            <w:pPr>
              <w:jc w:val="center"/>
              <w:spacing w:after="0" w:line="242" w:lineRule="exact"/>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Plant/4104675</w:t>
            </w: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1680" w:type="dxa"/>
            <w:vAlign w:val="bottom"/>
          </w:tcPr>
          <w:p>
            <w:pPr>
              <w:spacing w:after="0"/>
              <w:rPr>
                <w:sz w:val="20"/>
                <w:szCs w:val="20"/>
                <w:color w:val="auto"/>
              </w:rPr>
            </w:pPr>
            <w:r>
              <w:rPr>
                <w:rFonts w:ascii="Arial" w:cs="Arial" w:eastAsia="Arial" w:hAnsi="Arial"/>
                <w:sz w:val="22"/>
                <w:szCs w:val="22"/>
                <w:color w:val="auto"/>
              </w:rPr>
              <w:t>Greybull Milling</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2</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22"/>
                <w:szCs w:val="22"/>
                <w:color w:val="auto"/>
                <w:w w:val="86"/>
              </w:rPr>
              <w:t>$3,500</w:t>
            </w: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w w:val="88"/>
              </w:rPr>
              <w:t>Operation/4800602</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1680" w:type="dxa"/>
            <w:vAlign w:val="bottom"/>
          </w:tcPr>
          <w:p>
            <w:pPr>
              <w:spacing w:after="0"/>
              <w:rPr>
                <w:sz w:val="20"/>
                <w:szCs w:val="20"/>
                <w:color w:val="auto"/>
              </w:rPr>
            </w:pPr>
            <w:r>
              <w:rPr>
                <w:rFonts w:ascii="Arial" w:cs="Arial" w:eastAsia="Arial" w:hAnsi="Arial"/>
                <w:sz w:val="22"/>
                <w:szCs w:val="22"/>
                <w:color w:val="auto"/>
              </w:rPr>
              <w:t>Greybull Mining</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720" w:type="dxa"/>
            <w:vAlign w:val="bottom"/>
            <w:vMerge w:val="restart"/>
          </w:tcPr>
          <w:p>
            <w:pPr>
              <w:jc w:val="center"/>
              <w:ind w:left="232"/>
              <w:spacing w:after="0"/>
              <w:rPr>
                <w:sz w:val="20"/>
                <w:szCs w:val="20"/>
                <w:color w:val="auto"/>
              </w:rPr>
            </w:pPr>
            <w:r>
              <w:rPr>
                <w:rFonts w:ascii="Arial" w:cs="Arial" w:eastAsia="Arial" w:hAnsi="Arial"/>
                <w:sz w:val="22"/>
                <w:szCs w:val="22"/>
                <w:color w:val="auto"/>
                <w:w w:val="89"/>
              </w:rPr>
              <w:t>$0</w:t>
            </w:r>
          </w:p>
        </w:tc>
        <w:tc>
          <w:tcPr>
            <w:tcW w:w="380" w:type="dxa"/>
            <w:vAlign w:val="bottom"/>
          </w:tcPr>
          <w:p>
            <w:pPr>
              <w:spacing w:after="0"/>
              <w:rPr>
                <w:sz w:val="24"/>
                <w:szCs w:val="24"/>
                <w:color w:val="auto"/>
              </w:rPr>
            </w:pP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w w:val="88"/>
              </w:rPr>
              <w:t>Operation/4800603</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1680" w:type="dxa"/>
            <w:vAlign w:val="bottom"/>
          </w:tcPr>
          <w:p>
            <w:pPr>
              <w:spacing w:after="0"/>
              <w:rPr>
                <w:sz w:val="20"/>
                <w:szCs w:val="20"/>
                <w:color w:val="auto"/>
              </w:rPr>
            </w:pPr>
            <w:r>
              <w:rPr>
                <w:rFonts w:ascii="Arial" w:cs="Arial" w:eastAsia="Arial" w:hAnsi="Arial"/>
                <w:sz w:val="22"/>
                <w:szCs w:val="22"/>
                <w:color w:val="auto"/>
              </w:rPr>
              <w:t>Greystone</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22"/>
                <w:szCs w:val="22"/>
                <w:color w:val="auto"/>
                <w:w w:val="92"/>
              </w:rPr>
              <w:t>$2,100*</w:t>
            </w: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rPr>
              <w:t>Mine/2600411</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680" w:type="dxa"/>
            <w:vAlign w:val="bottom"/>
          </w:tcPr>
          <w:p>
            <w:pPr>
              <w:spacing w:after="0"/>
              <w:rPr>
                <w:sz w:val="20"/>
                <w:szCs w:val="20"/>
                <w:color w:val="auto"/>
              </w:rPr>
            </w:pPr>
            <w:r>
              <w:rPr>
                <w:rFonts w:ascii="Arial" w:cs="Arial" w:eastAsia="Arial" w:hAnsi="Arial"/>
                <w:sz w:val="22"/>
                <w:szCs w:val="22"/>
                <w:color w:val="auto"/>
              </w:rPr>
              <w:t>MI SWACO-</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1</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22"/>
                <w:szCs w:val="22"/>
                <w:color w:val="auto"/>
                <w:w w:val="85"/>
              </w:rPr>
              <w:t>$317</w:t>
            </w: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rPr>
              <w:t>Alpine/4104829</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1680" w:type="dxa"/>
            <w:vAlign w:val="bottom"/>
          </w:tcPr>
          <w:p>
            <w:pPr>
              <w:spacing w:after="0"/>
              <w:rPr>
                <w:sz w:val="20"/>
                <w:szCs w:val="20"/>
                <w:color w:val="auto"/>
              </w:rPr>
            </w:pPr>
            <w:r>
              <w:rPr>
                <w:rFonts w:ascii="Arial" w:cs="Arial" w:eastAsia="Arial" w:hAnsi="Arial"/>
                <w:sz w:val="22"/>
                <w:szCs w:val="22"/>
                <w:color w:val="auto"/>
              </w:rPr>
              <w:t>MI SWACO-</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line="242" w:lineRule="exact"/>
              <w:rPr>
                <w:sz w:val="20"/>
                <w:szCs w:val="20"/>
                <w:color w:val="auto"/>
              </w:rPr>
            </w:pPr>
            <w:r>
              <w:rPr>
                <w:rFonts w:ascii="Arial" w:cs="Arial" w:eastAsia="Arial" w:hAnsi="Arial"/>
                <w:sz w:val="22"/>
                <w:szCs w:val="22"/>
                <w:color w:val="auto"/>
              </w:rPr>
              <w:t>Brownsville</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auto"/>
                <w:w w:val="97"/>
              </w:rPr>
              <w:t>1</w:t>
            </w:r>
          </w:p>
        </w:tc>
        <w:tc>
          <w:tcPr>
            <w:tcW w:w="70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22"/>
                <w:szCs w:val="22"/>
                <w:color w:val="auto"/>
                <w:w w:val="81"/>
              </w:rPr>
              <w:t>0</w:t>
            </w: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22"/>
                <w:szCs w:val="22"/>
                <w:color w:val="auto"/>
                <w:w w:val="85"/>
              </w:rPr>
              <w:t>$749</w:t>
            </w:r>
          </w:p>
        </w:tc>
        <w:tc>
          <w:tcPr>
            <w:tcW w:w="860" w:type="dxa"/>
            <w:vAlign w:val="bottom"/>
            <w:vMerge w:val="restart"/>
          </w:tcPr>
          <w:p>
            <w:pPr>
              <w:jc w:val="center"/>
              <w:ind w:left="12"/>
              <w:spacing w:after="0"/>
              <w:rPr>
                <w:sz w:val="20"/>
                <w:szCs w:val="20"/>
                <w:color w:val="auto"/>
              </w:rPr>
            </w:pPr>
            <w:r>
              <w:rPr>
                <w:rFonts w:ascii="Arial" w:cs="Arial" w:eastAsia="Arial" w:hAnsi="Arial"/>
                <w:sz w:val="22"/>
                <w:szCs w:val="22"/>
                <w:color w:val="auto"/>
                <w:w w:val="81"/>
              </w:rPr>
              <w:t>0</w:t>
            </w:r>
          </w:p>
        </w:tc>
        <w:tc>
          <w:tcPr>
            <w:tcW w:w="860" w:type="dxa"/>
            <w:vAlign w:val="bottom"/>
            <w:vMerge w:val="restart"/>
          </w:tcPr>
          <w:p>
            <w:pPr>
              <w:jc w:val="center"/>
              <w:spacing w:after="0"/>
              <w:rPr>
                <w:sz w:val="20"/>
                <w:szCs w:val="20"/>
                <w:color w:val="auto"/>
              </w:rPr>
            </w:pPr>
            <w:r>
              <w:rPr>
                <w:rFonts w:ascii="Arial" w:cs="Arial" w:eastAsia="Arial" w:hAnsi="Arial"/>
                <w:sz w:val="22"/>
                <w:szCs w:val="22"/>
                <w:color w:val="auto"/>
                <w:w w:val="87"/>
              </w:rPr>
              <w:t>N</w:t>
            </w:r>
          </w:p>
        </w:tc>
        <w:tc>
          <w:tcPr>
            <w:tcW w:w="900" w:type="dxa"/>
            <w:vAlign w:val="bottom"/>
            <w:vMerge w:val="restart"/>
          </w:tcPr>
          <w:p>
            <w:pPr>
              <w:jc w:val="center"/>
              <w:spacing w:after="0"/>
              <w:rPr>
                <w:sz w:val="20"/>
                <w:szCs w:val="20"/>
                <w:color w:val="auto"/>
              </w:rPr>
            </w:pPr>
            <w:r>
              <w:rPr>
                <w:rFonts w:ascii="Arial" w:cs="Arial" w:eastAsia="Arial" w:hAnsi="Arial"/>
                <w:sz w:val="22"/>
                <w:szCs w:val="22"/>
                <w:color w:val="auto"/>
              </w:rPr>
              <w:t>N</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auto"/>
                <w:w w:val="97"/>
              </w:rPr>
              <w:t>0</w:t>
            </w:r>
          </w:p>
        </w:tc>
        <w:tc>
          <w:tcPr>
            <w:tcW w:w="780" w:type="dxa"/>
            <w:vAlign w:val="bottom"/>
            <w:vMerge w:val="restart"/>
          </w:tcPr>
          <w:p>
            <w:pPr>
              <w:jc w:val="center"/>
              <w:spacing w:after="0"/>
              <w:rPr>
                <w:sz w:val="20"/>
                <w:szCs w:val="20"/>
                <w:color w:val="auto"/>
              </w:rPr>
            </w:pPr>
            <w:r>
              <w:rPr>
                <w:rFonts w:ascii="Arial" w:cs="Arial" w:eastAsia="Arial" w:hAnsi="Arial"/>
                <w:sz w:val="22"/>
                <w:szCs w:val="22"/>
                <w:color w:val="auto"/>
                <w:w w:val="81"/>
              </w:rPr>
              <w:t>0</w:t>
            </w:r>
          </w:p>
        </w:tc>
        <w:tc>
          <w:tcPr>
            <w:tcW w:w="0" w:type="dxa"/>
            <w:vAlign w:val="bottom"/>
          </w:tcPr>
          <w:p>
            <w:pPr>
              <w:spacing w:after="0"/>
              <w:rPr>
                <w:sz w:val="1"/>
                <w:szCs w:val="1"/>
                <w:color w:val="auto"/>
              </w:rPr>
            </w:pPr>
          </w:p>
        </w:tc>
      </w:tr>
      <w:tr>
        <w:trPr>
          <w:trHeight w:val="153"/>
        </w:trPr>
        <w:tc>
          <w:tcPr>
            <w:tcW w:w="1680" w:type="dxa"/>
            <w:vAlign w:val="bottom"/>
            <w:vMerge w:val="restart"/>
          </w:tcPr>
          <w:p>
            <w:pPr>
              <w:spacing w:after="0"/>
              <w:rPr>
                <w:sz w:val="20"/>
                <w:szCs w:val="20"/>
                <w:color w:val="auto"/>
              </w:rPr>
            </w:pPr>
            <w:r>
              <w:rPr>
                <w:rFonts w:ascii="Arial" w:cs="Arial" w:eastAsia="Arial" w:hAnsi="Arial"/>
                <w:sz w:val="22"/>
                <w:szCs w:val="22"/>
                <w:color w:val="auto"/>
              </w:rPr>
              <w:t>Grinding</w:t>
            </w: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Plant/4103033</w:t>
      </w:r>
    </w:p>
    <w:p>
      <w:pPr>
        <w:spacing w:after="0" w:line="387" w:lineRule="exact"/>
        <w:rPr>
          <w:sz w:val="20"/>
          <w:szCs w:val="20"/>
          <w:color w:val="auto"/>
        </w:rPr>
      </w:pPr>
    </w:p>
    <w:p>
      <w:pPr>
        <w:ind w:right="100" w:firstLine="8"/>
        <w:spacing w:after="0" w:line="272"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2013, regardless of whether the assessment has been challenged or appealed, for citations and orders occurring during the full year 2013.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5" w:lineRule="exact"/>
        <w:rPr>
          <w:sz w:val="20"/>
          <w:szCs w:val="20"/>
          <w:color w:val="auto"/>
        </w:rPr>
      </w:pPr>
    </w:p>
    <w:p>
      <w:pPr>
        <w:ind w:right="580" w:firstLine="8"/>
        <w:spacing w:after="0" w:line="291" w:lineRule="auto"/>
        <w:tabs>
          <w:tab w:leader="none" w:pos="12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December 31, 2013, MSHA had not yet proposed assessments for some citations relating to this entry, as follows: 14 Section 104(a) citations at Battle Mountain Grinding Plant and seven Section 104(a) citations at Greystone Mine.</w:t>
      </w:r>
    </w:p>
    <w:sectPr>
      <w:pgSz w:w="11900" w:h="16838" w:orient="portrait"/>
      <w:cols w:equalWidth="0" w:num="1">
        <w:col w:w="11480"/>
      </w:cols>
      <w:pgMar w:left="240" w:top="121"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emdash "/>
      <w:numFmt w:val="bullet"/>
      <w:start w:val="1"/>
    </w:lvl>
  </w:abstractNum>
  <w:abstractNum w:abstractNumId="7">
    <w:nsid w:val="7C3DBD3D"/>
    <w:multiLevelType w:val="hybridMultilevel"/>
    <w:lvl w:ilvl="0">
      <w:lvlJc w:val="left"/>
      <w:lvlText w:val="\emdash "/>
      <w:numFmt w:val="bullet"/>
      <w:start w:val="1"/>
    </w:lvl>
  </w:abstractNum>
  <w:abstractNum w:abstractNumId="8">
    <w:nsid w:val="737B8DDC"/>
    <w:multiLevelType w:val="hybridMultilevel"/>
    <w:lvl w:ilvl="0">
      <w:lvlJc w:val="left"/>
      <w:lvlText w:val="\emdash "/>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emdash "/>
      <w:numFmt w:val="bullet"/>
      <w:start w:val="1"/>
    </w:lvl>
  </w:abstractNum>
  <w:abstractNum w:abstractNumId="15">
    <w:nsid w:val="5577F8E1"/>
    <w:multiLevelType w:val="hybridMultilevel"/>
    <w:lvl w:ilvl="0">
      <w:lvlJc w:val="left"/>
      <w:lvlText w:val="\emdash "/>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emdash "/>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emdash "/>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2"/>
    </w:lvl>
  </w:abstractNum>
  <w:abstractNum w:abstractNumId="22">
    <w:nsid w:val="2463B9EA"/>
    <w:multiLevelType w:val="hybridMultilevel"/>
    <w:lvl w:ilvl="0">
      <w:lvlJc w:val="left"/>
      <w:lvlText w:val="%1."/>
      <w:numFmt w:val="decimal"/>
      <w:start w:val="3"/>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emdash "/>
      <w:numFmt w:val="bullet"/>
      <w:start w:val="1"/>
    </w:lvl>
  </w:abstractNum>
  <w:abstractNum w:abstractNumId="25">
    <w:nsid w:val="2D517796"/>
    <w:multiLevelType w:val="hybridMultilevel"/>
    <w:lvl w:ilvl="0">
      <w:lvlJc w:val="left"/>
      <w:lvlText w:val="\emdash "/>
      <w:numFmt w:val="bullet"/>
      <w:start w:val="1"/>
    </w:lvl>
  </w:abstractNum>
  <w:abstractNum w:abstractNumId="26">
    <w:nsid w:val="580BD78F"/>
    <w:multiLevelType w:val="hybridMultilevel"/>
    <w:lvl w:ilvl="0">
      <w:lvlJc w:val="left"/>
      <w:lvlText w:val="\emdash "/>
      <w:numFmt w:val="bullet"/>
      <w:start w:val="1"/>
    </w:lvl>
  </w:abstractNum>
  <w:abstractNum w:abstractNumId="27">
    <w:nsid w:val="153EA438"/>
    <w:multiLevelType w:val="hybridMultilevel"/>
    <w:lvl w:ilvl="0">
      <w:lvlJc w:val="left"/>
      <w:lvlText w:val="%1."/>
      <w:numFmt w:val="decimal"/>
      <w:start w:val="4"/>
    </w:lvl>
  </w:abstractNum>
  <w:abstractNum w:abstractNumId="28">
    <w:nsid w:val="3855585C"/>
    <w:multiLevelType w:val="hybridMultilevel"/>
    <w:lvl w:ilvl="0">
      <w:lvlJc w:val="left"/>
      <w:lvlText w:val="%1."/>
      <w:numFmt w:val="decimal"/>
      <w:start w:val="5"/>
    </w:lvl>
  </w:abstractNum>
  <w:abstractNum w:abstractNumId="29">
    <w:nsid w:val="70A64E2A"/>
    <w:multiLevelType w:val="hybridMultilevel"/>
    <w:lvl w:ilvl="0">
      <w:lvlJc w:val="left"/>
      <w:lvlText w:val="%1."/>
      <w:numFmt w:val="decimal"/>
      <w:start w:val="7"/>
    </w:lvl>
  </w:abstractNum>
  <w:abstractNum w:abstractNumId="30">
    <w:nsid w:val="6A2342EC"/>
    <w:multiLevelType w:val="hybridMultilevel"/>
    <w:lvl w:ilvl="0">
      <w:lvlJc w:val="left"/>
      <w:lvlText w:val="%1."/>
      <w:numFmt w:val="decimal"/>
      <w:start w:val="10"/>
    </w:lvl>
  </w:abstractNum>
  <w:abstractNum w:abstractNumId="31">
    <w:nsid w:val="2A487CB0"/>
    <w:multiLevelType w:val="hybridMultilevel"/>
    <w:lvl w:ilvl="0">
      <w:lvlJc w:val="left"/>
      <w:lvlText w:val="(%1)"/>
      <w:numFmt w:val="decimal"/>
      <w:start w:val="1"/>
    </w:lvl>
    <w:lvl w:ilvl="1">
      <w:lvlJc w:val="left"/>
      <w:lvlText w:val="·"/>
      <w:numFmt w:val="bullet"/>
      <w:start w:val="1"/>
    </w:lvl>
  </w:abstractNum>
  <w:abstractNum w:abstractNumId="32">
    <w:nsid w:val="1D4ED43B"/>
    <w:multiLevelType w:val="hybridMultilevel"/>
    <w:lvl w:ilvl="0">
      <w:lvlJc w:val="left"/>
      <w:lvlText w:val="%1."/>
      <w:numFmt w:val="decimal"/>
      <w:start w:val="11"/>
    </w:lvl>
  </w:abstractNum>
  <w:abstractNum w:abstractNumId="33">
    <w:nsid w:val="725A06FB"/>
    <w:multiLevelType w:val="hybridMultilevel"/>
    <w:lvl w:ilvl="0">
      <w:lvlJc w:val="left"/>
      <w:lvlText w:val="%1."/>
      <w:numFmt w:val="decimal"/>
      <w:start w:val="12"/>
    </w:lvl>
  </w:abstractNum>
  <w:abstractNum w:abstractNumId="34">
    <w:nsid w:val="2CD89A32"/>
    <w:multiLevelType w:val="hybridMultilevel"/>
    <w:lvl w:ilvl="0">
      <w:lvlJc w:val="left"/>
      <w:lvlText w:val="%1."/>
      <w:numFmt w:val="decimal"/>
      <w:start w:val="13"/>
    </w:lvl>
  </w:abstractNum>
  <w:abstractNum w:abstractNumId="35">
    <w:nsid w:val="57E4CCAF"/>
    <w:multiLevelType w:val="hybridMultilevel"/>
    <w:lvl w:ilvl="0">
      <w:lvlJc w:val="left"/>
      <w:lvlText w:val="%1."/>
      <w:numFmt w:val="decimal"/>
      <w:start w:val="14"/>
    </w:lvl>
  </w:abstractNum>
  <w:abstractNum w:abstractNumId="36">
    <w:nsid w:val="7A6D8D3C"/>
    <w:multiLevelType w:val="hybridMultilevel"/>
    <w:lvl w:ilvl="0">
      <w:lvlJc w:val="left"/>
      <w:lvlText w:val="%1."/>
      <w:numFmt w:val="decimal"/>
      <w:start w:val="15"/>
    </w:lvl>
  </w:abstractNum>
  <w:abstractNum w:abstractNumId="37">
    <w:nsid w:val="4B588F54"/>
    <w:multiLevelType w:val="hybridMultilevel"/>
    <w:lvl w:ilvl="0">
      <w:lvlJc w:val="left"/>
      <w:lvlText w:val="%1."/>
      <w:numFmt w:val="decimal"/>
      <w:start w:val="16"/>
    </w:lvl>
  </w:abstractNum>
  <w:abstractNum w:abstractNumId="38">
    <w:nsid w:val="542289EC"/>
    <w:multiLevelType w:val="hybridMultilevel"/>
    <w:lvl w:ilvl="0">
      <w:lvlJc w:val="left"/>
      <w:lvlText w:val="%1."/>
      <w:numFmt w:val="decimal"/>
      <w:start w:val="17"/>
    </w:lvl>
  </w:abstractNum>
  <w:abstractNum w:abstractNumId="39">
    <w:nsid w:val="6DE91B18"/>
    <w:multiLevelType w:val="hybridMultilevel"/>
    <w:lvl w:ilvl="0">
      <w:lvlJc w:val="left"/>
      <w:lvlText w:val="\emdash "/>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8"/>
    </w:lvl>
  </w:abstractNum>
  <w:abstractNum w:abstractNumId="43">
    <w:nsid w:val="684A481A"/>
    <w:multiLevelType w:val="hybridMultilevel"/>
    <w:lvl w:ilvl="0">
      <w:lvlJc w:val="left"/>
      <w:lvlText w:val="\emdash "/>
      <w:numFmt w:val="bullet"/>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2019-12-05T14:30:02Z</dcterms:created>
  <dcterms:modified xsi:type="dcterms:W3CDTF">2019-12-05T14:30:02Z</dcterms:modified>
</cp:coreProperties>
</file>