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April 1, 2016</w:t>
      </w:r>
    </w:p>
    <w:p>
      <w:pPr>
        <w:spacing w:after="0" w:line="4" w:lineRule="exact"/>
        <w:rPr>
          <w:sz w:val="24"/>
          <w:szCs w:val="24"/>
          <w:color w:val="auto"/>
        </w:rPr>
      </w:pPr>
    </w:p>
    <w:p>
      <w:pPr>
        <w:ind w:left="94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S-4</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75565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SCHLUMBERGER N.V. (SCHLUMBERGER LIMITED)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8"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3460" w:type="dxa"/>
            <w:vAlign w:val="bottom"/>
          </w:tcPr>
          <w:p>
            <w:pPr>
              <w:jc w:val="center"/>
              <w:ind w:right="1629"/>
              <w:spacing w:after="0"/>
              <w:rPr>
                <w:sz w:val="20"/>
                <w:szCs w:val="20"/>
                <w:color w:val="auto"/>
              </w:rPr>
            </w:pPr>
            <w:r>
              <w:rPr>
                <w:rFonts w:ascii="Arial" w:cs="Arial" w:eastAsia="Arial" w:hAnsi="Arial"/>
                <w:sz w:val="14"/>
                <w:szCs w:val="14"/>
                <w:b w:val="1"/>
                <w:bCs w:val="1"/>
                <w:color w:val="auto"/>
                <w:w w:val="92"/>
              </w:rPr>
              <w:t>Curaçao</w:t>
            </w:r>
          </w:p>
        </w:tc>
        <w:tc>
          <w:tcPr>
            <w:tcW w:w="2380" w:type="dxa"/>
            <w:vAlign w:val="bottom"/>
          </w:tcPr>
          <w:p>
            <w:pPr>
              <w:jc w:val="center"/>
              <w:ind w:left="191"/>
              <w:spacing w:after="0"/>
              <w:rPr>
                <w:sz w:val="20"/>
                <w:szCs w:val="20"/>
                <w:color w:val="auto"/>
              </w:rPr>
            </w:pPr>
            <w:r>
              <w:rPr>
                <w:rFonts w:ascii="Arial" w:cs="Arial" w:eastAsia="Arial" w:hAnsi="Arial"/>
                <w:sz w:val="14"/>
                <w:szCs w:val="14"/>
                <w:b w:val="1"/>
                <w:bCs w:val="1"/>
                <w:color w:val="auto"/>
                <w:w w:val="89"/>
              </w:rPr>
              <w:t>1389</w:t>
            </w:r>
          </w:p>
        </w:tc>
        <w:tc>
          <w:tcPr>
            <w:tcW w:w="3360" w:type="dxa"/>
            <w:vAlign w:val="bottom"/>
          </w:tcPr>
          <w:p>
            <w:pPr>
              <w:jc w:val="center"/>
              <w:ind w:left="1949"/>
              <w:spacing w:after="0"/>
              <w:rPr>
                <w:sz w:val="20"/>
                <w:szCs w:val="20"/>
                <w:color w:val="auto"/>
              </w:rPr>
            </w:pPr>
            <w:r>
              <w:rPr>
                <w:rFonts w:ascii="Arial" w:cs="Arial" w:eastAsia="Arial" w:hAnsi="Arial"/>
                <w:sz w:val="14"/>
                <w:szCs w:val="14"/>
                <w:b w:val="1"/>
                <w:bCs w:val="1"/>
                <w:color w:val="auto"/>
                <w:w w:val="93"/>
              </w:rPr>
              <w:t>52-0684746</w:t>
            </w:r>
          </w:p>
        </w:tc>
        <w:tc>
          <w:tcPr>
            <w:tcW w:w="0" w:type="dxa"/>
            <w:vAlign w:val="bottom"/>
          </w:tcPr>
          <w:p>
            <w:pPr>
              <w:spacing w:after="0"/>
              <w:rPr>
                <w:sz w:val="1"/>
                <w:szCs w:val="1"/>
                <w:color w:val="auto"/>
              </w:rPr>
            </w:pPr>
          </w:p>
        </w:tc>
      </w:tr>
      <w:tr>
        <w:trPr>
          <w:trHeight w:val="149"/>
        </w:trPr>
        <w:tc>
          <w:tcPr>
            <w:tcW w:w="3460" w:type="dxa"/>
            <w:vAlign w:val="bottom"/>
          </w:tcPr>
          <w:p>
            <w:pPr>
              <w:jc w:val="center"/>
              <w:ind w:right="1609"/>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380" w:type="dxa"/>
            <w:vAlign w:val="bottom"/>
          </w:tcPr>
          <w:p>
            <w:pPr>
              <w:jc w:val="center"/>
              <w:ind w:left="191"/>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3360" w:type="dxa"/>
            <w:vAlign w:val="bottom"/>
          </w:tcPr>
          <w:p>
            <w:pPr>
              <w:jc w:val="center"/>
              <w:ind w:left="1949"/>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460" w:type="dxa"/>
            <w:vAlign w:val="bottom"/>
          </w:tcPr>
          <w:p>
            <w:pPr>
              <w:jc w:val="center"/>
              <w:ind w:right="1629"/>
              <w:spacing w:after="0"/>
              <w:rPr>
                <w:sz w:val="20"/>
                <w:szCs w:val="20"/>
                <w:color w:val="auto"/>
              </w:rPr>
            </w:pPr>
            <w:r>
              <w:rPr>
                <w:rFonts w:ascii="Arial" w:cs="Arial" w:eastAsia="Arial" w:hAnsi="Arial"/>
                <w:sz w:val="14"/>
                <w:szCs w:val="14"/>
                <w:b w:val="1"/>
                <w:bCs w:val="1"/>
                <w:color w:val="auto"/>
                <w:w w:val="88"/>
              </w:rPr>
              <w:t>incorporation or organization)</w:t>
            </w:r>
          </w:p>
        </w:tc>
        <w:tc>
          <w:tcPr>
            <w:tcW w:w="2380" w:type="dxa"/>
            <w:vAlign w:val="bottom"/>
          </w:tcPr>
          <w:p>
            <w:pPr>
              <w:jc w:val="center"/>
              <w:ind w:left="191"/>
              <w:spacing w:after="0"/>
              <w:rPr>
                <w:sz w:val="20"/>
                <w:szCs w:val="20"/>
                <w:color w:val="auto"/>
              </w:rPr>
            </w:pPr>
            <w:r>
              <w:rPr>
                <w:rFonts w:ascii="Arial" w:cs="Arial" w:eastAsia="Arial" w:hAnsi="Arial"/>
                <w:sz w:val="14"/>
                <w:szCs w:val="14"/>
                <w:b w:val="1"/>
                <w:bCs w:val="1"/>
                <w:color w:val="auto"/>
                <w:w w:val="87"/>
              </w:rPr>
              <w:t>Classification Code Number)</w:t>
            </w:r>
          </w:p>
        </w:tc>
        <w:tc>
          <w:tcPr>
            <w:tcW w:w="3360" w:type="dxa"/>
            <w:vAlign w:val="bottom"/>
          </w:tcPr>
          <w:p>
            <w:pPr>
              <w:jc w:val="center"/>
              <w:ind w:left="1949"/>
              <w:spacing w:after="0"/>
              <w:rPr>
                <w:sz w:val="20"/>
                <w:szCs w:val="20"/>
                <w:color w:val="auto"/>
              </w:rPr>
            </w:pPr>
            <w:r>
              <w:rPr>
                <w:rFonts w:ascii="Arial" w:cs="Arial" w:eastAsia="Arial" w:hAnsi="Arial"/>
                <w:sz w:val="14"/>
                <w:szCs w:val="14"/>
                <w:b w:val="1"/>
                <w:bCs w:val="1"/>
                <w:color w:val="auto"/>
                <w:w w:val="90"/>
              </w:rPr>
              <w:t>Identification Number)</w:t>
            </w:r>
          </w:p>
        </w:tc>
        <w:tc>
          <w:tcPr>
            <w:tcW w:w="0" w:type="dxa"/>
            <w:vAlign w:val="bottom"/>
          </w:tcPr>
          <w:p>
            <w:pPr>
              <w:spacing w:after="0"/>
              <w:rPr>
                <w:sz w:val="1"/>
                <w:szCs w:val="1"/>
                <w:color w:val="auto"/>
              </w:rPr>
            </w:pPr>
          </w:p>
        </w:tc>
      </w:tr>
      <w:tr>
        <w:trPr>
          <w:trHeight w:val="68"/>
        </w:trPr>
        <w:tc>
          <w:tcPr>
            <w:tcW w:w="3460" w:type="dxa"/>
            <w:vAlign w:val="bottom"/>
            <w:vMerge w:val="restart"/>
          </w:tcPr>
          <w:p>
            <w:pPr>
              <w:jc w:val="center"/>
              <w:ind w:left="89"/>
              <w:spacing w:after="0"/>
              <w:rPr>
                <w:sz w:val="20"/>
                <w:szCs w:val="20"/>
                <w:color w:val="auto"/>
              </w:rPr>
            </w:pPr>
            <w:r>
              <w:rPr>
                <w:rFonts w:ascii="Arial" w:cs="Arial" w:eastAsia="Arial" w:hAnsi="Arial"/>
                <w:sz w:val="14"/>
                <w:szCs w:val="14"/>
                <w:b w:val="1"/>
                <w:bCs w:val="1"/>
                <w:color w:val="auto"/>
                <w:w w:val="93"/>
              </w:rPr>
              <w:t>42, rue Saint-Dominique</w:t>
            </w:r>
          </w:p>
        </w:tc>
        <w:tc>
          <w:tcPr>
            <w:tcW w:w="2380" w:type="dxa"/>
            <w:vAlign w:val="bottom"/>
            <w:tcBorders>
              <w:bottom w:val="single" w:sz="8" w:color="auto"/>
            </w:tcBorders>
          </w:tcPr>
          <w:p>
            <w:pPr>
              <w:spacing w:after="0"/>
              <w:rPr>
                <w:sz w:val="5"/>
                <w:szCs w:val="5"/>
                <w:color w:val="auto"/>
              </w:rPr>
            </w:pPr>
          </w:p>
        </w:tc>
        <w:tc>
          <w:tcPr>
            <w:tcW w:w="3360" w:type="dxa"/>
            <w:vAlign w:val="bottom"/>
            <w:vMerge w:val="restart"/>
          </w:tcPr>
          <w:p>
            <w:pPr>
              <w:jc w:val="center"/>
              <w:ind w:left="129"/>
              <w:spacing w:after="0"/>
              <w:rPr>
                <w:sz w:val="20"/>
                <w:szCs w:val="20"/>
                <w:color w:val="auto"/>
              </w:rPr>
            </w:pPr>
            <w:r>
              <w:rPr>
                <w:rFonts w:ascii="Arial" w:cs="Arial" w:eastAsia="Arial" w:hAnsi="Arial"/>
                <w:sz w:val="14"/>
                <w:szCs w:val="14"/>
                <w:b w:val="1"/>
                <w:bCs w:val="1"/>
                <w:color w:val="auto"/>
                <w:w w:val="92"/>
              </w:rPr>
              <w:t>62 Buckingham Gate</w:t>
            </w:r>
          </w:p>
        </w:tc>
        <w:tc>
          <w:tcPr>
            <w:tcW w:w="0" w:type="dxa"/>
            <w:vAlign w:val="bottom"/>
          </w:tcPr>
          <w:p>
            <w:pPr>
              <w:spacing w:after="0"/>
              <w:rPr>
                <w:sz w:val="1"/>
                <w:szCs w:val="1"/>
                <w:color w:val="auto"/>
              </w:rPr>
            </w:pPr>
          </w:p>
        </w:tc>
      </w:tr>
      <w:tr>
        <w:trPr>
          <w:trHeight w:val="200"/>
        </w:trPr>
        <w:tc>
          <w:tcPr>
            <w:tcW w:w="3460" w:type="dxa"/>
            <w:vAlign w:val="bottom"/>
            <w:vMerge w:val="continue"/>
          </w:tcPr>
          <w:p>
            <w:pPr>
              <w:spacing w:after="0"/>
              <w:rPr>
                <w:sz w:val="17"/>
                <w:szCs w:val="17"/>
                <w:color w:val="auto"/>
              </w:rPr>
            </w:pPr>
          </w:p>
        </w:tc>
        <w:tc>
          <w:tcPr>
            <w:tcW w:w="2380" w:type="dxa"/>
            <w:vAlign w:val="bottom"/>
          </w:tcPr>
          <w:p>
            <w:pPr>
              <w:spacing w:after="0"/>
              <w:rPr>
                <w:sz w:val="17"/>
                <w:szCs w:val="17"/>
                <w:color w:val="auto"/>
              </w:rPr>
            </w:pPr>
          </w:p>
        </w:tc>
        <w:tc>
          <w:tcPr>
            <w:tcW w:w="3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46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93"/>
              </w:rPr>
              <w:t>Paris, France 75007</w:t>
            </w:r>
          </w:p>
        </w:tc>
        <w:tc>
          <w:tcPr>
            <w:tcW w:w="2380" w:type="dxa"/>
            <w:vAlign w:val="bottom"/>
          </w:tcPr>
          <w:p>
            <w:pPr>
              <w:spacing w:after="0"/>
              <w:rPr>
                <w:sz w:val="12"/>
                <w:szCs w:val="12"/>
                <w:color w:val="auto"/>
              </w:rPr>
            </w:pPr>
          </w:p>
        </w:tc>
        <w:tc>
          <w:tcPr>
            <w:tcW w:w="3360" w:type="dxa"/>
            <w:vAlign w:val="bottom"/>
          </w:tcPr>
          <w:p>
            <w:pPr>
              <w:jc w:val="center"/>
              <w:ind w:left="129"/>
              <w:spacing w:after="0" w:line="149" w:lineRule="exact"/>
              <w:rPr>
                <w:sz w:val="20"/>
                <w:szCs w:val="20"/>
                <w:color w:val="auto"/>
              </w:rPr>
            </w:pPr>
            <w:r>
              <w:rPr>
                <w:rFonts w:ascii="Arial" w:cs="Arial" w:eastAsia="Arial" w:hAnsi="Arial"/>
                <w:sz w:val="14"/>
                <w:szCs w:val="14"/>
                <w:b w:val="1"/>
                <w:bCs w:val="1"/>
                <w:color w:val="auto"/>
                <w:w w:val="94"/>
              </w:rPr>
              <w:t>London, United Kingdom SW1E 6AJ</w:t>
            </w:r>
          </w:p>
        </w:tc>
        <w:tc>
          <w:tcPr>
            <w:tcW w:w="0" w:type="dxa"/>
            <w:vAlign w:val="bottom"/>
          </w:tcPr>
          <w:p>
            <w:pPr>
              <w:spacing w:after="0"/>
              <w:rPr>
                <w:sz w:val="1"/>
                <w:szCs w:val="1"/>
                <w:color w:val="auto"/>
              </w:rPr>
            </w:pPr>
          </w:p>
        </w:tc>
      </w:tr>
      <w:tr>
        <w:trPr>
          <w:trHeight w:val="186"/>
        </w:trPr>
        <w:tc>
          <w:tcPr>
            <w:tcW w:w="3460" w:type="dxa"/>
            <w:vAlign w:val="bottom"/>
          </w:tcPr>
          <w:p>
            <w:pPr>
              <w:jc w:val="right"/>
              <w:ind w:right="1109"/>
              <w:spacing w:after="0"/>
              <w:rPr>
                <w:sz w:val="20"/>
                <w:szCs w:val="20"/>
                <w:color w:val="auto"/>
              </w:rPr>
            </w:pPr>
            <w:r>
              <w:rPr>
                <w:rFonts w:ascii="Arial" w:cs="Arial" w:eastAsia="Arial" w:hAnsi="Arial"/>
                <w:sz w:val="14"/>
                <w:szCs w:val="14"/>
                <w:b w:val="1"/>
                <w:bCs w:val="1"/>
                <w:color w:val="auto"/>
              </w:rPr>
              <w:t>33-1-4062-1000</w:t>
            </w:r>
          </w:p>
        </w:tc>
        <w:tc>
          <w:tcPr>
            <w:tcW w:w="2380" w:type="dxa"/>
            <w:vAlign w:val="bottom"/>
          </w:tcPr>
          <w:p>
            <w:pPr>
              <w:spacing w:after="0"/>
              <w:rPr>
                <w:sz w:val="16"/>
                <w:szCs w:val="16"/>
                <w:color w:val="auto"/>
              </w:rPr>
            </w:pPr>
          </w:p>
        </w:tc>
        <w:tc>
          <w:tcPr>
            <w:tcW w:w="3360" w:type="dxa"/>
            <w:vAlign w:val="bottom"/>
          </w:tcPr>
          <w:p>
            <w:pPr>
              <w:jc w:val="right"/>
              <w:ind w:right="1009"/>
              <w:spacing w:after="0"/>
              <w:rPr>
                <w:sz w:val="20"/>
                <w:szCs w:val="20"/>
                <w:color w:val="auto"/>
              </w:rPr>
            </w:pPr>
            <w:r>
              <w:rPr>
                <w:rFonts w:ascii="Arial" w:cs="Arial" w:eastAsia="Arial" w:hAnsi="Arial"/>
                <w:sz w:val="14"/>
                <w:szCs w:val="14"/>
                <w:b w:val="1"/>
                <w:bCs w:val="1"/>
                <w:color w:val="auto"/>
              </w:rPr>
              <w:t>44-20-7074-3000</w:t>
            </w:r>
          </w:p>
        </w:tc>
        <w:tc>
          <w:tcPr>
            <w:tcW w:w="0" w:type="dxa"/>
            <w:vAlign w:val="bottom"/>
          </w:tcPr>
          <w:p>
            <w:pPr>
              <w:spacing w:after="0"/>
              <w:rPr>
                <w:sz w:val="1"/>
                <w:szCs w:val="1"/>
                <w:color w:val="auto"/>
              </w:rPr>
            </w:pPr>
          </w:p>
        </w:tc>
      </w:tr>
      <w:tr>
        <w:trPr>
          <w:trHeight w:val="192"/>
        </w:trPr>
        <w:tc>
          <w:tcPr>
            <w:tcW w:w="3460" w:type="dxa"/>
            <w:vAlign w:val="bottom"/>
          </w:tcPr>
          <w:p>
            <w:pPr>
              <w:jc w:val="center"/>
              <w:ind w:left="69"/>
              <w:spacing w:after="0"/>
              <w:rPr>
                <w:sz w:val="20"/>
                <w:szCs w:val="20"/>
                <w:color w:val="auto"/>
              </w:rPr>
            </w:pPr>
            <w:r>
              <w:rPr>
                <w:rFonts w:ascii="Arial" w:cs="Arial" w:eastAsia="Arial" w:hAnsi="Arial"/>
                <w:sz w:val="14"/>
                <w:szCs w:val="14"/>
                <w:b w:val="1"/>
                <w:bCs w:val="1"/>
                <w:color w:val="auto"/>
                <w:w w:val="93"/>
              </w:rPr>
              <w:t>5599 San Felipe, 17th Floor</w:t>
            </w:r>
          </w:p>
        </w:tc>
        <w:tc>
          <w:tcPr>
            <w:tcW w:w="2380" w:type="dxa"/>
            <w:vAlign w:val="bottom"/>
          </w:tcPr>
          <w:p>
            <w:pPr>
              <w:spacing w:after="0"/>
              <w:rPr>
                <w:sz w:val="16"/>
                <w:szCs w:val="16"/>
                <w:color w:val="auto"/>
              </w:rPr>
            </w:pPr>
          </w:p>
        </w:tc>
        <w:tc>
          <w:tcPr>
            <w:tcW w:w="3360" w:type="dxa"/>
            <w:vAlign w:val="bottom"/>
          </w:tcPr>
          <w:p>
            <w:pPr>
              <w:jc w:val="center"/>
              <w:ind w:left="129"/>
              <w:spacing w:after="0"/>
              <w:rPr>
                <w:sz w:val="20"/>
                <w:szCs w:val="20"/>
                <w:color w:val="auto"/>
              </w:rPr>
            </w:pPr>
            <w:r>
              <w:rPr>
                <w:rFonts w:ascii="Arial" w:cs="Arial" w:eastAsia="Arial" w:hAnsi="Arial"/>
                <w:sz w:val="14"/>
                <w:szCs w:val="14"/>
                <w:b w:val="1"/>
                <w:bCs w:val="1"/>
                <w:color w:val="auto"/>
                <w:w w:val="95"/>
              </w:rPr>
              <w:t>Parkstraat 83, The Hague</w:t>
            </w:r>
          </w:p>
        </w:tc>
        <w:tc>
          <w:tcPr>
            <w:tcW w:w="0" w:type="dxa"/>
            <w:vAlign w:val="bottom"/>
          </w:tcPr>
          <w:p>
            <w:pPr>
              <w:spacing w:after="0"/>
              <w:rPr>
                <w:sz w:val="1"/>
                <w:szCs w:val="1"/>
                <w:color w:val="auto"/>
              </w:rPr>
            </w:pPr>
          </w:p>
        </w:tc>
      </w:tr>
      <w:tr>
        <w:trPr>
          <w:trHeight w:val="149"/>
        </w:trPr>
        <w:tc>
          <w:tcPr>
            <w:tcW w:w="3460" w:type="dxa"/>
            <w:vAlign w:val="bottom"/>
          </w:tcPr>
          <w:p>
            <w:pPr>
              <w:jc w:val="center"/>
              <w:ind w:left="89"/>
              <w:spacing w:after="0" w:line="149" w:lineRule="exact"/>
              <w:rPr>
                <w:sz w:val="20"/>
                <w:szCs w:val="20"/>
                <w:color w:val="auto"/>
              </w:rPr>
            </w:pPr>
            <w:r>
              <w:rPr>
                <w:rFonts w:ascii="Arial" w:cs="Arial" w:eastAsia="Arial" w:hAnsi="Arial"/>
                <w:sz w:val="14"/>
                <w:szCs w:val="14"/>
                <w:b w:val="1"/>
                <w:bCs w:val="1"/>
                <w:color w:val="auto"/>
                <w:w w:val="91"/>
              </w:rPr>
              <w:t>Houston, Texas 77056</w:t>
            </w:r>
          </w:p>
        </w:tc>
        <w:tc>
          <w:tcPr>
            <w:tcW w:w="2380" w:type="dxa"/>
            <w:vAlign w:val="bottom"/>
          </w:tcPr>
          <w:p>
            <w:pPr>
              <w:spacing w:after="0"/>
              <w:rPr>
                <w:sz w:val="12"/>
                <w:szCs w:val="12"/>
                <w:color w:val="auto"/>
              </w:rPr>
            </w:pPr>
          </w:p>
        </w:tc>
        <w:tc>
          <w:tcPr>
            <w:tcW w:w="3360" w:type="dxa"/>
            <w:vAlign w:val="bottom"/>
          </w:tcPr>
          <w:p>
            <w:pPr>
              <w:jc w:val="center"/>
              <w:ind w:left="129"/>
              <w:spacing w:after="0" w:line="149" w:lineRule="exact"/>
              <w:rPr>
                <w:sz w:val="20"/>
                <w:szCs w:val="20"/>
                <w:color w:val="auto"/>
              </w:rPr>
            </w:pPr>
            <w:r>
              <w:rPr>
                <w:rFonts w:ascii="Arial" w:cs="Arial" w:eastAsia="Arial" w:hAnsi="Arial"/>
                <w:sz w:val="14"/>
                <w:szCs w:val="14"/>
                <w:b w:val="1"/>
                <w:bCs w:val="1"/>
                <w:color w:val="auto"/>
                <w:w w:val="93"/>
              </w:rPr>
              <w:t>The Netherlands, 2514 JG</w:t>
            </w:r>
          </w:p>
        </w:tc>
        <w:tc>
          <w:tcPr>
            <w:tcW w:w="0" w:type="dxa"/>
            <w:vAlign w:val="bottom"/>
          </w:tcPr>
          <w:p>
            <w:pPr>
              <w:spacing w:after="0"/>
              <w:rPr>
                <w:sz w:val="1"/>
                <w:szCs w:val="1"/>
                <w:color w:val="auto"/>
              </w:rPr>
            </w:pPr>
          </w:p>
        </w:tc>
      </w:tr>
      <w:tr>
        <w:trPr>
          <w:trHeight w:val="178"/>
        </w:trPr>
        <w:tc>
          <w:tcPr>
            <w:tcW w:w="3460" w:type="dxa"/>
            <w:vAlign w:val="bottom"/>
          </w:tcPr>
          <w:p>
            <w:pPr>
              <w:jc w:val="right"/>
              <w:ind w:right="1129"/>
              <w:spacing w:after="0"/>
              <w:rPr>
                <w:sz w:val="20"/>
                <w:szCs w:val="20"/>
                <w:color w:val="auto"/>
              </w:rPr>
            </w:pPr>
            <w:r>
              <w:rPr>
                <w:rFonts w:ascii="Arial" w:cs="Arial" w:eastAsia="Arial" w:hAnsi="Arial"/>
                <w:sz w:val="14"/>
                <w:szCs w:val="14"/>
                <w:b w:val="1"/>
                <w:bCs w:val="1"/>
                <w:color w:val="auto"/>
              </w:rPr>
              <w:t>(713) 513-2000</w:t>
            </w:r>
          </w:p>
        </w:tc>
        <w:tc>
          <w:tcPr>
            <w:tcW w:w="2380" w:type="dxa"/>
            <w:vAlign w:val="bottom"/>
          </w:tcPr>
          <w:p>
            <w:pPr>
              <w:spacing w:after="0"/>
              <w:rPr>
                <w:sz w:val="15"/>
                <w:szCs w:val="15"/>
                <w:color w:val="auto"/>
              </w:rPr>
            </w:pPr>
          </w:p>
        </w:tc>
        <w:tc>
          <w:tcPr>
            <w:tcW w:w="3360" w:type="dxa"/>
            <w:vAlign w:val="bottom"/>
          </w:tcPr>
          <w:p>
            <w:pPr>
              <w:jc w:val="right"/>
              <w:ind w:right="1049"/>
              <w:spacing w:after="0"/>
              <w:rPr>
                <w:sz w:val="20"/>
                <w:szCs w:val="20"/>
                <w:color w:val="auto"/>
              </w:rPr>
            </w:pPr>
            <w:r>
              <w:rPr>
                <w:rFonts w:ascii="Arial" w:cs="Arial" w:eastAsia="Arial" w:hAnsi="Arial"/>
                <w:sz w:val="14"/>
                <w:szCs w:val="14"/>
                <w:b w:val="1"/>
                <w:bCs w:val="1"/>
                <w:color w:val="auto"/>
              </w:rPr>
              <w:t>31-70-310-5400</w:t>
            </w:r>
          </w:p>
        </w:tc>
        <w:tc>
          <w:tcPr>
            <w:tcW w:w="0" w:type="dxa"/>
            <w:vAlign w:val="bottom"/>
          </w:tcPr>
          <w:p>
            <w:pPr>
              <w:spacing w:after="0"/>
              <w:rPr>
                <w:sz w:val="1"/>
                <w:szCs w:val="1"/>
                <w:color w:val="auto"/>
              </w:rPr>
            </w:pPr>
          </w:p>
        </w:tc>
      </w:tr>
    </w:tbl>
    <w:p>
      <w:pPr>
        <w:ind w:left="218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0" w:lineRule="exact"/>
        <w:rPr>
          <w:sz w:val="24"/>
          <w:szCs w:val="24"/>
          <w:color w:val="auto"/>
        </w:rPr>
      </w:pPr>
    </w:p>
    <w:p>
      <w:pPr>
        <w:ind w:left="5200"/>
        <w:spacing w:after="0"/>
        <w:rPr>
          <w:sz w:val="20"/>
          <w:szCs w:val="20"/>
          <w:color w:val="auto"/>
        </w:rPr>
      </w:pPr>
      <w:r>
        <w:rPr>
          <w:rFonts w:ascii="Arial" w:cs="Arial" w:eastAsia="Arial" w:hAnsi="Arial"/>
          <w:sz w:val="14"/>
          <w:szCs w:val="14"/>
          <w:b w:val="1"/>
          <w:bCs w:val="1"/>
          <w:color w:val="auto"/>
        </w:rPr>
        <w:t>Saul R. Laureles</w:t>
      </w:r>
    </w:p>
    <w:p>
      <w:pPr>
        <w:jc w:val="center"/>
        <w:spacing w:after="0" w:line="226" w:lineRule="auto"/>
        <w:rPr>
          <w:sz w:val="20"/>
          <w:szCs w:val="20"/>
          <w:color w:val="auto"/>
        </w:rPr>
      </w:pPr>
      <w:r>
        <w:rPr>
          <w:rFonts w:ascii="Arial" w:cs="Arial" w:eastAsia="Arial" w:hAnsi="Arial"/>
          <w:sz w:val="14"/>
          <w:szCs w:val="14"/>
          <w:b w:val="1"/>
          <w:bCs w:val="1"/>
          <w:color w:val="auto"/>
        </w:rPr>
        <w:t>Deputy General Counsel</w:t>
      </w:r>
    </w:p>
    <w:p>
      <w:pPr>
        <w:jc w:val="center"/>
        <w:spacing w:after="0" w:line="222" w:lineRule="auto"/>
        <w:rPr>
          <w:sz w:val="20"/>
          <w:szCs w:val="20"/>
          <w:color w:val="auto"/>
        </w:rPr>
      </w:pPr>
      <w:r>
        <w:rPr>
          <w:rFonts w:ascii="Arial" w:cs="Arial" w:eastAsia="Arial" w:hAnsi="Arial"/>
          <w:sz w:val="14"/>
          <w:szCs w:val="14"/>
          <w:b w:val="1"/>
          <w:bCs w:val="1"/>
          <w:color w:val="auto"/>
        </w:rPr>
        <w:t>Schlumberger Limited</w:t>
      </w:r>
    </w:p>
    <w:p>
      <w:pPr>
        <w:jc w:val="center"/>
        <w:spacing w:after="0" w:line="221" w:lineRule="auto"/>
        <w:rPr>
          <w:sz w:val="20"/>
          <w:szCs w:val="20"/>
          <w:color w:val="auto"/>
        </w:rPr>
      </w:pPr>
      <w:r>
        <w:rPr>
          <w:rFonts w:ascii="Arial" w:cs="Arial" w:eastAsia="Arial" w:hAnsi="Arial"/>
          <w:sz w:val="14"/>
          <w:szCs w:val="14"/>
          <w:b w:val="1"/>
          <w:bCs w:val="1"/>
          <w:color w:val="auto"/>
        </w:rPr>
        <w:t>5599 San Felipe, 17th Floor</w:t>
      </w:r>
    </w:p>
    <w:p>
      <w:pPr>
        <w:jc w:val="center"/>
        <w:spacing w:after="0" w:line="222" w:lineRule="auto"/>
        <w:rPr>
          <w:sz w:val="20"/>
          <w:szCs w:val="20"/>
          <w:color w:val="auto"/>
        </w:rPr>
      </w:pPr>
      <w:r>
        <w:rPr>
          <w:rFonts w:ascii="Arial" w:cs="Arial" w:eastAsia="Arial" w:hAnsi="Arial"/>
          <w:sz w:val="14"/>
          <w:szCs w:val="14"/>
          <w:b w:val="1"/>
          <w:bCs w:val="1"/>
          <w:color w:val="auto"/>
        </w:rPr>
        <w:t>Houston, Texas 77056</w:t>
      </w:r>
    </w:p>
    <w:p>
      <w:pPr>
        <w:jc w:val="center"/>
        <w:spacing w:after="0" w:line="221" w:lineRule="auto"/>
        <w:rPr>
          <w:sz w:val="20"/>
          <w:szCs w:val="20"/>
          <w:color w:val="auto"/>
        </w:rPr>
      </w:pPr>
      <w:r>
        <w:rPr>
          <w:rFonts w:ascii="Arial" w:cs="Arial" w:eastAsia="Arial" w:hAnsi="Arial"/>
          <w:sz w:val="14"/>
          <w:szCs w:val="14"/>
          <w:b w:val="1"/>
          <w:bCs w:val="1"/>
          <w:color w:val="auto"/>
        </w:rPr>
        <w:t>(713) 513-2000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tbl>
      <w:tblPr>
        <w:tblLayout w:type="fixed"/>
        <w:tblInd w:w="1280" w:type="dxa"/>
        <w:tblCellMar>
          <w:top w:w="0" w:type="dxa"/>
          <w:left w:w="0" w:type="dxa"/>
          <w:bottom w:w="0" w:type="dxa"/>
          <w:right w:w="0" w:type="dxa"/>
        </w:tblCellMar>
      </w:tblPr>
      <w:tr>
        <w:trPr>
          <w:trHeight w:val="182"/>
        </w:trPr>
        <w:tc>
          <w:tcPr>
            <w:tcW w:w="2280" w:type="dxa"/>
            <w:vAlign w:val="bottom"/>
          </w:tcPr>
          <w:p>
            <w:pPr>
              <w:spacing w:after="0"/>
              <w:rPr>
                <w:sz w:val="15"/>
                <w:szCs w:val="15"/>
                <w:color w:val="auto"/>
              </w:rPr>
            </w:pPr>
          </w:p>
        </w:tc>
        <w:tc>
          <w:tcPr>
            <w:tcW w:w="4340" w:type="dxa"/>
            <w:vAlign w:val="bottom"/>
          </w:tcPr>
          <w:p>
            <w:pPr>
              <w:ind w:left="1860"/>
              <w:spacing w:after="0"/>
              <w:rPr>
                <w:sz w:val="20"/>
                <w:szCs w:val="20"/>
                <w:color w:val="auto"/>
              </w:rPr>
            </w:pPr>
            <w:r>
              <w:rPr>
                <w:rFonts w:ascii="Arial" w:cs="Arial" w:eastAsia="Arial" w:hAnsi="Arial"/>
                <w:sz w:val="14"/>
                <w:szCs w:val="14"/>
                <w:b w:val="1"/>
                <w:bCs w:val="1"/>
                <w:i w:val="1"/>
                <w:iCs w:val="1"/>
                <w:color w:val="auto"/>
              </w:rPr>
              <w:t>Copies to:</w:t>
            </w:r>
          </w:p>
        </w:tc>
        <w:tc>
          <w:tcPr>
            <w:tcW w:w="2660" w:type="dxa"/>
            <w:vAlign w:val="bottom"/>
          </w:tcPr>
          <w:p>
            <w:pPr>
              <w:spacing w:after="0"/>
              <w:rPr>
                <w:sz w:val="15"/>
                <w:szCs w:val="15"/>
                <w:color w:val="auto"/>
              </w:rPr>
            </w:pPr>
          </w:p>
        </w:tc>
      </w:tr>
      <w:tr>
        <w:trPr>
          <w:trHeight w:val="151"/>
        </w:trPr>
        <w:tc>
          <w:tcPr>
            <w:tcW w:w="2280" w:type="dxa"/>
            <w:vAlign w:val="bottom"/>
          </w:tcPr>
          <w:p>
            <w:pPr>
              <w:jc w:val="center"/>
              <w:ind w:right="868"/>
              <w:spacing w:after="0" w:line="151" w:lineRule="exact"/>
              <w:rPr>
                <w:sz w:val="20"/>
                <w:szCs w:val="20"/>
                <w:color w:val="auto"/>
              </w:rPr>
            </w:pPr>
            <w:r>
              <w:rPr>
                <w:rFonts w:ascii="Arial" w:cs="Arial" w:eastAsia="Arial" w:hAnsi="Arial"/>
                <w:sz w:val="14"/>
                <w:szCs w:val="14"/>
                <w:b w:val="1"/>
                <w:bCs w:val="1"/>
                <w:color w:val="auto"/>
                <w:w w:val="96"/>
              </w:rPr>
              <w:t>J. David Kirkland, Jr.</w:t>
            </w:r>
          </w:p>
        </w:tc>
        <w:tc>
          <w:tcPr>
            <w:tcW w:w="4340" w:type="dxa"/>
            <w:vAlign w:val="bottom"/>
          </w:tcPr>
          <w:p>
            <w:pPr>
              <w:jc w:val="center"/>
              <w:ind w:left="148"/>
              <w:spacing w:after="0" w:line="151" w:lineRule="exact"/>
              <w:rPr>
                <w:sz w:val="20"/>
                <w:szCs w:val="20"/>
                <w:color w:val="auto"/>
              </w:rPr>
            </w:pPr>
            <w:r>
              <w:rPr>
                <w:rFonts w:ascii="Arial" w:cs="Arial" w:eastAsia="Arial" w:hAnsi="Arial"/>
                <w:sz w:val="14"/>
                <w:szCs w:val="14"/>
                <w:b w:val="1"/>
                <w:bCs w:val="1"/>
                <w:color w:val="auto"/>
                <w:w w:val="98"/>
              </w:rPr>
              <w:t>William C. Lemmer</w:t>
            </w:r>
          </w:p>
        </w:tc>
        <w:tc>
          <w:tcPr>
            <w:tcW w:w="2660" w:type="dxa"/>
            <w:vAlign w:val="bottom"/>
          </w:tcPr>
          <w:p>
            <w:pPr>
              <w:jc w:val="center"/>
              <w:ind w:left="668"/>
              <w:spacing w:after="0" w:line="151" w:lineRule="exact"/>
              <w:rPr>
                <w:sz w:val="20"/>
                <w:szCs w:val="20"/>
                <w:color w:val="auto"/>
              </w:rPr>
            </w:pPr>
            <w:r>
              <w:rPr>
                <w:rFonts w:ascii="Arial" w:cs="Arial" w:eastAsia="Arial" w:hAnsi="Arial"/>
                <w:sz w:val="14"/>
                <w:szCs w:val="14"/>
                <w:b w:val="1"/>
                <w:bCs w:val="1"/>
                <w:color w:val="auto"/>
                <w:w w:val="92"/>
              </w:rPr>
              <w:t>Scott A. Barshay</w:t>
            </w:r>
          </w:p>
        </w:tc>
      </w:tr>
      <w:tr>
        <w:trPr>
          <w:trHeight w:val="149"/>
        </w:trPr>
        <w:tc>
          <w:tcPr>
            <w:tcW w:w="228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6"/>
              </w:rPr>
              <w:t>Tull R. Florey</w:t>
            </w:r>
          </w:p>
        </w:tc>
        <w:tc>
          <w:tcPr>
            <w:tcW w:w="43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1"/>
              </w:rPr>
              <w:t>Senior Vice President and General Counsel</w:t>
            </w:r>
          </w:p>
        </w:tc>
        <w:tc>
          <w:tcPr>
            <w:tcW w:w="2660" w:type="dxa"/>
            <w:vAlign w:val="bottom"/>
          </w:tcPr>
          <w:p>
            <w:pPr>
              <w:jc w:val="center"/>
              <w:ind w:left="668"/>
              <w:spacing w:after="0" w:line="149" w:lineRule="exact"/>
              <w:rPr>
                <w:sz w:val="20"/>
                <w:szCs w:val="20"/>
                <w:color w:val="auto"/>
              </w:rPr>
            </w:pPr>
            <w:r>
              <w:rPr>
                <w:rFonts w:ascii="Arial" w:cs="Arial" w:eastAsia="Arial" w:hAnsi="Arial"/>
                <w:sz w:val="14"/>
                <w:szCs w:val="14"/>
                <w:b w:val="1"/>
                <w:bCs w:val="1"/>
                <w:color w:val="auto"/>
                <w:w w:val="90"/>
              </w:rPr>
              <w:t>George F. Schoen</w:t>
            </w:r>
          </w:p>
        </w:tc>
      </w:tr>
      <w:tr>
        <w:trPr>
          <w:trHeight w:val="149"/>
        </w:trPr>
        <w:tc>
          <w:tcPr>
            <w:tcW w:w="228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4"/>
              </w:rPr>
              <w:t>Andrew J. Ericksen</w:t>
            </w:r>
          </w:p>
        </w:tc>
        <w:tc>
          <w:tcPr>
            <w:tcW w:w="43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6"/>
              </w:rPr>
              <w:t>Cameron International Corporation</w:t>
            </w:r>
          </w:p>
        </w:tc>
        <w:tc>
          <w:tcPr>
            <w:tcW w:w="2660" w:type="dxa"/>
            <w:vAlign w:val="bottom"/>
          </w:tcPr>
          <w:p>
            <w:pPr>
              <w:jc w:val="center"/>
              <w:ind w:left="668"/>
              <w:spacing w:after="0" w:line="149" w:lineRule="exact"/>
              <w:rPr>
                <w:sz w:val="20"/>
                <w:szCs w:val="20"/>
                <w:color w:val="auto"/>
              </w:rPr>
            </w:pPr>
            <w:r>
              <w:rPr>
                <w:rFonts w:ascii="Arial" w:cs="Arial" w:eastAsia="Arial" w:hAnsi="Arial"/>
                <w:sz w:val="14"/>
                <w:szCs w:val="14"/>
                <w:b w:val="1"/>
                <w:bCs w:val="1"/>
                <w:color w:val="auto"/>
                <w:w w:val="99"/>
              </w:rPr>
              <w:t>Keith Hallam</w:t>
            </w:r>
          </w:p>
        </w:tc>
      </w:tr>
      <w:tr>
        <w:trPr>
          <w:trHeight w:val="149"/>
        </w:trPr>
        <w:tc>
          <w:tcPr>
            <w:tcW w:w="228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4"/>
              </w:rPr>
              <w:t>Baker Botts L.L.P.</w:t>
            </w:r>
          </w:p>
        </w:tc>
        <w:tc>
          <w:tcPr>
            <w:tcW w:w="43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1"/>
              </w:rPr>
              <w:t>1333 West Loop South, Suite 1700</w:t>
            </w:r>
          </w:p>
        </w:tc>
        <w:tc>
          <w:tcPr>
            <w:tcW w:w="266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7"/>
              </w:rPr>
              <w:t>Cravath, Swaine &amp; Moore LLP</w:t>
            </w:r>
          </w:p>
        </w:tc>
      </w:tr>
      <w:tr>
        <w:trPr>
          <w:trHeight w:val="149"/>
        </w:trPr>
        <w:tc>
          <w:tcPr>
            <w:tcW w:w="228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2"/>
              </w:rPr>
              <w:t>910 Louisiana Street</w:t>
            </w:r>
          </w:p>
        </w:tc>
        <w:tc>
          <w:tcPr>
            <w:tcW w:w="43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9"/>
              </w:rPr>
              <w:t>Houston, Texas 77027</w:t>
            </w:r>
          </w:p>
        </w:tc>
        <w:tc>
          <w:tcPr>
            <w:tcW w:w="2660" w:type="dxa"/>
            <w:vAlign w:val="bottom"/>
          </w:tcPr>
          <w:p>
            <w:pPr>
              <w:jc w:val="center"/>
              <w:ind w:left="668"/>
              <w:spacing w:after="0" w:line="149" w:lineRule="exact"/>
              <w:rPr>
                <w:sz w:val="20"/>
                <w:szCs w:val="20"/>
                <w:color w:val="auto"/>
              </w:rPr>
            </w:pPr>
            <w:r>
              <w:rPr>
                <w:rFonts w:ascii="Arial" w:cs="Arial" w:eastAsia="Arial" w:hAnsi="Arial"/>
                <w:sz w:val="14"/>
                <w:szCs w:val="14"/>
                <w:b w:val="1"/>
                <w:bCs w:val="1"/>
                <w:color w:val="auto"/>
                <w:w w:val="92"/>
              </w:rPr>
              <w:t>825 Eighth Avenue</w:t>
            </w:r>
          </w:p>
        </w:tc>
      </w:tr>
      <w:tr>
        <w:trPr>
          <w:trHeight w:val="149"/>
        </w:trPr>
        <w:tc>
          <w:tcPr>
            <w:tcW w:w="228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1"/>
              </w:rPr>
              <w:t>Houston, Texas 77002</w:t>
            </w:r>
          </w:p>
        </w:tc>
        <w:tc>
          <w:tcPr>
            <w:tcW w:w="43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3"/>
              </w:rPr>
              <w:t>(713) 513-3300</w:t>
            </w:r>
          </w:p>
        </w:tc>
        <w:tc>
          <w:tcPr>
            <w:tcW w:w="2660" w:type="dxa"/>
            <w:vAlign w:val="bottom"/>
          </w:tcPr>
          <w:p>
            <w:pPr>
              <w:jc w:val="center"/>
              <w:ind w:left="668"/>
              <w:spacing w:after="0" w:line="149" w:lineRule="exact"/>
              <w:rPr>
                <w:sz w:val="20"/>
                <w:szCs w:val="20"/>
                <w:color w:val="auto"/>
              </w:rPr>
            </w:pPr>
            <w:r>
              <w:rPr>
                <w:rFonts w:ascii="Arial" w:cs="Arial" w:eastAsia="Arial" w:hAnsi="Arial"/>
                <w:sz w:val="14"/>
                <w:szCs w:val="14"/>
                <w:b w:val="1"/>
                <w:bCs w:val="1"/>
                <w:color w:val="auto"/>
                <w:w w:val="94"/>
              </w:rPr>
              <w:t>New York, New York 10019</w:t>
            </w:r>
          </w:p>
        </w:tc>
      </w:tr>
      <w:tr>
        <w:trPr>
          <w:trHeight w:val="186"/>
        </w:trPr>
        <w:tc>
          <w:tcPr>
            <w:tcW w:w="2280" w:type="dxa"/>
            <w:vAlign w:val="bottom"/>
          </w:tcPr>
          <w:p>
            <w:pPr>
              <w:jc w:val="center"/>
              <w:ind w:right="868"/>
              <w:spacing w:after="0"/>
              <w:rPr>
                <w:sz w:val="20"/>
                <w:szCs w:val="20"/>
                <w:color w:val="auto"/>
              </w:rPr>
            </w:pPr>
            <w:r>
              <w:rPr>
                <w:rFonts w:ascii="Arial" w:cs="Arial" w:eastAsia="Arial" w:hAnsi="Arial"/>
                <w:sz w:val="14"/>
                <w:szCs w:val="14"/>
                <w:b w:val="1"/>
                <w:bCs w:val="1"/>
                <w:color w:val="auto"/>
                <w:w w:val="93"/>
              </w:rPr>
              <w:t>(713) 229-1234</w:t>
            </w:r>
          </w:p>
        </w:tc>
        <w:tc>
          <w:tcPr>
            <w:tcW w:w="4340" w:type="dxa"/>
            <w:vAlign w:val="bottom"/>
          </w:tcPr>
          <w:p>
            <w:pPr>
              <w:spacing w:after="0"/>
              <w:rPr>
                <w:sz w:val="16"/>
                <w:szCs w:val="16"/>
                <w:color w:val="auto"/>
              </w:rPr>
            </w:pPr>
          </w:p>
        </w:tc>
        <w:tc>
          <w:tcPr>
            <w:tcW w:w="2660" w:type="dxa"/>
            <w:vAlign w:val="bottom"/>
          </w:tcPr>
          <w:p>
            <w:pPr>
              <w:jc w:val="center"/>
              <w:ind w:left="648"/>
              <w:spacing w:after="0"/>
              <w:rPr>
                <w:sz w:val="20"/>
                <w:szCs w:val="20"/>
                <w:color w:val="auto"/>
              </w:rPr>
            </w:pPr>
            <w:r>
              <w:rPr>
                <w:rFonts w:ascii="Arial" w:cs="Arial" w:eastAsia="Arial" w:hAnsi="Arial"/>
                <w:sz w:val="14"/>
                <w:szCs w:val="14"/>
                <w:b w:val="1"/>
                <w:bCs w:val="1"/>
                <w:color w:val="auto"/>
                <w:w w:val="93"/>
              </w:rPr>
              <w:t>(212)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59055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9" w:lineRule="exact"/>
        <w:rPr>
          <w:sz w:val="24"/>
          <w:szCs w:val="24"/>
          <w:color w:val="auto"/>
        </w:rPr>
      </w:pPr>
    </w:p>
    <w:p>
      <w:pPr>
        <w:ind w:right="40" w:firstLine="342"/>
        <w:spacing w:after="0"/>
        <w:rPr>
          <w:sz w:val="20"/>
          <w:szCs w:val="20"/>
          <w:color w:val="auto"/>
        </w:rPr>
      </w:pPr>
      <w:r>
        <w:rPr>
          <w:rFonts w:ascii="Arial" w:cs="Arial" w:eastAsia="Arial" w:hAnsi="Arial"/>
          <w:sz w:val="13"/>
          <w:szCs w:val="13"/>
          <w:b w:val="1"/>
          <w:bCs w:val="1"/>
          <w:color w:val="auto"/>
        </w:rPr>
        <w:t xml:space="preserve">Approximate date of commencement of the proposed sale of the securities to the public: </w:t>
      </w:r>
      <w:r>
        <w:rPr>
          <w:rFonts w:ascii="Arial" w:cs="Arial" w:eastAsia="Arial" w:hAnsi="Arial"/>
          <w:sz w:val="13"/>
          <w:szCs w:val="13"/>
          <w:color w:val="auto"/>
        </w:rPr>
        <w:t>As soon as practicable after this registration statement becomes effective and upon completion of the merger described in the</w:t>
      </w:r>
      <w:r>
        <w:rPr>
          <w:rFonts w:ascii="Arial" w:cs="Arial" w:eastAsia="Arial" w:hAnsi="Arial"/>
          <w:sz w:val="13"/>
          <w:szCs w:val="13"/>
          <w:b w:val="1"/>
          <w:bCs w:val="1"/>
          <w:color w:val="auto"/>
        </w:rPr>
        <w:t xml:space="preserve"> </w:t>
      </w:r>
      <w:r>
        <w:rPr>
          <w:rFonts w:ascii="Arial" w:cs="Arial" w:eastAsia="Arial" w:hAnsi="Arial"/>
          <w:sz w:val="13"/>
          <w:szCs w:val="13"/>
          <w:color w:val="auto"/>
        </w:rPr>
        <w:t>enclosed document.</w:t>
      </w:r>
    </w:p>
    <w:p>
      <w:pPr>
        <w:ind w:left="36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53" w:lineRule="exact"/>
        <w:rPr>
          <w:sz w:val="24"/>
          <w:szCs w:val="24"/>
          <w:color w:val="auto"/>
        </w:rPr>
      </w:pPr>
    </w:p>
    <w:p>
      <w:pPr>
        <w:ind w:right="440" w:firstLine="342"/>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r>
        <w:rPr>
          <w:rFonts w:ascii="Arial" w:cs="Arial" w:eastAsia="Arial" w:hAnsi="Arial"/>
          <w:sz w:val="13"/>
          <w:szCs w:val="13"/>
          <w:color w:val="auto"/>
        </w:rPr>
        <w:t xml:space="preserve"> Registration No. 333-207260</w:t>
      </w:r>
    </w:p>
    <w:p>
      <w:pPr>
        <w:spacing w:after="0" w:line="1" w:lineRule="exact"/>
        <w:rPr>
          <w:sz w:val="24"/>
          <w:szCs w:val="24"/>
          <w:color w:val="auto"/>
        </w:rPr>
      </w:pPr>
    </w:p>
    <w:p>
      <w:pPr>
        <w:ind w:right="280" w:firstLine="342"/>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right="40" w:firstLine="342"/>
        <w:spacing w:after="0" w:line="22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Layout w:type="fixed"/>
        <w:tblInd w:w="0" w:type="dxa"/>
        <w:tblCellMar>
          <w:top w:w="0" w:type="dxa"/>
          <w:left w:w="0" w:type="dxa"/>
          <w:bottom w:w="0" w:type="dxa"/>
          <w:right w:w="0" w:type="dxa"/>
        </w:tblCellMar>
      </w:tblPr>
      <w:tr>
        <w:trPr>
          <w:trHeight w:val="178"/>
        </w:trPr>
        <w:tc>
          <w:tcPr>
            <w:tcW w:w="1260" w:type="dxa"/>
            <w:vAlign w:val="bottom"/>
            <w:gridSpan w:val="2"/>
          </w:tcPr>
          <w:p>
            <w:pPr>
              <w:spacing w:after="0"/>
              <w:rPr>
                <w:sz w:val="20"/>
                <w:szCs w:val="20"/>
                <w:color w:val="auto"/>
              </w:rPr>
            </w:pPr>
            <w:r>
              <w:rPr>
                <w:rFonts w:ascii="Arial" w:cs="Arial" w:eastAsia="Arial" w:hAnsi="Arial"/>
                <w:sz w:val="14"/>
                <w:szCs w:val="14"/>
                <w:color w:val="auto"/>
                <w:w w:val="89"/>
              </w:rPr>
              <w:t>Large accelerated filer</w:t>
            </w:r>
          </w:p>
        </w:tc>
        <w:tc>
          <w:tcPr>
            <w:tcW w:w="28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340" w:type="dxa"/>
            <w:vAlign w:val="bottom"/>
            <w:gridSpan w:val="2"/>
          </w:tcPr>
          <w:p>
            <w:pPr>
              <w:ind w:left="142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9"/>
        </w:trPr>
        <w:tc>
          <w:tcPr>
            <w:tcW w:w="1260" w:type="dxa"/>
            <w:vAlign w:val="bottom"/>
            <w:gridSpan w:val="2"/>
          </w:tcPr>
          <w:p>
            <w:pPr>
              <w:spacing w:after="0"/>
              <w:rPr>
                <w:sz w:val="20"/>
                <w:szCs w:val="20"/>
                <w:color w:val="auto"/>
              </w:rPr>
            </w:pPr>
            <w:r>
              <w:rPr>
                <w:rFonts w:ascii="Arial" w:cs="Arial" w:eastAsia="Arial" w:hAnsi="Arial"/>
                <w:sz w:val="14"/>
                <w:szCs w:val="14"/>
                <w:color w:val="auto"/>
                <w:w w:val="95"/>
              </w:rPr>
              <w:t>Non-accelerated filer</w:t>
            </w:r>
          </w:p>
        </w:tc>
        <w:tc>
          <w:tcPr>
            <w:tcW w:w="5220" w:type="dxa"/>
            <w:vAlign w:val="bottom"/>
            <w:gridSpan w:val="4"/>
          </w:tcPr>
          <w:p>
            <w:pPr>
              <w:ind w:left="4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340" w:type="dxa"/>
            <w:vAlign w:val="bottom"/>
            <w:gridSpan w:val="2"/>
          </w:tcPr>
          <w:p>
            <w:pPr>
              <w:ind w:left="142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51"/>
        </w:trPr>
        <w:tc>
          <w:tcPr>
            <w:tcW w:w="20" w:type="dxa"/>
            <w:vAlign w:val="bottom"/>
          </w:tcPr>
          <w:p>
            <w:pPr>
              <w:spacing w:after="0"/>
              <w:rPr>
                <w:sz w:val="13"/>
                <w:szCs w:val="13"/>
                <w:color w:val="auto"/>
              </w:rPr>
            </w:pPr>
          </w:p>
        </w:tc>
        <w:tc>
          <w:tcPr>
            <w:tcW w:w="6460" w:type="dxa"/>
            <w:vAlign w:val="bottom"/>
            <w:gridSpan w:val="5"/>
          </w:tcPr>
          <w:p>
            <w:pPr>
              <w:ind w:left="340"/>
              <w:spacing w:after="0"/>
              <w:rPr>
                <w:sz w:val="20"/>
                <w:szCs w:val="20"/>
                <w:color w:val="auto"/>
              </w:rPr>
            </w:pPr>
            <w:r>
              <w:rPr>
                <w:rFonts w:ascii="Arial" w:cs="Arial" w:eastAsia="Arial" w:hAnsi="Arial"/>
                <w:sz w:val="13"/>
                <w:szCs w:val="13"/>
                <w:color w:val="auto"/>
                <w:w w:val="88"/>
              </w:rPr>
              <w:t>If applicable, place an X in the box to designate the appropriate rule provision relied upon in conducting this transaction:</w:t>
            </w: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4120" w:type="dxa"/>
            <w:vAlign w:val="bottom"/>
            <w:gridSpan w:val="2"/>
          </w:tcPr>
          <w:p>
            <w:pPr>
              <w:ind w:left="340"/>
              <w:spacing w:after="0" w:line="150" w:lineRule="exact"/>
              <w:rPr>
                <w:sz w:val="20"/>
                <w:szCs w:val="20"/>
                <w:color w:val="auto"/>
              </w:rPr>
            </w:pPr>
            <w:r>
              <w:rPr>
                <w:rFonts w:ascii="Arial" w:cs="Arial" w:eastAsia="Arial" w:hAnsi="Arial"/>
                <w:sz w:val="13"/>
                <w:szCs w:val="13"/>
                <w:color w:val="auto"/>
                <w:w w:val="98"/>
              </w:rPr>
              <w:t xml:space="preserve">Exchange Act Rule 13e-4(i) (Cross-Border Issuer Tender Offer) </w:t>
            </w:r>
            <w:r>
              <w:rPr>
                <w:rFonts w:ascii="MS PGothic" w:cs="MS PGothic" w:eastAsia="MS PGothic" w:hAnsi="MS PGothic"/>
                <w:sz w:val="13"/>
                <w:szCs w:val="13"/>
                <w:color w:val="auto"/>
                <w:w w:val="98"/>
              </w:rPr>
              <w:t>☐</w:t>
            </w: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4120" w:type="dxa"/>
            <w:vAlign w:val="bottom"/>
            <w:gridSpan w:val="2"/>
          </w:tcPr>
          <w:p>
            <w:pPr>
              <w:ind w:left="340"/>
              <w:spacing w:after="0" w:line="150" w:lineRule="exact"/>
              <w:rPr>
                <w:sz w:val="20"/>
                <w:szCs w:val="20"/>
                <w:color w:val="auto"/>
              </w:rPr>
            </w:pPr>
            <w:r>
              <w:rPr>
                <w:rFonts w:ascii="Arial" w:cs="Arial" w:eastAsia="Arial" w:hAnsi="Arial"/>
                <w:sz w:val="13"/>
                <w:szCs w:val="13"/>
                <w:color w:val="auto"/>
                <w:w w:val="90"/>
              </w:rPr>
              <w:t xml:space="preserve">Exchange Act Rule 14d-1(d) (Cross-Border Third-Party Tender Offer) </w:t>
            </w:r>
            <w:r>
              <w:rPr>
                <w:rFonts w:ascii="MS PGothic" w:cs="MS PGothic" w:eastAsia="MS PGothic" w:hAnsi="MS PGothic"/>
                <w:sz w:val="13"/>
                <w:szCs w:val="13"/>
                <w:color w:val="auto"/>
                <w:w w:val="90"/>
              </w:rPr>
              <w:t>☐</w:t>
            </w: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70"/>
        </w:trPr>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gridSpan w:val="2"/>
          </w:tcPr>
          <w:p>
            <w:pPr>
              <w:spacing w:after="0"/>
              <w:rPr>
                <w:sz w:val="6"/>
                <w:szCs w:val="6"/>
                <w:color w:val="auto"/>
              </w:rPr>
            </w:pPr>
          </w:p>
        </w:tc>
        <w:tc>
          <w:tcPr>
            <w:tcW w:w="9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198"/>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680" w:type="dxa"/>
            <w:vAlign w:val="bottom"/>
            <w:gridSpan w:val="5"/>
          </w:tcPr>
          <w:p>
            <w:pPr>
              <w:ind w:left="200"/>
              <w:spacing w:after="0"/>
              <w:rPr>
                <w:sz w:val="20"/>
                <w:szCs w:val="20"/>
                <w:color w:val="auto"/>
              </w:rPr>
            </w:pPr>
            <w:r>
              <w:rPr>
                <w:rFonts w:ascii="Arial" w:cs="Arial" w:eastAsia="Arial" w:hAnsi="Arial"/>
                <w:sz w:val="14"/>
                <w:szCs w:val="14"/>
                <w:b w:val="1"/>
                <w:bCs w:val="1"/>
                <w:color w:val="auto"/>
              </w:rPr>
              <w:t>CALCULATION OF REGISTRATION FEE</w:t>
            </w:r>
          </w:p>
        </w:tc>
        <w:tc>
          <w:tcPr>
            <w:tcW w:w="18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88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tcBorders>
              <w:right w:val="single" w:sz="8" w:color="auto"/>
            </w:tcBorders>
            <w:gridSpan w:val="2"/>
          </w:tcPr>
          <w:p>
            <w:pPr>
              <w:jc w:val="center"/>
              <w:ind w:right="420"/>
              <w:spacing w:after="0" w:line="106" w:lineRule="exact"/>
              <w:rPr>
                <w:sz w:val="20"/>
                <w:szCs w:val="20"/>
                <w:color w:val="auto"/>
              </w:rPr>
            </w:pPr>
            <w:r>
              <w:rPr>
                <w:rFonts w:ascii="Arial" w:cs="Arial" w:eastAsia="Arial" w:hAnsi="Arial"/>
                <w:sz w:val="12"/>
                <w:szCs w:val="12"/>
                <w:b w:val="1"/>
                <w:bCs w:val="1"/>
                <w:color w:val="auto"/>
              </w:rPr>
              <w:t>Proposed</w:t>
            </w:r>
          </w:p>
        </w:tc>
        <w:tc>
          <w:tcPr>
            <w:tcW w:w="182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26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8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maximum</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80" w:type="dxa"/>
            <w:vAlign w:val="bottom"/>
            <w:tcBorders>
              <w:right w:val="single" w:sz="8" w:color="auto"/>
            </w:tcBorders>
          </w:tcPr>
          <w:p>
            <w:pPr>
              <w:jc w:val="center"/>
              <w:ind w:right="1210"/>
              <w:spacing w:after="0" w:line="158" w:lineRule="exact"/>
              <w:rPr>
                <w:sz w:val="20"/>
                <w:szCs w:val="20"/>
                <w:color w:val="auto"/>
              </w:rPr>
            </w:pPr>
            <w:r>
              <w:rPr>
                <w:rFonts w:ascii="Arial" w:cs="Arial" w:eastAsia="Arial" w:hAnsi="Arial"/>
                <w:sz w:val="14"/>
                <w:szCs w:val="14"/>
                <w:b w:val="1"/>
                <w:bCs w:val="1"/>
                <w:color w:val="auto"/>
                <w:w w:val="90"/>
              </w:rPr>
              <w:t>Title of each class of</w:t>
            </w:r>
          </w:p>
        </w:tc>
        <w:tc>
          <w:tcPr>
            <w:tcW w:w="380" w:type="dxa"/>
            <w:vAlign w:val="bottom"/>
          </w:tcPr>
          <w:p>
            <w:pPr>
              <w:spacing w:after="0"/>
              <w:rPr>
                <w:sz w:val="13"/>
                <w:szCs w:val="13"/>
                <w:color w:val="auto"/>
              </w:rPr>
            </w:pPr>
          </w:p>
        </w:tc>
        <w:tc>
          <w:tcPr>
            <w:tcW w:w="1460" w:type="dxa"/>
            <w:vAlign w:val="bottom"/>
            <w:tcBorders>
              <w:right w:val="single" w:sz="8" w:color="auto"/>
            </w:tcBorders>
          </w:tcPr>
          <w:p>
            <w:pPr>
              <w:jc w:val="center"/>
              <w:ind w:right="228"/>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500" w:type="dxa"/>
            <w:vAlign w:val="bottom"/>
          </w:tcPr>
          <w:p>
            <w:pPr>
              <w:spacing w:after="0"/>
              <w:rPr>
                <w:sz w:val="13"/>
                <w:szCs w:val="13"/>
                <w:color w:val="auto"/>
              </w:rPr>
            </w:pPr>
          </w:p>
        </w:tc>
        <w:tc>
          <w:tcPr>
            <w:tcW w:w="1340" w:type="dxa"/>
            <w:vAlign w:val="bottom"/>
            <w:tcBorders>
              <w:right w:val="single" w:sz="8" w:color="auto"/>
            </w:tcBorders>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8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ind w:left="268"/>
              <w:spacing w:after="0" w:line="158" w:lineRule="exact"/>
              <w:rPr>
                <w:sz w:val="20"/>
                <w:szCs w:val="20"/>
                <w:color w:val="auto"/>
              </w:rPr>
            </w:pPr>
            <w:r>
              <w:rPr>
                <w:rFonts w:ascii="Arial" w:cs="Arial" w:eastAsia="Arial" w:hAnsi="Arial"/>
                <w:sz w:val="14"/>
                <w:szCs w:val="14"/>
                <w:b w:val="1"/>
                <w:bCs w:val="1"/>
                <w:color w:val="auto"/>
                <w:w w:val="94"/>
              </w:rPr>
              <w:t>Amount of</w:t>
            </w:r>
          </w:p>
        </w:tc>
        <w:tc>
          <w:tcPr>
            <w:tcW w:w="260" w:type="dxa"/>
            <w:vAlign w:val="bottom"/>
          </w:tcPr>
          <w:p>
            <w:pPr>
              <w:spacing w:after="0"/>
              <w:rPr>
                <w:sz w:val="13"/>
                <w:szCs w:val="13"/>
                <w:color w:val="auto"/>
              </w:rPr>
            </w:pPr>
          </w:p>
        </w:tc>
      </w:tr>
      <w:tr>
        <w:trPr>
          <w:trHeight w:val="176"/>
        </w:trPr>
        <w:tc>
          <w:tcPr>
            <w:tcW w:w="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jc w:val="center"/>
              <w:ind w:right="1210"/>
              <w:spacing w:after="0"/>
              <w:rPr>
                <w:sz w:val="20"/>
                <w:szCs w:val="20"/>
                <w:color w:val="auto"/>
              </w:rPr>
            </w:pPr>
            <w:r>
              <w:rPr>
                <w:rFonts w:ascii="Arial" w:cs="Arial" w:eastAsia="Arial" w:hAnsi="Arial"/>
                <w:sz w:val="14"/>
                <w:szCs w:val="14"/>
                <w:b w:val="1"/>
                <w:bCs w:val="1"/>
                <w:color w:val="auto"/>
                <w:w w:val="89"/>
              </w:rPr>
              <w:t>securities to be registered</w:t>
            </w: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9"/>
              </w:rPr>
              <w:t>registered</w:t>
            </w:r>
            <w:r>
              <w:rPr>
                <w:rFonts w:ascii="Arial" w:cs="Arial" w:eastAsia="Arial" w:hAnsi="Arial"/>
                <w:sz w:val="12"/>
                <w:szCs w:val="12"/>
                <w:b w:val="1"/>
                <w:bCs w:val="1"/>
                <w:color w:val="auto"/>
                <w:w w:val="89"/>
              </w:rPr>
              <w:t>(1)</w:t>
            </w: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right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per share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offering price</w:t>
            </w:r>
            <w:r>
              <w:rPr>
                <w:rFonts w:ascii="Arial" w:cs="Arial" w:eastAsia="Arial" w:hAnsi="Arial"/>
                <w:sz w:val="12"/>
                <w:szCs w:val="12"/>
                <w:b w:val="1"/>
                <w:bCs w:val="1"/>
                <w:color w:val="auto"/>
                <w:w w:val="92"/>
              </w:rPr>
              <w:t>(2)</w:t>
            </w:r>
          </w:p>
        </w:tc>
        <w:tc>
          <w:tcPr>
            <w:tcW w:w="15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2"/>
              </w:rPr>
              <w:t>registration fee</w:t>
            </w:r>
          </w:p>
        </w:tc>
        <w:tc>
          <w:tcPr>
            <w:tcW w:w="260" w:type="dxa"/>
            <w:vAlign w:val="bottom"/>
            <w:tcBorders>
              <w:bottom w:val="single" w:sz="8" w:color="auto"/>
            </w:tcBorders>
          </w:tcPr>
          <w:p>
            <w:pPr>
              <w:spacing w:after="0"/>
              <w:rPr>
                <w:sz w:val="15"/>
                <w:szCs w:val="15"/>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12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Common stock, par value $0.01 per share</w:t>
            </w:r>
          </w:p>
        </w:tc>
        <w:tc>
          <w:tcPr>
            <w:tcW w:w="1840" w:type="dxa"/>
            <w:vAlign w:val="bottom"/>
            <w:tcBorders>
              <w:bottom w:val="single" w:sz="8" w:color="auto"/>
              <w:right w:val="single" w:sz="8" w:color="auto"/>
            </w:tcBorders>
            <w:gridSpan w:val="2"/>
          </w:tcPr>
          <w:p>
            <w:pPr>
              <w:jc w:val="center"/>
              <w:ind w:left="28"/>
              <w:spacing w:after="0" w:line="142" w:lineRule="exact"/>
              <w:rPr>
                <w:sz w:val="20"/>
                <w:szCs w:val="20"/>
                <w:color w:val="auto"/>
              </w:rPr>
            </w:pPr>
            <w:r>
              <w:rPr>
                <w:rFonts w:ascii="Arial" w:cs="Arial" w:eastAsia="Arial" w:hAnsi="Arial"/>
                <w:sz w:val="14"/>
                <w:szCs w:val="14"/>
                <w:b w:val="1"/>
                <w:bCs w:val="1"/>
                <w:color w:val="auto"/>
                <w:w w:val="93"/>
              </w:rPr>
              <w:t>1,435,120</w:t>
            </w:r>
          </w:p>
        </w:tc>
        <w:tc>
          <w:tcPr>
            <w:tcW w:w="500" w:type="dxa"/>
            <w:vAlign w:val="bottom"/>
            <w:tcBorders>
              <w:bottom w:val="single" w:sz="8" w:color="auto"/>
            </w:tcBorders>
          </w:tcPr>
          <w:p>
            <w:pPr>
              <w:spacing w:after="0"/>
              <w:rPr>
                <w:sz w:val="12"/>
                <w:szCs w:val="12"/>
                <w:color w:val="auto"/>
              </w:rPr>
            </w:pPr>
          </w:p>
        </w:tc>
        <w:tc>
          <w:tcPr>
            <w:tcW w:w="1340" w:type="dxa"/>
            <w:vAlign w:val="bottom"/>
            <w:tcBorders>
              <w:bottom w:val="single" w:sz="8" w:color="auto"/>
              <w:right w:val="single" w:sz="8" w:color="auto"/>
            </w:tcBorders>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9"/>
              </w:rPr>
              <w:t>N/A</w:t>
            </w:r>
          </w:p>
        </w:tc>
        <w:tc>
          <w:tcPr>
            <w:tcW w:w="18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$33,513,360</w:t>
            </w:r>
          </w:p>
        </w:tc>
        <w:tc>
          <w:tcPr>
            <w:tcW w:w="1520" w:type="dxa"/>
            <w:vAlign w:val="bottom"/>
            <w:tcBorders>
              <w:bottom w:val="single" w:sz="8" w:color="auto"/>
            </w:tcBorders>
          </w:tcPr>
          <w:p>
            <w:pPr>
              <w:jc w:val="center"/>
              <w:ind w:left="268"/>
              <w:spacing w:after="0" w:line="142" w:lineRule="exact"/>
              <w:rPr>
                <w:sz w:val="20"/>
                <w:szCs w:val="20"/>
                <w:color w:val="auto"/>
              </w:rPr>
            </w:pPr>
            <w:r>
              <w:rPr>
                <w:rFonts w:ascii="Arial" w:cs="Arial" w:eastAsia="Arial" w:hAnsi="Arial"/>
                <w:sz w:val="14"/>
                <w:szCs w:val="14"/>
                <w:b w:val="1"/>
                <w:bCs w:val="1"/>
                <w:color w:val="auto"/>
                <w:w w:val="88"/>
              </w:rPr>
              <w:t>$3,375</w:t>
            </w:r>
          </w:p>
        </w:tc>
        <w:tc>
          <w:tcPr>
            <w:tcW w:w="26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ind w:left="340" w:right="12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This Registration Statement relates to the Registration Statement on Form S-4 filed by Schlumberger Limited (the “Company”) (Registration No. 333-207260), which was filed on October 2, 2015, amended on November 13, 2015 and declared effective by the Securities and Exchange Commission on November 16, 2015 (the “Prior Registration Statement”). This Registration Statement covers 1,435,120 additional shares of common stock, par value of $.01 per share, of the Company to be issuable upon the completion of the merger described in the Prior Registration Statement. In connection with the filing and amendment of the Prior Registration statement, 141,169,593 shares of common stock of the Company were registered with the Securities and Exchange Commission. The total number of shares of common stock of the registrant to be issued in connection with the Merger is now expected not to exceed 142,604,713.</w:t>
      </w:r>
    </w:p>
    <w:p>
      <w:pPr>
        <w:spacing w:after="0" w:line="2" w:lineRule="exact"/>
        <w:rPr>
          <w:rFonts w:ascii="Arial" w:cs="Arial" w:eastAsia="Arial" w:hAnsi="Arial"/>
          <w:sz w:val="13"/>
          <w:szCs w:val="13"/>
          <w:color w:val="auto"/>
        </w:rPr>
      </w:pPr>
    </w:p>
    <w:p>
      <w:pPr>
        <w:ind w:left="340" w:right="120" w:hanging="332"/>
        <w:spacing w:after="0" w:line="226"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required by Section 6(b) of the Securities Act and calculated pursuant to Rules 457(f) and 457(c) under the Securities Act. The proposed maximum aggregate offering price of the registrant’s common stock was calculated based upon the market value of shares of Cameron International Corporation common stock (the securities to be canceled in the merger) in accordance with Rule 457(c), 457(f)(1) and 457(f)(3) and is calculated as follows: the product of (i) $67.555, the average of the high and low prices per share of Cameron International Corporation common stock on the New York Stock Exchange on March 31, 2016 multiplied by (ii) 496,090, the additional number of shares of Cameron International Corporation common stock that may be canceled and converted in the merger, computed as of March 31, 2016, that are being registered in connection with this Registration Statement on Form S-4.</w:t>
      </w:r>
    </w:p>
    <w:p>
      <w:pPr>
        <w:spacing w:after="0" w:line="316"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3"/>
          <w:szCs w:val="13"/>
          <w:b w:val="1"/>
          <w:bCs w:val="1"/>
          <w:color w:val="auto"/>
        </w:rPr>
        <w:t>This registration statement will become effective automatically upon filing with the Commission pursuant to Rule 462(b)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registration statement is being filed with the Securities and Exchange Commission pursuant to General Instruction K of Form S-4 and Rule 462(b) of the Securities Act of 1933, as amended, for the sole purpose of registering an additional 1,435,120 shares of Common stock, par value $0.01 per share, of Schlumberger Limited (“Schlumberger”) for issuance to stockholders of Cameron International Corporation as part of the Merger Consideration pursuant to the Merger Agreement (each as defined in the Registration Statement on Form S-4 (Registration No. 333-207260) incorporated by reference herein). Schlumberger has previously registered 141,169,593 shares of Schlumberger common stock by means of a currently effective registration statement on Form S-4 (Registration No. 333-207260).</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This registration statement incorporates by reference the contents of the Registration Statement on Form S-4 (Registration No. 333-207260), including all amendments, supplements and exhibits thereto and all information incorporated or deemed to be incorporated by reference therein. Additional opinions and consents required to be filed with this Registration Statement are listed on the Exhibit Index attached to and filed with this registration statement.</w:t>
      </w:r>
    </w:p>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Houston, State of Texas, on April 1,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Pr>
          <w:p>
            <w:pPr>
              <w:spacing w:after="0"/>
              <w:rPr>
                <w:sz w:val="20"/>
                <w:szCs w:val="20"/>
                <w:color w:val="auto"/>
              </w:rPr>
            </w:pPr>
          </w:p>
        </w:tc>
        <w:tc>
          <w:tcPr>
            <w:tcW w:w="37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Howard Guild</w:t>
            </w:r>
          </w:p>
        </w:tc>
      </w:tr>
      <w:tr>
        <w:trPr>
          <w:trHeight w:val="209"/>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Howard Guild</w:t>
            </w:r>
          </w:p>
        </w:tc>
      </w:tr>
      <w:tr>
        <w:trPr>
          <w:trHeight w:val="230"/>
        </w:trPr>
        <w:tc>
          <w:tcPr>
            <w:tcW w:w="520" w:type="dxa"/>
            <w:vAlign w:val="bottom"/>
          </w:tcPr>
          <w:p>
            <w:pPr>
              <w:spacing w:after="0"/>
              <w:rPr>
                <w:sz w:val="20"/>
                <w:szCs w:val="20"/>
                <w:color w:val="auto"/>
              </w:rPr>
            </w:pPr>
          </w:p>
        </w:tc>
        <w:tc>
          <w:tcPr>
            <w:tcW w:w="4040" w:type="dxa"/>
            <w:vAlign w:val="bottom"/>
            <w:gridSpan w:val="2"/>
          </w:tcPr>
          <w:p>
            <w:pPr>
              <w:ind w:left="260"/>
              <w:spacing w:after="0"/>
              <w:rPr>
                <w:sz w:val="20"/>
                <w:szCs w:val="20"/>
                <w:color w:val="auto"/>
              </w:rPr>
            </w:pPr>
            <w:r>
              <w:rPr>
                <w:rFonts w:ascii="Arial" w:cs="Arial" w:eastAsia="Arial" w:hAnsi="Arial"/>
                <w:sz w:val="18"/>
                <w:szCs w:val="18"/>
                <w:color w:val="auto"/>
              </w:rPr>
              <w:t>Chief Accounting Officer</w:t>
            </w:r>
          </w:p>
        </w:tc>
      </w:tr>
    </w:tbl>
    <w:p>
      <w:pPr>
        <w:spacing w:after="0" w:line="20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380" w:type="dxa"/>
            <w:vAlign w:val="bottom"/>
          </w:tcPr>
          <w:p>
            <w:pPr>
              <w:jc w:val="center"/>
              <w:ind w:right="171"/>
              <w:spacing w:after="0"/>
              <w:rPr>
                <w:sz w:val="20"/>
                <w:szCs w:val="20"/>
                <w:color w:val="auto"/>
              </w:rPr>
            </w:pPr>
            <w:r>
              <w:rPr>
                <w:rFonts w:ascii="Arial" w:cs="Arial" w:eastAsia="Arial" w:hAnsi="Arial"/>
                <w:sz w:val="14"/>
                <w:szCs w:val="14"/>
                <w:b w:val="1"/>
                <w:bCs w:val="1"/>
                <w:color w:val="auto"/>
                <w:w w:val="97"/>
              </w:rPr>
              <w:t>Title</w:t>
            </w:r>
          </w:p>
        </w:tc>
        <w:tc>
          <w:tcPr>
            <w:tcW w:w="1400" w:type="dxa"/>
            <w:vAlign w:val="bottom"/>
          </w:tcPr>
          <w:p>
            <w:pPr>
              <w:jc w:val="center"/>
              <w:ind w:left="331"/>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80" w:type="dxa"/>
            <w:vAlign w:val="bottom"/>
          </w:tcPr>
          <w:p>
            <w:pPr>
              <w:jc w:val="center"/>
              <w:ind w:right="151"/>
              <w:spacing w:after="0"/>
              <w:rPr>
                <w:sz w:val="20"/>
                <w:szCs w:val="20"/>
                <w:color w:val="auto"/>
              </w:rPr>
            </w:pPr>
            <w:r>
              <w:rPr>
                <w:rFonts w:ascii="Arial" w:cs="Arial" w:eastAsia="Arial" w:hAnsi="Arial"/>
                <w:sz w:val="18"/>
                <w:szCs w:val="18"/>
                <w:color w:val="auto"/>
                <w:w w:val="92"/>
              </w:rPr>
              <w:t>Chairman of the Board, Chief Executive Officer and</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4"/>
              </w:rPr>
              <w:t>April 1, 2016</w:t>
            </w:r>
          </w:p>
        </w:tc>
      </w:tr>
      <w:tr>
        <w:trPr>
          <w:trHeight w:val="182"/>
        </w:trPr>
        <w:tc>
          <w:tcPr>
            <w:tcW w:w="5080" w:type="dxa"/>
            <w:vAlign w:val="bottom"/>
          </w:tcPr>
          <w:p>
            <w:pPr>
              <w:jc w:val="center"/>
              <w:spacing w:after="0" w:line="182" w:lineRule="exact"/>
              <w:rPr>
                <w:sz w:val="20"/>
                <w:szCs w:val="20"/>
                <w:color w:val="auto"/>
              </w:rPr>
            </w:pPr>
            <w:r>
              <w:rPr>
                <w:rFonts w:ascii="Arial" w:cs="Arial" w:eastAsia="Arial" w:hAnsi="Arial"/>
                <w:sz w:val="18"/>
                <w:szCs w:val="18"/>
                <w:color w:val="auto"/>
                <w:w w:val="88"/>
              </w:rPr>
              <w:t>Paal Kibsgaard</w:t>
            </w:r>
          </w:p>
        </w:tc>
        <w:tc>
          <w:tcPr>
            <w:tcW w:w="4380" w:type="dxa"/>
            <w:vAlign w:val="bottom"/>
          </w:tcPr>
          <w:p>
            <w:pPr>
              <w:ind w:left="1840"/>
              <w:spacing w:after="0" w:line="182" w:lineRule="exact"/>
              <w:rPr>
                <w:sz w:val="20"/>
                <w:szCs w:val="20"/>
                <w:color w:val="auto"/>
              </w:rPr>
            </w:pPr>
            <w:r>
              <w:rPr>
                <w:rFonts w:ascii="Arial" w:cs="Arial" w:eastAsia="Arial" w:hAnsi="Arial"/>
                <w:sz w:val="18"/>
                <w:szCs w:val="18"/>
                <w:color w:val="auto"/>
              </w:rPr>
              <w:t>Director</w:t>
            </w:r>
          </w:p>
        </w:tc>
        <w:tc>
          <w:tcPr>
            <w:tcW w:w="1400" w:type="dxa"/>
            <w:vAlign w:val="bottom"/>
          </w:tcPr>
          <w:p>
            <w:pPr>
              <w:spacing w:after="0"/>
              <w:rPr>
                <w:sz w:val="15"/>
                <w:szCs w:val="15"/>
                <w:color w:val="auto"/>
              </w:rPr>
            </w:pPr>
          </w:p>
        </w:tc>
      </w:tr>
      <w:tr>
        <w:trPr>
          <w:trHeight w:val="230"/>
        </w:trPr>
        <w:tc>
          <w:tcPr>
            <w:tcW w:w="508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400" w:type="dxa"/>
            <w:vAlign w:val="bottom"/>
          </w:tcPr>
          <w:p>
            <w:pPr>
              <w:spacing w:after="0"/>
              <w:rPr>
                <w:sz w:val="20"/>
                <w:szCs w:val="20"/>
                <w:color w:val="auto"/>
              </w:rPr>
            </w:pPr>
          </w:p>
        </w:tc>
      </w:tr>
      <w:tr>
        <w:trPr>
          <w:trHeight w:val="43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80" w:type="dxa"/>
            <w:vAlign w:val="bottom"/>
          </w:tcPr>
          <w:p>
            <w:pPr>
              <w:ind w:left="980"/>
              <w:spacing w:after="0"/>
              <w:rPr>
                <w:sz w:val="20"/>
                <w:szCs w:val="20"/>
                <w:color w:val="auto"/>
              </w:rPr>
            </w:pPr>
            <w:r>
              <w:rPr>
                <w:rFonts w:ascii="Arial" w:cs="Arial" w:eastAsia="Arial" w:hAnsi="Arial"/>
                <w:sz w:val="18"/>
                <w:szCs w:val="18"/>
                <w:color w:val="auto"/>
              </w:rPr>
              <w:t>Executive Vice President and</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4"/>
              </w:rPr>
              <w:t>April 1, 2016</w:t>
            </w:r>
          </w:p>
        </w:tc>
      </w:tr>
      <w:tr>
        <w:trPr>
          <w:trHeight w:val="182"/>
        </w:trPr>
        <w:tc>
          <w:tcPr>
            <w:tcW w:w="5080" w:type="dxa"/>
            <w:vAlign w:val="bottom"/>
          </w:tcPr>
          <w:p>
            <w:pPr>
              <w:jc w:val="center"/>
              <w:spacing w:after="0" w:line="182" w:lineRule="exact"/>
              <w:rPr>
                <w:sz w:val="20"/>
                <w:szCs w:val="20"/>
                <w:color w:val="auto"/>
              </w:rPr>
            </w:pPr>
            <w:r>
              <w:rPr>
                <w:rFonts w:ascii="Arial" w:cs="Arial" w:eastAsia="Arial" w:hAnsi="Arial"/>
                <w:sz w:val="18"/>
                <w:szCs w:val="18"/>
                <w:color w:val="auto"/>
                <w:w w:val="91"/>
              </w:rPr>
              <w:t>Simon Ayat</w:t>
            </w:r>
          </w:p>
        </w:tc>
        <w:tc>
          <w:tcPr>
            <w:tcW w:w="4380" w:type="dxa"/>
            <w:vAlign w:val="bottom"/>
          </w:tcPr>
          <w:p>
            <w:pPr>
              <w:jc w:val="center"/>
              <w:ind w:right="11"/>
              <w:spacing w:after="0" w:line="182" w:lineRule="exact"/>
              <w:rPr>
                <w:sz w:val="20"/>
                <w:szCs w:val="20"/>
                <w:color w:val="auto"/>
              </w:rPr>
            </w:pPr>
            <w:r>
              <w:rPr>
                <w:rFonts w:ascii="Arial" w:cs="Arial" w:eastAsia="Arial" w:hAnsi="Arial"/>
                <w:sz w:val="18"/>
                <w:szCs w:val="18"/>
                <w:color w:val="auto"/>
                <w:w w:val="94"/>
              </w:rPr>
              <w:t>Chief Financial Officer</w:t>
            </w:r>
          </w:p>
        </w:tc>
        <w:tc>
          <w:tcPr>
            <w:tcW w:w="1400" w:type="dxa"/>
            <w:vAlign w:val="bottom"/>
          </w:tcPr>
          <w:p>
            <w:pPr>
              <w:spacing w:after="0"/>
              <w:rPr>
                <w:sz w:val="15"/>
                <w:szCs w:val="15"/>
                <w:color w:val="auto"/>
              </w:rPr>
            </w:pPr>
          </w:p>
        </w:tc>
      </w:tr>
      <w:tr>
        <w:trPr>
          <w:trHeight w:val="230"/>
        </w:trPr>
        <w:tc>
          <w:tcPr>
            <w:tcW w:w="508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1400" w:type="dxa"/>
            <w:vAlign w:val="bottom"/>
          </w:tcPr>
          <w:p>
            <w:pPr>
              <w:spacing w:after="0"/>
              <w:rPr>
                <w:sz w:val="20"/>
                <w:szCs w:val="20"/>
                <w:color w:val="auto"/>
              </w:rPr>
            </w:pPr>
          </w:p>
        </w:tc>
      </w:tr>
      <w:tr>
        <w:trPr>
          <w:trHeight w:val="432"/>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80" w:type="dxa"/>
            <w:vAlign w:val="bottom"/>
          </w:tcPr>
          <w:p>
            <w:pPr>
              <w:jc w:val="center"/>
              <w:ind w:right="171"/>
              <w:spacing w:after="0"/>
              <w:rPr>
                <w:sz w:val="20"/>
                <w:szCs w:val="20"/>
                <w:color w:val="auto"/>
              </w:rPr>
            </w:pPr>
            <w:r>
              <w:rPr>
                <w:rFonts w:ascii="Arial" w:cs="Arial" w:eastAsia="Arial" w:hAnsi="Arial"/>
                <w:sz w:val="18"/>
                <w:szCs w:val="18"/>
                <w:color w:val="auto"/>
                <w:w w:val="94"/>
              </w:rPr>
              <w:t>Chief Accounting Officer</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4"/>
              </w:rPr>
              <w:t>April 1, 2016</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5"/>
              </w:rPr>
              <w:t>Howard Guild</w:t>
            </w:r>
          </w:p>
        </w:tc>
        <w:tc>
          <w:tcPr>
            <w:tcW w:w="438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14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80" w:type="dxa"/>
            <w:vAlign w:val="bottom"/>
          </w:tcPr>
          <w:p>
            <w:pPr>
              <w:jc w:val="center"/>
              <w:ind w:right="171"/>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4"/>
              </w:rPr>
              <w:t>April 1, 2016</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Peter L.S. Currie</w:t>
            </w:r>
          </w:p>
        </w:tc>
        <w:tc>
          <w:tcPr>
            <w:tcW w:w="4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80" w:type="dxa"/>
            <w:vAlign w:val="bottom"/>
          </w:tcPr>
          <w:p>
            <w:pPr>
              <w:jc w:val="center"/>
              <w:ind w:right="171"/>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4"/>
              </w:rPr>
              <w:t>April 1, 2016</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9"/>
              </w:rPr>
              <w:t>V. Maureen Kempston Darkes</w:t>
            </w:r>
          </w:p>
        </w:tc>
        <w:tc>
          <w:tcPr>
            <w:tcW w:w="4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80" w:type="dxa"/>
            <w:vAlign w:val="bottom"/>
          </w:tcPr>
          <w:p>
            <w:pPr>
              <w:jc w:val="center"/>
              <w:ind w:right="171"/>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4"/>
              </w:rPr>
              <w:t>April 1, 2016</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5"/>
              </w:rPr>
              <w:t>Nikolay Kudryavtsev</w:t>
            </w:r>
          </w:p>
        </w:tc>
        <w:tc>
          <w:tcPr>
            <w:tcW w:w="4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80" w:type="dxa"/>
            <w:vAlign w:val="bottom"/>
          </w:tcPr>
          <w:p>
            <w:pPr>
              <w:jc w:val="center"/>
              <w:ind w:right="171"/>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4"/>
              </w:rPr>
              <w:t>April 1, 2016</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2"/>
              </w:rPr>
              <w:t>Michael E. Marks</w:t>
            </w:r>
          </w:p>
        </w:tc>
        <w:tc>
          <w:tcPr>
            <w:tcW w:w="4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80" w:type="dxa"/>
            <w:vAlign w:val="bottom"/>
          </w:tcPr>
          <w:p>
            <w:pPr>
              <w:jc w:val="center"/>
              <w:ind w:right="171"/>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4"/>
              </w:rPr>
              <w:t>April 1, 2016</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4"/>
              </w:rPr>
              <w:t>Indra K. Nooyi</w:t>
            </w:r>
          </w:p>
        </w:tc>
        <w:tc>
          <w:tcPr>
            <w:tcW w:w="4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80" w:type="dxa"/>
            <w:vAlign w:val="bottom"/>
          </w:tcPr>
          <w:p>
            <w:pPr>
              <w:jc w:val="center"/>
              <w:ind w:right="171"/>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4"/>
              </w:rPr>
              <w:t>April 1, 2016</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89"/>
              </w:rPr>
              <w:t>Lubna S. Olayan</w:t>
            </w:r>
          </w:p>
        </w:tc>
        <w:tc>
          <w:tcPr>
            <w:tcW w:w="4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80" w:type="dxa"/>
            <w:vAlign w:val="bottom"/>
          </w:tcPr>
          <w:p>
            <w:pPr>
              <w:jc w:val="center"/>
              <w:ind w:right="171"/>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4"/>
              </w:rPr>
              <w:t>April 1, 2016</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3"/>
              </w:rPr>
              <w:t>Leo Rafael Reif</w:t>
            </w:r>
          </w:p>
        </w:tc>
        <w:tc>
          <w:tcPr>
            <w:tcW w:w="43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1"/>
        </w:trPr>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380" w:type="dxa"/>
            <w:vAlign w:val="bottom"/>
          </w:tcPr>
          <w:p>
            <w:pPr>
              <w:jc w:val="center"/>
              <w:ind w:right="171"/>
              <w:spacing w:after="0"/>
              <w:rPr>
                <w:sz w:val="20"/>
                <w:szCs w:val="20"/>
                <w:color w:val="auto"/>
              </w:rPr>
            </w:pPr>
            <w:r>
              <w:rPr>
                <w:rFonts w:ascii="Arial" w:cs="Arial" w:eastAsia="Arial" w:hAnsi="Arial"/>
                <w:sz w:val="18"/>
                <w:szCs w:val="18"/>
                <w:color w:val="auto"/>
                <w:w w:val="95"/>
              </w:rPr>
              <w:t>Director</w:t>
            </w:r>
          </w:p>
        </w:tc>
        <w:tc>
          <w:tcPr>
            <w:tcW w:w="1400" w:type="dxa"/>
            <w:vAlign w:val="bottom"/>
          </w:tcPr>
          <w:p>
            <w:pPr>
              <w:jc w:val="center"/>
              <w:ind w:left="351"/>
              <w:spacing w:after="0"/>
              <w:rPr>
                <w:sz w:val="20"/>
                <w:szCs w:val="20"/>
                <w:color w:val="auto"/>
              </w:rPr>
            </w:pPr>
            <w:r>
              <w:rPr>
                <w:rFonts w:ascii="Arial" w:cs="Arial" w:eastAsia="Arial" w:hAnsi="Arial"/>
                <w:sz w:val="18"/>
                <w:szCs w:val="18"/>
                <w:color w:val="auto"/>
                <w:w w:val="94"/>
              </w:rPr>
              <w:t>April 1, 2016</w:t>
            </w:r>
          </w:p>
        </w:tc>
      </w:tr>
      <w:tr>
        <w:trPr>
          <w:trHeight w:val="224"/>
        </w:trPr>
        <w:tc>
          <w:tcPr>
            <w:tcW w:w="5080" w:type="dxa"/>
            <w:vAlign w:val="bottom"/>
          </w:tcPr>
          <w:p>
            <w:pPr>
              <w:jc w:val="center"/>
              <w:spacing w:after="0"/>
              <w:rPr>
                <w:sz w:val="20"/>
                <w:szCs w:val="20"/>
                <w:color w:val="auto"/>
              </w:rPr>
            </w:pPr>
            <w:r>
              <w:rPr>
                <w:rFonts w:ascii="Arial" w:cs="Arial" w:eastAsia="Arial" w:hAnsi="Arial"/>
                <w:sz w:val="18"/>
                <w:szCs w:val="18"/>
                <w:color w:val="auto"/>
                <w:w w:val="90"/>
              </w:rPr>
              <w:t>Tore I. Sandvold</w:t>
            </w:r>
          </w:p>
        </w:tc>
        <w:tc>
          <w:tcPr>
            <w:tcW w:w="438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6"/>
        </w:trPr>
        <w:tc>
          <w:tcPr>
            <w:tcW w:w="560" w:type="dxa"/>
            <w:vAlign w:val="bottom"/>
          </w:tcPr>
          <w:p>
            <w:pPr>
              <w:spacing w:after="0"/>
              <w:rPr>
                <w:sz w:val="16"/>
                <w:szCs w:val="16"/>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Signature</w:t>
            </w:r>
          </w:p>
        </w:tc>
        <w:tc>
          <w:tcPr>
            <w:tcW w:w="3580" w:type="dxa"/>
            <w:vAlign w:val="bottom"/>
          </w:tcPr>
          <w:p>
            <w:pPr>
              <w:jc w:val="center"/>
              <w:ind w:left="459"/>
              <w:spacing w:after="0"/>
              <w:rPr>
                <w:sz w:val="20"/>
                <w:szCs w:val="20"/>
                <w:color w:val="auto"/>
              </w:rPr>
            </w:pPr>
            <w:r>
              <w:rPr>
                <w:rFonts w:ascii="Arial" w:cs="Arial" w:eastAsia="Arial" w:hAnsi="Arial"/>
                <w:sz w:val="14"/>
                <w:szCs w:val="14"/>
                <w:b w:val="1"/>
                <w:bCs w:val="1"/>
                <w:color w:val="auto"/>
                <w:w w:val="97"/>
              </w:rPr>
              <w:t>Title</w:t>
            </w:r>
          </w:p>
        </w:tc>
        <w:tc>
          <w:tcPr>
            <w:tcW w:w="2200" w:type="dxa"/>
            <w:vAlign w:val="bottom"/>
          </w:tcPr>
          <w:p>
            <w:pPr>
              <w:jc w:val="center"/>
              <w:ind w:left="1139"/>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5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4"/>
                <w:szCs w:val="24"/>
                <w:color w:val="auto"/>
              </w:rPr>
            </w:pPr>
          </w:p>
        </w:tc>
        <w:tc>
          <w:tcPr>
            <w:tcW w:w="3580" w:type="dxa"/>
            <w:vAlign w:val="bottom"/>
          </w:tcPr>
          <w:p>
            <w:pPr>
              <w:jc w:val="center"/>
              <w:ind w:left="459"/>
              <w:spacing w:after="0"/>
              <w:rPr>
                <w:sz w:val="20"/>
                <w:szCs w:val="20"/>
                <w:color w:val="auto"/>
              </w:rPr>
            </w:pPr>
            <w:r>
              <w:rPr>
                <w:rFonts w:ascii="Arial" w:cs="Arial" w:eastAsia="Arial" w:hAnsi="Arial"/>
                <w:sz w:val="18"/>
                <w:szCs w:val="18"/>
                <w:color w:val="auto"/>
                <w:w w:val="95"/>
              </w:rPr>
              <w:t>Director</w:t>
            </w:r>
          </w:p>
        </w:tc>
        <w:tc>
          <w:tcPr>
            <w:tcW w:w="2200" w:type="dxa"/>
            <w:vAlign w:val="bottom"/>
          </w:tcPr>
          <w:p>
            <w:pPr>
              <w:jc w:val="center"/>
              <w:ind w:left="1159"/>
              <w:spacing w:after="0"/>
              <w:rPr>
                <w:sz w:val="20"/>
                <w:szCs w:val="20"/>
                <w:color w:val="auto"/>
              </w:rPr>
            </w:pPr>
            <w:r>
              <w:rPr>
                <w:rFonts w:ascii="Arial" w:cs="Arial" w:eastAsia="Arial" w:hAnsi="Arial"/>
                <w:sz w:val="18"/>
                <w:szCs w:val="18"/>
                <w:color w:val="auto"/>
                <w:w w:val="94"/>
              </w:rPr>
              <w:t>April 1, 2016</w:t>
            </w:r>
          </w:p>
        </w:tc>
      </w:tr>
      <w:tr>
        <w:trPr>
          <w:trHeight w:val="224"/>
        </w:trPr>
        <w:tc>
          <w:tcPr>
            <w:tcW w:w="560" w:type="dxa"/>
            <w:vAlign w:val="bottom"/>
          </w:tcPr>
          <w:p>
            <w:pPr>
              <w:spacing w:after="0"/>
              <w:rPr>
                <w:sz w:val="19"/>
                <w:szCs w:val="19"/>
                <w:color w:val="auto"/>
              </w:rPr>
            </w:pPr>
          </w:p>
        </w:tc>
        <w:tc>
          <w:tcPr>
            <w:tcW w:w="452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Henri Seydoux</w:t>
            </w:r>
          </w:p>
        </w:tc>
        <w:tc>
          <w:tcPr>
            <w:tcW w:w="358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674"/>
        </w:trPr>
        <w:tc>
          <w:tcPr>
            <w:tcW w:w="560" w:type="dxa"/>
            <w:vAlign w:val="bottom"/>
          </w:tcPr>
          <w:p>
            <w:pPr>
              <w:spacing w:after="0"/>
              <w:rPr>
                <w:sz w:val="20"/>
                <w:szCs w:val="20"/>
                <w:color w:val="auto"/>
              </w:rPr>
            </w:pPr>
            <w:r>
              <w:rPr>
                <w:rFonts w:ascii="Arial" w:cs="Arial" w:eastAsia="Arial" w:hAnsi="Arial"/>
                <w:sz w:val="18"/>
                <w:szCs w:val="18"/>
                <w:color w:val="auto"/>
              </w:rPr>
              <w:t>* By:</w:t>
            </w: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/s/ Saul Laureles</w:t>
            </w:r>
          </w:p>
        </w:tc>
        <w:tc>
          <w:tcPr>
            <w:tcW w:w="3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24"/>
        </w:trPr>
        <w:tc>
          <w:tcPr>
            <w:tcW w:w="56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Saul Laureles, Attorney-in-Fact</w:t>
            </w:r>
          </w:p>
        </w:tc>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ectPr>
          <w:pgSz w:w="11900" w:h="16838" w:orient="portrait"/>
          <w:cols w:equalWidth="0" w:num="1">
            <w:col w:w="10860"/>
          </w:cols>
          <w:pgMar w:left="240" w:top="265" w:right="79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720" w:type="dxa"/>
            <w:vAlign w:val="bottom"/>
          </w:tcPr>
          <w:p>
            <w:pPr>
              <w:ind w:left="4400"/>
              <w:spacing w:after="0"/>
              <w:rPr>
                <w:sz w:val="20"/>
                <w:szCs w:val="20"/>
                <w:color w:val="auto"/>
              </w:rPr>
            </w:pPr>
            <w:r>
              <w:rPr>
                <w:rFonts w:ascii="Arial" w:cs="Arial" w:eastAsia="Arial" w:hAnsi="Arial"/>
                <w:sz w:val="18"/>
                <w:szCs w:val="18"/>
                <w:b w:val="1"/>
                <w:bCs w:val="1"/>
                <w:color w:val="auto"/>
              </w:rPr>
              <w:t>EXHIBIT INDEX</w:t>
            </w:r>
          </w:p>
        </w:tc>
      </w:tr>
      <w:tr>
        <w:trPr>
          <w:trHeight w:val="445"/>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10720" w:type="dxa"/>
            <w:vAlign w:val="bottom"/>
          </w:tcPr>
          <w:p>
            <w:pPr>
              <w:ind w:left="300"/>
              <w:spacing w:after="0"/>
              <w:rPr>
                <w:sz w:val="20"/>
                <w:szCs w:val="20"/>
                <w:color w:val="auto"/>
              </w:rPr>
            </w:pPr>
            <w:r>
              <w:rPr>
                <w:rFonts w:ascii="Arial" w:cs="Arial" w:eastAsia="Arial" w:hAnsi="Arial"/>
                <w:sz w:val="18"/>
                <w:szCs w:val="18"/>
                <w:color w:val="auto"/>
                <w:w w:val="91"/>
              </w:rPr>
              <w:t>Agreement and Plan of Merger among Schlumberger Holdings Corporation, Rain Merger Sub LLC, Schlumberger Limited (Schlumberger N.V.)</w:t>
            </w:r>
          </w:p>
        </w:tc>
      </w:tr>
      <w:tr>
        <w:trPr>
          <w:trHeight w:val="216"/>
        </w:trPr>
        <w:tc>
          <w:tcPr>
            <w:tcW w:w="620" w:type="dxa"/>
            <w:vAlign w:val="bottom"/>
          </w:tcPr>
          <w:p>
            <w:pPr>
              <w:spacing w:after="0"/>
              <w:rPr>
                <w:sz w:val="18"/>
                <w:szCs w:val="18"/>
                <w:color w:val="auto"/>
              </w:rPr>
            </w:pPr>
          </w:p>
        </w:tc>
        <w:tc>
          <w:tcPr>
            <w:tcW w:w="10720" w:type="dxa"/>
            <w:vAlign w:val="bottom"/>
          </w:tcPr>
          <w:p>
            <w:pPr>
              <w:ind w:left="300"/>
              <w:spacing w:after="0"/>
              <w:rPr>
                <w:sz w:val="20"/>
                <w:szCs w:val="20"/>
                <w:color w:val="auto"/>
              </w:rPr>
            </w:pPr>
            <w:r>
              <w:rPr>
                <w:rFonts w:ascii="Arial" w:cs="Arial" w:eastAsia="Arial" w:hAnsi="Arial"/>
                <w:sz w:val="18"/>
                <w:szCs w:val="18"/>
                <w:color w:val="auto"/>
                <w:w w:val="91"/>
              </w:rPr>
              <w:t>and Cameron International Corporation, dated August 25, 2015 (incorporated by reference to Annex A to the proxy statement/prospectus that is</w:t>
            </w:r>
          </w:p>
        </w:tc>
      </w:tr>
      <w:tr>
        <w:trPr>
          <w:trHeight w:val="230"/>
        </w:trPr>
        <w:tc>
          <w:tcPr>
            <w:tcW w:w="620" w:type="dxa"/>
            <w:vAlign w:val="bottom"/>
          </w:tcPr>
          <w:p>
            <w:pPr>
              <w:spacing w:after="0"/>
              <w:rPr>
                <w:sz w:val="20"/>
                <w:szCs w:val="20"/>
                <w:color w:val="auto"/>
              </w:rPr>
            </w:pPr>
          </w:p>
        </w:tc>
        <w:tc>
          <w:tcPr>
            <w:tcW w:w="10720" w:type="dxa"/>
            <w:vAlign w:val="bottom"/>
          </w:tcPr>
          <w:p>
            <w:pPr>
              <w:ind w:left="300"/>
              <w:spacing w:after="0"/>
              <w:rPr>
                <w:sz w:val="20"/>
                <w:szCs w:val="20"/>
                <w:color w:val="auto"/>
              </w:rPr>
            </w:pPr>
            <w:r>
              <w:rPr>
                <w:rFonts w:ascii="Arial" w:cs="Arial" w:eastAsia="Arial" w:hAnsi="Arial"/>
                <w:sz w:val="18"/>
                <w:szCs w:val="18"/>
                <w:color w:val="auto"/>
              </w:rPr>
              <w:t>part of the Prior Registration Statement (Registration No. 333-207260)).</w:t>
            </w:r>
          </w:p>
        </w:tc>
      </w:tr>
      <w:tr>
        <w:trPr>
          <w:trHeight w:val="310"/>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3.1</w:t>
            </w:r>
          </w:p>
        </w:tc>
        <w:tc>
          <w:tcPr>
            <w:tcW w:w="10720" w:type="dxa"/>
            <w:vAlign w:val="bottom"/>
          </w:tcPr>
          <w:p>
            <w:pPr>
              <w:ind w:left="300"/>
              <w:spacing w:after="0"/>
              <w:rPr>
                <w:sz w:val="20"/>
                <w:szCs w:val="20"/>
                <w:color w:val="auto"/>
              </w:rPr>
            </w:pPr>
            <w:r>
              <w:rPr>
                <w:rFonts w:ascii="Arial" w:cs="Arial" w:eastAsia="Arial" w:hAnsi="Arial"/>
                <w:sz w:val="18"/>
                <w:szCs w:val="18"/>
                <w:color w:val="auto"/>
                <w:w w:val="92"/>
              </w:rPr>
              <w:t>Articles of Incorporation of Schlumberger Limited (Schlumberger N.V.), as last amended on April 6, 2011 (incorporated by reference to Exhibit</w:t>
            </w:r>
          </w:p>
        </w:tc>
      </w:tr>
      <w:tr>
        <w:trPr>
          <w:trHeight w:val="230"/>
        </w:trPr>
        <w:tc>
          <w:tcPr>
            <w:tcW w:w="620" w:type="dxa"/>
            <w:vAlign w:val="bottom"/>
          </w:tcPr>
          <w:p>
            <w:pPr>
              <w:spacing w:after="0"/>
              <w:rPr>
                <w:sz w:val="20"/>
                <w:szCs w:val="20"/>
                <w:color w:val="auto"/>
              </w:rPr>
            </w:pPr>
          </w:p>
        </w:tc>
        <w:tc>
          <w:tcPr>
            <w:tcW w:w="10720" w:type="dxa"/>
            <w:vAlign w:val="bottom"/>
          </w:tcPr>
          <w:p>
            <w:pPr>
              <w:ind w:left="300"/>
              <w:spacing w:after="0"/>
              <w:rPr>
                <w:sz w:val="20"/>
                <w:szCs w:val="20"/>
                <w:color w:val="auto"/>
              </w:rPr>
            </w:pPr>
            <w:r>
              <w:rPr>
                <w:rFonts w:ascii="Arial" w:cs="Arial" w:eastAsia="Arial" w:hAnsi="Arial"/>
                <w:sz w:val="18"/>
                <w:szCs w:val="18"/>
                <w:color w:val="auto"/>
              </w:rPr>
              <w:t>3 to Schlumberger’s Current Report on Form 8-K filed on April 7, 2011).</w:t>
            </w:r>
          </w:p>
        </w:tc>
      </w:tr>
      <w:tr>
        <w:trPr>
          <w:trHeight w:val="310"/>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10720" w:type="dxa"/>
            <w:vAlign w:val="bottom"/>
          </w:tcPr>
          <w:p>
            <w:pPr>
              <w:ind w:left="300"/>
              <w:spacing w:after="0"/>
              <w:rPr>
                <w:sz w:val="20"/>
                <w:szCs w:val="20"/>
                <w:color w:val="auto"/>
              </w:rPr>
            </w:pPr>
            <w:r>
              <w:rPr>
                <w:rFonts w:ascii="Arial" w:cs="Arial" w:eastAsia="Arial" w:hAnsi="Arial"/>
                <w:sz w:val="18"/>
                <w:szCs w:val="18"/>
                <w:color w:val="auto"/>
                <w:w w:val="90"/>
              </w:rPr>
              <w:t>Amended and Restated By-Laws of Schlumberger Limited (Schlumberger N.V.), as last amended on May 12, 2015 (incorporated by reference to</w:t>
            </w:r>
          </w:p>
        </w:tc>
      </w:tr>
      <w:tr>
        <w:trPr>
          <w:trHeight w:val="230"/>
        </w:trPr>
        <w:tc>
          <w:tcPr>
            <w:tcW w:w="620" w:type="dxa"/>
            <w:vAlign w:val="bottom"/>
          </w:tcPr>
          <w:p>
            <w:pPr>
              <w:spacing w:after="0"/>
              <w:rPr>
                <w:sz w:val="20"/>
                <w:szCs w:val="20"/>
                <w:color w:val="auto"/>
              </w:rPr>
            </w:pPr>
          </w:p>
        </w:tc>
        <w:tc>
          <w:tcPr>
            <w:tcW w:w="10720" w:type="dxa"/>
            <w:vAlign w:val="bottom"/>
          </w:tcPr>
          <w:p>
            <w:pPr>
              <w:ind w:left="300"/>
              <w:spacing w:after="0"/>
              <w:rPr>
                <w:sz w:val="20"/>
                <w:szCs w:val="20"/>
                <w:color w:val="auto"/>
              </w:rPr>
            </w:pPr>
            <w:r>
              <w:rPr>
                <w:rFonts w:ascii="Arial" w:cs="Arial" w:eastAsia="Arial" w:hAnsi="Arial"/>
                <w:sz w:val="18"/>
                <w:szCs w:val="18"/>
                <w:color w:val="auto"/>
              </w:rPr>
              <w:t>Exhibit 3.1 to Schlumberger’s Current Report on Form 8-K filed on May 14, 2015).</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rPr>
              <w:t>5.1</w:t>
            </w:r>
          </w:p>
        </w:tc>
        <w:tc>
          <w:tcPr>
            <w:tcW w:w="10720" w:type="dxa"/>
            <w:vAlign w:val="bottom"/>
          </w:tcPr>
          <w:p>
            <w:pPr>
              <w:ind w:left="300"/>
              <w:spacing w:after="0"/>
              <w:rPr>
                <w:sz w:val="20"/>
                <w:szCs w:val="20"/>
                <w:color w:val="auto"/>
              </w:rPr>
            </w:pPr>
            <w:r>
              <w:rPr>
                <w:rFonts w:ascii="Arial" w:cs="Arial" w:eastAsia="Arial" w:hAnsi="Arial"/>
                <w:sz w:val="18"/>
                <w:szCs w:val="18"/>
                <w:color w:val="auto"/>
              </w:rPr>
              <w:t>Opinion of STvB Advocaten (Curaçao) N.V.</w:t>
            </w:r>
          </w:p>
        </w:tc>
      </w:tr>
      <w:tr>
        <w:trPr>
          <w:trHeight w:val="31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21.1</w:t>
            </w:r>
          </w:p>
        </w:tc>
        <w:tc>
          <w:tcPr>
            <w:tcW w:w="10720" w:type="dxa"/>
            <w:vAlign w:val="bottom"/>
          </w:tcPr>
          <w:p>
            <w:pPr>
              <w:ind w:left="300"/>
              <w:spacing w:after="0"/>
              <w:rPr>
                <w:sz w:val="20"/>
                <w:szCs w:val="20"/>
                <w:color w:val="auto"/>
              </w:rPr>
            </w:pPr>
            <w:r>
              <w:rPr>
                <w:rFonts w:ascii="Arial" w:cs="Arial" w:eastAsia="Arial" w:hAnsi="Arial"/>
                <w:sz w:val="18"/>
                <w:szCs w:val="18"/>
                <w:color w:val="auto"/>
                <w:w w:val="92"/>
              </w:rPr>
              <w:t>Subsidiaries of Schlumberger Limited (Schlumberger N.V.) (incorporated by reference to Exhibit 21 to Schlumberger’s Annual Report on Form</w:t>
            </w:r>
          </w:p>
        </w:tc>
      </w:tr>
      <w:tr>
        <w:trPr>
          <w:trHeight w:val="230"/>
        </w:trPr>
        <w:tc>
          <w:tcPr>
            <w:tcW w:w="620" w:type="dxa"/>
            <w:vAlign w:val="bottom"/>
          </w:tcPr>
          <w:p>
            <w:pPr>
              <w:spacing w:after="0"/>
              <w:rPr>
                <w:sz w:val="20"/>
                <w:szCs w:val="20"/>
                <w:color w:val="auto"/>
              </w:rPr>
            </w:pPr>
          </w:p>
        </w:tc>
        <w:tc>
          <w:tcPr>
            <w:tcW w:w="10720" w:type="dxa"/>
            <w:vAlign w:val="bottom"/>
          </w:tcPr>
          <w:p>
            <w:pPr>
              <w:ind w:left="300"/>
              <w:spacing w:after="0"/>
              <w:rPr>
                <w:sz w:val="20"/>
                <w:szCs w:val="20"/>
                <w:color w:val="auto"/>
              </w:rPr>
            </w:pPr>
            <w:r>
              <w:rPr>
                <w:rFonts w:ascii="Arial" w:cs="Arial" w:eastAsia="Arial" w:hAnsi="Arial"/>
                <w:sz w:val="18"/>
                <w:szCs w:val="18"/>
                <w:color w:val="auto"/>
              </w:rPr>
              <w:t>10-K for the year ended December 31, 2015).</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23.1</w:t>
            </w:r>
          </w:p>
        </w:tc>
        <w:tc>
          <w:tcPr>
            <w:tcW w:w="10720" w:type="dxa"/>
            <w:vAlign w:val="bottom"/>
          </w:tcPr>
          <w:p>
            <w:pPr>
              <w:ind w:left="300"/>
              <w:spacing w:after="0"/>
              <w:rPr>
                <w:sz w:val="20"/>
                <w:szCs w:val="20"/>
                <w:color w:val="auto"/>
              </w:rPr>
            </w:pPr>
            <w:r>
              <w:rPr>
                <w:rFonts w:ascii="Arial" w:cs="Arial" w:eastAsia="Arial" w:hAnsi="Arial"/>
                <w:sz w:val="18"/>
                <w:szCs w:val="18"/>
                <w:color w:val="auto"/>
              </w:rPr>
              <w:t>Consent of STvB Advocaten (Curaçao) N.V. (included in the opinion filed as Exhibit 5.1).</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23.2</w:t>
            </w:r>
          </w:p>
        </w:tc>
        <w:tc>
          <w:tcPr>
            <w:tcW w:w="10720" w:type="dxa"/>
            <w:vAlign w:val="bottom"/>
          </w:tcPr>
          <w:p>
            <w:pPr>
              <w:ind w:left="300"/>
              <w:spacing w:after="0"/>
              <w:rPr>
                <w:sz w:val="20"/>
                <w:szCs w:val="20"/>
                <w:color w:val="auto"/>
              </w:rPr>
            </w:pPr>
            <w:r>
              <w:rPr>
                <w:rFonts w:ascii="Arial" w:cs="Arial" w:eastAsia="Arial" w:hAnsi="Arial"/>
                <w:sz w:val="18"/>
                <w:szCs w:val="18"/>
                <w:color w:val="auto"/>
                <w:w w:val="95"/>
              </w:rPr>
              <w:t>Consent of PricewaterhouseCoopers LLP, independent registered public accounting firm for Schlumberger Limited (Schlumberger N.V.).</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23.3</w:t>
            </w:r>
          </w:p>
        </w:tc>
        <w:tc>
          <w:tcPr>
            <w:tcW w:w="10720" w:type="dxa"/>
            <w:vAlign w:val="bottom"/>
          </w:tcPr>
          <w:p>
            <w:pPr>
              <w:ind w:left="300"/>
              <w:spacing w:after="0"/>
              <w:rPr>
                <w:sz w:val="20"/>
                <w:szCs w:val="20"/>
                <w:color w:val="auto"/>
              </w:rPr>
            </w:pPr>
            <w:r>
              <w:rPr>
                <w:rFonts w:ascii="Arial" w:cs="Arial" w:eastAsia="Arial" w:hAnsi="Arial"/>
                <w:sz w:val="18"/>
                <w:szCs w:val="18"/>
                <w:color w:val="auto"/>
              </w:rPr>
              <w:t>Consent of Ernst &amp; Young LLP, independent registered public accounting firm for Cameron International Corporation.</w:t>
            </w:r>
          </w:p>
        </w:tc>
      </w:tr>
      <w:tr>
        <w:trPr>
          <w:trHeight w:val="324"/>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24.1</w:t>
            </w:r>
          </w:p>
        </w:tc>
        <w:tc>
          <w:tcPr>
            <w:tcW w:w="10720" w:type="dxa"/>
            <w:vAlign w:val="bottom"/>
          </w:tcPr>
          <w:p>
            <w:pPr>
              <w:ind w:left="300"/>
              <w:spacing w:after="0"/>
              <w:rPr>
                <w:sz w:val="20"/>
                <w:szCs w:val="20"/>
                <w:color w:val="auto"/>
              </w:rPr>
            </w:pPr>
            <w:r>
              <w:rPr>
                <w:rFonts w:ascii="Arial" w:cs="Arial" w:eastAsia="Arial" w:hAnsi="Arial"/>
                <w:sz w:val="18"/>
                <w:szCs w:val="18"/>
                <w:color w:val="auto"/>
              </w:rPr>
              <w:t>Powers of Attorney (incorporated by reference to Exhibit 24.1 to the Prior Registration Statement (Registration No. 333-207260)).</w:t>
            </w:r>
          </w:p>
        </w:tc>
      </w:tr>
      <w:tr>
        <w:trPr>
          <w:trHeight w:val="31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99.1</w:t>
            </w:r>
          </w:p>
        </w:tc>
        <w:tc>
          <w:tcPr>
            <w:tcW w:w="10720" w:type="dxa"/>
            <w:vAlign w:val="bottom"/>
          </w:tcPr>
          <w:p>
            <w:pPr>
              <w:ind w:left="300"/>
              <w:spacing w:after="0"/>
              <w:rPr>
                <w:sz w:val="20"/>
                <w:szCs w:val="20"/>
                <w:color w:val="auto"/>
              </w:rPr>
            </w:pPr>
            <w:r>
              <w:rPr>
                <w:rFonts w:ascii="Arial" w:cs="Arial" w:eastAsia="Arial" w:hAnsi="Arial"/>
                <w:sz w:val="18"/>
                <w:szCs w:val="18"/>
                <w:color w:val="auto"/>
                <w:w w:val="96"/>
              </w:rPr>
              <w:t>Form of Proxy Card of Cameron International Corporation (incorporated by reference to Exhibit 99.1 to the Prior Registration Statement</w:t>
            </w:r>
          </w:p>
        </w:tc>
      </w:tr>
      <w:tr>
        <w:trPr>
          <w:trHeight w:val="230"/>
        </w:trPr>
        <w:tc>
          <w:tcPr>
            <w:tcW w:w="620" w:type="dxa"/>
            <w:vAlign w:val="bottom"/>
          </w:tcPr>
          <w:p>
            <w:pPr>
              <w:spacing w:after="0"/>
              <w:rPr>
                <w:sz w:val="20"/>
                <w:szCs w:val="20"/>
                <w:color w:val="auto"/>
              </w:rPr>
            </w:pPr>
          </w:p>
        </w:tc>
        <w:tc>
          <w:tcPr>
            <w:tcW w:w="10720" w:type="dxa"/>
            <w:vAlign w:val="bottom"/>
          </w:tcPr>
          <w:p>
            <w:pPr>
              <w:ind w:left="300"/>
              <w:spacing w:after="0"/>
              <w:rPr>
                <w:sz w:val="20"/>
                <w:szCs w:val="20"/>
                <w:color w:val="auto"/>
              </w:rPr>
            </w:pPr>
            <w:r>
              <w:rPr>
                <w:rFonts w:ascii="Arial" w:cs="Arial" w:eastAsia="Arial" w:hAnsi="Arial"/>
                <w:sz w:val="18"/>
                <w:szCs w:val="18"/>
                <w:color w:val="auto"/>
              </w:rPr>
              <w:t>(Registration No. 333-207260)).</w:t>
            </w:r>
          </w:p>
        </w:tc>
      </w:tr>
      <w:tr>
        <w:trPr>
          <w:trHeight w:val="310"/>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99.2</w:t>
            </w:r>
          </w:p>
        </w:tc>
        <w:tc>
          <w:tcPr>
            <w:tcW w:w="10720" w:type="dxa"/>
            <w:vAlign w:val="bottom"/>
          </w:tcPr>
          <w:p>
            <w:pPr>
              <w:ind w:left="300"/>
              <w:spacing w:after="0"/>
              <w:rPr>
                <w:sz w:val="20"/>
                <w:szCs w:val="20"/>
                <w:color w:val="auto"/>
              </w:rPr>
            </w:pPr>
            <w:r>
              <w:rPr>
                <w:rFonts w:ascii="Arial" w:cs="Arial" w:eastAsia="Arial" w:hAnsi="Arial"/>
                <w:sz w:val="18"/>
                <w:szCs w:val="18"/>
                <w:color w:val="auto"/>
                <w:w w:val="91"/>
              </w:rPr>
              <w:t>Consent of Credit Suisse Securities (USA) LLC (incorporated by reference to Exhibit 99.2 to the Prior Registration Statement (Registration No.</w:t>
            </w:r>
          </w:p>
        </w:tc>
      </w:tr>
      <w:tr>
        <w:trPr>
          <w:trHeight w:val="230"/>
        </w:trPr>
        <w:tc>
          <w:tcPr>
            <w:tcW w:w="620" w:type="dxa"/>
            <w:vAlign w:val="bottom"/>
          </w:tcPr>
          <w:p>
            <w:pPr>
              <w:spacing w:after="0"/>
              <w:rPr>
                <w:sz w:val="20"/>
                <w:szCs w:val="20"/>
                <w:color w:val="auto"/>
              </w:rPr>
            </w:pPr>
          </w:p>
        </w:tc>
        <w:tc>
          <w:tcPr>
            <w:tcW w:w="10720" w:type="dxa"/>
            <w:vAlign w:val="bottom"/>
          </w:tcPr>
          <w:p>
            <w:pPr>
              <w:ind w:left="300"/>
              <w:spacing w:after="0"/>
              <w:rPr>
                <w:sz w:val="20"/>
                <w:szCs w:val="20"/>
                <w:color w:val="auto"/>
              </w:rPr>
            </w:pPr>
            <w:r>
              <w:rPr>
                <w:rFonts w:ascii="Arial" w:cs="Arial" w:eastAsia="Arial" w:hAnsi="Arial"/>
                <w:sz w:val="18"/>
                <w:szCs w:val="18"/>
                <w:color w:val="auto"/>
              </w:rPr>
              <w:t>333-207260)).</w:t>
            </w:r>
          </w:p>
        </w:tc>
      </w:tr>
    </w:tbl>
    <w:p>
      <w:pPr>
        <w:sectPr>
          <w:pgSz w:w="11900" w:h="16838" w:orient="portrait"/>
          <w:cols w:equalWidth="0" w:num="1">
            <w:col w:w="11340"/>
          </w:cols>
          <w:pgMar w:left="240" w:top="270"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STvB Advocaten]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Curaçao, April 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We have acted as legal counsel to Schlumberger N.V. (also referred to as Schlumberger Limited), a limited liability company organized under the laws of Curaçao (“Schlumberger”), in connection with the preparation of the filing by Schlumberger of a Registration Statement on Form S-4 (the “Registration Statement”) with the Securities and Exchange Commission pursuant to Rule 462(b) under the Securities Act of 1933, as amended (the “Securities Act”), relating to the registration of shares of common stock, par value $0.01 per share (“Common Stock”), of Schlumberger (the “Shares”) to be issued in connection with the merger of Rain Merger Sub LLC, a wholly owned subsidiary of Schlumberger Holdings Corporation (“Merger Sub”), with and into Cameron International Corporation (“Cameron”), pursuant to the Agreement and Plan of Merger dated as of August 25, 2015 among Schlumberger Holdings Corporation, an indirect wholly owned subsidiary of Schlumberger, Merger Sub, Schlumberger and Cameron (the “Merger Agreement”). Certain legal matters in connection with the Shares are being passed on for you by us. At your request, this opinion is being furnished for filing as Exhibit 5 to the Registration Statement.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opinion is limited to matters governed by the laws of Curaçao.</w:t>
      </w:r>
    </w:p>
    <w:p>
      <w:pPr>
        <w:spacing w:after="0" w:line="225"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We have reviewed each of the Articles of Incorporation, the Amended and Restated Bylaws of Schlumberger, each as amended to date, and the Registration Statement; have familiarized ourselves with the matters discussed in the Registration Statement; and have examined all statutes and other records, instruments and corporate documents pertaining to Schlumberger and the matters discussed in the Registration Statement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7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rendering this opinion, we have assumed that prior to the issuance of any of the Shares (i) the Registration Statement, as then amended, will have become effective under the Securities Act and such effectiveness shall not have been terminated or rescinded, (ii) the stockholders of Cameron will have adopted the Merger Agreement, and (iii) the other conditions to consummating the transactions contemplated by the Merger Agreement will have been satisfied and such transactions are consummated.</w:t>
      </w:r>
    </w:p>
    <w:p>
      <w:pPr>
        <w:sectPr>
          <w:pgSz w:w="11900" w:h="16838" w:orient="portrait"/>
          <w:cols w:equalWidth="0" w:num="1">
            <w:col w:w="11420"/>
          </w:cols>
          <w:pgMar w:left="240" w:top="121"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upon our examination as aforesaid, we are of the opinion that:</w:t>
      </w:r>
    </w:p>
    <w:p>
      <w:pPr>
        <w:spacing w:after="0" w:line="117" w:lineRule="exact"/>
        <w:rPr>
          <w:sz w:val="20"/>
          <w:szCs w:val="20"/>
          <w:color w:val="auto"/>
        </w:rPr>
      </w:pPr>
    </w:p>
    <w:p>
      <w:pPr>
        <w:ind w:left="1080" w:hanging="177"/>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Shares have been duly authorized by all necessary corporate action on the part of Schlumberger.</w:t>
      </w:r>
    </w:p>
    <w:p>
      <w:pPr>
        <w:spacing w:after="0" w:line="117" w:lineRule="exact"/>
        <w:rPr>
          <w:rFonts w:ascii="Arial" w:cs="Arial" w:eastAsia="Arial" w:hAnsi="Arial"/>
          <w:sz w:val="18"/>
          <w:szCs w:val="18"/>
          <w:color w:val="auto"/>
        </w:rPr>
      </w:pPr>
    </w:p>
    <w:p>
      <w:pPr>
        <w:ind w:left="460" w:right="240" w:firstLine="443"/>
        <w:spacing w:after="0" w:line="277" w:lineRule="auto"/>
        <w:tabs>
          <w:tab w:leader="none" w:pos="1078" w:val="left"/>
        </w:tabs>
        <w:numPr>
          <w:ilvl w:val="0"/>
          <w:numId w:val="2"/>
        </w:numPr>
        <w:rPr>
          <w:rFonts w:ascii="Arial" w:cs="Arial" w:eastAsia="Arial" w:hAnsi="Arial"/>
          <w:sz w:val="18"/>
          <w:szCs w:val="18"/>
          <w:color w:val="auto"/>
        </w:rPr>
      </w:pPr>
      <w:r>
        <w:rPr>
          <w:rFonts w:ascii="Arial" w:cs="Arial" w:eastAsia="Arial" w:hAnsi="Arial"/>
          <w:sz w:val="18"/>
          <w:szCs w:val="18"/>
          <w:color w:val="auto"/>
        </w:rPr>
        <w:t>Upon issuance and delivery in accordance with the terms and conditions of the Merger Agreement, such Shares will be validly issued, fully paid and nonassessable.</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hereby consent to the filing of this opinion as an exhibit to the Registration Statement. In addition, we hereby consent to the reference of us under the caption “Legal Matters” in the proxy statement/prospectus constituting a part of the registration statement on Form S-4 (Registration No. 333-207260), which is incorporated by reference in the Registration Statement. In giving this consent, we do not thereby concede that we are within the category of persons whose consent is required under Section 7 of the Securities Act or the rules and regulations of the Securities and Exchange Commission promulgated thereunder.</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STvB Advocaten (Curaçao) N.V.</w:t>
      </w:r>
    </w:p>
    <w:p>
      <w:pPr>
        <w:sectPr>
          <w:pgSz w:w="11900" w:h="16838" w:orient="portrait"/>
          <w:cols w:equalWidth="0" w:num="1">
            <w:col w:w="11360"/>
          </w:cols>
          <w:pgMar w:left="240" w:top="274" w:right="2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hereby consent to the incorporation by reference in this Registration Statement on Form S-4 of our report dated January 27, 2016 relating to the consolidated financial statements and the effectiveness of internal control over financial reporting, which appears in Schlumberger Limited’s Annual Report on Form 10-K for the year ended December 31, 2015. We also consent to the reference to us under the heading “Experts” in Amendment No. 1 to the Registration Statement on Form S-4 (No. 333-207260) incorporated by reference in this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 2016</w:t>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23.3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consent to the reference to our firm under the caption “Experts” in the Registration Statement (Form S-4 No. 333-207260) incorporated by reference in this Registration Statement filed by Schlumberger Limited for the issuance of Schlumberger Limited common stock and to the incorporation by reference therein of our reports dated January 29, 2016, with respect to the consolidated financial statements and schedule of Cameron International Corporation, and the effectiveness of internal control over financial reporting of Cameron International Corporation, included in its Annual Report (Form 10-K) for the year ended December 31, 2015, filed with the Securities and Exchange Commission.</w:t>
      </w:r>
    </w:p>
    <w:p>
      <w:pPr>
        <w:spacing w:after="0" w:line="17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2016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2019-12-05T09:51:10Z</dcterms:created>
  <dcterms:modified xsi:type="dcterms:W3CDTF">2019-12-05T09:51:10Z</dcterms:modified>
</cp:coreProperties>
</file>