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Post-Effective Amendment No. 1 to Form S-8 Registration Statement No. 333-124534</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UNDER</w:t>
      </w: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340" w:type="dxa"/>
        <w:tblCellMar>
          <w:top w:w="0" w:type="dxa"/>
          <w:left w:w="0" w:type="dxa"/>
          <w:bottom w:w="0" w:type="dxa"/>
          <w:right w:w="0" w:type="dxa"/>
        </w:tblCellMar>
      </w:tblPr>
      <w:tr>
        <w:trPr>
          <w:trHeight w:val="226"/>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w w:val="99"/>
              </w:rPr>
              <w:t>Curaçao</w:t>
            </w:r>
          </w:p>
        </w:tc>
        <w:tc>
          <w:tcPr>
            <w:tcW w:w="1300" w:type="dxa"/>
            <w:vAlign w:val="bottom"/>
          </w:tcPr>
          <w:p>
            <w:pPr>
              <w:jc w:val="center"/>
              <w:ind w:left="17"/>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6300" w:type="dxa"/>
            <w:vAlign w:val="bottom"/>
          </w:tcPr>
          <w:p>
            <w:pPr>
              <w:jc w:val="center"/>
              <w:ind w:right="3334"/>
              <w:spacing w:after="0"/>
              <w:rPr>
                <w:sz w:val="20"/>
                <w:szCs w:val="20"/>
                <w:color w:val="auto"/>
              </w:rPr>
            </w:pPr>
            <w:r>
              <w:rPr>
                <w:rFonts w:ascii="Arial" w:cs="Arial" w:eastAsia="Arial" w:hAnsi="Arial"/>
                <w:sz w:val="14"/>
                <w:szCs w:val="14"/>
                <w:b w:val="1"/>
                <w:bCs w:val="1"/>
                <w:color w:val="auto"/>
              </w:rPr>
              <w:t>(State or other jurisdiction of</w:t>
            </w:r>
          </w:p>
        </w:tc>
        <w:tc>
          <w:tcPr>
            <w:tcW w:w="1300" w:type="dxa"/>
            <w:vAlign w:val="bottom"/>
          </w:tcPr>
          <w:p>
            <w:pPr>
              <w:jc w:val="center"/>
              <w:ind w:left="1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6300" w:type="dxa"/>
            <w:vAlign w:val="bottom"/>
          </w:tcPr>
          <w:p>
            <w:pPr>
              <w:jc w:val="center"/>
              <w:ind w:right="3334"/>
              <w:spacing w:after="0"/>
              <w:rPr>
                <w:sz w:val="20"/>
                <w:szCs w:val="20"/>
                <w:color w:val="auto"/>
              </w:rPr>
            </w:pPr>
            <w:r>
              <w:rPr>
                <w:rFonts w:ascii="Arial" w:cs="Arial" w:eastAsia="Arial" w:hAnsi="Arial"/>
                <w:sz w:val="14"/>
                <w:szCs w:val="14"/>
                <w:b w:val="1"/>
                <w:bCs w:val="1"/>
                <w:color w:val="auto"/>
              </w:rPr>
              <w:t>incorporation or organization)</w:t>
            </w:r>
          </w:p>
        </w:tc>
        <w:tc>
          <w:tcPr>
            <w:tcW w:w="1300" w:type="dxa"/>
            <w:vAlign w:val="bottom"/>
          </w:tcPr>
          <w:p>
            <w:pPr>
              <w:jc w:val="center"/>
              <w:ind w:left="17"/>
              <w:spacing w:after="0"/>
              <w:rPr>
                <w:sz w:val="20"/>
                <w:szCs w:val="20"/>
                <w:color w:val="auto"/>
              </w:rPr>
            </w:pPr>
            <w:r>
              <w:rPr>
                <w:rFonts w:ascii="Arial" w:cs="Arial" w:eastAsia="Arial" w:hAnsi="Arial"/>
                <w:sz w:val="14"/>
                <w:szCs w:val="14"/>
                <w:b w:val="1"/>
                <w:bCs w:val="1"/>
                <w:color w:val="auto"/>
              </w:rPr>
              <w:t>Identification No.)</w:t>
            </w:r>
          </w:p>
        </w:tc>
      </w:tr>
      <w:tr>
        <w:trPr>
          <w:trHeight w:val="388"/>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w w:val="99"/>
              </w:rPr>
              <w:t>42 rue Saint-Dominique</w:t>
            </w:r>
          </w:p>
        </w:tc>
        <w:tc>
          <w:tcPr>
            <w:tcW w:w="1300" w:type="dxa"/>
            <w:vAlign w:val="bottom"/>
          </w:tcPr>
          <w:p>
            <w:pPr>
              <w:spacing w:after="0"/>
              <w:rPr>
                <w:sz w:val="24"/>
                <w:szCs w:val="24"/>
                <w:color w:val="auto"/>
              </w:rPr>
            </w:pPr>
          </w:p>
        </w:tc>
      </w:tr>
      <w:tr>
        <w:trPr>
          <w:trHeight w:val="260"/>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w w:val="99"/>
              </w:rPr>
              <w:t>Paris, France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75007</w:t>
            </w:r>
          </w:p>
        </w:tc>
      </w:tr>
      <w:tr>
        <w:trPr>
          <w:trHeight w:val="374"/>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rPr>
              <w:t>5599 San Felipe</w:t>
            </w:r>
          </w:p>
        </w:tc>
        <w:tc>
          <w:tcPr>
            <w:tcW w:w="1300" w:type="dxa"/>
            <w:vAlign w:val="bottom"/>
          </w:tcPr>
          <w:p>
            <w:pPr>
              <w:spacing w:after="0"/>
              <w:rPr>
                <w:sz w:val="24"/>
                <w:szCs w:val="24"/>
                <w:color w:val="auto"/>
              </w:rPr>
            </w:pPr>
          </w:p>
        </w:tc>
      </w:tr>
      <w:tr>
        <w:trPr>
          <w:trHeight w:val="260"/>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w w:val="99"/>
              </w:rPr>
              <w:t>Houston, Texas, U.S.A.</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77056</w:t>
            </w:r>
          </w:p>
        </w:tc>
      </w:tr>
      <w:tr>
        <w:trPr>
          <w:trHeight w:val="374"/>
        </w:trPr>
        <w:tc>
          <w:tcPr>
            <w:tcW w:w="6300" w:type="dxa"/>
            <w:vAlign w:val="bottom"/>
          </w:tcPr>
          <w:p>
            <w:pPr>
              <w:jc w:val="center"/>
              <w:ind w:right="3354"/>
              <w:spacing w:after="0"/>
              <w:rPr>
                <w:sz w:val="20"/>
                <w:szCs w:val="20"/>
                <w:color w:val="auto"/>
              </w:rPr>
            </w:pPr>
            <w:r>
              <w:rPr>
                <w:rFonts w:ascii="Arial" w:cs="Arial" w:eastAsia="Arial" w:hAnsi="Arial"/>
                <w:sz w:val="18"/>
                <w:szCs w:val="18"/>
                <w:b w:val="1"/>
                <w:bCs w:val="1"/>
                <w:color w:val="auto"/>
                <w:w w:val="99"/>
              </w:rPr>
              <w:t>62 Buckingham Gate</w:t>
            </w:r>
          </w:p>
        </w:tc>
        <w:tc>
          <w:tcPr>
            <w:tcW w:w="1300" w:type="dxa"/>
            <w:vAlign w:val="bottom"/>
          </w:tcPr>
          <w:p>
            <w:pPr>
              <w:spacing w:after="0"/>
              <w:rPr>
                <w:sz w:val="24"/>
                <w:szCs w:val="24"/>
                <w:color w:val="auto"/>
              </w:rPr>
            </w:pPr>
          </w:p>
        </w:tc>
      </w:tr>
      <w:tr>
        <w:trPr>
          <w:trHeight w:val="260"/>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rPr>
              <w:t>London, United Kingdom</w:t>
            </w:r>
          </w:p>
        </w:tc>
        <w:tc>
          <w:tcPr>
            <w:tcW w:w="1300" w:type="dxa"/>
            <w:vAlign w:val="bottom"/>
          </w:tcPr>
          <w:p>
            <w:pPr>
              <w:jc w:val="center"/>
              <w:ind w:left="17"/>
              <w:spacing w:after="0"/>
              <w:rPr>
                <w:sz w:val="20"/>
                <w:szCs w:val="20"/>
                <w:color w:val="auto"/>
              </w:rPr>
            </w:pPr>
            <w:r>
              <w:rPr>
                <w:rFonts w:ascii="Arial" w:cs="Arial" w:eastAsia="Arial" w:hAnsi="Arial"/>
                <w:sz w:val="18"/>
                <w:szCs w:val="18"/>
                <w:b w:val="1"/>
                <w:bCs w:val="1"/>
                <w:color w:val="auto"/>
                <w:w w:val="98"/>
              </w:rPr>
              <w:t>SW1E 6AJ</w:t>
            </w:r>
          </w:p>
        </w:tc>
      </w:tr>
      <w:tr>
        <w:trPr>
          <w:trHeight w:val="374"/>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w w:val="99"/>
              </w:rPr>
              <w:t>Parkstraat 83</w:t>
            </w:r>
          </w:p>
        </w:tc>
        <w:tc>
          <w:tcPr>
            <w:tcW w:w="1300" w:type="dxa"/>
            <w:vAlign w:val="bottom"/>
          </w:tcPr>
          <w:p>
            <w:pPr>
              <w:spacing w:after="0"/>
              <w:rPr>
                <w:sz w:val="24"/>
                <w:szCs w:val="24"/>
                <w:color w:val="auto"/>
              </w:rPr>
            </w:pPr>
          </w:p>
        </w:tc>
      </w:tr>
      <w:tr>
        <w:trPr>
          <w:trHeight w:val="226"/>
        </w:trPr>
        <w:tc>
          <w:tcPr>
            <w:tcW w:w="6300" w:type="dxa"/>
            <w:vAlign w:val="bottom"/>
          </w:tcPr>
          <w:p>
            <w:pPr>
              <w:jc w:val="center"/>
              <w:ind w:right="3334"/>
              <w:spacing w:after="0"/>
              <w:rPr>
                <w:sz w:val="20"/>
                <w:szCs w:val="20"/>
                <w:color w:val="auto"/>
              </w:rPr>
            </w:pPr>
            <w:r>
              <w:rPr>
                <w:rFonts w:ascii="Arial" w:cs="Arial" w:eastAsia="Arial" w:hAnsi="Arial"/>
                <w:sz w:val="18"/>
                <w:szCs w:val="18"/>
                <w:b w:val="1"/>
                <w:bCs w:val="1"/>
                <w:color w:val="auto"/>
              </w:rPr>
              <w:t>The Hague, The Netherlands</w:t>
            </w:r>
          </w:p>
        </w:tc>
        <w:tc>
          <w:tcPr>
            <w:tcW w:w="1300" w:type="dxa"/>
            <w:vAlign w:val="bottom"/>
          </w:tcPr>
          <w:p>
            <w:pPr>
              <w:jc w:val="center"/>
              <w:ind w:left="17"/>
              <w:spacing w:after="0"/>
              <w:rPr>
                <w:sz w:val="20"/>
                <w:szCs w:val="20"/>
                <w:color w:val="auto"/>
              </w:rPr>
            </w:pPr>
            <w:r>
              <w:rPr>
                <w:rFonts w:ascii="Arial" w:cs="Arial" w:eastAsia="Arial" w:hAnsi="Arial"/>
                <w:sz w:val="18"/>
                <w:szCs w:val="18"/>
                <w:b w:val="1"/>
                <w:bCs w:val="1"/>
                <w:color w:val="auto"/>
                <w:w w:val="98"/>
              </w:rPr>
              <w:t>2514 JG</w:t>
            </w:r>
          </w:p>
        </w:tc>
      </w:tr>
      <w:tr>
        <w:trPr>
          <w:trHeight w:val="196"/>
        </w:trPr>
        <w:tc>
          <w:tcPr>
            <w:tcW w:w="6300" w:type="dxa"/>
            <w:vAlign w:val="bottom"/>
          </w:tcPr>
          <w:p>
            <w:pPr>
              <w:jc w:val="center"/>
              <w:ind w:right="3334"/>
              <w:spacing w:after="0"/>
              <w:rPr>
                <w:sz w:val="20"/>
                <w:szCs w:val="20"/>
                <w:color w:val="auto"/>
              </w:rPr>
            </w:pPr>
            <w:r>
              <w:rPr>
                <w:rFonts w:ascii="Arial" w:cs="Arial" w:eastAsia="Arial" w:hAnsi="Arial"/>
                <w:sz w:val="14"/>
                <w:szCs w:val="14"/>
                <w:b w:val="1"/>
                <w:bCs w:val="1"/>
                <w:color w:val="auto"/>
              </w:rPr>
              <w:t>(Addresses of Principal Executive Offices)</w:t>
            </w:r>
          </w:p>
        </w:tc>
        <w:tc>
          <w:tcPr>
            <w:tcW w:w="1300" w:type="dxa"/>
            <w:vAlign w:val="bottom"/>
          </w:tcPr>
          <w:p>
            <w:pPr>
              <w:jc w:val="center"/>
              <w:ind w:left="17"/>
              <w:spacing w:after="0"/>
              <w:rPr>
                <w:sz w:val="20"/>
                <w:szCs w:val="20"/>
                <w:color w:val="auto"/>
              </w:rPr>
            </w:pPr>
            <w:r>
              <w:rPr>
                <w:rFonts w:ascii="Arial" w:cs="Arial" w:eastAsia="Arial" w:hAnsi="Arial"/>
                <w:sz w:val="14"/>
                <w:szCs w:val="14"/>
                <w:b w:val="1"/>
                <w:bCs w:val="1"/>
                <w:color w:val="auto"/>
              </w:rPr>
              <w:t>(Zip Codes)</w:t>
            </w:r>
          </w:p>
        </w:tc>
      </w:tr>
      <w:tr>
        <w:trPr>
          <w:trHeight w:val="375"/>
        </w:trPr>
        <w:tc>
          <w:tcPr>
            <w:tcW w:w="6300" w:type="dxa"/>
            <w:vAlign w:val="bottom"/>
          </w:tcPr>
          <w:p>
            <w:pPr>
              <w:jc w:val="center"/>
              <w:ind w:left="1954"/>
              <w:spacing w:after="0"/>
              <w:rPr>
                <w:sz w:val="20"/>
                <w:szCs w:val="20"/>
                <w:color w:val="auto"/>
              </w:rPr>
            </w:pPr>
            <w:r>
              <w:rPr>
                <w:rFonts w:ascii="Arial" w:cs="Arial" w:eastAsia="Arial" w:hAnsi="Arial"/>
                <w:sz w:val="18"/>
                <w:szCs w:val="18"/>
                <w:b w:val="1"/>
                <w:bCs w:val="1"/>
                <w:color w:val="auto"/>
                <w:w w:val="99"/>
              </w:rPr>
              <w:t>Schlumberger 2005 Stock Option Plan</w:t>
            </w:r>
          </w:p>
        </w:tc>
        <w:tc>
          <w:tcPr>
            <w:tcW w:w="1300" w:type="dxa"/>
            <w:vAlign w:val="bottom"/>
          </w:tcPr>
          <w:p>
            <w:pPr>
              <w:spacing w:after="0"/>
              <w:rPr>
                <w:sz w:val="24"/>
                <w:szCs w:val="24"/>
                <w:color w:val="auto"/>
              </w:rPr>
            </w:pPr>
          </w:p>
        </w:tc>
      </w:tr>
      <w:tr>
        <w:trPr>
          <w:trHeight w:val="212"/>
        </w:trPr>
        <w:tc>
          <w:tcPr>
            <w:tcW w:w="6300" w:type="dxa"/>
            <w:vAlign w:val="bottom"/>
          </w:tcPr>
          <w:p>
            <w:pPr>
              <w:jc w:val="center"/>
              <w:ind w:left="1934"/>
              <w:spacing w:after="0"/>
              <w:rPr>
                <w:sz w:val="20"/>
                <w:szCs w:val="20"/>
                <w:color w:val="auto"/>
              </w:rPr>
            </w:pPr>
            <w:r>
              <w:rPr>
                <w:rFonts w:ascii="Arial" w:cs="Arial" w:eastAsia="Arial" w:hAnsi="Arial"/>
                <w:sz w:val="18"/>
                <w:szCs w:val="18"/>
                <w:b w:val="1"/>
                <w:bCs w:val="1"/>
                <w:color w:val="auto"/>
              </w:rPr>
              <w:t>Schlumberger Discounted Stock Purchase Plan</w:t>
            </w:r>
          </w:p>
        </w:tc>
        <w:tc>
          <w:tcPr>
            <w:tcW w:w="1300" w:type="dxa"/>
            <w:vAlign w:val="bottom"/>
          </w:tcPr>
          <w:p>
            <w:pPr>
              <w:spacing w:after="0"/>
              <w:rPr>
                <w:sz w:val="18"/>
                <w:szCs w:val="18"/>
                <w:color w:val="auto"/>
              </w:rPr>
            </w:pPr>
          </w:p>
        </w:tc>
      </w:tr>
      <w:tr>
        <w:trPr>
          <w:trHeight w:val="196"/>
        </w:trPr>
        <w:tc>
          <w:tcPr>
            <w:tcW w:w="6300" w:type="dxa"/>
            <w:vAlign w:val="bottom"/>
          </w:tcPr>
          <w:p>
            <w:pPr>
              <w:jc w:val="center"/>
              <w:ind w:left="1954"/>
              <w:spacing w:after="0"/>
              <w:rPr>
                <w:sz w:val="20"/>
                <w:szCs w:val="20"/>
                <w:color w:val="auto"/>
              </w:rPr>
            </w:pPr>
            <w:r>
              <w:rPr>
                <w:rFonts w:ascii="Arial" w:cs="Arial" w:eastAsia="Arial" w:hAnsi="Arial"/>
                <w:sz w:val="14"/>
                <w:szCs w:val="14"/>
                <w:b w:val="1"/>
                <w:bCs w:val="1"/>
                <w:color w:val="auto"/>
              </w:rPr>
              <w:t>(Full title of the plan)</w:t>
            </w:r>
          </w:p>
        </w:tc>
        <w:tc>
          <w:tcPr>
            <w:tcW w:w="1300" w:type="dxa"/>
            <w:vAlign w:val="bottom"/>
          </w:tcPr>
          <w:p>
            <w:pPr>
              <w:spacing w:after="0"/>
              <w:rPr>
                <w:sz w:val="17"/>
                <w:szCs w:val="17"/>
                <w:color w:val="auto"/>
              </w:rPr>
            </w:pPr>
          </w:p>
        </w:tc>
      </w:tr>
      <w:tr>
        <w:trPr>
          <w:trHeight w:val="375"/>
        </w:trPr>
        <w:tc>
          <w:tcPr>
            <w:tcW w:w="6300" w:type="dxa"/>
            <w:vAlign w:val="bottom"/>
          </w:tcPr>
          <w:p>
            <w:pPr>
              <w:jc w:val="center"/>
              <w:ind w:left="1954"/>
              <w:spacing w:after="0"/>
              <w:rPr>
                <w:sz w:val="20"/>
                <w:szCs w:val="20"/>
                <w:color w:val="auto"/>
              </w:rPr>
            </w:pPr>
            <w:r>
              <w:rPr>
                <w:rFonts w:ascii="Arial" w:cs="Arial" w:eastAsia="Arial" w:hAnsi="Arial"/>
                <w:sz w:val="18"/>
                <w:szCs w:val="18"/>
                <w:b w:val="1"/>
                <w:bCs w:val="1"/>
                <w:color w:val="auto"/>
                <w:w w:val="99"/>
              </w:rPr>
              <w:t>Dianne B. Ralston</w:t>
            </w:r>
          </w:p>
        </w:tc>
        <w:tc>
          <w:tcPr>
            <w:tcW w:w="1300" w:type="dxa"/>
            <w:vAlign w:val="bottom"/>
          </w:tcPr>
          <w:p>
            <w:pPr>
              <w:spacing w:after="0"/>
              <w:rPr>
                <w:sz w:val="24"/>
                <w:szCs w:val="24"/>
                <w:color w:val="auto"/>
              </w:rPr>
            </w:pPr>
          </w:p>
        </w:tc>
      </w:tr>
      <w:tr>
        <w:trPr>
          <w:trHeight w:val="203"/>
        </w:trPr>
        <w:tc>
          <w:tcPr>
            <w:tcW w:w="6300" w:type="dxa"/>
            <w:vAlign w:val="bottom"/>
          </w:tcPr>
          <w:p>
            <w:pPr>
              <w:jc w:val="center"/>
              <w:ind w:left="1934"/>
              <w:spacing w:after="0" w:line="202" w:lineRule="exact"/>
              <w:rPr>
                <w:sz w:val="20"/>
                <w:szCs w:val="20"/>
                <w:color w:val="auto"/>
              </w:rPr>
            </w:pPr>
            <w:r>
              <w:rPr>
                <w:rFonts w:ascii="Arial" w:cs="Arial" w:eastAsia="Arial" w:hAnsi="Arial"/>
                <w:sz w:val="18"/>
                <w:szCs w:val="18"/>
                <w:b w:val="1"/>
                <w:bCs w:val="1"/>
                <w:color w:val="auto"/>
                <w:w w:val="99"/>
              </w:rPr>
              <w:t>Chief Legal Officer and Secretary</w:t>
            </w:r>
          </w:p>
        </w:tc>
        <w:tc>
          <w:tcPr>
            <w:tcW w:w="1300" w:type="dxa"/>
            <w:vAlign w:val="bottom"/>
          </w:tcPr>
          <w:p>
            <w:pPr>
              <w:spacing w:after="0"/>
              <w:rPr>
                <w:sz w:val="17"/>
                <w:szCs w:val="17"/>
                <w:color w:val="auto"/>
              </w:rPr>
            </w:pPr>
          </w:p>
        </w:tc>
      </w:tr>
      <w:tr>
        <w:trPr>
          <w:trHeight w:val="203"/>
        </w:trPr>
        <w:tc>
          <w:tcPr>
            <w:tcW w:w="6300" w:type="dxa"/>
            <w:vAlign w:val="bottom"/>
          </w:tcPr>
          <w:p>
            <w:pPr>
              <w:jc w:val="center"/>
              <w:ind w:left="1934"/>
              <w:spacing w:after="0" w:line="202" w:lineRule="exact"/>
              <w:rPr>
                <w:sz w:val="20"/>
                <w:szCs w:val="20"/>
                <w:color w:val="auto"/>
              </w:rPr>
            </w:pPr>
            <w:r>
              <w:rPr>
                <w:rFonts w:ascii="Arial" w:cs="Arial" w:eastAsia="Arial" w:hAnsi="Arial"/>
                <w:sz w:val="18"/>
                <w:szCs w:val="18"/>
                <w:b w:val="1"/>
                <w:bCs w:val="1"/>
                <w:color w:val="auto"/>
                <w:w w:val="98"/>
              </w:rPr>
              <w:t>SLB Limited</w:t>
            </w:r>
          </w:p>
        </w:tc>
        <w:tc>
          <w:tcPr>
            <w:tcW w:w="1300" w:type="dxa"/>
            <w:vAlign w:val="bottom"/>
          </w:tcPr>
          <w:p>
            <w:pPr>
              <w:spacing w:after="0"/>
              <w:rPr>
                <w:sz w:val="17"/>
                <w:szCs w:val="17"/>
                <w:color w:val="auto"/>
              </w:rPr>
            </w:pPr>
          </w:p>
        </w:tc>
      </w:tr>
      <w:tr>
        <w:trPr>
          <w:trHeight w:val="202"/>
        </w:trPr>
        <w:tc>
          <w:tcPr>
            <w:tcW w:w="6300" w:type="dxa"/>
            <w:vAlign w:val="bottom"/>
          </w:tcPr>
          <w:p>
            <w:pPr>
              <w:jc w:val="center"/>
              <w:ind w:left="1934"/>
              <w:spacing w:after="0" w:line="202" w:lineRule="exact"/>
              <w:rPr>
                <w:sz w:val="20"/>
                <w:szCs w:val="20"/>
                <w:color w:val="auto"/>
              </w:rPr>
            </w:pPr>
            <w:r>
              <w:rPr>
                <w:rFonts w:ascii="Arial" w:cs="Arial" w:eastAsia="Arial" w:hAnsi="Arial"/>
                <w:sz w:val="18"/>
                <w:szCs w:val="18"/>
                <w:b w:val="1"/>
                <w:bCs w:val="1"/>
                <w:color w:val="auto"/>
              </w:rPr>
              <w:t>5599 San Felipe</w:t>
            </w:r>
          </w:p>
        </w:tc>
        <w:tc>
          <w:tcPr>
            <w:tcW w:w="1300" w:type="dxa"/>
            <w:vAlign w:val="bottom"/>
          </w:tcPr>
          <w:p>
            <w:pPr>
              <w:spacing w:after="0"/>
              <w:rPr>
                <w:sz w:val="17"/>
                <w:szCs w:val="17"/>
                <w:color w:val="auto"/>
              </w:rPr>
            </w:pPr>
          </w:p>
        </w:tc>
      </w:tr>
      <w:tr>
        <w:trPr>
          <w:trHeight w:val="247"/>
        </w:trPr>
        <w:tc>
          <w:tcPr>
            <w:tcW w:w="6300" w:type="dxa"/>
            <w:vAlign w:val="bottom"/>
          </w:tcPr>
          <w:p>
            <w:pPr>
              <w:jc w:val="center"/>
              <w:ind w:left="1954"/>
              <w:spacing w:after="0"/>
              <w:rPr>
                <w:sz w:val="20"/>
                <w:szCs w:val="20"/>
                <w:color w:val="auto"/>
              </w:rPr>
            </w:pPr>
            <w:r>
              <w:rPr>
                <w:rFonts w:ascii="Arial" w:cs="Arial" w:eastAsia="Arial" w:hAnsi="Arial"/>
                <w:sz w:val="18"/>
                <w:szCs w:val="18"/>
                <w:b w:val="1"/>
                <w:bCs w:val="1"/>
                <w:color w:val="auto"/>
                <w:w w:val="99"/>
              </w:rPr>
              <w:t>Houston, Texas, U.S.A. 77056</w:t>
            </w:r>
          </w:p>
        </w:tc>
        <w:tc>
          <w:tcPr>
            <w:tcW w:w="1300" w:type="dxa"/>
            <w:vAlign w:val="bottom"/>
          </w:tcPr>
          <w:p>
            <w:pPr>
              <w:spacing w:after="0"/>
              <w:rPr>
                <w:sz w:val="21"/>
                <w:szCs w:val="21"/>
                <w:color w:val="auto"/>
              </w:rPr>
            </w:pPr>
          </w:p>
        </w:tc>
      </w:tr>
    </w:tbl>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513-2000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Julia A. Thompson</w:t>
      </w:r>
    </w:p>
    <w:p>
      <w:pPr>
        <w:jc w:val="center"/>
        <w:ind w:right="-39"/>
        <w:spacing w:after="0" w:line="234" w:lineRule="auto"/>
        <w:rPr>
          <w:sz w:val="20"/>
          <w:szCs w:val="20"/>
          <w:color w:val="auto"/>
        </w:rPr>
      </w:pPr>
      <w:r>
        <w:rPr>
          <w:rFonts w:ascii="Arial" w:cs="Arial" w:eastAsia="Arial" w:hAnsi="Arial"/>
          <w:sz w:val="18"/>
          <w:szCs w:val="18"/>
          <w:b w:val="1"/>
          <w:bCs w:val="1"/>
          <w:color w:val="auto"/>
        </w:rPr>
        <w:t>Latham &amp; Watkins LLP</w:t>
      </w:r>
    </w:p>
    <w:p>
      <w:pPr>
        <w:jc w:val="center"/>
        <w:ind w:right="-39"/>
        <w:spacing w:after="0" w:line="235" w:lineRule="auto"/>
        <w:rPr>
          <w:sz w:val="20"/>
          <w:szCs w:val="20"/>
          <w:color w:val="auto"/>
        </w:rPr>
      </w:pPr>
      <w:r>
        <w:rPr>
          <w:rFonts w:ascii="Arial" w:cs="Arial" w:eastAsia="Arial" w:hAnsi="Arial"/>
          <w:sz w:val="18"/>
          <w:szCs w:val="18"/>
          <w:b w:val="1"/>
          <w:bCs w:val="1"/>
          <w:color w:val="auto"/>
        </w:rPr>
        <w:t>555 11th Street, NW</w:t>
      </w:r>
    </w:p>
    <w:p>
      <w:pPr>
        <w:jc w:val="center"/>
        <w:ind w:right="-39"/>
        <w:spacing w:after="0" w:line="235" w:lineRule="auto"/>
        <w:rPr>
          <w:sz w:val="20"/>
          <w:szCs w:val="20"/>
          <w:color w:val="auto"/>
        </w:rPr>
      </w:pPr>
      <w:r>
        <w:rPr>
          <w:rFonts w:ascii="Arial" w:cs="Arial" w:eastAsia="Arial" w:hAnsi="Arial"/>
          <w:sz w:val="18"/>
          <w:szCs w:val="18"/>
          <w:b w:val="1"/>
          <w:bCs w:val="1"/>
          <w:color w:val="auto"/>
        </w:rPr>
        <w:t>Suite 1000</w:t>
      </w:r>
    </w:p>
    <w:p>
      <w:pPr>
        <w:jc w:val="center"/>
        <w:ind w:right="-39"/>
        <w:spacing w:after="0" w:line="235" w:lineRule="auto"/>
        <w:rPr>
          <w:sz w:val="20"/>
          <w:szCs w:val="20"/>
          <w:color w:val="auto"/>
        </w:rPr>
      </w:pPr>
      <w:r>
        <w:rPr>
          <w:rFonts w:ascii="Arial" w:cs="Arial" w:eastAsia="Arial" w:hAnsi="Arial"/>
          <w:sz w:val="18"/>
          <w:szCs w:val="18"/>
          <w:b w:val="1"/>
          <w:bCs w:val="1"/>
          <w:color w:val="auto"/>
        </w:rPr>
        <w:t>Washington, DC 20004-1304</w:t>
      </w:r>
    </w:p>
    <w:p>
      <w:pPr>
        <w:jc w:val="center"/>
        <w:ind w:right="-39"/>
        <w:spacing w:after="0"/>
        <w:rPr>
          <w:sz w:val="20"/>
          <w:szCs w:val="20"/>
          <w:color w:val="auto"/>
        </w:rPr>
      </w:pPr>
      <w:r>
        <w:rPr>
          <w:rFonts w:ascii="Arial" w:cs="Arial" w:eastAsia="Arial" w:hAnsi="Arial"/>
          <w:sz w:val="18"/>
          <w:szCs w:val="18"/>
          <w:b w:val="1"/>
          <w:bCs w:val="1"/>
          <w:color w:val="auto"/>
        </w:rPr>
        <w:t>(202) 637-2200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6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6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93" w:right="499" w:bottom="488"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Post-Effective Amendment relates to the following Registration Statement on Form S-8 (the “Registration Statement”) of SLB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(SLB Limited) (the “Registrant”):</w:t>
      </w:r>
    </w:p>
    <w:p>
      <w:pPr>
        <w:spacing w:after="0" w:line="99" w:lineRule="exact"/>
        <w:rPr>
          <w:sz w:val="20"/>
          <w:szCs w:val="20"/>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333-124534.</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Registrant has terminated the offering of its securities pursuant to the Registration Statement and hereby removes and withdraws from registration all securities registered pursuant to the Registration Statement that remain unsold as of the date hereof. The Registration Statement is hereby amended, as appropriate, to reflect the deregistration of such securities.</w:t>
      </w:r>
    </w:p>
    <w:p>
      <w:pPr>
        <w:sectPr>
          <w:pgSz w:w="11900" w:h="16838" w:orient="portrait"/>
          <w:cols w:equalWidth="0" w:num="1">
            <w:col w:w="10960"/>
          </w:cols>
          <w:pgMar w:left="440" w:top="269" w:right="4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the City of Houston, State of Texas, on December 12, 2025.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SLB N.V. (SLB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8890</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Dianne B. Ralston</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 and Secretary</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to the Registration Statement on Form S-8.</w:t>
      </w:r>
    </w:p>
    <w:sectPr>
      <w:pgSz w:w="11900" w:h="16838" w:orient="portrait"/>
      <w:cols w:equalWidth="0" w:num="1">
        <w:col w:w="10920"/>
      </w:cols>
      <w:pgMar w:left="440" w:top="26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2025-12-12T15:19:05Z</dcterms:created>
  <dcterms:modified xsi:type="dcterms:W3CDTF">2025-12-12T15:19:05Z</dcterms:modified>
</cp:coreProperties>
</file>