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Houston, Texas 77056</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August 7,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John Cannarella, Staff Accountant</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N.V. (Schlumberger Limited)</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January 31, 2013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Comment Letter dated July 29, 2013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Cannarella,</w:t>
      </w:r>
    </w:p>
    <w:p>
      <w:pPr>
        <w:spacing w:after="0" w:line="90"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This correspondence confirms the conversation of our counsel, Ronald Mueller, on behalf of Schlumberger Limited with Mr. John Cannarella of the SEC Staff, requesting an extension through August 26, 2013 for preparing the Company’s response to the Staff’s July 29, 2013 comment letter. Schlumberger is requesting this extension in order to allow sufficient time for internal meetings to discuss and draft the Company’s response to the comment letter and for appropriate discussion, review and approval of the Company’s response with and by Company executives and outside advisors. These processes have been complicated by business and personal travel schedules during the month of August.</w:t>
      </w:r>
    </w:p>
    <w:p>
      <w:pPr>
        <w:spacing w:after="0" w:line="116" w:lineRule="exact"/>
        <w:rPr>
          <w:sz w:val="24"/>
          <w:szCs w:val="24"/>
          <w:color w:val="auto"/>
        </w:rPr>
      </w:pPr>
    </w:p>
    <w:p>
      <w:pPr>
        <w:ind w:firstLine="456"/>
        <w:spacing w:after="0" w:line="370" w:lineRule="auto"/>
        <w:rPr>
          <w:sz w:val="20"/>
          <w:szCs w:val="20"/>
          <w:color w:val="auto"/>
        </w:rPr>
      </w:pPr>
      <w:r>
        <w:rPr>
          <w:rFonts w:ascii="Arial" w:cs="Arial" w:eastAsia="Arial" w:hAnsi="Arial"/>
          <w:sz w:val="15"/>
          <w:szCs w:val="15"/>
          <w:color w:val="auto"/>
        </w:rPr>
        <w:t>If you have any questions or need additional information, please contact Saul Laureles, Deputy General Counsel and Assistant Secretary of Schlumberger Limited, at (713) 375-3495 (slaureles@slb.com), or Ronald O. Mueller of Gibson, Dunn &amp; Crutcher LLP at (202) 955-8671 (rmueller@gibsondunn.com).</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Saul Laureles</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Saul Laureles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Deputy General Counsel</w:t>
            </w:r>
          </w:p>
        </w:tc>
      </w:tr>
      <w:tr>
        <w:trPr>
          <w:trHeight w:val="222"/>
        </w:trPr>
        <w:tc>
          <w:tcPr>
            <w:tcW w:w="60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and Assistant Secretary</w:t>
            </w:r>
          </w:p>
        </w:tc>
      </w:tr>
    </w:tbl>
    <w:p>
      <w:pPr>
        <w:sectPr>
          <w:pgSz w:w="11900" w:h="16838" w:orient="portrait"/>
          <w:cols w:equalWidth="0" w:num="1">
            <w:col w:w="11260"/>
          </w:cols>
          <w:pgMar w:left="240" w:top="233" w:right="39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2019-12-05T14:34:28Z</dcterms:created>
  <dcterms:modified xsi:type="dcterms:W3CDTF">2019-12-05T14:34:28Z</dcterms:modified>
</cp:coreProperties>
</file>