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b/>
          <w:sz w:val="20"/>
        </w:rPr>
      </w:pPr>
      <w:bookmarkStart w:id="0" w:name="d111094dfwp.htm"/>
      <w:bookmarkStart w:id="1" w:name="ksd111094dfwp"/>
      <w:bookmarkEnd w:id="0"/>
      <w:bookmarkEnd w:id="1"/>
      <w:r>
        <w:rPr>
          <w:rFonts w:ascii="Arial" w:hAnsi="Arial"/>
          <w:b/>
          <w:sz w:val="20"/>
        </w:rPr>
        <w:t xml:space="preserve">Filed Pursuant to Rule 433 </w:t>
      </w:r>
    </w:p>
    <w:p>
      <w:pPr>
        <w:pStyle w:val="TextBody"/>
        <w:bidi w:val="0"/>
        <w:spacing w:before="0" w:after="0"/>
        <w:jc w:val="right"/>
        <w:rPr>
          <w:rFonts w:ascii="Arial" w:hAnsi="Arial"/>
          <w:b/>
          <w:sz w:val="20"/>
        </w:rPr>
      </w:pPr>
      <w:r>
        <w:rPr>
          <w:rFonts w:ascii="Arial" w:hAnsi="Arial"/>
          <w:b/>
          <w:sz w:val="20"/>
        </w:rPr>
        <w:t xml:space="preserve">Registration Statement No. 333-295427 </w:t>
      </w:r>
    </w:p>
    <w:p>
      <w:pPr>
        <w:pStyle w:val="TextBody"/>
        <w:bidi w:val="0"/>
        <w:spacing w:before="240" w:after="0"/>
        <w:jc w:val="center"/>
        <w:rPr>
          <w:rFonts w:ascii="Arial" w:hAnsi="Arial"/>
          <w:b/>
          <w:sz w:val="20"/>
        </w:rPr>
      </w:pPr>
      <w:r>
        <w:rPr>
          <w:rFonts w:ascii="Arial" w:hAnsi="Arial"/>
          <w:b/>
          <w:sz w:val="20"/>
        </w:rPr>
        <w:t xml:space="preserve">Schlumberger Investment S.A. </w:t>
      </w:r>
    </w:p>
    <w:p>
      <w:pPr>
        <w:pStyle w:val="TextBody"/>
        <w:bidi w:val="0"/>
        <w:spacing w:before="0" w:after="0"/>
        <w:jc w:val="center"/>
        <w:rPr>
          <w:rFonts w:ascii="Arial" w:hAnsi="Arial"/>
          <w:b/>
          <w:sz w:val="20"/>
        </w:rPr>
      </w:pPr>
      <w:r>
        <w:rPr>
          <w:rFonts w:ascii="Arial" w:hAnsi="Arial"/>
          <w:b/>
          <w:sz w:val="20"/>
        </w:rPr>
        <w:t xml:space="preserve">$500,000,000 4.550% Senior Notes due 2031 </w:t>
      </w:r>
    </w:p>
    <w:p>
      <w:pPr>
        <w:pStyle w:val="TextBody"/>
        <w:bidi w:val="0"/>
        <w:spacing w:before="0" w:after="0"/>
        <w:jc w:val="center"/>
        <w:rPr>
          <w:rFonts w:ascii="Arial" w:hAnsi="Arial"/>
          <w:b/>
          <w:sz w:val="20"/>
        </w:rPr>
      </w:pPr>
      <w:r>
        <w:rPr>
          <w:rFonts w:ascii="Arial" w:hAnsi="Arial"/>
          <w:b/>
          <w:sz w:val="20"/>
        </w:rPr>
        <w:t xml:space="preserve">$500,000,000 4.800% Senior Notes due 2033 </w:t>
      </w:r>
    </w:p>
    <w:p>
      <w:pPr>
        <w:pStyle w:val="TextBody"/>
        <w:bidi w:val="0"/>
        <w:spacing w:before="0" w:after="0"/>
        <w:jc w:val="center"/>
        <w:rPr>
          <w:rFonts w:ascii="Arial" w:hAnsi="Arial"/>
          <w:b/>
          <w:sz w:val="20"/>
        </w:rPr>
      </w:pPr>
      <w:r>
        <w:rPr>
          <w:rFonts w:ascii="Arial" w:hAnsi="Arial"/>
          <w:b/>
          <w:sz w:val="20"/>
        </w:rPr>
        <w:t xml:space="preserve">$1,000,000,000 5.150% Senior Notes due 2036 </w:t>
      </w:r>
    </w:p>
    <w:p>
      <w:pPr>
        <w:pStyle w:val="TextBody"/>
        <w:bidi w:val="0"/>
        <w:spacing w:before="240" w:after="0"/>
        <w:jc w:val="center"/>
        <w:rPr>
          <w:rFonts w:ascii="Arial" w:hAnsi="Arial"/>
          <w:b/>
          <w:sz w:val="20"/>
        </w:rPr>
      </w:pPr>
      <w:r>
        <w:rPr>
          <w:rFonts w:ascii="Arial" w:hAnsi="Arial"/>
          <w:b/>
          <w:sz w:val="20"/>
        </w:rPr>
        <w:t xml:space="preserve">Pricing Term Sheet </w:t>
      </w:r>
    </w:p>
    <w:p>
      <w:pPr>
        <w:pStyle w:val="TextBody"/>
        <w:bidi w:val="0"/>
        <w:spacing w:before="0" w:after="0"/>
        <w:jc w:val="center"/>
        <w:rPr>
          <w:rFonts w:ascii="Arial" w:hAnsi="Arial"/>
          <w:b/>
          <w:sz w:val="20"/>
        </w:rPr>
      </w:pPr>
      <w:r>
        <w:rPr>
          <w:rFonts w:ascii="Arial" w:hAnsi="Arial"/>
          <w:b/>
          <w:sz w:val="20"/>
        </w:rPr>
        <w:t xml:space="preserve">April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79"/>
        <w:gridCol w:w="120"/>
        <w:gridCol w:w="2482"/>
        <w:gridCol w:w="120"/>
        <w:gridCol w:w="2476"/>
        <w:gridCol w:w="120"/>
        <w:gridCol w:w="2408"/>
      </w:tblGrid>
      <w:tr>
        <w:trPr/>
        <w:tc>
          <w:tcPr>
            <w:tcW w:w="24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Issuer:</w:t>
            </w:r>
          </w:p>
        </w:tc>
        <w:tc>
          <w:tcPr>
            <w:tcW w:w="120" w:type="dxa"/>
            <w:tcBorders/>
            <w:vAlign w:val="bottom"/>
          </w:tcPr>
          <w:p>
            <w:pPr>
              <w:pStyle w:val="TableContents"/>
              <w:bidi w:val="0"/>
              <w:spacing w:before="0" w:after="283"/>
              <w:jc w:val="left"/>
              <w:rPr/>
            </w:pPr>
            <w:r>
              <w:rPr/>
              <w:t>  </w:t>
            </w:r>
          </w:p>
        </w:tc>
        <w:tc>
          <w:tcPr>
            <w:tcW w:w="7606" w:type="dxa"/>
            <w:gridSpan w:val="5"/>
            <w:tcBorders/>
          </w:tcPr>
          <w:p>
            <w:pPr>
              <w:pStyle w:val="TableContents"/>
              <w:bidi w:val="0"/>
              <w:spacing w:before="0" w:after="283"/>
              <w:jc w:val="left"/>
              <w:rPr>
                <w:rFonts w:ascii="Arial" w:hAnsi="Arial"/>
              </w:rPr>
            </w:pPr>
            <w:r>
              <w:rPr>
                <w:rFonts w:ascii="Arial" w:hAnsi="Arial"/>
              </w:rPr>
              <w:t>Schlumberger Investment S.A.</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5198" w:type="dxa"/>
            <w:gridSpan w:val="4"/>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Guarantor:</w:t>
            </w:r>
          </w:p>
        </w:tc>
        <w:tc>
          <w:tcPr>
            <w:tcW w:w="120" w:type="dxa"/>
            <w:tcBorders/>
            <w:vAlign w:val="bottom"/>
          </w:tcPr>
          <w:p>
            <w:pPr>
              <w:pStyle w:val="TableContents"/>
              <w:bidi w:val="0"/>
              <w:spacing w:before="0" w:after="283"/>
              <w:jc w:val="left"/>
              <w:rPr/>
            </w:pPr>
            <w:r>
              <w:rPr/>
              <w:t>  </w:t>
            </w:r>
          </w:p>
        </w:tc>
        <w:tc>
          <w:tcPr>
            <w:tcW w:w="5078" w:type="dxa"/>
            <w:gridSpan w:val="3"/>
            <w:tcBorders/>
          </w:tcPr>
          <w:p>
            <w:pPr>
              <w:pStyle w:val="TableContents"/>
              <w:bidi w:val="0"/>
              <w:spacing w:before="0" w:after="283"/>
              <w:jc w:val="left"/>
              <w:rPr>
                <w:rFonts w:ascii="Arial" w:hAnsi="Arial"/>
              </w:rPr>
            </w:pPr>
            <w:r>
              <w:rPr>
                <w:rFonts w:ascii="Arial" w:hAnsi="Arial"/>
              </w:rPr>
              <w:t>SLB N.V. (SLB Limited)</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sz w:val="4"/>
                <w:szCs w:val="4"/>
              </w:rPr>
            </w:pPr>
            <w:r>
              <w:rPr>
                <w:sz w:val="4"/>
                <w:szCs w:val="4"/>
              </w:rPr>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Issue Format:</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SEC registered</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sz w:val="4"/>
                <w:szCs w:val="4"/>
              </w:rPr>
            </w:pPr>
            <w:r>
              <w:rPr>
                <w:sz w:val="4"/>
                <w:szCs w:val="4"/>
              </w:rPr>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Guarantor Ratings (Moody’s/S&amp;P)*:</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A1 / A (positive)</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sz w:val="4"/>
                <w:szCs w:val="4"/>
              </w:rPr>
            </w:pPr>
            <w:r>
              <w:rPr>
                <w:sz w:val="4"/>
                <w:szCs w:val="4"/>
              </w:rPr>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Trade Date:</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April 30, 2026</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sz w:val="4"/>
                <w:szCs w:val="4"/>
              </w:rPr>
            </w:pPr>
            <w:r>
              <w:rPr>
                <w:sz w:val="4"/>
                <w:szCs w:val="4"/>
              </w:rPr>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Settlement Date**:</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May 7, 2026 (T+5)</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sz w:val="4"/>
                <w:szCs w:val="4"/>
              </w:rPr>
            </w:pPr>
            <w:r>
              <w:rPr>
                <w:sz w:val="4"/>
                <w:szCs w:val="4"/>
              </w:rPr>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Title:</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4.550% Senior Notes due 2031 (the “2031 Notes”)</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4.800% Senior Notes due 2033 (the “2033 Notes”)</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5.150% Senior Notes due 2036 (the “2036 Notes” and, together with the 2031 Notes and 2033 Notes, the “Notes”)</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Principal Amount:</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$500,000,000</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$500,000,000</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$1,000,000,000</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Coupon:</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4.550%</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4.800%</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5.150%</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Price to Public:</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99.916%</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99.730%</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99.861%</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Interest Payment Dates:</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May 7 and November 7, beginning November 7, 2026</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May 7 and November 7, beginning November 7, 2026</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May 7 and November 7, beginning November 7, 2026</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Maturity Date:</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May 7, 2031</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May 7, 2033</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May 7, 2036</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Make-Whole Call:</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T + 10 basis points</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T + 10 basis points</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T + 15 basis points</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Par Call:</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At any time on or after April 7, 2031</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At any time on or after March 7, 2033</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At any time on or after February 7, 2036</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Benchmark Treasury:</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UST 3.875% due March 31, 2031</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UST 4.250% due March 31, 2033</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UST 4.125% due February 15, 2036</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Benchmark Treasury Yield:</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4.019%</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4.196%</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4.388%</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Spread to Benchmark Treasury:</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+55 basis points</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+65 basis points</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+78 basis points</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Reoffer Yield:</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4.569%</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4.846%</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5.168%</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CUSIP:</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806854AN5</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806854AP0</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806854AQ8</w:t>
            </w:r>
          </w:p>
        </w:tc>
      </w:tr>
      <w:tr>
        <w:trPr>
          <w:trHeight w:val="120" w:hRule="atLeast"/>
        </w:trPr>
        <w:tc>
          <w:tcPr>
            <w:tcW w:w="2479" w:type="dxa"/>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c>
          <w:tcPr>
            <w:tcW w:w="2596" w:type="dxa"/>
            <w:gridSpan w:val="2"/>
            <w:tcBorders/>
            <w:vAlign w:val="center"/>
          </w:tcPr>
          <w:p>
            <w:pPr>
              <w:pStyle w:val="TableContents"/>
              <w:bidi w:val="0"/>
              <w:spacing w:before="0" w:after="283"/>
              <w:jc w:val="left"/>
              <w:rPr>
                <w:sz w:val="4"/>
                <w:szCs w:val="4"/>
              </w:rPr>
            </w:pPr>
            <w:r>
              <w:rPr>
                <w:sz w:val="4"/>
                <w:szCs w:val="4"/>
              </w:rPr>
            </w:r>
          </w:p>
        </w:tc>
        <w:tc>
          <w:tcPr>
            <w:tcW w:w="2528" w:type="dxa"/>
            <w:gridSpan w:val="2"/>
            <w:tcBorders/>
            <w:vAlign w:val="center"/>
          </w:tcPr>
          <w:p>
            <w:pPr>
              <w:pStyle w:val="TableContents"/>
              <w:bidi w:val="0"/>
              <w:spacing w:before="0" w:after="283"/>
              <w:jc w:val="left"/>
              <w:rPr>
                <w:sz w:val="4"/>
                <w:szCs w:val="4"/>
              </w:rPr>
            </w:pPr>
            <w:r>
              <w:rPr>
                <w:sz w:val="4"/>
                <w:szCs w:val="4"/>
              </w:rPr>
            </w:r>
          </w:p>
        </w:tc>
      </w:tr>
      <w:tr>
        <w:trPr/>
        <w:tc>
          <w:tcPr>
            <w:tcW w:w="2479" w:type="dxa"/>
            <w:tcBorders/>
          </w:tcPr>
          <w:p>
            <w:pPr>
              <w:pStyle w:val="TableContents"/>
              <w:bidi w:val="0"/>
              <w:spacing w:before="0" w:after="283"/>
              <w:jc w:val="left"/>
              <w:rPr>
                <w:rFonts w:ascii="Arial" w:hAnsi="Arial"/>
              </w:rPr>
            </w:pPr>
            <w:r>
              <w:rPr>
                <w:rFonts w:ascii="Arial" w:hAnsi="Arial"/>
              </w:rPr>
              <w:t>ISIN:</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rFonts w:ascii="Arial" w:hAnsi="Arial"/>
              </w:rPr>
            </w:pPr>
            <w:r>
              <w:rPr>
                <w:rFonts w:ascii="Arial" w:hAnsi="Arial"/>
              </w:rPr>
              <w:t>US806854AN59</w:t>
            </w:r>
          </w:p>
        </w:tc>
        <w:tc>
          <w:tcPr>
            <w:tcW w:w="120" w:type="dxa"/>
            <w:tcBorders/>
            <w:vAlign w:val="bottom"/>
          </w:tcPr>
          <w:p>
            <w:pPr>
              <w:pStyle w:val="TableContents"/>
              <w:bidi w:val="0"/>
              <w:spacing w:before="0" w:after="283"/>
              <w:jc w:val="left"/>
              <w:rPr/>
            </w:pPr>
            <w:r>
              <w:rPr/>
              <w:t>  </w:t>
            </w:r>
          </w:p>
        </w:tc>
        <w:tc>
          <w:tcPr>
            <w:tcW w:w="2476" w:type="dxa"/>
            <w:tcBorders/>
          </w:tcPr>
          <w:p>
            <w:pPr>
              <w:pStyle w:val="TableContents"/>
              <w:bidi w:val="0"/>
              <w:spacing w:before="0" w:after="283"/>
              <w:jc w:val="left"/>
              <w:rPr>
                <w:rFonts w:ascii="Arial" w:hAnsi="Arial"/>
              </w:rPr>
            </w:pPr>
            <w:r>
              <w:rPr>
                <w:rFonts w:ascii="Arial" w:hAnsi="Arial"/>
              </w:rPr>
              <w:t>US806854AP08</w:t>
            </w:r>
          </w:p>
        </w:tc>
        <w:tc>
          <w:tcPr>
            <w:tcW w:w="12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rFonts w:ascii="Arial" w:hAnsi="Arial"/>
              </w:rPr>
            </w:pPr>
            <w:r>
              <w:rPr>
                <w:rFonts w:ascii="Arial" w:hAnsi="Arial"/>
              </w:rPr>
              <w:t>US806854AQ80</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823"/>
        <w:gridCol w:w="120"/>
        <w:gridCol w:w="2502"/>
        <w:gridCol w:w="120"/>
        <w:gridCol w:w="2305"/>
        <w:gridCol w:w="120"/>
        <w:gridCol w:w="2215"/>
      </w:tblGrid>
      <w:tr>
        <w:trPr/>
        <w:tc>
          <w:tcPr>
            <w:tcW w:w="28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823" w:type="dxa"/>
            <w:tcBorders/>
            <w:vAlign w:val="center"/>
          </w:tcPr>
          <w:p>
            <w:pPr>
              <w:pStyle w:val="TableContents"/>
              <w:bidi w:val="0"/>
              <w:spacing w:before="0" w:after="283"/>
              <w:jc w:val="left"/>
              <w:rPr>
                <w:sz w:val="4"/>
                <w:szCs w:val="4"/>
              </w:rPr>
            </w:pPr>
            <w:r>
              <w:rPr>
                <w:sz w:val="4"/>
                <w:szCs w:val="4"/>
              </w:rPr>
            </w:r>
          </w:p>
        </w:tc>
        <w:tc>
          <w:tcPr>
            <w:tcW w:w="2622" w:type="dxa"/>
            <w:gridSpan w:val="2"/>
            <w:tcBorders/>
            <w:vAlign w:val="center"/>
          </w:tcPr>
          <w:p>
            <w:pPr>
              <w:pStyle w:val="TableContents"/>
              <w:bidi w:val="0"/>
              <w:spacing w:before="0" w:after="283"/>
              <w:jc w:val="left"/>
              <w:rPr>
                <w:sz w:val="4"/>
                <w:szCs w:val="4"/>
              </w:rPr>
            </w:pPr>
            <w:r>
              <w:rPr>
                <w:sz w:val="4"/>
                <w:szCs w:val="4"/>
              </w:rPr>
            </w:r>
          </w:p>
        </w:tc>
        <w:tc>
          <w:tcPr>
            <w:tcW w:w="2425" w:type="dxa"/>
            <w:gridSpan w:val="2"/>
            <w:tcBorders/>
            <w:vAlign w:val="center"/>
          </w:tcPr>
          <w:p>
            <w:pPr>
              <w:pStyle w:val="TableContents"/>
              <w:bidi w:val="0"/>
              <w:spacing w:before="0" w:after="283"/>
              <w:jc w:val="left"/>
              <w:rPr>
                <w:sz w:val="4"/>
                <w:szCs w:val="4"/>
              </w:rPr>
            </w:pPr>
            <w:r>
              <w:rPr>
                <w:sz w:val="4"/>
                <w:szCs w:val="4"/>
              </w:rPr>
            </w:r>
          </w:p>
        </w:tc>
        <w:tc>
          <w:tcPr>
            <w:tcW w:w="2335" w:type="dxa"/>
            <w:gridSpan w:val="2"/>
            <w:tcBorders/>
            <w:vAlign w:val="center"/>
          </w:tcPr>
          <w:p>
            <w:pPr>
              <w:pStyle w:val="TableContents"/>
              <w:bidi w:val="0"/>
              <w:spacing w:before="0" w:after="283"/>
              <w:jc w:val="left"/>
              <w:rPr>
                <w:sz w:val="4"/>
                <w:szCs w:val="4"/>
              </w:rPr>
            </w:pPr>
            <w:r>
              <w:rPr>
                <w:sz w:val="4"/>
                <w:szCs w:val="4"/>
              </w:rPr>
            </w:r>
          </w:p>
        </w:tc>
      </w:tr>
      <w:tr>
        <w:trPr/>
        <w:tc>
          <w:tcPr>
            <w:tcW w:w="2823" w:type="dxa"/>
            <w:tcBorders/>
          </w:tcPr>
          <w:p>
            <w:pPr>
              <w:pStyle w:val="TableContents"/>
              <w:bidi w:val="0"/>
              <w:spacing w:before="0" w:after="283"/>
              <w:jc w:val="left"/>
              <w:rPr>
                <w:rFonts w:ascii="Arial" w:hAnsi="Arial"/>
              </w:rPr>
            </w:pPr>
            <w:r>
              <w:rPr>
                <w:rFonts w:ascii="Arial" w:hAnsi="Arial"/>
              </w:rPr>
              <w:t>Joint Book-Running Managers:</w:t>
            </w:r>
          </w:p>
        </w:tc>
        <w:tc>
          <w:tcPr>
            <w:tcW w:w="120" w:type="dxa"/>
            <w:tcBorders/>
            <w:vAlign w:val="bottom"/>
          </w:tcPr>
          <w:p>
            <w:pPr>
              <w:pStyle w:val="TableContents"/>
              <w:bidi w:val="0"/>
              <w:spacing w:before="0" w:after="283"/>
              <w:jc w:val="left"/>
              <w:rPr/>
            </w:pPr>
            <w:r>
              <w:rPr/>
              <w:t>  </w:t>
            </w:r>
          </w:p>
        </w:tc>
        <w:tc>
          <w:tcPr>
            <w:tcW w:w="2502" w:type="dxa"/>
            <w:tcBorders/>
          </w:tcPr>
          <w:p>
            <w:pPr>
              <w:pStyle w:val="TableContents"/>
              <w:bidi w:val="0"/>
              <w:spacing w:before="0" w:after="0"/>
              <w:jc w:val="left"/>
              <w:rPr>
                <w:rFonts w:ascii="Arial" w:hAnsi="Arial"/>
                <w:sz w:val="20"/>
              </w:rPr>
            </w:pPr>
            <w:r>
              <w:rPr>
                <w:rFonts w:ascii="Arial" w:hAnsi="Arial"/>
                <w:sz w:val="20"/>
              </w:rPr>
              <w:t>J.P. Morgan Securities LLC</w:t>
            </w:r>
          </w:p>
          <w:p>
            <w:pPr>
              <w:pStyle w:val="TableContents"/>
              <w:bidi w:val="0"/>
              <w:spacing w:before="0" w:after="0"/>
              <w:jc w:val="left"/>
              <w:rPr>
                <w:rFonts w:ascii="Arial" w:hAnsi="Arial"/>
                <w:sz w:val="20"/>
              </w:rPr>
            </w:pPr>
            <w:r>
              <w:rPr>
                <w:rFonts w:ascii="Arial" w:hAnsi="Arial"/>
                <w:sz w:val="20"/>
              </w:rPr>
              <w:t>HSBC Securities (USA) Inc.</w:t>
            </w:r>
          </w:p>
          <w:p>
            <w:pPr>
              <w:pStyle w:val="TableContents"/>
              <w:bidi w:val="0"/>
              <w:spacing w:before="0" w:after="0"/>
              <w:jc w:val="left"/>
              <w:rPr>
                <w:rFonts w:ascii="Arial" w:hAnsi="Arial"/>
                <w:sz w:val="20"/>
              </w:rPr>
            </w:pPr>
            <w:r>
              <w:rPr>
                <w:rFonts w:ascii="Arial" w:hAnsi="Arial"/>
                <w:sz w:val="20"/>
              </w:rPr>
              <w:t>Standard Chartered Bank</w:t>
            </w:r>
          </w:p>
          <w:p>
            <w:pPr>
              <w:pStyle w:val="TableContents"/>
              <w:bidi w:val="0"/>
              <w:spacing w:before="0" w:after="0"/>
              <w:jc w:val="left"/>
              <w:rPr>
                <w:rFonts w:ascii="Arial" w:hAnsi="Arial"/>
                <w:sz w:val="20"/>
              </w:rPr>
            </w:pPr>
            <w:r>
              <w:rPr>
                <w:rFonts w:ascii="Arial" w:hAnsi="Arial"/>
                <w:sz w:val="20"/>
              </w:rPr>
              <w:t>BNP Paribas Securities Corp.</w:t>
            </w:r>
          </w:p>
          <w:p>
            <w:pPr>
              <w:pStyle w:val="TableContents"/>
              <w:bidi w:val="0"/>
              <w:spacing w:before="0" w:after="0"/>
              <w:jc w:val="left"/>
              <w:rPr>
                <w:rFonts w:ascii="Arial" w:hAnsi="Arial"/>
                <w:sz w:val="20"/>
              </w:rPr>
            </w:pPr>
            <w:r>
              <w:rPr>
                <w:rFonts w:ascii="Arial" w:hAnsi="Arial"/>
                <w:sz w:val="20"/>
              </w:rPr>
              <w:t>BofA Securities, Inc.</w:t>
            </w:r>
          </w:p>
          <w:p>
            <w:pPr>
              <w:pStyle w:val="TableContents"/>
              <w:bidi w:val="0"/>
              <w:spacing w:before="0" w:after="0"/>
              <w:jc w:val="left"/>
              <w:rPr>
                <w:rFonts w:ascii="Arial" w:hAnsi="Arial"/>
                <w:sz w:val="20"/>
              </w:rPr>
            </w:pPr>
            <w:r>
              <w:rPr>
                <w:rFonts w:ascii="Arial" w:hAnsi="Arial"/>
                <w:sz w:val="20"/>
              </w:rPr>
              <w:t>Citigroup Global Markets Inc.</w:t>
            </w:r>
          </w:p>
          <w:p>
            <w:pPr>
              <w:pStyle w:val="TableContents"/>
              <w:bidi w:val="0"/>
              <w:spacing w:before="0" w:after="20"/>
              <w:jc w:val="left"/>
              <w:rPr>
                <w:rFonts w:ascii="Arial" w:hAnsi="Arial"/>
                <w:sz w:val="20"/>
              </w:rPr>
            </w:pPr>
            <w:r>
              <w:rPr>
                <w:rFonts w:ascii="Arial" w:hAnsi="Arial"/>
                <w:sz w:val="20"/>
              </w:rPr>
              <w:t>Deutsche Bank Securities Inc.</w:t>
            </w:r>
          </w:p>
        </w:tc>
        <w:tc>
          <w:tcPr>
            <w:tcW w:w="120" w:type="dxa"/>
            <w:tcBorders/>
            <w:vAlign w:val="bottom"/>
          </w:tcPr>
          <w:p>
            <w:pPr>
              <w:pStyle w:val="TableContents"/>
              <w:bidi w:val="0"/>
              <w:spacing w:before="0" w:after="283"/>
              <w:jc w:val="left"/>
              <w:rPr/>
            </w:pPr>
            <w:r>
              <w:rPr/>
              <w:t>  </w:t>
            </w:r>
          </w:p>
        </w:tc>
        <w:tc>
          <w:tcPr>
            <w:tcW w:w="2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r>
      <w:tr>
        <w:trPr>
          <w:trHeight w:val="120" w:hRule="atLeast"/>
        </w:trPr>
        <w:tc>
          <w:tcPr>
            <w:tcW w:w="2823" w:type="dxa"/>
            <w:tcBorders/>
            <w:vAlign w:val="center"/>
          </w:tcPr>
          <w:p>
            <w:pPr>
              <w:pStyle w:val="TableContents"/>
              <w:bidi w:val="0"/>
              <w:spacing w:before="0" w:after="283"/>
              <w:jc w:val="left"/>
              <w:rPr>
                <w:sz w:val="4"/>
                <w:szCs w:val="4"/>
              </w:rPr>
            </w:pPr>
            <w:r>
              <w:rPr>
                <w:sz w:val="4"/>
                <w:szCs w:val="4"/>
              </w:rPr>
            </w:r>
          </w:p>
        </w:tc>
        <w:tc>
          <w:tcPr>
            <w:tcW w:w="2622" w:type="dxa"/>
            <w:gridSpan w:val="2"/>
            <w:tcBorders/>
            <w:vAlign w:val="center"/>
          </w:tcPr>
          <w:p>
            <w:pPr>
              <w:pStyle w:val="TableContents"/>
              <w:bidi w:val="0"/>
              <w:spacing w:before="0" w:after="283"/>
              <w:jc w:val="left"/>
              <w:rPr>
                <w:sz w:val="4"/>
                <w:szCs w:val="4"/>
              </w:rPr>
            </w:pPr>
            <w:r>
              <w:rPr>
                <w:sz w:val="4"/>
                <w:szCs w:val="4"/>
              </w:rPr>
            </w:r>
          </w:p>
        </w:tc>
        <w:tc>
          <w:tcPr>
            <w:tcW w:w="2425" w:type="dxa"/>
            <w:gridSpan w:val="2"/>
            <w:tcBorders/>
            <w:vAlign w:val="center"/>
          </w:tcPr>
          <w:p>
            <w:pPr>
              <w:pStyle w:val="TableContents"/>
              <w:bidi w:val="0"/>
              <w:spacing w:before="0" w:after="283"/>
              <w:jc w:val="left"/>
              <w:rPr>
                <w:sz w:val="4"/>
                <w:szCs w:val="4"/>
              </w:rPr>
            </w:pPr>
            <w:r>
              <w:rPr>
                <w:sz w:val="4"/>
                <w:szCs w:val="4"/>
              </w:rPr>
            </w:r>
          </w:p>
        </w:tc>
        <w:tc>
          <w:tcPr>
            <w:tcW w:w="2335" w:type="dxa"/>
            <w:gridSpan w:val="2"/>
            <w:tcBorders/>
            <w:vAlign w:val="center"/>
          </w:tcPr>
          <w:p>
            <w:pPr>
              <w:pStyle w:val="TableContents"/>
              <w:bidi w:val="0"/>
              <w:spacing w:before="0" w:after="283"/>
              <w:jc w:val="left"/>
              <w:rPr>
                <w:sz w:val="4"/>
                <w:szCs w:val="4"/>
              </w:rPr>
            </w:pPr>
            <w:r>
              <w:rPr>
                <w:sz w:val="4"/>
                <w:szCs w:val="4"/>
              </w:rPr>
            </w:r>
          </w:p>
        </w:tc>
      </w:tr>
      <w:tr>
        <w:trPr/>
        <w:tc>
          <w:tcPr>
            <w:tcW w:w="2823" w:type="dxa"/>
            <w:tcBorders/>
          </w:tcPr>
          <w:p>
            <w:pPr>
              <w:pStyle w:val="TableContents"/>
              <w:bidi w:val="0"/>
              <w:spacing w:before="0" w:after="283"/>
              <w:jc w:val="left"/>
              <w:rPr>
                <w:rFonts w:ascii="Arial" w:hAnsi="Arial"/>
              </w:rPr>
            </w:pPr>
            <w:r>
              <w:rPr>
                <w:rFonts w:ascii="Arial" w:hAnsi="Arial"/>
              </w:rPr>
              <w:t>Co-Managers:</w:t>
            </w:r>
          </w:p>
        </w:tc>
        <w:tc>
          <w:tcPr>
            <w:tcW w:w="120" w:type="dxa"/>
            <w:tcBorders/>
            <w:vAlign w:val="bottom"/>
          </w:tcPr>
          <w:p>
            <w:pPr>
              <w:pStyle w:val="TableContents"/>
              <w:bidi w:val="0"/>
              <w:spacing w:before="0" w:after="283"/>
              <w:jc w:val="left"/>
              <w:rPr/>
            </w:pPr>
            <w:r>
              <w:rPr/>
              <w:t>  </w:t>
            </w:r>
          </w:p>
        </w:tc>
        <w:tc>
          <w:tcPr>
            <w:tcW w:w="2502" w:type="dxa"/>
            <w:tcBorders/>
          </w:tcPr>
          <w:p>
            <w:pPr>
              <w:pStyle w:val="TableContents"/>
              <w:bidi w:val="0"/>
              <w:spacing w:before="0" w:after="0"/>
              <w:jc w:val="left"/>
              <w:rPr>
                <w:rFonts w:ascii="Arial" w:hAnsi="Arial"/>
                <w:sz w:val="20"/>
              </w:rPr>
            </w:pPr>
            <w:r>
              <w:rPr>
                <w:rFonts w:ascii="Arial" w:hAnsi="Arial"/>
                <w:sz w:val="20"/>
              </w:rPr>
              <w:t>BBVA Securities Inc.</w:t>
            </w:r>
          </w:p>
          <w:p>
            <w:pPr>
              <w:pStyle w:val="TableContents"/>
              <w:bidi w:val="0"/>
              <w:spacing w:before="0" w:after="0"/>
              <w:jc w:val="left"/>
              <w:rPr>
                <w:rFonts w:ascii="Arial" w:hAnsi="Arial"/>
                <w:sz w:val="20"/>
              </w:rPr>
            </w:pPr>
            <w:r>
              <w:rPr>
                <w:rFonts w:ascii="Arial" w:hAnsi="Arial"/>
                <w:sz w:val="20"/>
              </w:rPr>
              <w:t>MUFG Securities Americas Inc.</w:t>
            </w:r>
          </w:p>
          <w:p>
            <w:pPr>
              <w:pStyle w:val="TableContents"/>
              <w:bidi w:val="0"/>
              <w:spacing w:before="0" w:after="0"/>
              <w:jc w:val="left"/>
              <w:rPr>
                <w:rFonts w:ascii="Arial" w:hAnsi="Arial"/>
                <w:sz w:val="20"/>
              </w:rPr>
            </w:pPr>
            <w:r>
              <w:rPr>
                <w:rFonts w:ascii="Arial" w:hAnsi="Arial"/>
                <w:sz w:val="20"/>
              </w:rPr>
              <w:t>SG Americas Securities, LLC</w:t>
            </w:r>
          </w:p>
          <w:p>
            <w:pPr>
              <w:pStyle w:val="TableContents"/>
              <w:bidi w:val="0"/>
              <w:spacing w:before="0" w:after="20"/>
              <w:jc w:val="left"/>
              <w:rPr>
                <w:rFonts w:ascii="Arial" w:hAnsi="Arial"/>
                <w:sz w:val="20"/>
              </w:rPr>
            </w:pPr>
            <w:r>
              <w:rPr>
                <w:rFonts w:ascii="Arial" w:hAnsi="Arial"/>
                <w:sz w:val="20"/>
              </w:rPr>
              <w:t>UniCredit Capital Markets LLC</w:t>
            </w:r>
          </w:p>
        </w:tc>
        <w:tc>
          <w:tcPr>
            <w:tcW w:w="120" w:type="dxa"/>
            <w:tcBorders/>
            <w:vAlign w:val="bottom"/>
          </w:tcPr>
          <w:p>
            <w:pPr>
              <w:pStyle w:val="TableContents"/>
              <w:bidi w:val="0"/>
              <w:spacing w:before="0" w:after="283"/>
              <w:jc w:val="left"/>
              <w:rPr/>
            </w:pPr>
            <w:r>
              <w:rPr/>
              <w:t>  </w:t>
            </w:r>
          </w:p>
        </w:tc>
        <w:tc>
          <w:tcPr>
            <w:tcW w:w="23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i/>
          <w:sz w:val="20"/>
        </w:rPr>
      </w:pPr>
      <w:r>
        <w:rPr>
          <w:rFonts w:ascii="Arial" w:hAnsi="Arial"/>
          <w:b/>
          <w:i/>
          <w:sz w:val="20"/>
        </w:rPr>
        <w:t xml:space="preserve">*Note: A securities rating is not a recommendation to buy, sell or hold securities and may be subject to revision or withdrawal at any time. </w:t>
      </w:r>
    </w:p>
    <w:p>
      <w:pPr>
        <w:pStyle w:val="TextBody"/>
        <w:bidi w:val="0"/>
        <w:spacing w:before="240" w:after="0"/>
        <w:jc w:val="left"/>
        <w:rPr>
          <w:rFonts w:ascii="Arial" w:hAnsi="Arial"/>
          <w:b/>
          <w:sz w:val="20"/>
        </w:rPr>
      </w:pPr>
      <w:r>
        <w:rPr>
          <w:rFonts w:ascii="Arial" w:hAnsi="Arial"/>
          <w:b/>
          <w:sz w:val="20"/>
        </w:rPr>
        <w:t xml:space="preserve">**Settlement and Sale of the Notes </w:t>
      </w:r>
    </w:p>
    <w:p>
      <w:pPr>
        <w:pStyle w:val="TextBody"/>
        <w:bidi w:val="0"/>
        <w:spacing w:before="240" w:after="0"/>
        <w:jc w:val="left"/>
        <w:rPr>
          <w:rFonts w:ascii="Arial" w:hAnsi="Arial"/>
          <w:sz w:val="20"/>
        </w:rPr>
      </w:pPr>
      <w:r>
        <w:rPr>
          <w:rFonts w:ascii="Arial" w:hAnsi="Arial"/>
          <w:sz w:val="20"/>
        </w:rPr>
        <w:t xml:space="preserve">The Issuer expects to deliver the Notes against payment for the Notes on or about May 7, 2026, which will be the fifth business day following April 30, 2026, the date of the pricing of the Notes. Since trades in the secondary market generally settle in one business day, purchasers who wish to trade Notes on any date prior to the business day before delivery will be required, by virtue of the fact that the Notes initially will settle in T+5, to specify alternative settlement arrangements to prevent a failed settlement. </w:t>
      </w:r>
    </w:p>
    <w:p>
      <w:pPr>
        <w:pStyle w:val="TextBody"/>
        <w:bidi w:val="0"/>
        <w:spacing w:before="240" w:after="0"/>
        <w:jc w:val="left"/>
        <w:rPr>
          <w:rFonts w:ascii="Arial" w:hAnsi="Arial"/>
          <w:b/>
          <w:sz w:val="20"/>
        </w:rPr>
      </w:pPr>
      <w:r>
        <w:rPr>
          <w:rFonts w:ascii="Arial" w:hAnsi="Arial"/>
          <w:b/>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you can request a copy of the prospectus by contacting J.P. Morgan Securities LLC collect at 1-212-834-4533, HSBC Securities (USA) Inc. toll-free at 1-866-811-8049 or Standard Chartered Bank at +44 2078 855739. </w:t>
      </w:r>
    </w:p>
    <w:p>
      <w:pPr>
        <w:pStyle w:val="TextBody"/>
        <w:bidi w:val="0"/>
        <w:spacing w:before="240" w:after="0"/>
        <w:jc w:val="left"/>
        <w:rPr>
          <w:rFonts w:ascii="Arial" w:hAnsi="Arial"/>
          <w:b/>
          <w:i/>
          <w:sz w:val="20"/>
        </w:rPr>
      </w:pPr>
      <w:r>
        <w:rPr>
          <w:rFonts w:ascii="Arial" w:hAnsi="Arial"/>
          <w:b/>
          <w:i/>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OR ANOTHER EMAIL SYSTEM.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569</Words>
  <Characters>2998</Characters>
  <CharactersWithSpaces>3614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