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814294d425.htm"/>
      <w:bookmarkStart w:id="1" w:name="ksd814294d425"/>
      <w:bookmarkEnd w:id="0"/>
      <w:bookmarkEnd w:id="1"/>
      <w:r>
        <w:rPr>
          <w:rFonts w:ascii="Times New Roman" w:hAnsi="Times New Roman"/>
          <w:sz w:val="20"/>
        </w:rPr>
        <w:t xml:space="preserve">Filed by Schlumberger N.V.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ChampionX Corporation </w:t>
      </w:r>
    </w:p>
    <w:p>
      <w:pPr>
        <w:pStyle w:val="TextBody"/>
        <w:bidi w:val="0"/>
        <w:spacing w:before="0" w:after="0"/>
        <w:jc w:val="right"/>
        <w:rPr>
          <w:rFonts w:ascii="Times New Roman" w:hAnsi="Times New Roman"/>
          <w:sz w:val="20"/>
        </w:rPr>
      </w:pPr>
      <w:r>
        <w:rPr>
          <w:rFonts w:ascii="Times New Roman" w:hAnsi="Times New Roman"/>
          <w:sz w:val="20"/>
        </w:rPr>
        <w:t xml:space="preserve">Filers SEC File No.: 001-38441 </w:t>
      </w:r>
    </w:p>
    <w:p>
      <w:pPr>
        <w:pStyle w:val="TextBody"/>
        <w:bidi w:val="0"/>
        <w:spacing w:before="0" w:after="0"/>
        <w:jc w:val="right"/>
        <w:rPr>
          <w:rFonts w:ascii="Times New Roman" w:hAnsi="Times New Roman"/>
          <w:sz w:val="20"/>
        </w:rPr>
      </w:pPr>
      <w:r>
        <w:rPr>
          <w:rFonts w:ascii="Times New Roman" w:hAnsi="Times New Roman"/>
          <w:sz w:val="20"/>
        </w:rPr>
        <w:t xml:space="preserve">Date: April 3, 2024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SLB to Acquire ChampionX in an All-Stock Transaction April 2, 2024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Disclaimer Forward-Looking Statements This communication contains forward-looking statements within the meaning of the Private Securities Litigation Reform Act of 1995, Section 27A of the Securities Act of 1933, as amended, and Section 21E of the Exchange Act of 1934, as amended. 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Disclaimer Additional Information about the Transaction and Where to Find It 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Participants in the Solicitation 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(https://www.sec.gov/ix?doc=/Archives/edgar/data/0000087347/000095017024006884/slb-20231231.htm),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(https://www.sec.gov/ix?doc=/Archives/edgar/data/1723089/000172308923000073/championx-20230327.htm),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 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Announcement Highlights 1 Acquisition strengthens SLB as a leader in production space, with world-class production chemicals and artificial lift technologies 2 Combined portfolios will drive customer value through deep industry expertise and digital integration, as well as enhanced equipment life and production optimization 3 ChampionX shareholders to receive 0.735 SLB shares for each share of ChampionX 4 SLB expects synergies to reach approximately $400 million on an annualized basis within three years 5 SLB will increase its total returns to shareholders to a target of $3 billion in 2024; sets target for returns to shareholders of $4B in 2025 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Production market is important to SLBs core growth strategy Production chemicals is asset light with strong cash generation and resilient across industry cycles, driven by growing OpEx spending Digital leadership, domain expertise and integration capabilities can increase production and longevity of assets, structurally lowering cost and carbon As assets age, chemical intensity and usage will accelerate and additional lift solutions will be required throughout the life of the well Upstream E&amp;P market spend CapEx spend, % OpEx spend, % 45% 54% 63% 55% 46% 37% 2010 2023 2040 Source: Rystad Ucube (March 2024) OpEx excludes SG&amp;A and taxes 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ChampionXs product portfolio and geographical footprint are complementary to SLB Revenue by Segment FY 2023 3% Reservoir Chemicals 6% Drilling Technologies 64% Production Chemicals Technologies 27% Production and Automation Technologies A production chemistry industry leader with associated manufacturing capabilities Comprehensive artificial lift, drill bit cutters, and emissions monitoring offerings Strong North America presence that is complementary to the existing SLB business Broad digital offering with a large installed base of connected production equipment 7,200+ Employees 60+ Countries 40+ Manufacturing Locations 400+ Scientists and Technologists 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Combined, we will be a global leader in production Strengthening the Core Acquisition strengthens SLB as a leader in production space, with world-class production chemicals and artificial lift technologies Expanding our global offering Expands market access internationally leveraging SLBs global reach, strengthens position in North America Creating efficiencies through integration Life of field solutions create value at scale by addressing challenges in subsurface, wellbore, and surface processing Delivering value through digital Combines production optimization, asset integrity, and emissions monitoring technologies to lower the cost and carbon producing assets 2023 Production Chemicals Revenue CHX SLB 2023 Artificial Lift Revenue SLB CHX Source: Spears OMR Jan-2024, SLB Actuals 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Key takeaways for managers Accelerates SLBs strategy Affirms commitment to the Core Complements SLB portfolio and footprint Strengthens SLB as a leader in production Creates value for shareholders Reminder: Business as usual Slides and FAQ will be shared following this call 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382000" cy="4714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382000" cy="471487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Next Steps Timeline Transaction is currently anticipated to close before the end of 2024, subject to closing conditions Communications Guidelines Since this acquisition involves another publicly traded U.S. company, we must adhere to certain regulatory and compliance requirements Review with corporate communications and/or legal all communications (internal or external) that relate to the proposed acquisition Stick to provided FAQs and presentations (including all disclaimers) Business as Usual SLB an ChampionX continue to function as independent companies Continue to stay focused on daily responsibilities Integration Planning ChampionX and SLB will work together to plan the post-closing organization and how best to bring our two companies together Additional information on those plans will be communicated in the future, subject to applicable limitations Committed to keeping you informed 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2679</Words>
  <Characters>14910</Characters>
  <CharactersWithSpaces>17360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