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119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11937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100" w:type="dxa"/>
            <w:vAlign w:val="bottom"/>
            <w:gridSpan w:val="3"/>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Merad Abdellah</w:t>
              </w:r>
            </w:hyperlink>
          </w:p>
        </w:tc>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3"/>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SCHLUMBERGER LIMITED/NV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SLB</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2100" w:type="dxa"/>
            <w:vAlign w:val="bottom"/>
            <w:gridSpan w:val="3"/>
            <w:vMerge w:val="continue"/>
          </w:tcPr>
          <w:p>
            <w:pPr>
              <w:spacing w:after="0"/>
              <w:rPr>
                <w:sz w:val="5"/>
                <w:szCs w:val="5"/>
                <w:color w:val="auto"/>
              </w:rPr>
            </w:pPr>
          </w:p>
        </w:tc>
        <w:tc>
          <w:tcPr>
            <w:tcW w:w="17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940" w:type="dxa"/>
            <w:vAlign w:val="bottom"/>
            <w:tcBorders>
              <w:top w:val="single" w:sz="8" w:color="0000EE"/>
            </w:tcBorders>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820" w:type="dxa"/>
            <w:vAlign w:val="bottom"/>
            <w:tcBorders>
              <w:top w:val="single" w:sz="8" w:color="0000EE"/>
              <w:bottom w:val="single" w:sz="8" w:color="9A9A9A"/>
            </w:tcBorders>
          </w:tcPr>
          <w:p>
            <w:pPr>
              <w:spacing w:after="0"/>
              <w:rPr>
                <w:sz w:val="18"/>
                <w:szCs w:val="18"/>
                <w:color w:val="auto"/>
              </w:rPr>
            </w:pPr>
          </w:p>
        </w:tc>
        <w:tc>
          <w:tcPr>
            <w:tcW w:w="600" w:type="dxa"/>
            <w:vAlign w:val="bottom"/>
            <w:tcBorders>
              <w:top w:val="single" w:sz="8" w:color="0000EE"/>
              <w:bottom w:val="single" w:sz="8" w:color="9A9A9A"/>
            </w:tcBorders>
          </w:tcPr>
          <w:p>
            <w:pPr>
              <w:spacing w:after="0"/>
              <w:rPr>
                <w:sz w:val="18"/>
                <w:szCs w:val="18"/>
                <w:color w:val="auto"/>
              </w:rPr>
            </w:pPr>
          </w:p>
        </w:tc>
        <w:tc>
          <w:tcPr>
            <w:tcW w:w="680" w:type="dxa"/>
            <w:vAlign w:val="bottom"/>
            <w:tcBorders>
              <w:bottom w:val="single" w:sz="8" w:color="9A9A9A"/>
            </w:tcBorders>
          </w:tcPr>
          <w:p>
            <w:pPr>
              <w:spacing w:after="0"/>
              <w:rPr>
                <w:sz w:val="18"/>
                <w:szCs w:val="18"/>
                <w:color w:val="auto"/>
              </w:rPr>
            </w:pPr>
          </w:p>
        </w:tc>
        <w:tc>
          <w:tcPr>
            <w:tcW w:w="1700" w:type="dxa"/>
            <w:vAlign w:val="bottom"/>
            <w:tcBorders>
              <w:bottom w:val="single" w:sz="8" w:color="9A9A9A"/>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820" w:type="dxa"/>
            <w:vAlign w:val="bottom"/>
            <w:tcBorders>
              <w:top w:val="single" w:sz="8" w:color="EEEEEE"/>
            </w:tcBorders>
            <w:vMerge w:val="restart"/>
          </w:tcPr>
          <w:p>
            <w:pPr>
              <w:spacing w:after="0"/>
              <w:rPr>
                <w:sz w:val="20"/>
                <w:szCs w:val="20"/>
                <w:color w:val="auto"/>
              </w:rPr>
            </w:pPr>
            <w:r>
              <w:rPr>
                <w:rFonts w:ascii="Arial" w:cs="Arial" w:eastAsia="Arial" w:hAnsi="Arial"/>
                <w:sz w:val="14"/>
                <w:szCs w:val="14"/>
                <w:color w:val="auto"/>
              </w:rPr>
              <w:t>(Last)</w:t>
            </w:r>
          </w:p>
        </w:tc>
        <w:tc>
          <w:tcPr>
            <w:tcW w:w="1280" w:type="dxa"/>
            <w:vAlign w:val="bottom"/>
            <w:tcBorders>
              <w:top w:val="single" w:sz="8" w:color="EEEEEE"/>
            </w:tcBorders>
            <w:gridSpan w:val="2"/>
            <w:vMerge w:val="restart"/>
          </w:tcPr>
          <w:p>
            <w:pPr>
              <w:ind w:left="460"/>
              <w:spacing w:after="0"/>
              <w:rPr>
                <w:sz w:val="20"/>
                <w:szCs w:val="20"/>
                <w:color w:val="auto"/>
              </w:rPr>
            </w:pPr>
            <w:r>
              <w:rPr>
                <w:rFonts w:ascii="Arial" w:cs="Arial" w:eastAsia="Arial" w:hAnsi="Arial"/>
                <w:sz w:val="14"/>
                <w:szCs w:val="14"/>
                <w:color w:val="auto"/>
              </w:rPr>
              <w:t>(First)</w:t>
            </w:r>
          </w:p>
        </w:tc>
        <w:tc>
          <w:tcPr>
            <w:tcW w:w="1700" w:type="dxa"/>
            <w:vAlign w:val="bottom"/>
            <w:tcBorders>
              <w:top w:val="single" w:sz="8" w:color="EEEEEE"/>
            </w:tcBorders>
            <w:vMerge w:val="restart"/>
          </w:tcPr>
          <w:p>
            <w:pPr>
              <w:ind w:left="44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5"/>
                <w:szCs w:val="15"/>
                <w:color w:val="auto"/>
              </w:rPr>
            </w:pPr>
          </w:p>
        </w:tc>
        <w:tc>
          <w:tcPr>
            <w:tcW w:w="200" w:type="dxa"/>
            <w:vAlign w:val="bottom"/>
            <w:tcBorders>
              <w:top w:val="single" w:sz="8" w:color="2C2C2C"/>
            </w:tcBorders>
            <w:gridSpan w:val="2"/>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tcBorders>
              <w:top w:val="single" w:sz="8" w:color="2C2C2C"/>
            </w:tcBorders>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1700" w:type="dxa"/>
            <w:vAlign w:val="bottom"/>
            <w:vMerge w:val="continue"/>
          </w:tcPr>
          <w:p>
            <w:pPr>
              <w:spacing w:after="0"/>
              <w:rPr>
                <w:sz w:val="8"/>
                <w:szCs w:val="8"/>
                <w:color w:val="auto"/>
              </w:rPr>
            </w:pPr>
          </w:p>
        </w:tc>
        <w:tc>
          <w:tcPr>
            <w:tcW w:w="3220" w:type="dxa"/>
            <w:vAlign w:val="bottom"/>
            <w:gridSpan w:val="4"/>
            <w:vMerge w:val="restart"/>
          </w:tcPr>
          <w:p>
            <w:pPr>
              <w:ind w:left="160"/>
              <w:spacing w:after="0" w:line="176" w:lineRule="exact"/>
              <w:rPr>
                <w:sz w:val="20"/>
                <w:szCs w:val="20"/>
                <w:color w:val="auto"/>
              </w:rPr>
            </w:pPr>
            <w:r>
              <w:rPr>
                <w:rFonts w:ascii="Arial" w:cs="Arial" w:eastAsia="Arial" w:hAnsi="Arial"/>
                <w:sz w:val="18"/>
                <w:szCs w:val="18"/>
                <w:color w:val="0000FF"/>
              </w:rPr>
              <w:t>01/17/2020</w:t>
            </w: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80" w:type="dxa"/>
            <w:vAlign w:val="bottom"/>
          </w:tcPr>
          <w:p>
            <w:pPr>
              <w:spacing w:after="0"/>
              <w:rPr>
                <w:sz w:val="6"/>
                <w:szCs w:val="6"/>
                <w:color w:val="auto"/>
              </w:rPr>
            </w:pPr>
          </w:p>
        </w:tc>
        <w:tc>
          <w:tcPr>
            <w:tcW w:w="1700" w:type="dxa"/>
            <w:vAlign w:val="bottom"/>
          </w:tcPr>
          <w:p>
            <w:pPr>
              <w:spacing w:after="0"/>
              <w:rPr>
                <w:sz w:val="6"/>
                <w:szCs w:val="6"/>
                <w:color w:val="auto"/>
              </w:rPr>
            </w:pPr>
          </w:p>
        </w:tc>
        <w:tc>
          <w:tcPr>
            <w:tcW w:w="3220" w:type="dxa"/>
            <w:vAlign w:val="bottom"/>
            <w:gridSpan w:val="4"/>
            <w:vMerge w:val="continue"/>
          </w:tcPr>
          <w:p>
            <w:pPr>
              <w:spacing w:after="0"/>
              <w:rPr>
                <w:sz w:val="6"/>
                <w:szCs w:val="6"/>
                <w:color w:val="auto"/>
              </w:rPr>
            </w:pP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8"/>
          <w:szCs w:val="18"/>
          <w:color w:val="0000FF"/>
        </w:rPr>
        <w:t>5599 SAN FELIPE, 17TH FLOOR</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0"/>
          <w:szCs w:val="20"/>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jc w:val="center"/>
        <w:ind w:right="77"/>
        <w:spacing w:after="0"/>
        <w:rPr>
          <w:sz w:val="20"/>
          <w:szCs w:val="20"/>
          <w:color w:val="auto"/>
        </w:rPr>
      </w:pPr>
      <w:r>
        <w:rPr>
          <w:rFonts w:ascii="Arial" w:cs="Arial" w:eastAsia="Arial" w:hAnsi="Arial"/>
          <w:sz w:val="18"/>
          <w:szCs w:val="18"/>
          <w:color w:val="0000FF"/>
        </w:rPr>
        <w:t>EVP, Performance Management</w:t>
      </w:r>
    </w:p>
    <w:p>
      <w:pPr>
        <w:spacing w:after="0" w:line="315" w:lineRule="exact"/>
        <w:rPr>
          <w:sz w:val="20"/>
          <w:szCs w:val="20"/>
          <w:color w:val="auto"/>
        </w:rPr>
      </w:pPr>
    </w:p>
    <w:p>
      <w:pPr>
        <w:sectPr>
          <w:pgSz w:w="11900" w:h="16838" w:orient="portrait"/>
          <w:cols w:equalWidth="0" w:num="2">
            <w:col w:w="7980" w:space="77"/>
            <w:col w:w="3363"/>
          </w:cols>
          <w:pgMar w:left="240" w:top="226" w:right="239" w:bottom="1440" w:gutter="0" w:footer="0" w:header="0"/>
          <w:type w:val="continuous"/>
        </w:sectPr>
      </w:pPr>
    </w:p>
    <w:p>
      <w:pPr>
        <w:spacing w:after="0" w:line="174"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HOUSTON</w:t>
            </w:r>
          </w:p>
        </w:tc>
        <w:tc>
          <w:tcPr>
            <w:tcW w:w="1060" w:type="dxa"/>
            <w:vAlign w:val="bottom"/>
          </w:tcPr>
          <w:p>
            <w:pPr>
              <w:ind w:left="2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77056</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480" w:type="dxa"/>
            <w:vAlign w:val="bottom"/>
          </w:tcPr>
          <w:p>
            <w:pPr>
              <w:spacing w:after="0"/>
              <w:rPr>
                <w:sz w:val="14"/>
                <w:szCs w:val="14"/>
                <w:color w:val="auto"/>
              </w:rPr>
            </w:pP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6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336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6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18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18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89"/>
              </w:rPr>
              <w:t>Common Stock, $0.01 Par Value Per Share</w:t>
            </w: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8"/>
              </w:rPr>
              <w:t>01/17/2020</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80" w:type="dxa"/>
            <w:vAlign w:val="bottom"/>
            <w:tcBorders>
              <w:bottom w:val="single" w:sz="8" w:color="2C2C2C"/>
            </w:tcBorders>
          </w:tcPr>
          <w:p>
            <w:pPr>
              <w:jc w:val="center"/>
              <w:ind w:left="69"/>
              <w:spacing w:after="0"/>
              <w:rPr>
                <w:sz w:val="20"/>
                <w:szCs w:val="20"/>
                <w:color w:val="auto"/>
              </w:rPr>
            </w:pPr>
            <w:r>
              <w:rPr>
                <w:rFonts w:ascii="Arial" w:cs="Arial" w:eastAsia="Arial" w:hAnsi="Arial"/>
                <w:sz w:val="18"/>
                <w:szCs w:val="18"/>
                <w:color w:val="0000FF"/>
                <w:w w:val="82"/>
              </w:rPr>
              <w:t>6,218</w:t>
            </w:r>
            <w:r>
              <w:rPr>
                <w:rFonts w:ascii="Arial" w:cs="Arial" w:eastAsia="Arial" w:hAnsi="Arial"/>
                <w:sz w:val="22"/>
                <w:szCs w:val="22"/>
                <w:color w:val="008000"/>
                <w:w w:val="82"/>
                <w:vertAlign w:val="superscript"/>
              </w:rPr>
              <w:t>(1)</w:t>
            </w:r>
          </w:p>
        </w:tc>
        <w:tc>
          <w:tcPr>
            <w:tcW w:w="44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w w:val="99"/>
              </w:rPr>
              <w:t>A</w:t>
            </w:r>
          </w:p>
        </w:tc>
        <w:tc>
          <w:tcPr>
            <w:tcW w:w="2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2"/>
          </w:tcPr>
          <w:p>
            <w:pPr>
              <w:jc w:val="center"/>
              <w:ind w:left="159"/>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1500" w:type="dxa"/>
            <w:vAlign w:val="bottom"/>
            <w:tcBorders>
              <w:bottom w:val="single" w:sz="8" w:color="2C2C2C"/>
            </w:tcBorders>
            <w:gridSpan w:val="3"/>
          </w:tcPr>
          <w:p>
            <w:pPr>
              <w:jc w:val="center"/>
              <w:ind w:left="134"/>
              <w:spacing w:after="0"/>
              <w:rPr>
                <w:sz w:val="20"/>
                <w:szCs w:val="20"/>
                <w:color w:val="auto"/>
              </w:rPr>
            </w:pPr>
            <w:r>
              <w:rPr>
                <w:rFonts w:ascii="Arial" w:cs="Arial" w:eastAsia="Arial" w:hAnsi="Arial"/>
                <w:sz w:val="18"/>
                <w:szCs w:val="18"/>
                <w:color w:val="0000FF"/>
                <w:w w:val="84"/>
              </w:rPr>
              <w:t>18,934</w:t>
            </w:r>
            <w:r>
              <w:rPr>
                <w:rFonts w:ascii="Arial" w:cs="Arial" w:eastAsia="Arial" w:hAnsi="Arial"/>
                <w:sz w:val="22"/>
                <w:szCs w:val="22"/>
                <w:color w:val="008000"/>
                <w:w w:val="84"/>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18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89"/>
              </w:rPr>
              <w:t>Common Stock, $0.01 Par Value Per Share</w:t>
            </w: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8"/>
              </w:rPr>
              <w:t>01/17/2020</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80" w:type="dxa"/>
            <w:vAlign w:val="bottom"/>
            <w:tcBorders>
              <w:bottom w:val="single" w:sz="8" w:color="2C2C2C"/>
            </w:tcBorders>
          </w:tcPr>
          <w:p>
            <w:pPr>
              <w:jc w:val="center"/>
              <w:ind w:left="49"/>
              <w:spacing w:after="0"/>
              <w:rPr>
                <w:sz w:val="20"/>
                <w:szCs w:val="20"/>
                <w:color w:val="auto"/>
              </w:rPr>
            </w:pPr>
            <w:r>
              <w:rPr>
                <w:rFonts w:ascii="Arial" w:cs="Arial" w:eastAsia="Arial" w:hAnsi="Arial"/>
                <w:sz w:val="18"/>
                <w:szCs w:val="18"/>
                <w:color w:val="0000FF"/>
                <w:w w:val="84"/>
              </w:rPr>
              <w:t>54,750</w:t>
            </w:r>
            <w:r>
              <w:rPr>
                <w:rFonts w:ascii="Arial" w:cs="Arial" w:eastAsia="Arial" w:hAnsi="Arial"/>
                <w:sz w:val="22"/>
                <w:szCs w:val="22"/>
                <w:color w:val="008000"/>
                <w:w w:val="84"/>
                <w:vertAlign w:val="superscript"/>
              </w:rPr>
              <w:t>(3)</w:t>
            </w:r>
          </w:p>
        </w:tc>
        <w:tc>
          <w:tcPr>
            <w:tcW w:w="44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w w:val="99"/>
              </w:rPr>
              <w:t>A</w:t>
            </w:r>
          </w:p>
        </w:tc>
        <w:tc>
          <w:tcPr>
            <w:tcW w:w="2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2"/>
          </w:tcPr>
          <w:p>
            <w:pPr>
              <w:jc w:val="center"/>
              <w:ind w:left="159"/>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2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center"/>
              <w:ind w:right="314"/>
              <w:spacing w:after="0"/>
              <w:rPr>
                <w:sz w:val="20"/>
                <w:szCs w:val="20"/>
                <w:color w:val="auto"/>
              </w:rPr>
            </w:pPr>
            <w:r>
              <w:rPr>
                <w:rFonts w:ascii="Arial" w:cs="Arial" w:eastAsia="Arial" w:hAnsi="Arial"/>
                <w:sz w:val="18"/>
                <w:szCs w:val="18"/>
                <w:color w:val="0000FF"/>
                <w:w w:val="87"/>
              </w:rPr>
              <w:t>73,684</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180" w:type="dxa"/>
            <w:vAlign w:val="bottom"/>
            <w:gridSpan w:val="4"/>
          </w:tcPr>
          <w:p>
            <w:pPr>
              <w:ind w:left="60"/>
              <w:spacing w:after="0"/>
              <w:rPr>
                <w:sz w:val="20"/>
                <w:szCs w:val="20"/>
                <w:color w:val="auto"/>
              </w:rPr>
            </w:pPr>
            <w:r>
              <w:rPr>
                <w:rFonts w:ascii="Arial" w:cs="Arial" w:eastAsia="Arial" w:hAnsi="Arial"/>
                <w:sz w:val="18"/>
                <w:szCs w:val="18"/>
                <w:color w:val="0000FF"/>
                <w:w w:val="89"/>
              </w:rPr>
              <w:t>Common Stock, $0.01 Par Value Per Share</w:t>
            </w:r>
          </w:p>
        </w:tc>
        <w:tc>
          <w:tcPr>
            <w:tcW w:w="1260" w:type="dxa"/>
            <w:vAlign w:val="bottom"/>
            <w:gridSpan w:val="2"/>
          </w:tcPr>
          <w:p>
            <w:pPr>
              <w:jc w:val="center"/>
              <w:spacing w:after="0"/>
              <w:rPr>
                <w:sz w:val="20"/>
                <w:szCs w:val="20"/>
                <w:color w:val="auto"/>
              </w:rPr>
            </w:pPr>
            <w:r>
              <w:rPr>
                <w:rFonts w:ascii="Arial" w:cs="Arial" w:eastAsia="Arial" w:hAnsi="Arial"/>
                <w:sz w:val="18"/>
                <w:szCs w:val="18"/>
                <w:color w:val="0000FF"/>
                <w:w w:val="88"/>
              </w:rPr>
              <w:t>01/18/2020</w:t>
            </w: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ind w:left="200"/>
              <w:spacing w:after="0"/>
              <w:rPr>
                <w:sz w:val="20"/>
                <w:szCs w:val="20"/>
                <w:color w:val="auto"/>
              </w:rPr>
            </w:pPr>
            <w:r>
              <w:rPr>
                <w:rFonts w:ascii="Arial" w:cs="Arial" w:eastAsia="Arial" w:hAnsi="Arial"/>
                <w:sz w:val="14"/>
                <w:szCs w:val="14"/>
                <w:color w:val="0000FF"/>
              </w:rPr>
              <w:t>F</w:t>
            </w:r>
          </w:p>
        </w:tc>
        <w:tc>
          <w:tcPr>
            <w:tcW w:w="780" w:type="dxa"/>
            <w:vAlign w:val="bottom"/>
          </w:tcPr>
          <w:p>
            <w:pPr>
              <w:jc w:val="center"/>
              <w:ind w:left="69"/>
              <w:spacing w:after="0"/>
              <w:rPr>
                <w:sz w:val="20"/>
                <w:szCs w:val="20"/>
                <w:color w:val="auto"/>
              </w:rPr>
            </w:pPr>
            <w:r>
              <w:rPr>
                <w:rFonts w:ascii="Arial" w:cs="Arial" w:eastAsia="Arial" w:hAnsi="Arial"/>
                <w:sz w:val="18"/>
                <w:szCs w:val="18"/>
                <w:color w:val="0000FF"/>
                <w:w w:val="88"/>
              </w:rPr>
              <w:t>4,531</w:t>
            </w:r>
          </w:p>
        </w:tc>
        <w:tc>
          <w:tcPr>
            <w:tcW w:w="440" w:type="dxa"/>
            <w:vAlign w:val="bottom"/>
          </w:tcPr>
          <w:p>
            <w:pPr>
              <w:ind w:left="300"/>
              <w:spacing w:after="0"/>
              <w:rPr>
                <w:sz w:val="20"/>
                <w:szCs w:val="20"/>
                <w:color w:val="auto"/>
              </w:rPr>
            </w:pPr>
            <w:r>
              <w:rPr>
                <w:rFonts w:ascii="Arial" w:cs="Arial" w:eastAsia="Arial" w:hAnsi="Arial"/>
                <w:sz w:val="18"/>
                <w:szCs w:val="18"/>
                <w:color w:val="0000FF"/>
                <w:w w:val="91"/>
              </w:rPr>
              <w:t>D</w:t>
            </w:r>
          </w:p>
        </w:tc>
        <w:tc>
          <w:tcPr>
            <w:tcW w:w="220" w:type="dxa"/>
            <w:vAlign w:val="bottom"/>
          </w:tcPr>
          <w:p>
            <w:pPr>
              <w:spacing w:after="0"/>
              <w:rPr>
                <w:sz w:val="23"/>
                <w:szCs w:val="23"/>
                <w:color w:val="auto"/>
              </w:rPr>
            </w:pPr>
          </w:p>
        </w:tc>
        <w:tc>
          <w:tcPr>
            <w:tcW w:w="680" w:type="dxa"/>
            <w:vAlign w:val="bottom"/>
            <w:gridSpan w:val="3"/>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39.075</w:t>
            </w:r>
          </w:p>
        </w:tc>
        <w:tc>
          <w:tcPr>
            <w:tcW w:w="340" w:type="dxa"/>
            <w:vAlign w:val="bottom"/>
          </w:tcPr>
          <w:p>
            <w:pPr>
              <w:spacing w:after="0"/>
              <w:rPr>
                <w:sz w:val="23"/>
                <w:szCs w:val="23"/>
                <w:color w:val="auto"/>
              </w:rPr>
            </w:pPr>
          </w:p>
        </w:tc>
        <w:tc>
          <w:tcPr>
            <w:tcW w:w="900" w:type="dxa"/>
            <w:vAlign w:val="bottom"/>
          </w:tcPr>
          <w:p>
            <w:pPr>
              <w:jc w:val="center"/>
              <w:ind w:right="314"/>
              <w:spacing w:after="0"/>
              <w:rPr>
                <w:sz w:val="20"/>
                <w:szCs w:val="20"/>
                <w:color w:val="auto"/>
              </w:rPr>
            </w:pPr>
            <w:r>
              <w:rPr>
                <w:rFonts w:ascii="Arial" w:cs="Arial" w:eastAsia="Arial" w:hAnsi="Arial"/>
                <w:sz w:val="18"/>
                <w:szCs w:val="18"/>
                <w:color w:val="0000FF"/>
                <w:w w:val="87"/>
              </w:rPr>
              <w:t>69,153</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580" w:type="dxa"/>
            <w:vAlign w:val="bottom"/>
            <w:tcBorders>
              <w:bottom w:val="single" w:sz="8" w:color="2C2C2C"/>
            </w:tcBorders>
            <w:gridSpan w:val="11"/>
          </w:tcPr>
          <w:p>
            <w:pPr>
              <w:spacing w:after="0"/>
              <w:rPr>
                <w:sz w:val="8"/>
                <w:szCs w:val="8"/>
                <w:color w:val="auto"/>
              </w:rPr>
            </w:pPr>
          </w:p>
        </w:tc>
        <w:tc>
          <w:tcPr>
            <w:tcW w:w="300" w:type="dxa"/>
            <w:vAlign w:val="bottom"/>
            <w:tcBorders>
              <w:bottom w:val="single" w:sz="8" w:color="2C2C2C"/>
            </w:tcBorders>
            <w:gridSpan w:val="2"/>
          </w:tcPr>
          <w:p>
            <w:pPr>
              <w:spacing w:after="0"/>
              <w:rPr>
                <w:sz w:val="8"/>
                <w:szCs w:val="8"/>
                <w:color w:val="auto"/>
              </w:rPr>
            </w:pPr>
          </w:p>
        </w:tc>
        <w:tc>
          <w:tcPr>
            <w:tcW w:w="124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5"/>
          </w:tcPr>
          <w:p>
            <w:pPr>
              <w:jc w:val="center"/>
              <w:ind w:left="9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0" w:type="dxa"/>
            <w:vAlign w:val="bottom"/>
            <w:gridSpan w:val="10"/>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7. Title and</w:t>
            </w: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of common stock issued to the reporting person on January 17, 2020 upon achievement of the performance criteria and vesting of performance share units granted on January 19, 2017.</w:t>
      </w:r>
    </w:p>
    <w:p>
      <w:pPr>
        <w:spacing w:after="0" w:line="64" w:lineRule="exact"/>
        <w:rPr>
          <w:rFonts w:ascii="Arial" w:cs="Arial" w:eastAsia="Arial" w:hAnsi="Arial"/>
          <w:sz w:val="12"/>
          <w:szCs w:val="12"/>
          <w:color w:val="008000"/>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342 shares for the period ended June 30, 2019, and 312 shares for the period ended December 31, 2019, that were acquired under the Schlumberger discounted stock purchase plan.</w:t>
      </w:r>
    </w:p>
    <w:p>
      <w:pPr>
        <w:spacing w:after="0" w:line="64" w:lineRule="exact"/>
        <w:rPr>
          <w:rFonts w:ascii="Arial" w:cs="Arial" w:eastAsia="Arial" w:hAnsi="Arial"/>
          <w:sz w:val="12"/>
          <w:szCs w:val="12"/>
          <w:color w:val="008000"/>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of restricted common stock issued to the reporting person on January 17, 2020 upon achievement of the performance criteria and vesting of performance share units granted on January 17, 2018.</w:t>
      </w:r>
    </w:p>
    <w:p>
      <w:pPr>
        <w:spacing w:after="0" w:line="51" w:lineRule="exact"/>
        <w:rPr>
          <w:sz w:val="20"/>
          <w:szCs w:val="20"/>
          <w:color w:val="auto"/>
        </w:rPr>
      </w:pPr>
    </w:p>
    <w:tbl>
      <w:tblPr>
        <w:tblLayout w:type="fixed"/>
        <w:tblInd w:w="6860" w:type="dxa"/>
        <w:tblCellMar>
          <w:top w:w="0" w:type="dxa"/>
          <w:left w:w="0" w:type="dxa"/>
          <w:bottom w:w="0" w:type="dxa"/>
          <w:right w:w="0" w:type="dxa"/>
        </w:tblCellMar>
      </w:tblPr>
      <w:tr>
        <w:trPr>
          <w:trHeight w:val="227"/>
        </w:trPr>
        <w:tc>
          <w:tcPr>
            <w:tcW w:w="2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/s/ Saul R. Laureles, Attorney-</w:t>
            </w:r>
          </w:p>
        </w:tc>
        <w:tc>
          <w:tcPr>
            <w:tcW w:w="6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01/22/2020</w:t>
            </w:r>
          </w:p>
        </w:tc>
        <w:tc>
          <w:tcPr>
            <w:tcW w:w="0" w:type="dxa"/>
            <w:vAlign w:val="bottom"/>
          </w:tcPr>
          <w:p>
            <w:pPr>
              <w:spacing w:after="0"/>
              <w:rPr>
                <w:sz w:val="1"/>
                <w:szCs w:val="1"/>
                <w:color w:val="auto"/>
              </w:rPr>
            </w:pPr>
          </w:p>
        </w:tc>
      </w:tr>
      <w:tr>
        <w:trPr>
          <w:trHeight w:val="88"/>
        </w:trPr>
        <w:tc>
          <w:tcPr>
            <w:tcW w:w="22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92116" TargetMode="External"/><Relationship Id="rId13"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2020-01-22T19:39:46Z</dcterms:created>
  <dcterms:modified xsi:type="dcterms:W3CDTF">2020-01-22T19:39:46Z</dcterms:modified>
</cp:coreProperties>
</file>