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9100d425.htm"/>
      <w:bookmarkStart w:id="1" w:name="ksd819100d425"/>
      <w:bookmarkEnd w:id="0"/>
      <w:bookmarkEnd w:id="1"/>
      <w:r>
        <w:rPr>
          <w:rFonts w:ascii="Times New Roman" w:hAnsi="Times New Roman"/>
          <w:sz w:val="20"/>
        </w:rPr>
        <w:t xml:space="preserve">Filed by Schlumberger N.V.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ChampionX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001-38441 </w:t>
      </w:r>
    </w:p>
    <w:p>
      <w:pPr>
        <w:pStyle w:val="TextBody"/>
        <w:bidi w:val="0"/>
        <w:spacing w:before="0" w:after="0"/>
        <w:jc w:val="right"/>
        <w:rPr>
          <w:rFonts w:ascii="Times New Roman" w:hAnsi="Times New Roman"/>
          <w:sz w:val="20"/>
        </w:rPr>
      </w:pPr>
      <w:r>
        <w:rPr>
          <w:rFonts w:ascii="Times New Roman" w:hAnsi="Times New Roman"/>
          <w:sz w:val="20"/>
        </w:rPr>
        <w:t xml:space="preserve">Date: April 3, 2024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ChampionX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 12a6(i)(1)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April 2, 2024, ChampionX Corporation released the following press release.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right"/>
        <w:rPr/>
      </w:pPr>
      <w:r>
        <w:rPr/>
        <w:drawing>
          <wp:inline distT="0" distB="0" distL="0" distR="0">
            <wp:extent cx="130492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914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News Release </w:t>
      </w:r>
    </w:p>
    <w:p>
      <w:pPr>
        <w:pStyle w:val="TextBody"/>
        <w:bidi w:val="0"/>
        <w:spacing w:before="240" w:after="0"/>
        <w:jc w:val="left"/>
        <w:rPr>
          <w:rFonts w:ascii="Times New Roman" w:hAnsi="Times New Roman"/>
          <w:b/>
          <w:sz w:val="20"/>
        </w:rPr>
      </w:pPr>
      <w:r>
        <w:rPr>
          <w:rFonts w:ascii="Times New Roman" w:hAnsi="Times New Roman"/>
          <w:b/>
          <w:sz w:val="20"/>
        </w:rPr>
        <w:t xml:space="preserve">SLB Announces Agreement to Acquire </w:t>
      </w:r>
    </w:p>
    <w:p>
      <w:pPr>
        <w:pStyle w:val="TextBody"/>
        <w:bidi w:val="0"/>
        <w:spacing w:before="0" w:after="0"/>
        <w:jc w:val="left"/>
        <w:rPr>
          <w:rFonts w:ascii="Times New Roman" w:hAnsi="Times New Roman"/>
          <w:b/>
          <w:sz w:val="20"/>
        </w:rPr>
      </w:pPr>
      <w:r>
        <w:rPr>
          <w:rFonts w:ascii="Times New Roman" w:hAnsi="Times New Roman"/>
          <w:b/>
          <w:sz w:val="20"/>
        </w:rPr>
        <w:t xml:space="preserve">ChampionX in an All-Stock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strengthens SLB as a leader in production space, with world-class production chemicals and artificial lift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Combined portfolios will drive customer value through deep industry expertise and digital integration, as well as enhanced equipment life and production optimization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ChampionX shareholders to receive 0.735 SLB shares for each share of ChampionX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pre-tax synergies to reach approximately $400 million within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will increase its total returns to shareholders to a target of $3 billion in 2024; sets target for returns to shareholders of $4 billion in 2025 </w:t>
            </w:r>
          </w:p>
        </w:tc>
      </w:tr>
    </w:tbl>
    <w:p>
      <w:pPr>
        <w:pStyle w:val="TextBody"/>
        <w:bidi w:val="0"/>
        <w:spacing w:before="240" w:after="0"/>
        <w:jc w:val="left"/>
        <w:rPr>
          <w:rFonts w:ascii="Times New Roman" w:hAnsi="Times New Roman"/>
          <w:sz w:val="20"/>
        </w:rPr>
      </w:pPr>
      <w:r>
        <w:rPr>
          <w:rFonts w:ascii="Times New Roman" w:hAnsi="Times New Roman"/>
          <w:b/>
          <w:sz w:val="20"/>
        </w:rPr>
        <w:t>HOUSTON, April 02, 2024</w:t>
      </w:r>
      <w:r>
        <w:rPr>
          <w:rFonts w:ascii="Times New Roman" w:hAnsi="Times New Roman"/>
          <w:sz w:val="20"/>
        </w:rPr>
        <w:t xml:space="preserve">SLB (NYSE: SLB) and ChampionX Corporation (NASDAQ: CHX) today announced a definitive agreement for SLB to purchase ChampionX in an all-stock transaction. The agreement was unanimously approved by the ChampionX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ChampionX shareholders will receive 0.735 shares of SLB common stock in exchange for each ChampionX share. At the closing of the transaction ChampionX shareholders will own approximately 9% of SLBs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SLBs acquisition of ChampionX comes at an important time in the industry. The production phase of oil and gas operations typically comprises the majority of an assets life cycle from completion through decommissioning. This places a premium on service providers ability to help customers address challenges across the entirety of their production system. At the same time, there is growing demand to scale emerging technologies such as AI and autonomous operations across global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customers are seeking to maximize their assets while improving efficiency in the production and reservoir recovery phase of their operations, Olivier Le Peuch, SLBs chief executive officer, said. This presents a significant opportunity for service providers who can partner with customers throughout the entire production lifecycle, offering integrated solutions and delivering differentiated value. The combination of ChampionXs strong production-focused leadership throughout North America and beyond with our own international presence, unmatched technology portfolio, and history of innovation will drive tremendous value for our customers and stakeholders. </w:t>
      </w:r>
    </w:p>
    <w:p>
      <w:pPr>
        <w:pStyle w:val="TextBody"/>
        <w:bidi w:val="0"/>
        <w:spacing w:before="240" w:after="0"/>
        <w:jc w:val="left"/>
        <w:rPr>
          <w:rFonts w:ascii="Times New Roman" w:hAnsi="Times New Roman"/>
          <w:sz w:val="20"/>
        </w:rPr>
      </w:pPr>
      <w:r>
        <w:rPr>
          <w:rFonts w:ascii="Times New Roman" w:hAnsi="Times New Roman"/>
          <w:sz w:val="20"/>
        </w:rPr>
        <w:t xml:space="preserve">Our core strategy remains centered on meeting growing energy demand while accelerating decarbonization and emissions reduction through innovation, scale and digitalization in our core oil and gas business. This acquisition will expand SLBs presence in the less cyclical and growing production and recovery space that is closely aligned with our returns-focused, capital-light strategy, Le Peuch said.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Slb.com/newsroom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Todays announcement marks the start of an exciting next chapter for ChampionX, Soma Somasundaram, president and CEO of ChampionX, said. We have been on a journey to build the best production-focused company in our sector, with a goal of unlocking energy through our differentiated products and technology as well as our strong financial engine. Becoming part of SLB will give us a much broader portfolio and the resources and reach to continue to lead the industry in providing energy to the world in an economically and environmentally sustainable way. Our companies share a vision for the future of energy that leverages technology and innovation to solve our customers most complex problems and better serve the communities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As I look ahead, I am confident that our talented employees will benefit from greater opportunities as part of a larger organization. For our shareholders, the combination provides compelling value creation and the opportunity to share in significant upside from the realization of synergies, including accelerated growth opportunities given the complementary nature of the respective portfolios. I have long admired SLBs focus on technology and innovation, as well as its global reach, and throughout our engagement with them, I have also been impressed with their commitment to preserving and capitalizing on all that has made ChampionX successful. Finally, I want to thank our employees for their continued commitment to our purpose of improving lives, Somasundaram said. </w:t>
      </w:r>
    </w:p>
    <w:p>
      <w:pPr>
        <w:pStyle w:val="TextBody"/>
        <w:bidi w:val="0"/>
        <w:spacing w:before="240" w:after="0"/>
        <w:jc w:val="left"/>
        <w:rPr>
          <w:rFonts w:ascii="Times New Roman" w:hAnsi="Times New Roman"/>
          <w:sz w:val="20"/>
        </w:rPr>
      </w:pPr>
      <w:r>
        <w:rPr>
          <w:rFonts w:ascii="Times New Roman" w:hAnsi="Times New Roman"/>
          <w:sz w:val="20"/>
        </w:rPr>
        <w:t xml:space="preserve">SLB expects to realize annual pretax synergies of approximately $400 million within the first three years post-closing through revenue growth and cost savings. The transaction is subject to ChampionX shareholders approval, regulatory approvals and other customary closing conditions. It is anticipated that the closing of the transaction will occur before the end of 2024. </w:t>
      </w:r>
    </w:p>
    <w:p>
      <w:pPr>
        <w:pStyle w:val="TextBody"/>
        <w:bidi w:val="0"/>
        <w:spacing w:before="240" w:after="0"/>
        <w:jc w:val="left"/>
        <w:rPr>
          <w:rFonts w:ascii="Times New Roman" w:hAnsi="Times New Roman"/>
          <w:sz w:val="20"/>
        </w:rPr>
      </w:pPr>
      <w:r>
        <w:rPr>
          <w:rFonts w:ascii="Times New Roman" w:hAnsi="Times New Roman"/>
          <w:sz w:val="20"/>
        </w:rPr>
        <w:t xml:space="preserve">SLB also announced today that it will return $7 billion to shareholders over the next two years. SLB will increase its 2024 shareholder returns to a target of $3 billion as well as set a target for 2025 shareholder returns of $4 billion. This commitment to our shareholders for 2024 and 2025 highlights our confidence in the value this transaction will create and in our ability to continue generating strong cash flow from our broader portfolio this year and next, Le Peuch said.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SLB will hold a conference call at 8:00AM CDT/9:00AM EDT today, April 2, 2024.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by dialing +1 (866) 207-1041 within North America, or +1 (402) 970-0847 outside North America, and providing the access code 2487174. The conference call will be webcast simultaneously at www.slb.com/newscast on a listen-only basis. A replay of the webcast also will be available at the same website. </w:t>
      </w:r>
    </w:p>
    <w:p>
      <w:pPr>
        <w:pStyle w:val="TextBody"/>
        <w:bidi w:val="0"/>
        <w:spacing w:before="360" w:after="0"/>
        <w:jc w:val="left"/>
        <w:rPr>
          <w:rFonts w:ascii="Times New Roman" w:hAnsi="Times New Roman"/>
          <w:b/>
          <w:sz w:val="20"/>
        </w:rPr>
      </w:pPr>
      <w:r>
        <w:rPr>
          <w:rFonts w:ascii="Times New Roman" w:hAnsi="Times New Roman"/>
          <w:b/>
          <w:sz w:val="20"/>
        </w:rPr>
        <w:t>About SLB</w:t>
      </w:r>
    </w:p>
    <w:p>
      <w:pPr>
        <w:pStyle w:val="TextBody"/>
        <w:bidi w:val="0"/>
        <w:spacing w:before="120" w:after="0"/>
        <w:jc w:val="left"/>
        <w:rPr>
          <w:rFonts w:ascii="Times New Roman" w:hAnsi="Times New Roman"/>
          <w:sz w:val="20"/>
        </w:rPr>
      </w:pPr>
      <w:r>
        <w:rPr>
          <w:rFonts w:ascii="Times New Roman" w:hAnsi="Times New Roman"/>
          <w:sz w:val="20"/>
        </w:rPr>
        <w:t xml:space="preserve">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Slb.com/newsroom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About ChampionX</w:t>
      </w:r>
    </w:p>
    <w:p>
      <w:pPr>
        <w:pStyle w:val="TextBody"/>
        <w:bidi w:val="0"/>
        <w:spacing w:before="120" w:after="0"/>
        <w:jc w:val="left"/>
        <w:rPr>
          <w:rFonts w:ascii="Times New Roman" w:hAnsi="Times New Roman"/>
          <w:sz w:val="20"/>
        </w:rPr>
      </w:pPr>
      <w:r>
        <w:rPr>
          <w:rFonts w:ascii="Times New Roman" w:hAnsi="Times New Roman"/>
          <w:sz w:val="20"/>
        </w:rPr>
        <w:t>ChampionX Corporation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provide enhanced oil and gas production, transportation, and real-time emissions monitoring throughout the lifecycle of a well. To learn more about ChampionX, visit our website at www.championX.com.</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8"/>
        <w:gridCol w:w="120"/>
        <w:gridCol w:w="4917"/>
      </w:tblGrid>
      <w:tr>
        <w:trPr/>
        <w:tc>
          <w:tcPr>
            <w:tcW w:w="51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7" w:type="dxa"/>
            <w:tcBorders/>
            <w:vAlign w:val="center"/>
          </w:tcPr>
          <w:p>
            <w:pPr>
              <w:pStyle w:val="TableContents"/>
              <w:bidi w:val="0"/>
              <w:spacing w:before="0" w:after="283"/>
              <w:jc w:val="left"/>
              <w:rPr>
                <w:sz w:val="4"/>
                <w:szCs w:val="4"/>
              </w:rPr>
            </w:pPr>
            <w:r>
              <w:rPr>
                <w:sz w:val="4"/>
                <w:szCs w:val="4"/>
              </w:rPr>
            </w:r>
          </w:p>
        </w:tc>
      </w:tr>
      <w:tr>
        <w:trPr/>
        <w:tc>
          <w:tcPr>
            <w:tcW w:w="5168" w:type="dxa"/>
            <w:tcBorders/>
          </w:tcPr>
          <w:p>
            <w:pPr>
              <w:pStyle w:val="TableContents"/>
              <w:bidi w:val="0"/>
              <w:spacing w:before="0" w:after="283"/>
              <w:jc w:val="left"/>
              <w:rPr>
                <w:b/>
              </w:rPr>
            </w:pPr>
            <w:r>
              <w:rPr>
                <w:b/>
              </w:rPr>
              <w:t>Media</w:t>
            </w:r>
          </w:p>
        </w:tc>
        <w:tc>
          <w:tcPr>
            <w:tcW w:w="120" w:type="dxa"/>
            <w:tcBorders/>
            <w:vAlign w:val="bottom"/>
          </w:tcPr>
          <w:p>
            <w:pPr>
              <w:pStyle w:val="TableContents"/>
              <w:bidi w:val="0"/>
              <w:spacing w:before="0" w:after="283"/>
              <w:jc w:val="left"/>
              <w:rPr/>
            </w:pPr>
            <w:r>
              <w:rPr/>
              <w:t>  </w:t>
            </w:r>
          </w:p>
        </w:tc>
        <w:tc>
          <w:tcPr>
            <w:tcW w:w="4917" w:type="dxa"/>
            <w:tcBorders/>
          </w:tcPr>
          <w:p>
            <w:pPr>
              <w:pStyle w:val="TableContents"/>
              <w:bidi w:val="0"/>
              <w:spacing w:before="0" w:after="283"/>
              <w:jc w:val="left"/>
              <w:rPr>
                <w:b/>
              </w:rPr>
            </w:pPr>
            <w:r>
              <w:rPr>
                <w:b/>
              </w:rPr>
              <w:t>Investors</w:t>
            </w:r>
          </w:p>
        </w:tc>
      </w:tr>
      <w:tr>
        <w:trPr>
          <w:trHeight w:val="120" w:hRule="atLeast"/>
        </w:trPr>
        <w:tc>
          <w:tcPr>
            <w:tcW w:w="5168" w:type="dxa"/>
            <w:tcBorders/>
            <w:vAlign w:val="center"/>
          </w:tcPr>
          <w:p>
            <w:pPr>
              <w:pStyle w:val="TableContents"/>
              <w:bidi w:val="0"/>
              <w:spacing w:before="0" w:after="283"/>
              <w:jc w:val="left"/>
              <w:rPr>
                <w:sz w:val="4"/>
                <w:szCs w:val="4"/>
              </w:rPr>
            </w:pPr>
            <w:r>
              <w:rPr>
                <w:sz w:val="4"/>
                <w:szCs w:val="4"/>
              </w:rPr>
            </w:r>
          </w:p>
        </w:tc>
        <w:tc>
          <w:tcPr>
            <w:tcW w:w="5037" w:type="dxa"/>
            <w:gridSpan w:val="2"/>
            <w:tcBorders/>
            <w:vAlign w:val="center"/>
          </w:tcPr>
          <w:p>
            <w:pPr>
              <w:pStyle w:val="TableContents"/>
              <w:bidi w:val="0"/>
              <w:spacing w:before="0" w:after="283"/>
              <w:jc w:val="left"/>
              <w:rPr>
                <w:sz w:val="4"/>
                <w:szCs w:val="4"/>
              </w:rPr>
            </w:pPr>
            <w:r>
              <w:rPr>
                <w:sz w:val="4"/>
                <w:szCs w:val="4"/>
              </w:rPr>
            </w:r>
          </w:p>
        </w:tc>
      </w:tr>
      <w:tr>
        <w:trPr/>
        <w:tc>
          <w:tcPr>
            <w:tcW w:w="5168" w:type="dxa"/>
            <w:tcBorders/>
          </w:tcPr>
          <w:p>
            <w:pPr>
              <w:pStyle w:val="TableContents"/>
              <w:bidi w:val="0"/>
              <w:spacing w:before="0" w:after="0"/>
              <w:jc w:val="left"/>
              <w:rPr>
                <w:rFonts w:ascii="Times New Roman" w:hAnsi="Times New Roman"/>
                <w:sz w:val="20"/>
              </w:rPr>
            </w:pPr>
            <w:r>
              <w:rPr>
                <w:rFonts w:ascii="Times New Roman" w:hAnsi="Times New Roman"/>
                <w:sz w:val="20"/>
              </w:rPr>
              <w:t>Josh Byerly  Vice President of Communications</w:t>
            </w:r>
          </w:p>
          <w:p>
            <w:pPr>
              <w:pStyle w:val="TableContents"/>
              <w:bidi w:val="0"/>
              <w:spacing w:before="0" w:after="0"/>
              <w:jc w:val="left"/>
              <w:rPr>
                <w:rFonts w:ascii="Times New Roman" w:hAnsi="Times New Roman"/>
                <w:sz w:val="20"/>
              </w:rPr>
            </w:pPr>
            <w:r>
              <w:rPr>
                <w:rFonts w:ascii="Times New Roman" w:hAnsi="Times New Roman"/>
                <w:sz w:val="20"/>
              </w:rPr>
              <w:t>Moira Duff  Director of External Communications</w:t>
            </w:r>
          </w:p>
          <w:p>
            <w:pPr>
              <w:pStyle w:val="TableContents"/>
              <w:bidi w:val="0"/>
              <w:spacing w:before="0" w:after="20"/>
              <w:jc w:val="left"/>
              <w:rPr>
                <w:rFonts w:ascii="Times New Roman" w:hAnsi="Times New Roman"/>
                <w:sz w:val="20"/>
              </w:rPr>
            </w:pPr>
            <w:r>
              <w:rPr>
                <w:rFonts w:ascii="Times New Roman" w:hAnsi="Times New Roman"/>
                <w:sz w:val="20"/>
              </w:rPr>
              <w:t xml:space="preserve">SLB </w:t>
              <w:br/>
              <w:t xml:space="preserve">Tel: +1 (713) 375-3407 </w:t>
              <w:br/>
              <w:t>media@slb.com</w:t>
            </w:r>
          </w:p>
        </w:tc>
        <w:tc>
          <w:tcPr>
            <w:tcW w:w="120" w:type="dxa"/>
            <w:tcBorders/>
            <w:vAlign w:val="bottom"/>
          </w:tcPr>
          <w:p>
            <w:pPr>
              <w:pStyle w:val="TableContents"/>
              <w:bidi w:val="0"/>
              <w:spacing w:before="0" w:after="283"/>
              <w:jc w:val="left"/>
              <w:rPr/>
            </w:pPr>
            <w:r>
              <w:rPr/>
              <w:t>  </w:t>
            </w:r>
          </w:p>
        </w:tc>
        <w:tc>
          <w:tcPr>
            <w:tcW w:w="49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James R. McDonald  Senior Vice President of Investor Relations &amp; Industry Affairs </w:t>
              <w:br/>
              <w:t>Joy V. Domingo  Director of Investor Relations</w:t>
            </w:r>
          </w:p>
          <w:p>
            <w:pPr>
              <w:pStyle w:val="TableContents"/>
              <w:bidi w:val="0"/>
              <w:spacing w:before="0" w:after="20"/>
              <w:jc w:val="left"/>
              <w:rPr>
                <w:rFonts w:ascii="Times New Roman" w:hAnsi="Times New Roman"/>
                <w:sz w:val="20"/>
              </w:rPr>
            </w:pPr>
            <w:r>
              <w:rPr>
                <w:rFonts w:ascii="Times New Roman" w:hAnsi="Times New Roman"/>
                <w:sz w:val="20"/>
              </w:rPr>
              <w:t xml:space="preserve">SLB </w:t>
              <w:br/>
              <w:t xml:space="preserve">Tel: +1 (713) 375-3535 </w:t>
              <w:br/>
              <w:t>investor-relations@slb.com</w:t>
            </w:r>
          </w:p>
        </w:tc>
      </w:tr>
      <w:tr>
        <w:trPr>
          <w:trHeight w:val="120" w:hRule="atLeast"/>
        </w:trPr>
        <w:tc>
          <w:tcPr>
            <w:tcW w:w="5168" w:type="dxa"/>
            <w:tcBorders/>
            <w:vAlign w:val="center"/>
          </w:tcPr>
          <w:p>
            <w:pPr>
              <w:pStyle w:val="TableContents"/>
              <w:bidi w:val="0"/>
              <w:spacing w:before="0" w:after="283"/>
              <w:jc w:val="left"/>
              <w:rPr>
                <w:sz w:val="4"/>
                <w:szCs w:val="4"/>
              </w:rPr>
            </w:pPr>
            <w:r>
              <w:rPr>
                <w:sz w:val="4"/>
                <w:szCs w:val="4"/>
              </w:rPr>
            </w:r>
          </w:p>
        </w:tc>
        <w:tc>
          <w:tcPr>
            <w:tcW w:w="5037" w:type="dxa"/>
            <w:gridSpan w:val="2"/>
            <w:tcBorders/>
            <w:vAlign w:val="center"/>
          </w:tcPr>
          <w:p>
            <w:pPr>
              <w:pStyle w:val="TableContents"/>
              <w:bidi w:val="0"/>
              <w:spacing w:before="0" w:after="283"/>
              <w:jc w:val="left"/>
              <w:rPr>
                <w:sz w:val="4"/>
                <w:szCs w:val="4"/>
              </w:rPr>
            </w:pPr>
            <w:r>
              <w:rPr>
                <w:sz w:val="4"/>
                <w:szCs w:val="4"/>
              </w:rPr>
            </w:r>
          </w:p>
        </w:tc>
      </w:tr>
      <w:tr>
        <w:trPr/>
        <w:tc>
          <w:tcPr>
            <w:tcW w:w="5168" w:type="dxa"/>
            <w:tcBorders/>
          </w:tcPr>
          <w:p>
            <w:pPr>
              <w:pStyle w:val="TableContents"/>
              <w:bidi w:val="0"/>
              <w:spacing w:before="0" w:after="0"/>
              <w:jc w:val="left"/>
              <w:rPr>
                <w:rFonts w:ascii="Times New Roman" w:hAnsi="Times New Roman"/>
                <w:sz w:val="20"/>
              </w:rPr>
            </w:pPr>
            <w:r>
              <w:rPr>
                <w:rFonts w:ascii="Times New Roman" w:hAnsi="Times New Roman"/>
                <w:sz w:val="20"/>
              </w:rPr>
              <w:t>John Breed  Manager of External and Community Affairs</w:t>
            </w:r>
          </w:p>
          <w:p>
            <w:pPr>
              <w:pStyle w:val="TableContents"/>
              <w:bidi w:val="0"/>
              <w:spacing w:before="0" w:after="0"/>
              <w:jc w:val="left"/>
              <w:rPr>
                <w:rFonts w:ascii="Times New Roman" w:hAnsi="Times New Roman"/>
                <w:sz w:val="20"/>
              </w:rPr>
            </w:pPr>
            <w:r>
              <w:rPr>
                <w:rFonts w:ascii="Times New Roman" w:hAnsi="Times New Roman"/>
                <w:sz w:val="20"/>
              </w:rPr>
              <w:t>ChampionX</w:t>
            </w:r>
          </w:p>
          <w:p>
            <w:pPr>
              <w:pStyle w:val="TableContents"/>
              <w:bidi w:val="0"/>
              <w:spacing w:before="0" w:after="0"/>
              <w:jc w:val="left"/>
              <w:rPr>
                <w:rFonts w:ascii="Times New Roman" w:hAnsi="Times New Roman"/>
                <w:sz w:val="20"/>
              </w:rPr>
            </w:pPr>
            <w:r>
              <w:rPr>
                <w:rFonts w:ascii="Times New Roman" w:hAnsi="Times New Roman"/>
                <w:sz w:val="20"/>
              </w:rPr>
              <w:t>Tel: +1 (281) 403-5751</w:t>
            </w:r>
          </w:p>
          <w:p>
            <w:pPr>
              <w:pStyle w:val="TableContents"/>
              <w:bidi w:val="0"/>
              <w:spacing w:before="0" w:after="20"/>
              <w:jc w:val="left"/>
              <w:rPr>
                <w:rFonts w:ascii="Times New Roman" w:hAnsi="Times New Roman"/>
                <w:sz w:val="20"/>
              </w:rPr>
            </w:pPr>
            <w:r>
              <w:rPr>
                <w:rFonts w:ascii="Times New Roman" w:hAnsi="Times New Roman"/>
                <w:sz w:val="20"/>
              </w:rPr>
              <w:t>john.breed@championx.com</w:t>
            </w:r>
          </w:p>
        </w:tc>
        <w:tc>
          <w:tcPr>
            <w:tcW w:w="120" w:type="dxa"/>
            <w:tcBorders/>
            <w:vAlign w:val="bottom"/>
          </w:tcPr>
          <w:p>
            <w:pPr>
              <w:pStyle w:val="TableContents"/>
              <w:bidi w:val="0"/>
              <w:spacing w:before="0" w:after="283"/>
              <w:jc w:val="left"/>
              <w:rPr/>
            </w:pPr>
            <w:r>
              <w:rPr/>
              <w:t>  </w:t>
            </w:r>
          </w:p>
        </w:tc>
        <w:tc>
          <w:tcPr>
            <w:tcW w:w="4917" w:type="dxa"/>
            <w:tcBorders/>
          </w:tcPr>
          <w:p>
            <w:pPr>
              <w:pStyle w:val="TableContents"/>
              <w:bidi w:val="0"/>
              <w:spacing w:before="0" w:after="0"/>
              <w:jc w:val="left"/>
              <w:rPr>
                <w:rFonts w:ascii="Times New Roman" w:hAnsi="Times New Roman"/>
                <w:sz w:val="20"/>
              </w:rPr>
            </w:pPr>
            <w:r>
              <w:rPr>
                <w:rFonts w:ascii="Times New Roman" w:hAnsi="Times New Roman"/>
                <w:sz w:val="20"/>
              </w:rPr>
              <w:t>Byron Pope  Vice President of ESG and Investor Relations</w:t>
            </w:r>
          </w:p>
          <w:p>
            <w:pPr>
              <w:pStyle w:val="TableContents"/>
              <w:bidi w:val="0"/>
              <w:spacing w:before="0" w:after="0"/>
              <w:jc w:val="left"/>
              <w:rPr>
                <w:rFonts w:ascii="Times New Roman" w:hAnsi="Times New Roman"/>
                <w:sz w:val="20"/>
              </w:rPr>
            </w:pPr>
            <w:r>
              <w:rPr>
                <w:rFonts w:ascii="Times New Roman" w:hAnsi="Times New Roman"/>
                <w:sz w:val="20"/>
              </w:rPr>
              <w:t>ChampionX</w:t>
            </w:r>
          </w:p>
          <w:p>
            <w:pPr>
              <w:pStyle w:val="TableContents"/>
              <w:bidi w:val="0"/>
              <w:spacing w:before="0" w:after="0"/>
              <w:jc w:val="left"/>
              <w:rPr>
                <w:rFonts w:ascii="Times New Roman" w:hAnsi="Times New Roman"/>
                <w:sz w:val="20"/>
              </w:rPr>
            </w:pPr>
            <w:r>
              <w:rPr>
                <w:rFonts w:ascii="Times New Roman" w:hAnsi="Times New Roman"/>
                <w:sz w:val="20"/>
              </w:rPr>
              <w:t>Tel: +1 (281) 602-0094</w:t>
            </w:r>
          </w:p>
          <w:p>
            <w:pPr>
              <w:pStyle w:val="TableContents"/>
              <w:bidi w:val="0"/>
              <w:spacing w:before="0" w:after="20"/>
              <w:jc w:val="left"/>
              <w:rPr>
                <w:rFonts w:ascii="Times New Roman" w:hAnsi="Times New Roman"/>
                <w:sz w:val="20"/>
              </w:rPr>
            </w:pPr>
            <w:r>
              <w:rPr>
                <w:rFonts w:ascii="Times New Roman" w:hAnsi="Times New Roman"/>
                <w:sz w:val="20"/>
              </w:rPr>
              <w:t>byron.pope@championx.com</w:t>
            </w:r>
          </w:p>
        </w:tc>
      </w:tr>
    </w:tbl>
    <w:p>
      <w:pPr>
        <w:pStyle w:val="TextBody"/>
        <w:bidi w:val="0"/>
        <w:spacing w:before="240" w:after="0"/>
        <w:jc w:val="left"/>
        <w:rPr>
          <w:rFonts w:ascii="Times New Roman" w:hAnsi="Times New Roman"/>
          <w:b/>
          <w:sz w:val="20"/>
        </w:rPr>
      </w:pPr>
      <w:r>
        <w:rPr>
          <w:rFonts w:ascii="Times New Roman" w:hAnsi="Times New Roman"/>
          <w:b/>
          <w:sz w:val="20"/>
        </w:rPr>
        <w:t>Forward-Looking Statements</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the Private Securities Litigation Reform Act of 1995, Section 27A of the Securities Act of 1933, as amended, and Section 21E of the Exchange Act of 1934, as amended.</w:t>
      </w:r>
    </w:p>
    <w:p>
      <w:pPr>
        <w:pStyle w:val="TextBody"/>
        <w:bidi w:val="0"/>
        <w:spacing w:before="240" w:after="0"/>
        <w:jc w:val="left"/>
        <w:rPr>
          <w:rFonts w:ascii="Times New Roman" w:hAnsi="Times New Roman"/>
          <w:sz w:val="20"/>
        </w:rPr>
      </w:pPr>
      <w:r>
        <w:rPr>
          <w:rFonts w:ascii="Times New Roman" w:hAnsi="Times New Roman"/>
          <w:sz w:val="20"/>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pStyle w:val="TextBody"/>
        <w:bidi w:val="0"/>
        <w:spacing w:before="240" w:after="0"/>
        <w:jc w:val="left"/>
        <w:rPr>
          <w:rFonts w:ascii="Times New Roman" w:hAnsi="Times New Roman"/>
          <w:sz w:val="20"/>
        </w:rPr>
      </w:pPr>
      <w:r>
        <w:rPr>
          <w:rFonts w:ascii="Times New Roman" w:hAnsi="Times New Roman"/>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Slb.com/newsroom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pStyle w:val="TextBody"/>
        <w:bidi w:val="0"/>
        <w:spacing w:before="240" w:after="0"/>
        <w:jc w:val="left"/>
        <w:rPr>
          <w:rFonts w:ascii="Times New Roman" w:hAnsi="Times New Roman"/>
          <w:sz w:val="20"/>
        </w:rPr>
      </w:pPr>
      <w:r>
        <w:rPr>
          <w:rFonts w:ascii="Times New Roman" w:hAnsi="Times New Roman"/>
          <w:sz w:val="20"/>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pStyle w:val="TextBody"/>
        <w:bidi w:val="0"/>
        <w:spacing w:before="360" w:after="0"/>
        <w:jc w:val="left"/>
        <w:rPr>
          <w:rFonts w:ascii="Times New Roman" w:hAnsi="Times New Roman"/>
          <w:b/>
          <w:sz w:val="20"/>
        </w:rPr>
      </w:pPr>
      <w:r>
        <w:rPr>
          <w:rFonts w:ascii="Times New Roman" w:hAnsi="Times New Roman"/>
          <w:b/>
          <w:sz w:val="20"/>
        </w:rPr>
        <w:t>Additional Information about the Transaction and Where to Find It</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pStyle w:val="TextBody"/>
        <w:bidi w:val="0"/>
        <w:spacing w:before="360" w:after="0"/>
        <w:jc w:val="left"/>
        <w:rPr>
          <w:rFonts w:ascii="Times New Roman" w:hAnsi="Times New Roman"/>
          <w:b/>
          <w:sz w:val="20"/>
        </w:rPr>
      </w:pPr>
      <w:r>
        <w:rPr>
          <w:rFonts w:ascii="Times New Roman" w:hAnsi="Times New Roman"/>
          <w:b/>
          <w:sz w:val="20"/>
        </w:rPr>
        <w:t>Participants in the Solicitation</w:t>
      </w:r>
    </w:p>
    <w:p>
      <w:pPr>
        <w:pStyle w:val="TextBody"/>
        <w:bidi w:val="0"/>
        <w:spacing w:before="120" w:after="0"/>
        <w:jc w:val="left"/>
        <w:rPr>
          <w:rFonts w:ascii="Times New Roman" w:hAnsi="Times New Roman"/>
          <w:sz w:val="20"/>
        </w:rPr>
      </w:pPr>
      <w:r>
        <w:rPr>
          <w:rFonts w:ascii="Times New Roman" w:hAnsi="Times New Roman"/>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Slb.com/newsroom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the Private Securities Litigation Reform Act of 1995, Section 27A of the Securities Act of 1933, as amended (the </w:t>
      </w:r>
      <w:r>
        <w:rPr>
          <w:rFonts w:ascii="Times New Roman" w:hAnsi="Times New Roman"/>
          <w:b/>
          <w:i/>
          <w:sz w:val="20"/>
        </w:rPr>
        <w:t>Securities Act</w:t>
      </w:r>
      <w:r>
        <w:rPr>
          <w:rFonts w:ascii="Times New Roman" w:hAnsi="Times New Roman"/>
          <w:sz w:val="20"/>
        </w:rPr>
        <w:t xml:space="preserve">), and Section 21E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hAnsi="Times New Roman"/>
          <w:b/>
          <w:i/>
          <w:sz w:val="20"/>
        </w:rPr>
        <w:t>SEC</w:t>
      </w:r>
      <w:r>
        <w:rPr>
          <w:rFonts w:ascii="Times New Roman" w:hAnsi="Times New Roman"/>
          <w:sz w:val="20"/>
        </w:rPr>
        <w:t xml:space="preserve">)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SLB intends to file with the SEC a registration statement on Form S-4 (the </w:t>
      </w:r>
      <w:r>
        <w:rPr>
          <w:rFonts w:ascii="Times New Roman" w:hAnsi="Times New Roman"/>
          <w:b/>
          <w:i/>
          <w:sz w:val="20"/>
        </w:rPr>
        <w:t>Form S-4</w:t>
      </w:r>
      <w:r>
        <w:rPr>
          <w:rFonts w:ascii="Times New Roman" w:hAnsi="Times New Roman"/>
          <w:sz w:val="20"/>
        </w:rPr>
        <w:t>) that will include a proxy statement of ChampionX and that also constitutes a prospectus of SLB with respect to the shares of SLB to be issued in the proposed transaction (the </w:t>
      </w:r>
      <w:r>
        <w:rPr>
          <w:rFonts w:ascii="Times New Roman" w:hAnsi="Times New Roman"/>
          <w:b/>
          <w:i/>
          <w:sz w:val="20"/>
        </w:rPr>
        <w:t>proxy statement/prospectus</w:t>
      </w:r>
      <w:r>
        <w:rPr>
          <w:rFonts w:ascii="Times New Roman" w:hAnsi="Times New Roman"/>
          <w:sz w:val="20"/>
        </w:rPr>
        <w:t xml:space="preserve">).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w:t>
      </w:r>
      <w:hyperlink r:id="rId3">
        <w:r>
          <w:rPr>
            <w:rStyle w:val="InternetLink"/>
            <w:rFonts w:ascii="Times New Roman" w:hAnsi="Times New Roman"/>
            <w:sz w:val="20"/>
          </w:rPr>
          <w:t xml:space="preserve">https://www.sec.gov/ix?doc=/Archives/edgar/data/0000087347/000130817924000033/lslb2024_def14a.htm </w:t>
        </w:r>
      </w:hyperlink>
      <w:r>
        <w:rPr>
          <w:rFonts w:ascii="Times New Roman" w:hAnsi="Times New Roman"/>
          <w:sz w:val="20"/>
        </w:rPr>
        <w:t>),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4">
        <w:r>
          <w:rPr>
            <w:rStyle w:val="InternetLink"/>
            <w:rFonts w:ascii="Times New Roman" w:hAnsi="Times New Roman"/>
            <w:sz w:val="20"/>
          </w:rPr>
          <w:t>https://www.sec.gov/ix?doc=/Archives/edgar/data/0000087347/000095017024006884/slb-20231231.htm</w:t>
        </w:r>
      </w:hyperlink>
      <w:r>
        <w:rPr>
          <w:rFonts w:ascii="Times New Roman" w:hAnsi="Times New Roman"/>
          <w:sz w:val="20"/>
        </w:rPr>
        <w:t xml:space="preserve">),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in ChampionXs proxy statement for its 2023 Annual Meeting of Stockholders (</w:t>
      </w:r>
      <w:hyperlink r:id="rId5">
        <w:r>
          <w:rPr>
            <w:rStyle w:val="InternetLink"/>
            <w:rFonts w:ascii="Times New Roman" w:hAnsi="Times New Roman"/>
            <w:sz w:val="20"/>
          </w:rPr>
          <w:t xml:space="preserve">https://www.sec.gov/ix?doc=/Archives/edgar/data/1723089/000172308923000073/championx-20230327.htm </w:t>
        </w:r>
      </w:hyperlink>
      <w:r>
        <w:rPr>
          <w:rFonts w:ascii="Times New Roman" w:hAnsi="Times New Roman"/>
          <w:sz w:val="20"/>
        </w:rPr>
        <w:t>),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6">
        <w:r>
          <w:rPr>
            <w:rStyle w:val="InternetLink"/>
            <w:rFonts w:ascii="Times New Roman" w:hAnsi="Times New Roman"/>
            <w:sz w:val="20"/>
          </w:rPr>
          <w:t>https://www.sec.gov/ix?doc=/Archives/edgar/data/1723089/000172308924000011/championx-20231231.htm</w:t>
        </w:r>
      </w:hyperlink>
      <w:r>
        <w:rPr>
          <w:rFonts w:ascii="Times New Roman" w:hAnsi="Times New Roman"/>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087347/000130817924000033/lslb2024_def14a.htm" TargetMode="External"/><Relationship Id="rId4" Type="http://schemas.openxmlformats.org/officeDocument/2006/relationships/hyperlink" Target="http://www.sec.gov/Archives/edgar/data/../../../ix?doc=/Archives/edgar/data/0000087347/000095017024006884/slb-20231231.htm" TargetMode="External"/><Relationship Id="rId5" Type="http://schemas.openxmlformats.org/officeDocument/2006/relationships/hyperlink" Target="http://www.sec.gov/Archives/edgar/data/../../../ix?doc=/Archives/edgar/data/1723089/000172308923000073/championx-20230327.htm" TargetMode="External"/><Relationship Id="rId6" Type="http://schemas.openxmlformats.org/officeDocument/2006/relationships/hyperlink" Target="http://www.sec.gov/Archives/edgar/data/../../../ix?doc=/Archives/edgar/data/1723089/000172308924000011/championx-202312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5455</Words>
  <Characters>29944</Characters>
  <CharactersWithSpaces>34917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