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As filed with the Securities and Exchange Commission on August 28, 1998</w:t>
      </w:r>
    </w:p>
    <w:p>
      <w:pPr>
        <w:ind w:left="5064"/>
        <w:spacing w:after="0"/>
        <w:rPr>
          <w:sz w:val="20"/>
          <w:szCs w:val="20"/>
          <w:color w:val="auto"/>
        </w:rPr>
      </w:pPr>
      <w:r>
        <w:rPr>
          <w:rFonts w:ascii="Courier New" w:cs="Courier New" w:eastAsia="Courier New" w:hAnsi="Courier New"/>
          <w:sz w:val="16"/>
          <w:szCs w:val="16"/>
          <w:color w:val="auto"/>
        </w:rPr>
        <w:t>Registration No. 333-</w:t>
      </w:r>
    </w:p>
    <w:p>
      <w:pPr>
        <w:spacing w:after="0" w:line="3"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064"/>
        <w:spacing w:after="0"/>
        <w:rPr>
          <w:sz w:val="20"/>
          <w:szCs w:val="20"/>
          <w:color w:val="auto"/>
        </w:rPr>
      </w:pPr>
      <w:r>
        <w:rPr>
          <w:rFonts w:ascii="Courier New" w:cs="Courier New" w:eastAsia="Courier New" w:hAnsi="Courier New"/>
          <w:sz w:val="16"/>
          <w:szCs w:val="16"/>
          <w:color w:val="auto"/>
        </w:rPr>
        <w:t>SECURITIES AND EXCHANGE COMMISSION</w:t>
      </w:r>
    </w:p>
    <w:p>
      <w:pPr>
        <w:ind w:left="2624"/>
        <w:spacing w:after="0"/>
        <w:tabs>
          <w:tab w:leader="none" w:pos="4303"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5"/>
          <w:szCs w:val="15"/>
          <w:color w:val="auto"/>
        </w:rPr>
        <w:t>20549</w:t>
      </w:r>
    </w:p>
    <w:p>
      <w:pPr>
        <w:ind w:left="2824"/>
        <w:spacing w:after="0" w:line="237" w:lineRule="auto"/>
        <w:rPr>
          <w:sz w:val="20"/>
          <w:szCs w:val="20"/>
          <w:color w:val="auto"/>
        </w:rPr>
      </w:pPr>
      <w:r>
        <w:rPr>
          <w:rFonts w:ascii="Courier New" w:cs="Courier New" w:eastAsia="Courier New" w:hAnsi="Courier New"/>
          <w:sz w:val="16"/>
          <w:szCs w:val="16"/>
          <w:color w:val="auto"/>
        </w:rPr>
        <w:t>__________________</w:t>
      </w:r>
    </w:p>
    <w:p>
      <w:pPr>
        <w:ind w:left="3284"/>
        <w:spacing w:after="0"/>
        <w:rPr>
          <w:sz w:val="20"/>
          <w:szCs w:val="20"/>
          <w:color w:val="auto"/>
        </w:rPr>
      </w:pPr>
      <w:r>
        <w:rPr>
          <w:rFonts w:ascii="Courier New" w:cs="Courier New" w:eastAsia="Courier New" w:hAnsi="Courier New"/>
          <w:sz w:val="16"/>
          <w:szCs w:val="16"/>
          <w:color w:val="auto"/>
        </w:rPr>
        <w:t>FORM S-4</w:t>
      </w:r>
    </w:p>
    <w:p>
      <w:pPr>
        <w:spacing w:after="0" w:line="179" w:lineRule="exact"/>
        <w:rPr>
          <w:sz w:val="24"/>
          <w:szCs w:val="24"/>
          <w:color w:val="auto"/>
        </w:rPr>
      </w:pPr>
    </w:p>
    <w:p>
      <w:pPr>
        <w:ind w:left="1124"/>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ind w:left="2904"/>
        <w:spacing w:after="0"/>
        <w:rPr>
          <w:sz w:val="20"/>
          <w:szCs w:val="20"/>
          <w:color w:val="auto"/>
        </w:rPr>
      </w:pPr>
      <w:r>
        <w:rPr>
          <w:rFonts w:ascii="Courier New" w:cs="Courier New" w:eastAsia="Courier New" w:hAnsi="Courier New"/>
          <w:sz w:val="16"/>
          <w:szCs w:val="16"/>
          <w:color w:val="auto"/>
        </w:rPr>
        <w:t>_________________</w:t>
      </w:r>
    </w:p>
    <w:p>
      <w:pPr>
        <w:ind w:left="2904"/>
        <w:spacing w:after="0" w:line="237" w:lineRule="auto"/>
        <w:rPr>
          <w:sz w:val="20"/>
          <w:szCs w:val="20"/>
          <w:color w:val="auto"/>
        </w:rPr>
      </w:pPr>
      <w:r>
        <w:rPr>
          <w:rFonts w:ascii="Courier New" w:cs="Courier New" w:eastAsia="Courier New" w:hAnsi="Courier New"/>
          <w:sz w:val="16"/>
          <w:szCs w:val="16"/>
          <w:color w:val="auto"/>
        </w:rPr>
        <w:t>SCHLUMBERGER N.V.</w:t>
      </w:r>
    </w:p>
    <w:p>
      <w:pPr>
        <w:ind w:left="2624"/>
        <w:spacing w:after="0"/>
        <w:rPr>
          <w:sz w:val="20"/>
          <w:szCs w:val="20"/>
          <w:color w:val="auto"/>
        </w:rPr>
      </w:pPr>
      <w:r>
        <w:rPr>
          <w:rFonts w:ascii="Courier New" w:cs="Courier New" w:eastAsia="Courier New" w:hAnsi="Courier New"/>
          <w:sz w:val="16"/>
          <w:szCs w:val="16"/>
          <w:color w:val="auto"/>
        </w:rPr>
        <w:t>(SCHLUMBERGER LIMITED)</w:t>
      </w:r>
    </w:p>
    <w:p>
      <w:pPr>
        <w:ind w:left="1124"/>
        <w:spacing w:after="0" w:line="238"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8" w:orient="portrait"/>
          <w:cols w:equalWidth="0" w:num="1">
            <w:col w:w="11524"/>
          </w:cols>
          <w:pgMar w:left="236" w:top="593" w:right="139" w:bottom="0" w:gutter="0" w:footer="0" w:header="0"/>
        </w:sectPr>
      </w:pPr>
    </w:p>
    <w:p>
      <w:pPr>
        <w:spacing w:after="0" w:line="200" w:lineRule="exact"/>
        <w:rPr>
          <w:sz w:val="24"/>
          <w:szCs w:val="24"/>
          <w:color w:val="auto"/>
        </w:rPr>
      </w:pPr>
    </w:p>
    <w:p>
      <w:pPr>
        <w:spacing w:after="0" w:line="341" w:lineRule="exact"/>
        <w:rPr>
          <w:sz w:val="24"/>
          <w:szCs w:val="24"/>
          <w:color w:val="auto"/>
        </w:rPr>
      </w:pPr>
    </w:p>
    <w:p>
      <w:pPr>
        <w:ind w:left="1224"/>
        <w:spacing w:after="0"/>
        <w:rPr>
          <w:sz w:val="20"/>
          <w:szCs w:val="20"/>
          <w:color w:val="auto"/>
        </w:rPr>
      </w:pPr>
      <w:r>
        <w:rPr>
          <w:rFonts w:ascii="Courier New" w:cs="Courier New" w:eastAsia="Courier New" w:hAnsi="Courier New"/>
          <w:sz w:val="16"/>
          <w:szCs w:val="16"/>
          <w:color w:val="auto"/>
        </w:rPr>
        <w:t>NETHERLANDS ANTILLES</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(STATE OR OTHER JURISDICTION OF INCORPORATION</w:t>
      </w:r>
    </w:p>
    <w:p>
      <w:pPr>
        <w:spacing w:after="0" w:line="5" w:lineRule="exact"/>
        <w:rPr>
          <w:sz w:val="24"/>
          <w:szCs w:val="24"/>
          <w:color w:val="auto"/>
        </w:rPr>
      </w:pPr>
    </w:p>
    <w:p>
      <w:pPr>
        <w:ind w:left="1404"/>
        <w:spacing w:after="0"/>
        <w:rPr>
          <w:sz w:val="20"/>
          <w:szCs w:val="20"/>
          <w:color w:val="auto"/>
        </w:rPr>
      </w:pPr>
      <w:r>
        <w:rPr>
          <w:rFonts w:ascii="Courier New" w:cs="Courier New" w:eastAsia="Courier New" w:hAnsi="Courier New"/>
          <w:sz w:val="16"/>
          <w:szCs w:val="16"/>
          <w:color w:val="auto"/>
        </w:rPr>
        <w:t>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1389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(PRIMARY STANDARD INDUSTRIAL</w:t>
      </w:r>
    </w:p>
    <w:p>
      <w:pPr>
        <w:spacing w:after="0" w:line="10" w:lineRule="exact"/>
        <w:rPr>
          <w:sz w:val="24"/>
          <w:szCs w:val="24"/>
          <w:color w:val="auto"/>
        </w:rPr>
      </w:pPr>
    </w:p>
    <w:p>
      <w:pPr>
        <w:jc w:val="center"/>
        <w:ind w:left="-99"/>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1"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6"/>
          <w:szCs w:val="16"/>
          <w:color w:val="auto"/>
        </w:rPr>
        <w:t>52-0684746</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365" w:lineRule="exact"/>
        <w:rPr>
          <w:sz w:val="24"/>
          <w:szCs w:val="24"/>
          <w:color w:val="auto"/>
        </w:rPr>
      </w:pPr>
    </w:p>
    <w:p>
      <w:pPr>
        <w:sectPr>
          <w:pgSz w:w="11900" w:h="16858" w:orient="portrait"/>
          <w:cols w:equalWidth="0" w:num="3">
            <w:col w:w="4224" w:space="560"/>
            <w:col w:w="2620" w:space="480"/>
            <w:col w:w="3640"/>
          </w:cols>
          <w:pgMar w:left="236" w:top="593" w:right="139" w:bottom="0" w:gutter="0" w:footer="0" w:header="0"/>
          <w:type w:val="continuous"/>
        </w:sectPr>
      </w:pPr>
    </w:p>
    <w:p>
      <w:pPr>
        <w:spacing w:after="0" w:line="6" w:lineRule="exact"/>
        <w:rPr>
          <w:sz w:val="24"/>
          <w:szCs w:val="24"/>
          <w:color w:val="auto"/>
        </w:rPr>
      </w:pPr>
    </w:p>
    <w:p>
      <w:pPr>
        <w:ind w:left="1124"/>
        <w:spacing w:after="0"/>
        <w:rPr>
          <w:sz w:val="20"/>
          <w:szCs w:val="20"/>
          <w:color w:val="auto"/>
        </w:rPr>
      </w:pPr>
      <w:r>
        <w:rPr>
          <w:rFonts w:ascii="Courier New" w:cs="Courier New" w:eastAsia="Courier New" w:hAnsi="Courier New"/>
          <w:sz w:val="15"/>
          <w:szCs w:val="15"/>
          <w:color w:val="auto"/>
        </w:rPr>
        <w:t>42 RUE SAINT-DOMINIQUE</w:t>
      </w:r>
    </w:p>
    <w:p>
      <w:pPr>
        <w:spacing w:after="0" w:line="5" w:lineRule="exact"/>
        <w:rPr>
          <w:sz w:val="24"/>
          <w:szCs w:val="24"/>
          <w:color w:val="auto"/>
        </w:rPr>
      </w:pPr>
    </w:p>
    <w:p>
      <w:pPr>
        <w:ind w:left="1304"/>
        <w:spacing w:after="0"/>
        <w:rPr>
          <w:sz w:val="20"/>
          <w:szCs w:val="20"/>
          <w:color w:val="auto"/>
        </w:rPr>
      </w:pPr>
      <w:r>
        <w:rPr>
          <w:rFonts w:ascii="Courier New" w:cs="Courier New" w:eastAsia="Courier New" w:hAnsi="Courier New"/>
          <w:sz w:val="16"/>
          <w:szCs w:val="16"/>
          <w:color w:val="auto"/>
        </w:rPr>
        <w:t>PARIS, FRANCE 75007</w:t>
      </w:r>
    </w:p>
    <w:p>
      <w:pPr>
        <w:ind w:left="1504"/>
        <w:spacing w:after="0"/>
        <w:rPr>
          <w:sz w:val="20"/>
          <w:szCs w:val="20"/>
          <w:color w:val="auto"/>
        </w:rPr>
      </w:pPr>
      <w:r>
        <w:rPr>
          <w:rFonts w:ascii="Courier New" w:cs="Courier New" w:eastAsia="Courier New" w:hAnsi="Courier New"/>
          <w:sz w:val="16"/>
          <w:szCs w:val="16"/>
          <w:color w:val="auto"/>
        </w:rPr>
        <w:t>(33-1) 4062-1000</w:t>
      </w:r>
    </w:p>
    <w:p>
      <w:pPr>
        <w:spacing w:after="0" w:line="20" w:lineRule="exact"/>
        <w:rPr>
          <w:sz w:val="24"/>
          <w:szCs w:val="24"/>
          <w:color w:val="auto"/>
        </w:rPr>
      </w:pPr>
      <w:r>
        <w:rPr>
          <w:sz w:val="24"/>
          <w:szCs w:val="24"/>
          <w:color w:val="auto"/>
        </w:rPr>
        <w:br w:type="column"/>
      </w:r>
    </w:p>
    <w:p>
      <w:pPr>
        <w:ind w:left="660"/>
        <w:spacing w:after="0"/>
        <w:rPr>
          <w:sz w:val="20"/>
          <w:szCs w:val="20"/>
          <w:color w:val="auto"/>
        </w:rPr>
      </w:pPr>
      <w:r>
        <w:rPr>
          <w:rFonts w:ascii="Courier New" w:cs="Courier New" w:eastAsia="Courier New" w:hAnsi="Courier New"/>
          <w:sz w:val="16"/>
          <w:szCs w:val="16"/>
          <w:color w:val="auto"/>
        </w:rPr>
        <w:t>277 PARK AVENUE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NEW YORK, USA 10172</w:t>
      </w:r>
    </w:p>
    <w:p>
      <w:pPr>
        <w:spacing w:after="0" w:line="5"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(212) 350-9400</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6"/>
          <w:szCs w:val="16"/>
          <w:color w:val="auto"/>
        </w:rPr>
        <w:t>PARKSTRAAT 83</w:t>
      </w:r>
    </w:p>
    <w:p>
      <w:pPr>
        <w:ind w:left="180"/>
        <w:spacing w:after="0"/>
        <w:rPr>
          <w:sz w:val="20"/>
          <w:szCs w:val="20"/>
          <w:color w:val="auto"/>
        </w:rPr>
      </w:pPr>
      <w:r>
        <w:rPr>
          <w:rFonts w:ascii="Courier New" w:cs="Courier New" w:eastAsia="Courier New" w:hAnsi="Courier New"/>
          <w:sz w:val="16"/>
          <w:szCs w:val="16"/>
          <w:color w:val="auto"/>
        </w:rPr>
        <w:t>THE HAGUE,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NETHERLANDS</w:t>
      </w:r>
    </w:p>
    <w:p>
      <w:pPr>
        <w:spacing w:after="0" w:line="8" w:lineRule="exact"/>
        <w:rPr>
          <w:sz w:val="24"/>
          <w:szCs w:val="24"/>
          <w:color w:val="auto"/>
        </w:rPr>
      </w:pPr>
    </w:p>
    <w:p>
      <w:pPr>
        <w:sectPr>
          <w:pgSz w:w="11900" w:h="16858" w:orient="portrait"/>
          <w:cols w:equalWidth="0" w:num="3">
            <w:col w:w="3964" w:space="720"/>
            <w:col w:w="3600" w:space="720"/>
            <w:col w:w="2520"/>
          </w:cols>
          <w:pgMar w:left="236" w:top="593" w:right="139" w:bottom="0" w:gutter="0" w:footer="0" w:header="0"/>
          <w:type w:val="continuous"/>
        </w:sectPr>
      </w:pPr>
    </w:p>
    <w:p>
      <w:pPr>
        <w:ind w:left="9384"/>
        <w:spacing w:after="0" w:line="237" w:lineRule="auto"/>
        <w:rPr>
          <w:sz w:val="20"/>
          <w:szCs w:val="20"/>
          <w:color w:val="auto"/>
        </w:rPr>
      </w:pPr>
      <w:r>
        <w:rPr>
          <w:rFonts w:ascii="Courier New" w:cs="Courier New" w:eastAsia="Courier New" w:hAnsi="Courier New"/>
          <w:sz w:val="16"/>
          <w:szCs w:val="16"/>
          <w:color w:val="auto"/>
        </w:rPr>
        <w:t>2514 JG</w:t>
      </w:r>
    </w:p>
    <w:p>
      <w:pPr>
        <w:ind w:left="9004"/>
        <w:spacing w:after="0"/>
        <w:rPr>
          <w:sz w:val="20"/>
          <w:szCs w:val="20"/>
          <w:color w:val="auto"/>
        </w:rPr>
      </w:pPr>
      <w:r>
        <w:rPr>
          <w:rFonts w:ascii="Courier New" w:cs="Courier New" w:eastAsia="Courier New" w:hAnsi="Courier New"/>
          <w:sz w:val="16"/>
          <w:szCs w:val="16"/>
          <w:color w:val="auto"/>
        </w:rPr>
        <w:t>(31-70) 310-5447</w:t>
      </w:r>
    </w:p>
    <w:p>
      <w:pPr>
        <w:spacing w:after="0" w:line="359" w:lineRule="exact"/>
        <w:rPr>
          <w:sz w:val="24"/>
          <w:szCs w:val="24"/>
          <w:color w:val="auto"/>
        </w:rPr>
      </w:pPr>
    </w:p>
    <w:p>
      <w:pPr>
        <w:jc w:val="center"/>
        <w:ind w:right="4116"/>
        <w:spacing w:after="0"/>
        <w:rPr>
          <w:sz w:val="20"/>
          <w:szCs w:val="20"/>
          <w:color w:val="auto"/>
        </w:rPr>
      </w:pPr>
      <w:r>
        <w:rPr>
          <w:rFonts w:ascii="Courier New" w:cs="Courier New" w:eastAsia="Courier New" w:hAnsi="Courier New"/>
          <w:sz w:val="16"/>
          <w:szCs w:val="16"/>
          <w:color w:val="auto"/>
        </w:rPr>
        <w:t>(ADDRESS, INCLUDING ZIP CODE, AND TELEPHONE NUMBER,</w:t>
      </w:r>
    </w:p>
    <w:p>
      <w:pPr>
        <w:jc w:val="center"/>
        <w:ind w:right="4116"/>
        <w:spacing w:after="0"/>
        <w:rPr>
          <w:sz w:val="20"/>
          <w:szCs w:val="20"/>
          <w:color w:val="auto"/>
        </w:rPr>
      </w:pPr>
      <w:r>
        <w:rPr>
          <w:rFonts w:ascii="Courier New" w:cs="Courier New" w:eastAsia="Courier New" w:hAnsi="Courier New"/>
          <w:sz w:val="16"/>
          <w:szCs w:val="16"/>
          <w:color w:val="auto"/>
        </w:rPr>
        <w:t>INCLUDING AREA CODE, OF REGISTRANT'S PRINCIPAL EXECUTIVE OFFICES)</w:t>
      </w:r>
    </w:p>
    <w:p>
      <w:pPr>
        <w:ind w:left="2824"/>
        <w:spacing w:after="0" w:line="237" w:lineRule="auto"/>
        <w:rPr>
          <w:sz w:val="20"/>
          <w:szCs w:val="20"/>
          <w:color w:val="auto"/>
        </w:rPr>
      </w:pPr>
      <w:r>
        <w:rPr>
          <w:rFonts w:ascii="Courier New" w:cs="Courier New" w:eastAsia="Courier New" w:hAnsi="Courier New"/>
          <w:sz w:val="16"/>
          <w:szCs w:val="16"/>
          <w:color w:val="auto"/>
        </w:rPr>
        <w:t>___________________</w:t>
      </w:r>
    </w:p>
    <w:p>
      <w:pPr>
        <w:ind w:left="2624"/>
        <w:spacing w:after="0"/>
        <w:rPr>
          <w:sz w:val="20"/>
          <w:szCs w:val="20"/>
          <w:color w:val="auto"/>
        </w:rPr>
      </w:pPr>
      <w:r>
        <w:rPr>
          <w:rFonts w:ascii="Courier New" w:cs="Courier New" w:eastAsia="Courier New" w:hAnsi="Courier New"/>
          <w:sz w:val="16"/>
          <w:szCs w:val="16"/>
          <w:color w:val="auto"/>
        </w:rPr>
        <w:t>DAVID S. BROWNING, ESQ.</w:t>
      </w:r>
    </w:p>
    <w:p>
      <w:pPr>
        <w:ind w:left="2344"/>
        <w:spacing w:after="0" w:line="238" w:lineRule="auto"/>
        <w:rPr>
          <w:sz w:val="20"/>
          <w:szCs w:val="20"/>
          <w:color w:val="auto"/>
        </w:rPr>
      </w:pPr>
      <w:r>
        <w:rPr>
          <w:rFonts w:ascii="Courier New" w:cs="Courier New" w:eastAsia="Courier New" w:hAnsi="Courier New"/>
          <w:sz w:val="16"/>
          <w:szCs w:val="16"/>
          <w:color w:val="auto"/>
        </w:rPr>
        <w:t>GENERAL COUNSEL AND SECRETARY</w:t>
      </w:r>
    </w:p>
    <w:p>
      <w:pPr>
        <w:ind w:left="2724"/>
        <w:spacing w:after="0"/>
        <w:rPr>
          <w:sz w:val="20"/>
          <w:szCs w:val="20"/>
          <w:color w:val="auto"/>
        </w:rPr>
      </w:pPr>
      <w:r>
        <w:rPr>
          <w:rFonts w:ascii="Courier New" w:cs="Courier New" w:eastAsia="Courier New" w:hAnsi="Courier New"/>
          <w:sz w:val="16"/>
          <w:szCs w:val="16"/>
          <w:color w:val="auto"/>
        </w:rPr>
        <w:t>SCHLUMBERGER LIMITED</w:t>
      </w:r>
    </w:p>
    <w:p>
      <w:pPr>
        <w:ind w:left="3004"/>
        <w:spacing w:after="0" w:line="238" w:lineRule="auto"/>
        <w:rPr>
          <w:sz w:val="20"/>
          <w:szCs w:val="20"/>
          <w:color w:val="auto"/>
        </w:rPr>
      </w:pPr>
      <w:r>
        <w:rPr>
          <w:rFonts w:ascii="Courier New" w:cs="Courier New" w:eastAsia="Courier New" w:hAnsi="Courier New"/>
          <w:sz w:val="16"/>
          <w:szCs w:val="16"/>
          <w:color w:val="auto"/>
        </w:rPr>
        <w:t>277 PARK AVENUE</w:t>
      </w:r>
    </w:p>
    <w:p>
      <w:pPr>
        <w:ind w:left="2344"/>
        <w:spacing w:after="0"/>
        <w:rPr>
          <w:sz w:val="20"/>
          <w:szCs w:val="20"/>
          <w:color w:val="auto"/>
        </w:rPr>
      </w:pPr>
      <w:r>
        <w:rPr>
          <w:rFonts w:ascii="Courier New" w:cs="Courier New" w:eastAsia="Courier New" w:hAnsi="Courier New"/>
          <w:sz w:val="16"/>
          <w:szCs w:val="16"/>
          <w:color w:val="auto"/>
        </w:rPr>
        <w:t>NEW YORK, NEW YORK 10172-2066</w:t>
      </w:r>
    </w:p>
    <w:p>
      <w:pPr>
        <w:ind w:left="1404"/>
        <w:spacing w:after="0" w:line="237" w:lineRule="auto"/>
        <w:rPr>
          <w:sz w:val="20"/>
          <w:szCs w:val="20"/>
          <w:color w:val="auto"/>
        </w:rPr>
      </w:pPr>
      <w:r>
        <w:rPr>
          <w:rFonts w:ascii="Courier New" w:cs="Courier New" w:eastAsia="Courier New" w:hAnsi="Courier New"/>
          <w:sz w:val="16"/>
          <w:szCs w:val="16"/>
          <w:color w:val="auto"/>
        </w:rPr>
        <w:t>(NAME, ADDRESS, INCLUDING ZIP CODE, AND TELEPHONE</w:t>
      </w:r>
    </w:p>
    <w:p>
      <w:pPr>
        <w:ind w:left="1304"/>
        <w:spacing w:after="0"/>
        <w:rPr>
          <w:sz w:val="20"/>
          <w:szCs w:val="20"/>
          <w:color w:val="auto"/>
        </w:rPr>
      </w:pPr>
      <w:r>
        <w:rPr>
          <w:rFonts w:ascii="Courier New" w:cs="Courier New" w:eastAsia="Courier New" w:hAnsi="Courier New"/>
          <w:sz w:val="16"/>
          <w:szCs w:val="16"/>
          <w:color w:val="auto"/>
        </w:rPr>
        <w:t>NUMBER, INCLUDING AREA CODE, OF AGENT FOR SERVICE)</w:t>
      </w:r>
    </w:p>
    <w:p>
      <w:pPr>
        <w:ind w:left="2724"/>
        <w:spacing w:after="0" w:line="238" w:lineRule="auto"/>
        <w:rPr>
          <w:sz w:val="20"/>
          <w:szCs w:val="20"/>
          <w:color w:val="auto"/>
        </w:rPr>
      </w:pPr>
      <w:r>
        <w:rPr>
          <w:rFonts w:ascii="Courier New" w:cs="Courier New" w:eastAsia="Courier New" w:hAnsi="Courier New"/>
          <w:sz w:val="16"/>
          <w:szCs w:val="16"/>
          <w:color w:val="auto"/>
        </w:rPr>
        <w:t>____________________</w:t>
      </w:r>
    </w:p>
    <w:p>
      <w:pPr>
        <w:ind w:left="3284"/>
        <w:spacing w:after="0"/>
        <w:rPr>
          <w:sz w:val="20"/>
          <w:szCs w:val="20"/>
          <w:color w:val="auto"/>
        </w:rPr>
      </w:pPr>
      <w:r>
        <w:rPr>
          <w:rFonts w:ascii="Courier New" w:cs="Courier New" w:eastAsia="Courier New" w:hAnsi="Courier New"/>
          <w:sz w:val="16"/>
          <w:szCs w:val="16"/>
          <w:color w:val="auto"/>
        </w:rPr>
        <w:t>COPY TO:</w:t>
      </w:r>
    </w:p>
    <w:p>
      <w:pPr>
        <w:ind w:left="2624"/>
        <w:spacing w:after="0" w:line="238" w:lineRule="auto"/>
        <w:rPr>
          <w:sz w:val="20"/>
          <w:szCs w:val="20"/>
          <w:color w:val="auto"/>
        </w:rPr>
      </w:pPr>
      <w:r>
        <w:rPr>
          <w:rFonts w:ascii="Courier New" w:cs="Courier New" w:eastAsia="Courier New" w:hAnsi="Courier New"/>
          <w:sz w:val="16"/>
          <w:szCs w:val="16"/>
          <w:color w:val="auto"/>
        </w:rPr>
        <w:t>MOULTON A. GOODRUM, JR.</w:t>
      </w:r>
    </w:p>
    <w:p>
      <w:pPr>
        <w:ind w:left="2724"/>
        <w:spacing w:after="0"/>
        <w:rPr>
          <w:sz w:val="20"/>
          <w:szCs w:val="20"/>
          <w:color w:val="auto"/>
        </w:rPr>
      </w:pPr>
      <w:r>
        <w:rPr>
          <w:rFonts w:ascii="Courier New" w:cs="Courier New" w:eastAsia="Courier New" w:hAnsi="Courier New"/>
          <w:sz w:val="16"/>
          <w:szCs w:val="16"/>
          <w:color w:val="auto"/>
        </w:rPr>
        <w:t>BAKER &amp; BOTTS, L.L.P.</w:t>
      </w:r>
    </w:p>
    <w:p>
      <w:pPr>
        <w:ind w:left="2724"/>
        <w:spacing w:after="0" w:line="237" w:lineRule="auto"/>
        <w:rPr>
          <w:sz w:val="20"/>
          <w:szCs w:val="20"/>
          <w:color w:val="auto"/>
        </w:rPr>
      </w:pPr>
      <w:r>
        <w:rPr>
          <w:rFonts w:ascii="Courier New" w:cs="Courier New" w:eastAsia="Courier New" w:hAnsi="Courier New"/>
          <w:sz w:val="16"/>
          <w:szCs w:val="16"/>
          <w:color w:val="auto"/>
        </w:rPr>
        <w:t>3000 ONE SHELL PLAZA</w:t>
      </w:r>
    </w:p>
    <w:p>
      <w:pPr>
        <w:ind w:left="2524"/>
        <w:spacing w:after="0"/>
        <w:rPr>
          <w:sz w:val="20"/>
          <w:szCs w:val="20"/>
          <w:color w:val="auto"/>
        </w:rPr>
      </w:pPr>
      <w:r>
        <w:rPr>
          <w:rFonts w:ascii="Courier New" w:cs="Courier New" w:eastAsia="Courier New" w:hAnsi="Courier New"/>
          <w:sz w:val="16"/>
          <w:szCs w:val="16"/>
          <w:color w:val="auto"/>
        </w:rPr>
        <w:t>HOUSTON, TEXAS 77002-4995</w:t>
      </w:r>
    </w:p>
    <w:p>
      <w:pPr>
        <w:ind w:left="3004"/>
        <w:spacing w:after="0" w:line="238" w:lineRule="auto"/>
        <w:rPr>
          <w:sz w:val="20"/>
          <w:szCs w:val="20"/>
          <w:color w:val="auto"/>
        </w:rPr>
      </w:pPr>
      <w:r>
        <w:rPr>
          <w:rFonts w:ascii="Courier New" w:cs="Courier New" w:eastAsia="Courier New" w:hAnsi="Courier New"/>
          <w:sz w:val="16"/>
          <w:szCs w:val="16"/>
          <w:color w:val="auto"/>
        </w:rPr>
        <w:t>(713) 229-1234</w:t>
      </w:r>
    </w:p>
    <w:p>
      <w:pPr>
        <w:ind w:left="2824"/>
        <w:spacing w:after="0"/>
        <w:rPr>
          <w:sz w:val="20"/>
          <w:szCs w:val="20"/>
          <w:color w:val="auto"/>
        </w:rPr>
      </w:pPr>
      <w:r>
        <w:rPr>
          <w:rFonts w:ascii="Courier New" w:cs="Courier New" w:eastAsia="Courier New" w:hAnsi="Courier New"/>
          <w:sz w:val="16"/>
          <w:szCs w:val="16"/>
          <w:color w:val="auto"/>
        </w:rPr>
        <w:t>__________________</w:t>
      </w:r>
    </w:p>
    <w:p>
      <w:pPr>
        <w:spacing w:after="0" w:line="184" w:lineRule="exact"/>
        <w:rPr>
          <w:sz w:val="24"/>
          <w:szCs w:val="24"/>
          <w:color w:val="auto"/>
        </w:rPr>
      </w:pPr>
    </w:p>
    <w:p>
      <w:pPr>
        <w:ind w:left="4" w:right="4200" w:firstLine="469"/>
        <w:spacing w:after="0" w:line="237"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all conditions to the merger (the "Merger") of Camco International Inc. ("Camco") with a subsidiary of Registrant pursuant to that certain Agreement and Plan of Merger dated as of June 18, 1998 (the "Merger Agreement") have been satisfied.</w:t>
      </w:r>
    </w:p>
    <w:p>
      <w:pPr>
        <w:spacing w:after="0" w:line="7" w:lineRule="exact"/>
        <w:rPr>
          <w:sz w:val="24"/>
          <w:szCs w:val="24"/>
          <w:color w:val="auto"/>
        </w:rPr>
      </w:pPr>
    </w:p>
    <w:p>
      <w:pPr>
        <w:ind w:left="4" w:right="4120" w:firstLine="469"/>
        <w:spacing w:after="0" w:line="237"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[_]</w:t>
      </w:r>
    </w:p>
    <w:p>
      <w:pPr>
        <w:spacing w:after="0" w:line="4" w:lineRule="exact"/>
        <w:rPr>
          <w:sz w:val="24"/>
          <w:szCs w:val="24"/>
          <w:color w:val="auto"/>
        </w:rPr>
      </w:pPr>
    </w:p>
    <w:p>
      <w:pPr>
        <w:ind w:left="4" w:right="4200" w:firstLine="469"/>
        <w:spacing w:after="0" w:line="25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[X] Reg. No. 333-59961</w:t>
      </w:r>
    </w:p>
    <w:p>
      <w:pPr>
        <w:spacing w:after="0" w:line="2" w:lineRule="exact"/>
        <w:rPr>
          <w:sz w:val="24"/>
          <w:szCs w:val="24"/>
          <w:color w:val="auto"/>
        </w:rPr>
      </w:pPr>
    </w:p>
    <w:p>
      <w:pPr>
        <w:ind w:left="4" w:right="4020" w:firstLine="469"/>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registration statement for the same offering. [_]</w:t>
      </w:r>
    </w:p>
    <w:p>
      <w:pPr>
        <w:spacing w:after="0" w:line="1" w:lineRule="exact"/>
        <w:rPr>
          <w:sz w:val="24"/>
          <w:szCs w:val="24"/>
          <w:color w:val="auto"/>
        </w:rPr>
      </w:pPr>
    </w:p>
    <w:p>
      <w:pPr>
        <w:ind w:left="24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2244"/>
        <w:spacing w:after="0"/>
        <w:rPr>
          <w:sz w:val="20"/>
          <w:szCs w:val="20"/>
          <w:color w:val="auto"/>
        </w:rPr>
      </w:pPr>
      <w:r>
        <w:rPr>
          <w:rFonts w:ascii="Courier New" w:cs="Courier New" w:eastAsia="Courier New" w:hAnsi="Courier New"/>
          <w:sz w:val="16"/>
          <w:szCs w:val="16"/>
          <w:color w:val="auto"/>
        </w:rPr>
        <w:t>CALCULATION OF REGISTRATION FEE</w:t>
      </w:r>
    </w:p>
    <w:p>
      <w:pPr>
        <w:spacing w:after="0" w:line="36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60" w:type="dxa"/>
            <w:vAlign w:val="bottom"/>
          </w:tcPr>
          <w:p>
            <w:pPr>
              <w:ind w:left="1180"/>
              <w:spacing w:after="0"/>
              <w:rPr>
                <w:sz w:val="20"/>
                <w:szCs w:val="20"/>
                <w:color w:val="auto"/>
              </w:rPr>
            </w:pPr>
            <w:r>
              <w:rPr>
                <w:rFonts w:ascii="Courier New" w:cs="Courier New" w:eastAsia="Courier New" w:hAnsi="Courier New"/>
                <w:sz w:val="16"/>
                <w:szCs w:val="16"/>
                <w:color w:val="auto"/>
              </w:rPr>
              <w:t>AMOUNT</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7"/>
              </w:rPr>
              <w:t>PROPOSED MAXIMUM</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PROPOSED</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MAXIMUM</w:t>
            </w: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TITLE OF</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EACH CLASS OF</w:t>
            </w:r>
          </w:p>
        </w:tc>
        <w:tc>
          <w:tcPr>
            <w:tcW w:w="2260" w:type="dxa"/>
            <w:vAlign w:val="bottom"/>
          </w:tcPr>
          <w:p>
            <w:pPr>
              <w:ind w:left="1180"/>
              <w:spacing w:after="0"/>
              <w:rPr>
                <w:sz w:val="20"/>
                <w:szCs w:val="20"/>
                <w:color w:val="auto"/>
              </w:rPr>
            </w:pPr>
            <w:r>
              <w:rPr>
                <w:rFonts w:ascii="Courier New" w:cs="Courier New" w:eastAsia="Courier New" w:hAnsi="Courier New"/>
                <w:sz w:val="16"/>
                <w:szCs w:val="16"/>
                <w:color w:val="auto"/>
              </w:rPr>
              <w:t>TO BE</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6"/>
              </w:rPr>
              <w:t>OFFERING PRICE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AGGREGATE</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OFFERING</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AMOUNT OF</w:t>
            </w:r>
          </w:p>
        </w:tc>
        <w:tc>
          <w:tcPr>
            <w:tcW w:w="340" w:type="dxa"/>
            <w:vAlign w:val="bottom"/>
          </w:tcPr>
          <w:p>
            <w:pPr>
              <w:spacing w:after="0"/>
              <w:rPr>
                <w:sz w:val="15"/>
                <w:szCs w:val="15"/>
                <w:color w:val="auto"/>
              </w:rPr>
            </w:pPr>
          </w:p>
        </w:tc>
      </w:tr>
      <w:tr>
        <w:trPr>
          <w:trHeight w:val="180"/>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5"/>
              </w:rPr>
              <w:t>SECURITIES</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TO BE REGISTERED</w:t>
            </w:r>
          </w:p>
        </w:tc>
        <w:tc>
          <w:tcPr>
            <w:tcW w:w="2260" w:type="dxa"/>
            <w:vAlign w:val="bottom"/>
          </w:tcPr>
          <w:p>
            <w:pPr>
              <w:ind w:left="800"/>
              <w:spacing w:after="0"/>
              <w:rPr>
                <w:sz w:val="20"/>
                <w:szCs w:val="20"/>
                <w:color w:val="auto"/>
              </w:rPr>
            </w:pPr>
            <w:r>
              <w:rPr>
                <w:rFonts w:ascii="Courier New" w:cs="Courier New" w:eastAsia="Courier New" w:hAnsi="Courier New"/>
                <w:sz w:val="16"/>
                <w:szCs w:val="16"/>
                <w:color w:val="auto"/>
              </w:rPr>
              <w:t>REGISTERED (1)</w:t>
            </w:r>
          </w:p>
        </w:tc>
        <w:tc>
          <w:tcPr>
            <w:tcW w:w="1820" w:type="dxa"/>
            <w:vAlign w:val="bottom"/>
          </w:tcPr>
          <w:p>
            <w:pPr>
              <w:ind w:left="420"/>
              <w:spacing w:after="0"/>
              <w:rPr>
                <w:sz w:val="20"/>
                <w:szCs w:val="20"/>
                <w:color w:val="auto"/>
              </w:rPr>
            </w:pPr>
            <w:r>
              <w:rPr>
                <w:rFonts w:ascii="Courier New" w:cs="Courier New" w:eastAsia="Courier New" w:hAnsi="Courier New"/>
                <w:sz w:val="16"/>
                <w:szCs w:val="16"/>
                <w:color w:val="auto"/>
              </w:rPr>
              <w:t>PER SHARE</w:t>
            </w:r>
          </w:p>
        </w:tc>
        <w:tc>
          <w:tcPr>
            <w:tcW w:w="21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PRICE(2)</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REGISTRATION</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w w:val="90"/>
              </w:rPr>
              <w:t>FEE</w:t>
            </w:r>
          </w:p>
        </w:tc>
      </w:tr>
    </w:tbl>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
        <w:spacing w:after="0"/>
        <w:tabs>
          <w:tab w:leader="none" w:pos="4383" w:val="left"/>
          <w:tab w:leader="none" w:pos="6263" w:val="left"/>
          <w:tab w:leader="none" w:pos="7863" w:val="left"/>
          <w:tab w:leader="none" w:pos="10103" w:val="left"/>
        </w:tabs>
        <w:rPr>
          <w:sz w:val="20"/>
          <w:szCs w:val="20"/>
          <w:color w:val="auto"/>
        </w:rPr>
      </w:pPr>
      <w:r>
        <w:rPr>
          <w:rFonts w:ascii="Courier New" w:cs="Courier New" w:eastAsia="Courier New" w:hAnsi="Courier New"/>
          <w:sz w:val="16"/>
          <w:szCs w:val="16"/>
          <w:color w:val="auto"/>
        </w:rPr>
        <w:t>Common Stock, par value $.01 per share</w:t>
      </w:r>
      <w:r>
        <w:rPr>
          <w:sz w:val="20"/>
          <w:szCs w:val="20"/>
          <w:color w:val="auto"/>
        </w:rPr>
        <w:tab/>
      </w:r>
      <w:r>
        <w:rPr>
          <w:rFonts w:ascii="Courier New" w:cs="Courier New" w:eastAsia="Courier New" w:hAnsi="Courier New"/>
          <w:sz w:val="16"/>
          <w:szCs w:val="16"/>
          <w:color w:val="auto"/>
        </w:rPr>
        <w:t>500,000</w:t>
      </w:r>
      <w:r>
        <w:rPr>
          <w:sz w:val="20"/>
          <w:szCs w:val="20"/>
          <w:color w:val="auto"/>
        </w:rPr>
        <w:tab/>
      </w:r>
      <w:r>
        <w:rPr>
          <w:rFonts w:ascii="Courier New" w:cs="Courier New" w:eastAsia="Courier New" w:hAnsi="Courier New"/>
          <w:sz w:val="16"/>
          <w:szCs w:val="16"/>
          <w:color w:val="auto"/>
        </w:rPr>
        <w:t>N/A</w:t>
      </w:r>
      <w:r>
        <w:rPr>
          <w:sz w:val="20"/>
          <w:szCs w:val="20"/>
          <w:color w:val="auto"/>
        </w:rPr>
        <w:tab/>
      </w:r>
      <w:r>
        <w:rPr>
          <w:rFonts w:ascii="Courier New" w:cs="Courier New" w:eastAsia="Courier New" w:hAnsi="Courier New"/>
          <w:sz w:val="16"/>
          <w:szCs w:val="16"/>
          <w:color w:val="auto"/>
        </w:rPr>
        <w:t>$28,875,000</w:t>
      </w:r>
      <w:r>
        <w:rPr>
          <w:sz w:val="20"/>
          <w:szCs w:val="20"/>
          <w:color w:val="auto"/>
        </w:rPr>
        <w:tab/>
      </w:r>
      <w:r>
        <w:rPr>
          <w:rFonts w:ascii="Courier New" w:cs="Courier New" w:eastAsia="Courier New" w:hAnsi="Courier New"/>
          <w:sz w:val="15"/>
          <w:szCs w:val="15"/>
          <w:color w:val="auto"/>
        </w:rPr>
        <w:t>$8,519</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371" w:lineRule="exact"/>
        <w:rPr>
          <w:sz w:val="24"/>
          <w:szCs w:val="24"/>
          <w:color w:val="auto"/>
        </w:rPr>
      </w:pPr>
    </w:p>
    <w:p>
      <w:pPr>
        <w:ind w:left="464" w:right="4020" w:hanging="464"/>
        <w:spacing w:after="0" w:line="238" w:lineRule="auto"/>
        <w:tabs>
          <w:tab w:leader="none" w:pos="4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Supplements the 45,000,000 shares of common stock of the Registrant previously registered on Form S-4 (Reg. No. 333-59961) such that the total amount registered is no less than the number of shares of common stock of the Registrant to be issued in the Merger to holders of common stock of Camco determined in accordance with the terms of the Merger Agreement (1.18 shares of common stock of the Registrant for each outstanding share of common stock of Camco) and based on the number of shares of common stock of Camco outstanding on August 27, 1998.</w:t>
      </w:r>
    </w:p>
    <w:p>
      <w:pPr>
        <w:spacing w:after="0" w:line="5" w:lineRule="exact"/>
        <w:rPr>
          <w:rFonts w:ascii="Courier New" w:cs="Courier New" w:eastAsia="Courier New" w:hAnsi="Courier New"/>
          <w:sz w:val="16"/>
          <w:szCs w:val="16"/>
          <w:color w:val="auto"/>
        </w:rPr>
      </w:pPr>
    </w:p>
    <w:p>
      <w:pPr>
        <w:ind w:left="464" w:right="4020" w:hanging="464"/>
        <w:spacing w:after="0" w:line="257" w:lineRule="auto"/>
        <w:tabs>
          <w:tab w:leader="none" w:pos="46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market price of the Common Stock of Camco to be exchanged for Common Stock of the Registrant in connection with the Merger described in this Registration Statement computed in accordance with Rule 457(c) and Rule 457(f)(1) under the Securities Act of 1933, as amended, based upon the</w:t>
      </w:r>
    </w:p>
    <w:p>
      <w:pPr>
        <w:sectPr>
          <w:pgSz w:w="11900" w:h="16858" w:orient="portrait"/>
          <w:cols w:equalWidth="0" w:num="1">
            <w:col w:w="11524"/>
          </w:cols>
          <w:pgMar w:left="236" w:top="593" w:right="139" w:bottom="0" w:gutter="0" w:footer="0" w:header="0"/>
          <w:type w:val="continuous"/>
        </w:sectPr>
      </w:pPr>
    </w:p>
    <w:bookmarkStart w:id="1" w:name="page2"/>
    <w:bookmarkEnd w:id="1"/>
    <w:p>
      <w:pPr>
        <w:ind w:right="2719"/>
        <w:spacing w:after="0" w:line="237" w:lineRule="auto"/>
        <w:rPr>
          <w:sz w:val="20"/>
          <w:szCs w:val="20"/>
          <w:color w:val="auto"/>
        </w:rPr>
      </w:pPr>
      <w:r>
        <w:rPr>
          <w:rFonts w:ascii="Courier New" w:cs="Courier New" w:eastAsia="Courier New" w:hAnsi="Courier New"/>
          <w:sz w:val="16"/>
          <w:szCs w:val="16"/>
          <w:color w:val="auto"/>
        </w:rPr>
        <w:t>average of the high and low prices of the Common Stock of Camco as reported by the New York Stock Exchange, Inc. on August 27, 1998 ($57.75). The proposed maximum aggregate offering price is estimated solely to determine the registration fee.</w:t>
      </w:r>
    </w:p>
    <w:p>
      <w:pPr>
        <w:sectPr>
          <w:pgSz w:w="11900" w:h="16838" w:orient="portrait"/>
          <w:cols w:equalWidth="0" w:num="1">
            <w:col w:w="9759"/>
          </w:cols>
          <w:pgMar w:left="700" w:top="142" w:right="1440" w:bottom="1440" w:gutter="0" w:footer="0" w:header="0"/>
        </w:sectPr>
      </w:pPr>
    </w:p>
    <w:bookmarkStart w:id="2" w:name="page3"/>
    <w:bookmarkEnd w:id="2"/>
    <w:p>
      <w:pPr>
        <w:ind w:right="2899"/>
        <w:spacing w:after="0" w:line="237" w:lineRule="auto"/>
        <w:rPr>
          <w:sz w:val="20"/>
          <w:szCs w:val="20"/>
          <w:color w:val="auto"/>
        </w:rPr>
      </w:pPr>
      <w:r>
        <w:rPr>
          <w:rFonts w:ascii="Courier New" w:cs="Courier New" w:eastAsia="Courier New" w:hAnsi="Courier New"/>
          <w:sz w:val="16"/>
          <w:szCs w:val="16"/>
          <w:color w:val="auto"/>
        </w:rPr>
        <w:t>This Registration Statement on Form S-4 is being filed pursuant to Rule 462(b) under the Securities Act of 1933, as amended, and amends the Registrant's earlier Registration Statement on Form S-4 (Reg. No. 333-59961) filed with the Securities and Exchange Commission on July 27, 1998, which is incorporated by reference herein by this reference.</w:t>
      </w:r>
    </w:p>
    <w:p>
      <w:pPr>
        <w:spacing w:after="0" w:line="36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179" w:lineRule="exact"/>
        <w:rPr>
          <w:sz w:val="20"/>
          <w:szCs w:val="20"/>
          <w:color w:val="auto"/>
        </w:rPr>
      </w:pPr>
    </w:p>
    <w:p>
      <w:pPr>
        <w:ind w:left="940" w:hanging="475"/>
        <w:spacing w:after="0"/>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EXHIBIT</w:t>
            </w:r>
          </w:p>
        </w:tc>
        <w:tc>
          <w:tcPr>
            <w:tcW w:w="6200" w:type="dxa"/>
            <w:vAlign w:val="bottom"/>
          </w:tcPr>
          <w:p>
            <w:pPr>
              <w:spacing w:after="0"/>
              <w:rPr>
                <w:sz w:val="15"/>
                <w:szCs w:val="15"/>
                <w:color w:val="auto"/>
              </w:rPr>
            </w:pPr>
          </w:p>
        </w:tc>
      </w:tr>
      <w:tr>
        <w:trPr>
          <w:trHeight w:val="180"/>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NUMBER</w:t>
            </w:r>
          </w:p>
        </w:tc>
        <w:tc>
          <w:tcPr>
            <w:tcW w:w="280" w:type="dxa"/>
            <w:vAlign w:val="bottom"/>
          </w:tcPr>
          <w:p>
            <w:pPr>
              <w:spacing w:after="0"/>
              <w:rPr>
                <w:sz w:val="15"/>
                <w:szCs w:val="15"/>
                <w:color w:val="auto"/>
              </w:rPr>
            </w:pPr>
          </w:p>
        </w:tc>
        <w:tc>
          <w:tcPr>
            <w:tcW w:w="6200" w:type="dxa"/>
            <w:vAlign w:val="bottom"/>
          </w:tcPr>
          <w:p>
            <w:pPr>
              <w:ind w:left="132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620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Agreement and Plan of Merger dated as of June 18, 1998 among</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w w:val="98"/>
              </w:rPr>
              <w:t>Schlumberger Technology Corporation and Camco International Inc.</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w w:val="98"/>
              </w:rPr>
              <w:t>(incorporated by reference to Exhibit 2.1 to Schlumberger's Form</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8-K dated June 18, 1998, File 001-04601).</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Deed of Incorporation of Schlumberger, as amended (incorporated</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w w:val="98"/>
              </w:rPr>
              <w:t>by reference to Exhibit 3(i) to Schlumberger's Form 10-Q for the</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quarter ended December 31, 1993, File 001-04601).</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w w:val="97"/>
              </w:rPr>
              <w:t>By-laws of Schlumberger, as amended (incorporated by reference to</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w w:val="97"/>
              </w:rPr>
              <w:t>Exhibit 3 to Schlumberger's Form 10-K for the year ended December</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31, 1993, File 001-04601).</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Opinion of David S. Browning, regarding legality of securities.</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Opinion of Baker &amp; Botts, L.L.P., regarding certain tax matters</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(incorporated by reference to Exhibit 8.1 to Schlumberger's</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Registration Statement on Form S-4, Reg. No. 333-59961).</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Opinion of Fulbright &amp; Jaworski LLP, regarding certain tax</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matters (incorporated by reference to Exhibit 8.2 to</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Schlumberger's Registration Statement on Form S-4, Reg.</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No. 333-59961).</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Consent of PricewaterhouseCoopers LLP, with respect to the</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 of Schlumberger.</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Consent of Arthur Andersen LLP, with respect to the financial</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statements of Camco.</w:t>
            </w:r>
          </w:p>
        </w:tc>
      </w:tr>
      <w:tr>
        <w:trPr>
          <w:trHeight w:val="361"/>
        </w:trPr>
        <w:tc>
          <w:tcPr>
            <w:tcW w:w="56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2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3"/>
              </w:rPr>
              <w:t>--</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Consent of David S. Browning (including on Exhibit 5.1).</w:t>
            </w:r>
          </w:p>
        </w:tc>
      </w:tr>
      <w:tr>
        <w:trPr>
          <w:trHeight w:val="361"/>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23.4* --</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Consent of Baker &amp; Botts, L.L.P. (included in Exhibit 8.1).</w:t>
            </w:r>
          </w:p>
        </w:tc>
      </w:tr>
      <w:tr>
        <w:trPr>
          <w:trHeight w:val="361"/>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23.5* --</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Consent of Fulbright &amp; Jaworski LLP (included in Exhibit 8.2).</w:t>
            </w:r>
          </w:p>
        </w:tc>
      </w:tr>
      <w:tr>
        <w:trPr>
          <w:trHeight w:val="361"/>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24.1* --</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w w:val="98"/>
              </w:rPr>
              <w:t>Powers of Attorney for Schlumberger's directors (incorporated by</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reference to Exhibit 24.1 to Schlumberger's Registration</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Statement on Form S-4, Reg. No. 333-59961).</w:t>
            </w:r>
          </w:p>
        </w:tc>
      </w:tr>
      <w:tr>
        <w:trPr>
          <w:trHeight w:val="361"/>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99.1* --</w:t>
            </w: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Proxy card for use at Special Meeting of Camco (incorporated by</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reference to Exhibit 99.1 to Schlumberger's Registration</w:t>
            </w:r>
          </w:p>
        </w:tc>
      </w:tr>
      <w:tr>
        <w:trPr>
          <w:trHeight w:val="180"/>
        </w:trPr>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0" w:type="dxa"/>
            <w:vAlign w:val="bottom"/>
          </w:tcPr>
          <w:p>
            <w:pPr>
              <w:ind w:left="100"/>
              <w:spacing w:after="0"/>
              <w:rPr>
                <w:sz w:val="20"/>
                <w:szCs w:val="20"/>
                <w:color w:val="auto"/>
              </w:rPr>
            </w:pPr>
            <w:r>
              <w:rPr>
                <w:rFonts w:ascii="Courier New" w:cs="Courier New" w:eastAsia="Courier New" w:hAnsi="Courier New"/>
                <w:sz w:val="16"/>
                <w:szCs w:val="16"/>
                <w:color w:val="auto"/>
              </w:rPr>
              <w:t>Statement on Form S-4, Reg. No. 333-59961).</w:t>
            </w:r>
          </w:p>
        </w:tc>
      </w:tr>
    </w:tbl>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6"/>
          <w:szCs w:val="16"/>
          <w:color w:val="auto"/>
        </w:rPr>
        <w:t>*</w:t>
        <w:tab/>
        <w:t>Incorporated by reference.</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59" w:right="1440" w:bottom="1440" w:gutter="0" w:footer="0" w:header="0"/>
        </w:sectPr>
      </w:pPr>
    </w:p>
    <w:bookmarkStart w:id="3" w:name="page4"/>
    <w:bookmarkEnd w:id="3"/>
    <w:p>
      <w:pPr>
        <w:ind w:left="3184"/>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has duly caused this Registration Statement to be signed on its behalf by the undersigned, thereunto duly authorized, in the City of New York, State of New York, on August 28, 1998.</w:t>
      </w:r>
    </w:p>
    <w:p>
      <w:pPr>
        <w:spacing w:after="0" w:line="181"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SCHLUMBERGER N.V.</w:t>
      </w:r>
    </w:p>
    <w:p>
      <w:pPr>
        <w:ind w:left="2344"/>
        <w:spacing w:after="0"/>
        <w:rPr>
          <w:sz w:val="20"/>
          <w:szCs w:val="20"/>
          <w:color w:val="auto"/>
        </w:rPr>
      </w:pPr>
      <w:r>
        <w:rPr>
          <w:rFonts w:ascii="Courier New" w:cs="Courier New" w:eastAsia="Courier New" w:hAnsi="Courier New"/>
          <w:sz w:val="16"/>
          <w:szCs w:val="16"/>
          <w:color w:val="auto"/>
        </w:rPr>
        <w:t>(Schlumberger Limited)</w:t>
      </w:r>
    </w:p>
    <w:p>
      <w:pPr>
        <w:spacing w:after="0" w:line="200" w:lineRule="exact"/>
        <w:rPr>
          <w:sz w:val="20"/>
          <w:szCs w:val="20"/>
          <w:color w:val="auto"/>
        </w:rPr>
      </w:pPr>
    </w:p>
    <w:p>
      <w:pPr>
        <w:spacing w:after="0" w:line="339" w:lineRule="exact"/>
        <w:rPr>
          <w:sz w:val="20"/>
          <w:szCs w:val="20"/>
          <w:color w:val="auto"/>
        </w:rPr>
      </w:pPr>
    </w:p>
    <w:p>
      <w:pPr>
        <w:ind w:left="2344"/>
        <w:spacing w:after="0"/>
        <w:tabs>
          <w:tab w:leader="none" w:pos="2803" w:val="left"/>
        </w:tabs>
        <w:rPr>
          <w:sz w:val="20"/>
          <w:szCs w:val="20"/>
          <w:color w:val="auto"/>
        </w:rPr>
      </w:pPr>
      <w:r>
        <w:rPr>
          <w:rFonts w:ascii="Courier New" w:cs="Courier New" w:eastAsia="Courier New" w:hAnsi="Courier New"/>
          <w:sz w:val="16"/>
          <w:szCs w:val="16"/>
          <w:color w:val="auto"/>
        </w:rPr>
        <w:t>By:</w:t>
        <w:tab/>
        <w:t>/s/ Arthur Lindenauer</w:t>
      </w:r>
    </w:p>
    <w:p>
      <w:pPr>
        <w:ind w:left="2724"/>
        <w:spacing w:after="0"/>
        <w:rPr>
          <w:sz w:val="20"/>
          <w:szCs w:val="20"/>
          <w:color w:val="auto"/>
        </w:rPr>
      </w:pPr>
      <w:r>
        <w:rPr>
          <w:rFonts w:ascii="Courier New" w:cs="Courier New" w:eastAsia="Courier New" w:hAnsi="Courier New"/>
          <w:sz w:val="16"/>
          <w:szCs w:val="16"/>
          <w:color w:val="auto"/>
        </w:rPr>
        <w:t>------------------------------------</w:t>
      </w:r>
    </w:p>
    <w:p>
      <w:pPr>
        <w:ind w:left="2824"/>
        <w:spacing w:after="0" w:line="237" w:lineRule="auto"/>
        <w:rPr>
          <w:sz w:val="20"/>
          <w:szCs w:val="20"/>
          <w:color w:val="auto"/>
        </w:rPr>
      </w:pPr>
      <w:r>
        <w:rPr>
          <w:rFonts w:ascii="Courier New" w:cs="Courier New" w:eastAsia="Courier New" w:hAnsi="Courier New"/>
          <w:sz w:val="16"/>
          <w:szCs w:val="16"/>
          <w:color w:val="auto"/>
        </w:rPr>
        <w:t>Arthur Lindenauer</w:t>
      </w:r>
    </w:p>
    <w:p>
      <w:pPr>
        <w:ind w:left="2824"/>
        <w:spacing w:after="0"/>
        <w:rPr>
          <w:sz w:val="20"/>
          <w:szCs w:val="20"/>
          <w:color w:val="auto"/>
        </w:rPr>
      </w:pPr>
      <w:r>
        <w:rPr>
          <w:rFonts w:ascii="Courier New" w:cs="Courier New" w:eastAsia="Courier New" w:hAnsi="Courier New"/>
          <w:sz w:val="16"/>
          <w:szCs w:val="16"/>
          <w:color w:val="auto"/>
        </w:rPr>
        <w:t>Executive Vice President--Finance;</w:t>
      </w:r>
    </w:p>
    <w:p>
      <w:pPr>
        <w:ind w:left="2824"/>
        <w:spacing w:after="0" w:line="238" w:lineRule="auto"/>
        <w:rPr>
          <w:sz w:val="20"/>
          <w:szCs w:val="20"/>
          <w:color w:val="auto"/>
        </w:rPr>
      </w:pPr>
      <w:r>
        <w:rPr>
          <w:rFonts w:ascii="Courier New" w:cs="Courier New" w:eastAsia="Courier New" w:hAnsi="Courier New"/>
          <w:sz w:val="16"/>
          <w:szCs w:val="16"/>
          <w:color w:val="auto"/>
        </w:rPr>
        <w:t>Chief Financial Officer and</w:t>
      </w:r>
    </w:p>
    <w:p>
      <w:pPr>
        <w:ind w:left="2824"/>
        <w:spacing w:after="0"/>
        <w:rPr>
          <w:sz w:val="20"/>
          <w:szCs w:val="20"/>
          <w:color w:val="auto"/>
        </w:rPr>
      </w:pPr>
      <w:r>
        <w:rPr>
          <w:rFonts w:ascii="Courier New" w:cs="Courier New" w:eastAsia="Courier New" w:hAnsi="Courier New"/>
          <w:sz w:val="16"/>
          <w:szCs w:val="16"/>
          <w:color w:val="auto"/>
        </w:rPr>
        <w:t>Chief Accounting Officer</w:t>
      </w:r>
    </w:p>
    <w:p>
      <w:pPr>
        <w:spacing w:after="0" w:line="184"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on August 28, 1998 in the capacities indicated.</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60" w:type="dxa"/>
            <w:vAlign w:val="bottom"/>
          </w:tcPr>
          <w:p>
            <w:pPr>
              <w:spacing w:after="0"/>
              <w:rPr>
                <w:sz w:val="20"/>
                <w:szCs w:val="20"/>
                <w:color w:val="auto"/>
              </w:rPr>
            </w:pPr>
            <w:r>
              <w:rPr>
                <w:rFonts w:ascii="Courier New" w:cs="Courier New" w:eastAsia="Courier New" w:hAnsi="Courier New"/>
                <w:sz w:val="16"/>
                <w:szCs w:val="16"/>
                <w:color w:val="auto"/>
              </w:rPr>
              <w:t>* /s/</w:t>
            </w:r>
          </w:p>
        </w:tc>
        <w:tc>
          <w:tcPr>
            <w:tcW w:w="2900" w:type="dxa"/>
            <w:vAlign w:val="bottom"/>
          </w:tcPr>
          <w:p>
            <w:pPr>
              <w:ind w:left="80"/>
              <w:spacing w:after="0"/>
              <w:rPr>
                <w:sz w:val="20"/>
                <w:szCs w:val="20"/>
                <w:color w:val="auto"/>
              </w:rPr>
            </w:pPr>
            <w:r>
              <w:rPr>
                <w:rFonts w:ascii="Courier New" w:cs="Courier New" w:eastAsia="Courier New" w:hAnsi="Courier New"/>
                <w:sz w:val="16"/>
                <w:szCs w:val="16"/>
                <w:color w:val="auto"/>
              </w:rPr>
              <w:t>D. Euan Baird</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*/s/</w:t>
            </w: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William T. McCormick, Jr.</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94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D. Euan Baird</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William T. McCormick, Jr.</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Director, Chairman, President</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and Chief Executive Officer</w:t>
            </w:r>
          </w:p>
        </w:tc>
        <w:tc>
          <w:tcPr>
            <w:tcW w:w="80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721"/>
        </w:trPr>
        <w:tc>
          <w:tcPr>
            <w:tcW w:w="3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 Arthur Lindenauer</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*/s/</w:t>
            </w: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Didier Primat</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94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Arthur Lindenauer</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Didier Primat</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Executive Vice President - Finance;</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Chief Financial Officer and Chief</w:t>
            </w:r>
          </w:p>
        </w:tc>
        <w:tc>
          <w:tcPr>
            <w:tcW w:w="80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Accounting Officer</w:t>
            </w:r>
          </w:p>
        </w:tc>
        <w:tc>
          <w:tcPr>
            <w:tcW w:w="80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721"/>
        </w:trPr>
        <w:tc>
          <w:tcPr>
            <w:tcW w:w="66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Don E. Ackerman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*/s/</w:t>
            </w: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Nicolas Seydoux</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94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Don E. Ackerman</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Nicolas Seydoux</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Director</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Director</w:t>
            </w:r>
          </w:p>
        </w:tc>
      </w:tr>
      <w:tr>
        <w:trPr>
          <w:trHeight w:val="721"/>
        </w:trPr>
        <w:tc>
          <w:tcPr>
            <w:tcW w:w="66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John Deutch</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*/s/</w:t>
            </w: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Linda Gillespie Stuntz</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94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John Deutch</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Linda Gillespie Stuntz</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Director</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Director</w:t>
            </w:r>
          </w:p>
        </w:tc>
      </w:tr>
      <w:tr>
        <w:trPr>
          <w:trHeight w:val="721"/>
        </w:trPr>
        <w:tc>
          <w:tcPr>
            <w:tcW w:w="66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Victor E. Grijalva</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*/s/</w:t>
            </w: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Sven Ullring</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94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Victor E. Grijalva</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Sven Ullring</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Vice Chairman and Director</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Director</w:t>
            </w:r>
          </w:p>
        </w:tc>
      </w:tr>
      <w:tr>
        <w:trPr>
          <w:trHeight w:val="721"/>
        </w:trPr>
        <w:tc>
          <w:tcPr>
            <w:tcW w:w="66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Denys Henderson</w:t>
            </w:r>
          </w:p>
        </w:tc>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*/s/</w:t>
            </w: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Yoshihiko Wakumoto</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94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Denys Henderson</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Yoshihiko Wakumoto</w:t>
            </w:r>
          </w:p>
        </w:tc>
      </w:tr>
      <w:tr>
        <w:trPr>
          <w:trHeight w:val="180"/>
        </w:trPr>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Director</w:t>
            </w:r>
          </w:p>
        </w:tc>
        <w:tc>
          <w:tcPr>
            <w:tcW w:w="3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Director</w:t>
            </w:r>
          </w:p>
        </w:tc>
      </w:tr>
    </w:tbl>
    <w:p>
      <w:pPr>
        <w:spacing w:after="0" w:line="200" w:lineRule="exact"/>
        <w:rPr>
          <w:sz w:val="20"/>
          <w:szCs w:val="20"/>
          <w:color w:val="auto"/>
        </w:rPr>
      </w:pPr>
    </w:p>
    <w:p>
      <w:pPr>
        <w:spacing w:after="0" w:line="340" w:lineRule="exact"/>
        <w:rPr>
          <w:sz w:val="20"/>
          <w:szCs w:val="20"/>
          <w:color w:val="auto"/>
        </w:rPr>
      </w:pPr>
    </w:p>
    <w:p>
      <w:pPr>
        <w:ind w:left="4"/>
        <w:spacing w:after="0"/>
        <w:tabs>
          <w:tab w:leader="none" w:pos="643" w:val="left"/>
        </w:tabs>
        <w:rPr>
          <w:sz w:val="20"/>
          <w:szCs w:val="20"/>
          <w:color w:val="auto"/>
        </w:rPr>
      </w:pPr>
      <w:r>
        <w:rPr>
          <w:rFonts w:ascii="Courier New" w:cs="Courier New" w:eastAsia="Courier New" w:hAnsi="Courier New"/>
          <w:sz w:val="16"/>
          <w:szCs w:val="16"/>
          <w:color w:val="auto"/>
        </w:rPr>
        <w:t>*/s/</w:t>
        <w:tab/>
        <w:t>Andre Levy-Lang</w:t>
      </w:r>
    </w:p>
    <w:p>
      <w:pPr>
        <w:ind w:left="184" w:hanging="184"/>
        <w:spacing w:after="0"/>
        <w:tabs>
          <w:tab w:leader="none" w:pos="1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 w:right="8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Andre Levy-Lang Director</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Arthur Lindenauer</w:t>
      </w:r>
    </w:p>
    <w:p>
      <w:pPr>
        <w:ind w:left="38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Arthur Lindenauer,</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654" w:right="1440" w:bottom="1008" w:gutter="0" w:footer="0" w:header="0"/>
        </w:sectPr>
      </w:pPr>
    </w:p>
    <w:bookmarkStart w:id="4" w:name="page5"/>
    <w:bookmarkEnd w:id="4"/>
    <w:p>
      <w:pPr>
        <w:jc w:val="right"/>
        <w:ind w:right="2719"/>
        <w:spacing w:after="0"/>
        <w:rPr>
          <w:sz w:val="20"/>
          <w:szCs w:val="20"/>
          <w:color w:val="auto"/>
        </w:rPr>
      </w:pPr>
      <w:r>
        <w:rPr>
          <w:rFonts w:ascii="Courier New" w:cs="Courier New" w:eastAsia="Courier New" w:hAnsi="Courier New"/>
          <w:sz w:val="16"/>
          <w:szCs w:val="16"/>
          <w:color w:val="auto"/>
        </w:rPr>
        <w:t>EXHIBIT 5.1</w:t>
      </w:r>
    </w:p>
    <w:p>
      <w:pPr>
        <w:spacing w:after="0" w:line="360"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August 28, 1998</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Limited</w:t>
      </w:r>
    </w:p>
    <w:p>
      <w:pPr>
        <w:spacing w:after="0"/>
        <w:rPr>
          <w:sz w:val="20"/>
          <w:szCs w:val="20"/>
          <w:color w:val="auto"/>
        </w:rPr>
      </w:pPr>
      <w:r>
        <w:rPr>
          <w:rFonts w:ascii="Courier New" w:cs="Courier New" w:eastAsia="Courier New" w:hAnsi="Courier New"/>
          <w:sz w:val="16"/>
          <w:szCs w:val="16"/>
          <w:color w:val="auto"/>
        </w:rPr>
        <w:t>277 Park Avenue</w:t>
      </w:r>
    </w:p>
    <w:p>
      <w:pPr>
        <w:spacing w:after="0"/>
        <w:tabs>
          <w:tab w:leader="none" w:pos="1860" w:val="left"/>
        </w:tabs>
        <w:rPr>
          <w:sz w:val="20"/>
          <w:szCs w:val="20"/>
          <w:color w:val="auto"/>
        </w:rPr>
      </w:pPr>
      <w:r>
        <w:rPr>
          <w:rFonts w:ascii="Courier New" w:cs="Courier New" w:eastAsia="Courier New" w:hAnsi="Courier New"/>
          <w:sz w:val="16"/>
          <w:szCs w:val="16"/>
          <w:color w:val="auto"/>
        </w:rPr>
        <w:t>New York, New York</w:t>
      </w:r>
      <w:r>
        <w:rPr>
          <w:sz w:val="20"/>
          <w:szCs w:val="20"/>
          <w:color w:val="auto"/>
        </w:rPr>
        <w:tab/>
      </w:r>
      <w:r>
        <w:rPr>
          <w:rFonts w:ascii="Courier New" w:cs="Courier New" w:eastAsia="Courier New" w:hAnsi="Courier New"/>
          <w:sz w:val="15"/>
          <w:szCs w:val="15"/>
          <w:color w:val="auto"/>
        </w:rPr>
        <w:t>10172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5"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I am General Counsel of Schlumberger Limited ("Schlumberger"), and, as set forth in the Registration Statement on Form S-4 (the "Registration Statement") filed by Schlumberger under the Securities Act of 1933, as amended, relating to 500,000 shares of Common Stock, par value $.01 per share, of Schlumberger (the "Shares"), I am passing upon for you certain legal matters in connection with the securities so offered for Schlumberger. As set forth in the Registration Statement, the Shares supplement the 45,000,000 shares of common stock of Schlumberger previously registered by Schlumberger on a Form S-4 Registration Statement (Reg. No. 333-59961) such that the aggregate number of shares registered are no less than the maximum number of shares deliverable upon consummation of the merger of Schlumberger OFS, Inc. ("OFS"), a wholly owned subsidiary of Schlumberger Technology Corporation ("STC"), with and into Camco International Inc. ("Camco") pursuant to a Merger Agreement dated as of June 18, 1998 (the "Merger Agreement") among STC, OFS and Camco. At your request, this opinion of counsel is being furnished for filing as Exhibit 5 to the Registration Statement.</w:t>
      </w:r>
    </w:p>
    <w:p>
      <w:pPr>
        <w:spacing w:after="0" w:line="190" w:lineRule="exact"/>
        <w:rPr>
          <w:sz w:val="20"/>
          <w:szCs w:val="20"/>
          <w:color w:val="auto"/>
        </w:rPr>
      </w:pPr>
    </w:p>
    <w:p>
      <w:pPr>
        <w:ind w:right="2719" w:firstLine="938"/>
        <w:spacing w:after="0" w:line="238" w:lineRule="auto"/>
        <w:rPr>
          <w:sz w:val="20"/>
          <w:szCs w:val="20"/>
          <w:color w:val="auto"/>
        </w:rPr>
      </w:pPr>
      <w:r>
        <w:rPr>
          <w:rFonts w:ascii="Courier New" w:cs="Courier New" w:eastAsia="Courier New" w:hAnsi="Courier New"/>
          <w:sz w:val="16"/>
          <w:szCs w:val="16"/>
          <w:color w:val="auto"/>
        </w:rPr>
        <w:t>I am a member only of the New York and Texas bars, and I am not admitted to practice in, nor do I hold myself out as an expert on the laws of, the Netherlands Antilles. I have, however, consulted with the law firm of Smeets Thesseling Van Bokhorst Spigt, which is qualified to practice in the Netherlands Antilles and which I consider an expert on the laws of such jurisdiction. Insofar as the opinions expressed below involve conclusions as to matters governed by the laws of the Netherlands Antilles, I am relying on the opinion of such counsel.</w:t>
      </w:r>
    </w:p>
    <w:p>
      <w:pPr>
        <w:spacing w:after="0" w:line="185" w:lineRule="exact"/>
        <w:rPr>
          <w:sz w:val="20"/>
          <w:szCs w:val="20"/>
          <w:color w:val="auto"/>
        </w:rPr>
      </w:pPr>
    </w:p>
    <w:p>
      <w:pPr>
        <w:ind w:right="2719" w:firstLine="938"/>
        <w:spacing w:after="0" w:line="256" w:lineRule="auto"/>
        <w:rPr>
          <w:sz w:val="20"/>
          <w:szCs w:val="20"/>
          <w:color w:val="auto"/>
        </w:rPr>
      </w:pPr>
      <w:r>
        <w:rPr>
          <w:rFonts w:ascii="Courier New" w:cs="Courier New" w:eastAsia="Courier New" w:hAnsi="Courier New"/>
          <w:sz w:val="15"/>
          <w:szCs w:val="15"/>
          <w:color w:val="auto"/>
        </w:rPr>
        <w:t>In my capacity as General Counsel of Schlumberger, I am familiar with the Deed of Incorporation, as amended, and the By-Laws of Schlumberger and have familiarized myself with the Merger Agreement and have examined all statutes and other records, instruments and documents pertaining to Schlumberger that I have deemed necessary to examine for the purposes of this opinion.</w:t>
      </w:r>
    </w:p>
    <w:p>
      <w:pPr>
        <w:spacing w:after="0" w:line="176" w:lineRule="exact"/>
        <w:rPr>
          <w:sz w:val="20"/>
          <w:szCs w:val="20"/>
          <w:color w:val="auto"/>
        </w:rPr>
      </w:pPr>
    </w:p>
    <w:p>
      <w:pPr>
        <w:ind w:right="2899" w:firstLine="938"/>
        <w:spacing w:after="0" w:line="237" w:lineRule="auto"/>
        <w:rPr>
          <w:sz w:val="20"/>
          <w:szCs w:val="20"/>
          <w:color w:val="auto"/>
        </w:rPr>
      </w:pPr>
      <w:r>
        <w:rPr>
          <w:rFonts w:ascii="Courier New" w:cs="Courier New" w:eastAsia="Courier New" w:hAnsi="Courier New"/>
          <w:sz w:val="16"/>
          <w:szCs w:val="16"/>
          <w:color w:val="auto"/>
        </w:rPr>
        <w:t>Based upon my examination as aforesaid, I am of the opinion that the Shares have been duly authorized by resolution of the Board of Directors of Schlumberger and, when delivered pursuant to the Merger Agreement, will be validly issued, fully paid and nonassessable.</w:t>
      </w:r>
    </w:p>
    <w:p>
      <w:pPr>
        <w:spacing w:after="0" w:line="186" w:lineRule="exact"/>
        <w:rPr>
          <w:sz w:val="20"/>
          <w:szCs w:val="20"/>
          <w:color w:val="auto"/>
        </w:rPr>
      </w:pPr>
    </w:p>
    <w:p>
      <w:pPr>
        <w:ind w:right="2999" w:firstLine="938"/>
        <w:spacing w:after="0" w:line="237" w:lineRule="auto"/>
        <w:rPr>
          <w:sz w:val="20"/>
          <w:szCs w:val="20"/>
          <w:color w:val="auto"/>
        </w:rPr>
      </w:pPr>
      <w:r>
        <w:rPr>
          <w:rFonts w:ascii="Courier New" w:cs="Courier New" w:eastAsia="Courier New" w:hAnsi="Courier New"/>
          <w:sz w:val="16"/>
          <w:szCs w:val="16"/>
          <w:color w:val="auto"/>
        </w:rPr>
        <w:t>I hereby consent to the filing of this opinion as an exhibit to the Registration Statement and to the reference to me under the caption "Legal Matters" in the Proxy Statement/Prospectus contained in the Registration Statement.</w:t>
      </w:r>
    </w:p>
    <w:p>
      <w:pPr>
        <w:spacing w:after="0" w:line="18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Very truly yours,</w:t>
      </w:r>
    </w:p>
    <w:p>
      <w:pPr>
        <w:spacing w:after="0" w:line="36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David S. Browning</w:t>
      </w:r>
    </w:p>
    <w:p>
      <w:pPr>
        <w:sectPr>
          <w:pgSz w:w="11900" w:h="16838" w:orient="portrait"/>
          <w:cols w:equalWidth="0" w:num="1">
            <w:col w:w="10219"/>
          </w:cols>
          <w:pgMar w:left="240" w:top="497" w:right="1440" w:bottom="1440" w:gutter="0" w:footer="0" w:header="0"/>
        </w:sectPr>
      </w:pPr>
    </w:p>
    <w:bookmarkStart w:id="5" w:name="page6"/>
    <w:bookmarkEnd w:id="5"/>
    <w:p>
      <w:pPr>
        <w:jc w:val="right"/>
        <w:ind w:right="2719"/>
        <w:spacing w:after="0"/>
        <w:rPr>
          <w:sz w:val="20"/>
          <w:szCs w:val="20"/>
          <w:color w:val="auto"/>
        </w:rPr>
      </w:pPr>
      <w:r>
        <w:rPr>
          <w:rFonts w:ascii="Courier New" w:cs="Courier New" w:eastAsia="Courier New" w:hAnsi="Courier New"/>
          <w:sz w:val="16"/>
          <w:szCs w:val="16"/>
          <w:color w:val="auto"/>
        </w:rPr>
        <w:t>EXHIBIT 23.1</w:t>
      </w:r>
    </w:p>
    <w:p>
      <w:pPr>
        <w:spacing w:after="0" w:line="360"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S-4 of Schlumberger Limited of our report dated January 21, 1998, appearing on page 44 of the issuer's Annual Report on Form 10-K for the year ended December 31, 1997.</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rPr>
          <w:sz w:val="20"/>
          <w:szCs w:val="20"/>
          <w:color w:val="auto"/>
        </w:rPr>
      </w:pPr>
      <w:r>
        <w:rPr>
          <w:rFonts w:ascii="Courier New" w:cs="Courier New" w:eastAsia="Courier New" w:hAnsi="Courier New"/>
          <w:sz w:val="16"/>
          <w:szCs w:val="16"/>
          <w:color w:val="auto"/>
        </w:rPr>
        <w:t>New York, New York</w:t>
      </w:r>
    </w:p>
    <w:p>
      <w:pPr>
        <w:spacing w:after="0" w:line="237" w:lineRule="auto"/>
        <w:rPr>
          <w:sz w:val="20"/>
          <w:szCs w:val="20"/>
          <w:color w:val="auto"/>
        </w:rPr>
      </w:pPr>
      <w:r>
        <w:rPr>
          <w:rFonts w:ascii="Courier New" w:cs="Courier New" w:eastAsia="Courier New" w:hAnsi="Courier New"/>
          <w:sz w:val="16"/>
          <w:szCs w:val="16"/>
          <w:color w:val="auto"/>
        </w:rPr>
        <w:t>August 28, 1998</w:t>
      </w:r>
    </w:p>
    <w:p>
      <w:pPr>
        <w:sectPr>
          <w:pgSz w:w="11900" w:h="16838" w:orient="portrait"/>
          <w:cols w:equalWidth="0" w:num="1">
            <w:col w:w="10219"/>
          </w:cols>
          <w:pgMar w:left="240" w:top="497" w:right="1440" w:bottom="1440" w:gutter="0" w:footer="0" w:header="0"/>
        </w:sectPr>
      </w:pPr>
    </w:p>
    <w:bookmarkStart w:id="6" w:name="page7"/>
    <w:bookmarkEnd w:id="6"/>
    <w:p>
      <w:pPr>
        <w:jc w:val="right"/>
        <w:ind w:right="2719"/>
        <w:spacing w:after="0"/>
        <w:rPr>
          <w:sz w:val="20"/>
          <w:szCs w:val="20"/>
          <w:color w:val="auto"/>
        </w:rPr>
      </w:pPr>
      <w:r>
        <w:rPr>
          <w:rFonts w:ascii="Courier New" w:cs="Courier New" w:eastAsia="Courier New" w:hAnsi="Courier New"/>
          <w:sz w:val="16"/>
          <w:szCs w:val="16"/>
          <w:color w:val="auto"/>
        </w:rPr>
        <w:t>EXHIBIT 23.2</w:t>
      </w:r>
    </w:p>
    <w:p>
      <w:pPr>
        <w:spacing w:after="0" w:line="36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our report dated February 10, 1998 included in Camco International Inc.'s Form 10-K for the year ended December 31, 1997, and to all references to our Firm included in this registration.</w:t>
      </w:r>
    </w:p>
    <w:p>
      <w:pPr>
        <w:spacing w:after="0" w:line="1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ARTHUR ANDERSEN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rPr>
          <w:sz w:val="20"/>
          <w:szCs w:val="20"/>
          <w:color w:val="auto"/>
        </w:rPr>
      </w:pPr>
      <w:r>
        <w:rPr>
          <w:rFonts w:ascii="Courier New" w:cs="Courier New" w:eastAsia="Courier New" w:hAnsi="Courier New"/>
          <w:sz w:val="16"/>
          <w:szCs w:val="16"/>
          <w:color w:val="auto"/>
        </w:rPr>
        <w:t>August 28, 1998</w:t>
      </w:r>
    </w:p>
    <w:sectPr>
      <w:pgSz w:w="11900" w:h="16838" w:orient="portrait"/>
      <w:cols w:equalWidth="0" w:num="1">
        <w:col w:w="10219"/>
      </w:cols>
      <w:pgMar w:left="240" w:top="4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2019-12-13T06:30:41Z</dcterms:created>
  <dcterms:modified xsi:type="dcterms:W3CDTF">2019-12-13T06:30:41Z</dcterms:modified>
</cp:coreProperties>
</file>