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
        <w:spacing w:after="0"/>
        <w:rPr>
          <w:sz w:val="20"/>
          <w:szCs w:val="20"/>
          <w:color w:val="auto"/>
        </w:rPr>
      </w:pPr>
      <w:r>
        <w:rPr>
          <w:rFonts w:ascii="Arial" w:cs="Arial" w:eastAsia="Arial" w:hAnsi="Arial"/>
          <w:sz w:val="15"/>
          <w:szCs w:val="15"/>
          <w:color w:val="auto"/>
        </w:rPr>
        <w:t>SEC 1746</w:t>
      </w:r>
    </w:p>
    <w:p>
      <w:pPr>
        <w:spacing w:after="0" w:line="50" w:lineRule="exact"/>
        <w:rPr>
          <w:sz w:val="24"/>
          <w:szCs w:val="24"/>
          <w:color w:val="auto"/>
        </w:rPr>
      </w:pPr>
    </w:p>
    <w:p>
      <w:pPr>
        <w:jc w:val="center"/>
        <w:ind w:left="60"/>
        <w:spacing w:after="0"/>
        <w:rPr>
          <w:sz w:val="20"/>
          <w:szCs w:val="20"/>
          <w:color w:val="auto"/>
        </w:rPr>
      </w:pPr>
      <w:r>
        <w:rPr>
          <w:rFonts w:ascii="Arial" w:cs="Arial" w:eastAsia="Arial" w:hAnsi="Arial"/>
          <w:sz w:val="18"/>
          <w:szCs w:val="18"/>
          <w:color w:val="auto"/>
        </w:rPr>
        <w:t>(11-03)</w:t>
      </w:r>
    </w:p>
    <w:p>
      <w:pPr>
        <w:spacing w:after="0" w:line="20" w:lineRule="exact"/>
        <w:rPr>
          <w:sz w:val="24"/>
          <w:szCs w:val="24"/>
          <w:color w:val="auto"/>
        </w:rPr>
      </w:pPr>
      <w:r>
        <w:rPr>
          <w:sz w:val="24"/>
          <w:szCs w:val="24"/>
          <w:color w:val="auto"/>
        </w:rPr>
        <w:br w:type="column"/>
      </w:r>
    </w:p>
    <w:p>
      <w:pPr>
        <w:ind w:right="24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4927600</wp:posOffset>
            </wp:positionH>
            <wp:positionV relativeFrom="paragraph">
              <wp:posOffset>145415</wp:posOffset>
            </wp:positionV>
            <wp:extent cx="1663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22" w:lineRule="exact"/>
        <w:rPr>
          <w:sz w:val="24"/>
          <w:szCs w:val="24"/>
          <w:color w:val="auto"/>
        </w:rPr>
      </w:pPr>
    </w:p>
    <w:p>
      <w:pPr>
        <w:ind w:left="840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4927600</wp:posOffset>
            </wp:positionH>
            <wp:positionV relativeFrom="paragraph">
              <wp:posOffset>19685</wp:posOffset>
            </wp:positionV>
            <wp:extent cx="1663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6"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4927600</wp:posOffset>
            </wp:positionH>
            <wp:positionV relativeFrom="paragraph">
              <wp:posOffset>10795</wp:posOffset>
            </wp:positionV>
            <wp:extent cx="1663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4"/>
          <w:szCs w:val="24"/>
          <w:color w:val="auto"/>
        </w:rPr>
      </w:pPr>
    </w:p>
    <w:p>
      <w:pPr>
        <w:jc w:val="both"/>
        <w:ind w:left="7840"/>
        <w:spacing w:after="0"/>
        <w:tabs>
          <w:tab w:leader="none" w:pos="896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4927600</wp:posOffset>
            </wp:positionH>
            <wp:positionV relativeFrom="paragraph">
              <wp:posOffset>10795</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hours per response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02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02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SCHEDULE 13D</w:t>
      </w:r>
    </w:p>
    <w:p>
      <w:pPr>
        <w:spacing w:after="0" w:line="308"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ectPr>
          <w:pgSz w:w="11900" w:h="16838" w:orient="portrait"/>
          <w:cols w:equalWidth="0" w:num="2">
            <w:col w:w="780" w:space="260"/>
            <w:col w:w="10360"/>
          </w:cols>
          <w:pgMar w:left="240" w:top="239" w:right="259" w:bottom="1440" w:gutter="0" w:footer="0" w:header="0"/>
        </w:sectPr>
      </w:pP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Hanover Compressor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Issuer)</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410768 10 5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Ellen Summer, Esq.</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Schlumberger Limited</w:t>
      </w:r>
    </w:p>
    <w:p>
      <w:pPr>
        <w:jc w:val="center"/>
        <w:ind w:right="-39"/>
        <w:spacing w:after="0" w:line="220" w:lineRule="auto"/>
        <w:rPr>
          <w:sz w:val="20"/>
          <w:szCs w:val="20"/>
          <w:color w:val="auto"/>
        </w:rPr>
      </w:pPr>
      <w:r>
        <w:rPr>
          <w:rFonts w:ascii="Arial" w:cs="Arial" w:eastAsia="Arial" w:hAnsi="Arial"/>
          <w:sz w:val="18"/>
          <w:szCs w:val="18"/>
          <w:color w:val="auto"/>
        </w:rPr>
        <w:t>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New York, New York 10022-4624</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17,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18" w:lineRule="exact"/>
        <w:rPr>
          <w:sz w:val="24"/>
          <w:szCs w:val="24"/>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12" w:lineRule="exact"/>
        <w:rPr>
          <w:sz w:val="24"/>
          <w:szCs w:val="24"/>
          <w:color w:val="auto"/>
        </w:rPr>
      </w:pPr>
    </w:p>
    <w:p>
      <w:pPr>
        <w:ind w:left="220" w:right="6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8" w:lineRule="exact"/>
        <w:rPr>
          <w:sz w:val="24"/>
          <w:szCs w:val="24"/>
          <w:color w:val="auto"/>
        </w:rPr>
      </w:pPr>
    </w:p>
    <w:p>
      <w:pPr>
        <w:ind w:right="24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23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410768 10 5</w:t>
      </w:r>
    </w:p>
    <w:p>
      <w:pPr>
        <w:spacing w:after="0" w:line="90" w:lineRule="exact"/>
        <w:rPr>
          <w:sz w:val="20"/>
          <w:szCs w:val="20"/>
          <w:color w:val="auto"/>
        </w:rPr>
      </w:pPr>
    </w:p>
    <w:p>
      <w:pPr>
        <w:ind w:left="380" w:hanging="284"/>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Schlumberger Technology Corporation</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22-1692661</w:t>
      </w:r>
    </w:p>
    <w:p>
      <w:pPr>
        <w:spacing w:after="0" w:line="6" w:lineRule="exact"/>
        <w:rPr>
          <w:sz w:val="20"/>
          <w:szCs w:val="20"/>
          <w:color w:val="auto"/>
        </w:rPr>
      </w:pPr>
    </w:p>
    <w:p>
      <w:pPr>
        <w:ind w:left="380" w:hanging="284"/>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rFonts w:ascii="Arial" w:cs="Arial" w:eastAsia="Arial" w:hAnsi="Arial"/>
          <w:sz w:val="18"/>
          <w:szCs w:val="18"/>
          <w:b w:val="1"/>
          <w:bCs w:val="1"/>
          <w:color w:val="auto"/>
        </w:rPr>
      </w:pPr>
    </w:p>
    <w:p>
      <w:pPr>
        <w:ind w:left="660" w:hanging="287"/>
        <w:spacing w:after="0" w:line="207" w:lineRule="exact"/>
        <w:tabs>
          <w:tab w:leader="none" w:pos="660" w:val="left"/>
        </w:tabs>
        <w:numPr>
          <w:ilvl w:val="1"/>
          <w:numId w:val="3"/>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b w:val="1"/>
          <w:bCs w:val="1"/>
          <w:color w:val="auto"/>
        </w:rPr>
      </w:pPr>
    </w:p>
    <w:p>
      <w:pPr>
        <w:ind w:left="680" w:hanging="307"/>
        <w:spacing w:after="0" w:line="207" w:lineRule="exact"/>
        <w:tabs>
          <w:tab w:leader="none" w:pos="680" w:val="left"/>
        </w:tabs>
        <w:numPr>
          <w:ilvl w:val="1"/>
          <w:numId w:val="3"/>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b w:val="1"/>
          <w:bCs w:val="1"/>
          <w:color w:val="auto"/>
        </w:rPr>
      </w:pPr>
    </w:p>
    <w:p>
      <w:pPr>
        <w:ind w:left="380" w:hanging="284"/>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79" w:lineRule="exact"/>
        <w:rPr>
          <w:rFonts w:ascii="Arial" w:cs="Arial" w:eastAsia="Arial" w:hAnsi="Arial"/>
          <w:sz w:val="18"/>
          <w:szCs w:val="18"/>
          <w:b w:val="1"/>
          <w:bCs w:val="1"/>
          <w:color w:val="auto"/>
        </w:rPr>
      </w:pPr>
    </w:p>
    <w:p>
      <w:pPr>
        <w:ind w:left="380" w:hanging="284"/>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Texas</w:t>
      </w:r>
    </w:p>
    <w:p>
      <w:pPr>
        <w:spacing w:after="0" w:line="24" w:lineRule="exact"/>
        <w:rPr>
          <w:sz w:val="20"/>
          <w:szCs w:val="20"/>
          <w:color w:val="auto"/>
        </w:rPr>
      </w:pPr>
    </w:p>
    <w:p>
      <w:pPr>
        <w:ind w:left="1560" w:hanging="316"/>
        <w:spacing w:after="0"/>
        <w:tabs>
          <w:tab w:leader="none" w:pos="15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jc w:val="right"/>
              <w:ind w:right="9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61"/>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Beneficially</w:t>
            </w:r>
          </w:p>
        </w:tc>
        <w:tc>
          <w:tcPr>
            <w:tcW w:w="300" w:type="dxa"/>
            <w:vAlign w:val="bottom"/>
          </w:tcPr>
          <w:p>
            <w:pPr>
              <w:spacing w:after="0"/>
              <w:rPr>
                <w:sz w:val="18"/>
                <w:szCs w:val="18"/>
                <w:color w:val="auto"/>
              </w:rPr>
            </w:pPr>
          </w:p>
        </w:tc>
        <w:tc>
          <w:tcPr>
            <w:tcW w:w="9960" w:type="dxa"/>
            <w:vAlign w:val="bottom"/>
            <w:vMerge w:val="restart"/>
          </w:tcPr>
          <w:p>
            <w:pPr>
              <w:jc w:val="right"/>
              <w:ind w:right="9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2"/>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0"/>
              </w:rPr>
              <w:t>Owned by</w:t>
            </w:r>
          </w:p>
        </w:tc>
        <w:tc>
          <w:tcPr>
            <w:tcW w:w="300" w:type="dxa"/>
            <w:vAlign w:val="bottom"/>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08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080" w:type="dxa"/>
            <w:vAlign w:val="bottom"/>
          </w:tcPr>
          <w:p>
            <w:pPr>
              <w:jc w:val="center"/>
              <w:ind w:right="92"/>
              <w:spacing w:after="0" w:line="184" w:lineRule="exact"/>
              <w:rPr>
                <w:sz w:val="20"/>
                <w:szCs w:val="20"/>
                <w:color w:val="auto"/>
              </w:rPr>
            </w:pPr>
            <w:r>
              <w:rPr>
                <w:rFonts w:ascii="Arial" w:cs="Arial" w:eastAsia="Arial" w:hAnsi="Arial"/>
                <w:sz w:val="18"/>
                <w:szCs w:val="18"/>
                <w:b w:val="1"/>
                <w:bCs w:val="1"/>
                <w:color w:val="auto"/>
                <w:w w:val="88"/>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34"/>
        </w:trPr>
        <w:tc>
          <w:tcPr>
            <w:tcW w:w="108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5"/>
              </w:rPr>
              <w:t>Person</w:t>
            </w:r>
          </w:p>
        </w:tc>
        <w:tc>
          <w:tcPr>
            <w:tcW w:w="300" w:type="dxa"/>
            <w:vAlign w:val="bottom"/>
          </w:tcPr>
          <w:p>
            <w:pPr>
              <w:spacing w:after="0"/>
              <w:rPr>
                <w:sz w:val="20"/>
                <w:szCs w:val="20"/>
                <w:color w:val="auto"/>
              </w:rPr>
            </w:pPr>
          </w:p>
        </w:tc>
        <w:tc>
          <w:tcPr>
            <w:tcW w:w="9960" w:type="dxa"/>
            <w:vAlign w:val="bottom"/>
          </w:tcPr>
          <w:p>
            <w:pPr>
              <w:jc w:val="right"/>
              <w:ind w:right="920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80" w:type="dxa"/>
            <w:vAlign w:val="bottom"/>
          </w:tcPr>
          <w:p>
            <w:pPr>
              <w:jc w:val="center"/>
              <w:ind w:right="92"/>
              <w:spacing w:after="0" w:line="183" w:lineRule="exact"/>
              <w:rPr>
                <w:sz w:val="20"/>
                <w:szCs w:val="20"/>
                <w:color w:val="auto"/>
              </w:rPr>
            </w:pPr>
            <w:r>
              <w:rPr>
                <w:rFonts w:ascii="Arial" w:cs="Arial" w:eastAsia="Arial" w:hAnsi="Arial"/>
                <w:sz w:val="18"/>
                <w:szCs w:val="18"/>
                <w:b w:val="1"/>
                <w:bCs w:val="1"/>
                <w:color w:val="auto"/>
                <w:w w:val="97"/>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60" w:hanging="404"/>
        <w:spacing w:after="0"/>
        <w:tabs>
          <w:tab w:leader="none" w:pos="15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15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410768 10 5</w:t>
      </w:r>
    </w:p>
    <w:p>
      <w:pPr>
        <w:spacing w:after="0" w:line="90"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Schlumberger Surenco S.A.</w:t>
      </w:r>
    </w:p>
    <w:p>
      <w:pPr>
        <w:spacing w:after="0" w:line="24" w:lineRule="exact"/>
        <w:rPr>
          <w:sz w:val="20"/>
          <w:szCs w:val="20"/>
          <w:color w:val="auto"/>
        </w:rPr>
      </w:pPr>
    </w:p>
    <w:p>
      <w:pPr>
        <w:ind w:left="380" w:hanging="284"/>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rFonts w:ascii="Arial" w:cs="Arial" w:eastAsia="Arial" w:hAnsi="Arial"/>
          <w:sz w:val="18"/>
          <w:szCs w:val="18"/>
          <w:b w:val="1"/>
          <w:bCs w:val="1"/>
          <w:color w:val="auto"/>
        </w:rPr>
      </w:pPr>
    </w:p>
    <w:p>
      <w:pPr>
        <w:ind w:left="660" w:hanging="287"/>
        <w:spacing w:after="0" w:line="207" w:lineRule="exact"/>
        <w:tabs>
          <w:tab w:leader="none" w:pos="660" w:val="left"/>
        </w:tabs>
        <w:numPr>
          <w:ilvl w:val="1"/>
          <w:numId w:val="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b w:val="1"/>
          <w:bCs w:val="1"/>
          <w:color w:val="auto"/>
        </w:rPr>
      </w:pPr>
    </w:p>
    <w:p>
      <w:pPr>
        <w:ind w:left="680" w:hanging="307"/>
        <w:spacing w:after="0" w:line="207" w:lineRule="exact"/>
        <w:tabs>
          <w:tab w:leader="none" w:pos="680" w:val="left"/>
        </w:tabs>
        <w:numPr>
          <w:ilvl w:val="1"/>
          <w:numId w:val="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b w:val="1"/>
          <w:bCs w:val="1"/>
          <w:color w:val="auto"/>
        </w:rPr>
      </w:pPr>
    </w:p>
    <w:p>
      <w:pPr>
        <w:ind w:left="380" w:hanging="284"/>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79" w:lineRule="exact"/>
        <w:rPr>
          <w:rFonts w:ascii="Arial" w:cs="Arial" w:eastAsia="Arial" w:hAnsi="Arial"/>
          <w:sz w:val="18"/>
          <w:szCs w:val="18"/>
          <w:b w:val="1"/>
          <w:bCs w:val="1"/>
          <w:color w:val="auto"/>
        </w:rPr>
      </w:pPr>
    </w:p>
    <w:p>
      <w:pPr>
        <w:ind w:left="380" w:hanging="284"/>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Panama</w:t>
      </w:r>
    </w:p>
    <w:p>
      <w:pPr>
        <w:spacing w:after="0" w:line="24" w:lineRule="exact"/>
        <w:rPr>
          <w:sz w:val="20"/>
          <w:szCs w:val="20"/>
          <w:color w:val="auto"/>
        </w:rPr>
      </w:pPr>
    </w:p>
    <w:p>
      <w:pPr>
        <w:ind w:left="1560" w:hanging="316"/>
        <w:spacing w:after="0"/>
        <w:tabs>
          <w:tab w:leader="none" w:pos="1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jc w:val="right"/>
              <w:ind w:right="9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61"/>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Beneficially</w:t>
            </w:r>
          </w:p>
        </w:tc>
        <w:tc>
          <w:tcPr>
            <w:tcW w:w="300" w:type="dxa"/>
            <w:vAlign w:val="bottom"/>
          </w:tcPr>
          <w:p>
            <w:pPr>
              <w:spacing w:after="0"/>
              <w:rPr>
                <w:sz w:val="18"/>
                <w:szCs w:val="18"/>
                <w:color w:val="auto"/>
              </w:rPr>
            </w:pPr>
          </w:p>
        </w:tc>
        <w:tc>
          <w:tcPr>
            <w:tcW w:w="9960" w:type="dxa"/>
            <w:vAlign w:val="bottom"/>
            <w:vMerge w:val="restart"/>
          </w:tcPr>
          <w:p>
            <w:pPr>
              <w:jc w:val="right"/>
              <w:ind w:right="9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2"/>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0"/>
              </w:rPr>
              <w:t>Owned by</w:t>
            </w:r>
          </w:p>
        </w:tc>
        <w:tc>
          <w:tcPr>
            <w:tcW w:w="300" w:type="dxa"/>
            <w:vAlign w:val="bottom"/>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08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080" w:type="dxa"/>
            <w:vAlign w:val="bottom"/>
          </w:tcPr>
          <w:p>
            <w:pPr>
              <w:jc w:val="center"/>
              <w:ind w:right="92"/>
              <w:spacing w:after="0" w:line="184" w:lineRule="exact"/>
              <w:rPr>
                <w:sz w:val="20"/>
                <w:szCs w:val="20"/>
                <w:color w:val="auto"/>
              </w:rPr>
            </w:pPr>
            <w:r>
              <w:rPr>
                <w:rFonts w:ascii="Arial" w:cs="Arial" w:eastAsia="Arial" w:hAnsi="Arial"/>
                <w:sz w:val="18"/>
                <w:szCs w:val="18"/>
                <w:b w:val="1"/>
                <w:bCs w:val="1"/>
                <w:color w:val="auto"/>
                <w:w w:val="88"/>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34"/>
        </w:trPr>
        <w:tc>
          <w:tcPr>
            <w:tcW w:w="108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5"/>
              </w:rPr>
              <w:t>Person</w:t>
            </w:r>
          </w:p>
        </w:tc>
        <w:tc>
          <w:tcPr>
            <w:tcW w:w="300" w:type="dxa"/>
            <w:vAlign w:val="bottom"/>
          </w:tcPr>
          <w:p>
            <w:pPr>
              <w:spacing w:after="0"/>
              <w:rPr>
                <w:sz w:val="20"/>
                <w:szCs w:val="20"/>
                <w:color w:val="auto"/>
              </w:rPr>
            </w:pPr>
          </w:p>
        </w:tc>
        <w:tc>
          <w:tcPr>
            <w:tcW w:w="9960" w:type="dxa"/>
            <w:vAlign w:val="bottom"/>
          </w:tcPr>
          <w:p>
            <w:pPr>
              <w:jc w:val="right"/>
              <w:ind w:right="920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80" w:type="dxa"/>
            <w:vAlign w:val="bottom"/>
          </w:tcPr>
          <w:p>
            <w:pPr>
              <w:jc w:val="center"/>
              <w:ind w:right="92"/>
              <w:spacing w:after="0" w:line="183" w:lineRule="exact"/>
              <w:rPr>
                <w:sz w:val="20"/>
                <w:szCs w:val="20"/>
                <w:color w:val="auto"/>
              </w:rPr>
            </w:pPr>
            <w:r>
              <w:rPr>
                <w:rFonts w:ascii="Arial" w:cs="Arial" w:eastAsia="Arial" w:hAnsi="Arial"/>
                <w:sz w:val="18"/>
                <w:szCs w:val="18"/>
                <w:b w:val="1"/>
                <w:bCs w:val="1"/>
                <w:color w:val="auto"/>
                <w:w w:val="97"/>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60" w:hanging="404"/>
        <w:spacing w:after="0"/>
        <w:tabs>
          <w:tab w:leader="none" w:pos="1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15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410768 10 5</w:t>
      </w:r>
    </w:p>
    <w:p>
      <w:pPr>
        <w:spacing w:after="0" w:line="90" w:lineRule="exact"/>
        <w:rPr>
          <w:sz w:val="20"/>
          <w:szCs w:val="20"/>
          <w:color w:val="auto"/>
        </w:rPr>
      </w:pPr>
    </w:p>
    <w:p>
      <w:pPr>
        <w:ind w:left="380" w:hanging="284"/>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Schlumberger Oilfield Holdings Ltd.</w:t>
      </w:r>
    </w:p>
    <w:p>
      <w:pPr>
        <w:spacing w:after="0" w:line="24" w:lineRule="exact"/>
        <w:rPr>
          <w:sz w:val="20"/>
          <w:szCs w:val="20"/>
          <w:color w:val="auto"/>
        </w:rPr>
      </w:pPr>
    </w:p>
    <w:p>
      <w:pPr>
        <w:ind w:left="380" w:hanging="284"/>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rFonts w:ascii="Arial" w:cs="Arial" w:eastAsia="Arial" w:hAnsi="Arial"/>
          <w:sz w:val="18"/>
          <w:szCs w:val="18"/>
          <w:b w:val="1"/>
          <w:bCs w:val="1"/>
          <w:color w:val="auto"/>
        </w:rPr>
      </w:pPr>
    </w:p>
    <w:p>
      <w:pPr>
        <w:ind w:left="660" w:hanging="287"/>
        <w:spacing w:after="0" w:line="207" w:lineRule="exact"/>
        <w:tabs>
          <w:tab w:leader="none" w:pos="660" w:val="left"/>
        </w:tabs>
        <w:numPr>
          <w:ilvl w:val="1"/>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b w:val="1"/>
          <w:bCs w:val="1"/>
          <w:color w:val="auto"/>
        </w:rPr>
      </w:pPr>
    </w:p>
    <w:p>
      <w:pPr>
        <w:ind w:left="680" w:hanging="307"/>
        <w:spacing w:after="0" w:line="207" w:lineRule="exact"/>
        <w:tabs>
          <w:tab w:leader="none" w:pos="680" w:val="left"/>
        </w:tabs>
        <w:numPr>
          <w:ilvl w:val="1"/>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b w:val="1"/>
          <w:bCs w:val="1"/>
          <w:color w:val="auto"/>
        </w:rPr>
      </w:pPr>
    </w:p>
    <w:p>
      <w:pPr>
        <w:ind w:left="380" w:hanging="284"/>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79" w:lineRule="exact"/>
        <w:rPr>
          <w:rFonts w:ascii="Arial" w:cs="Arial" w:eastAsia="Arial" w:hAnsi="Arial"/>
          <w:sz w:val="18"/>
          <w:szCs w:val="18"/>
          <w:b w:val="1"/>
          <w:bCs w:val="1"/>
          <w:color w:val="auto"/>
        </w:rPr>
      </w:pPr>
    </w:p>
    <w:p>
      <w:pPr>
        <w:ind w:left="380" w:hanging="284"/>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Cayman Islands</w:t>
      </w:r>
    </w:p>
    <w:p>
      <w:pPr>
        <w:spacing w:after="0" w:line="24" w:lineRule="exact"/>
        <w:rPr>
          <w:sz w:val="20"/>
          <w:szCs w:val="20"/>
          <w:color w:val="auto"/>
        </w:rPr>
      </w:pPr>
    </w:p>
    <w:p>
      <w:pPr>
        <w:ind w:left="1560" w:hanging="316"/>
        <w:spacing w:after="0"/>
        <w:tabs>
          <w:tab w:leader="none" w:pos="1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jc w:val="right"/>
              <w:ind w:right="9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61"/>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Beneficially</w:t>
            </w:r>
          </w:p>
        </w:tc>
        <w:tc>
          <w:tcPr>
            <w:tcW w:w="300" w:type="dxa"/>
            <w:vAlign w:val="bottom"/>
          </w:tcPr>
          <w:p>
            <w:pPr>
              <w:spacing w:after="0"/>
              <w:rPr>
                <w:sz w:val="18"/>
                <w:szCs w:val="18"/>
                <w:color w:val="auto"/>
              </w:rPr>
            </w:pPr>
          </w:p>
        </w:tc>
        <w:tc>
          <w:tcPr>
            <w:tcW w:w="9960" w:type="dxa"/>
            <w:vAlign w:val="bottom"/>
            <w:vMerge w:val="restart"/>
          </w:tcPr>
          <w:p>
            <w:pPr>
              <w:jc w:val="right"/>
              <w:ind w:right="9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2"/>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0"/>
              </w:rPr>
              <w:t>Owned by</w:t>
            </w:r>
          </w:p>
        </w:tc>
        <w:tc>
          <w:tcPr>
            <w:tcW w:w="300" w:type="dxa"/>
            <w:vAlign w:val="bottom"/>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08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080" w:type="dxa"/>
            <w:vAlign w:val="bottom"/>
          </w:tcPr>
          <w:p>
            <w:pPr>
              <w:jc w:val="center"/>
              <w:ind w:right="92"/>
              <w:spacing w:after="0" w:line="184" w:lineRule="exact"/>
              <w:rPr>
                <w:sz w:val="20"/>
                <w:szCs w:val="20"/>
                <w:color w:val="auto"/>
              </w:rPr>
            </w:pPr>
            <w:r>
              <w:rPr>
                <w:rFonts w:ascii="Arial" w:cs="Arial" w:eastAsia="Arial" w:hAnsi="Arial"/>
                <w:sz w:val="18"/>
                <w:szCs w:val="18"/>
                <w:b w:val="1"/>
                <w:bCs w:val="1"/>
                <w:color w:val="auto"/>
                <w:w w:val="88"/>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34"/>
        </w:trPr>
        <w:tc>
          <w:tcPr>
            <w:tcW w:w="108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5"/>
              </w:rPr>
              <w:t>Person</w:t>
            </w:r>
          </w:p>
        </w:tc>
        <w:tc>
          <w:tcPr>
            <w:tcW w:w="300" w:type="dxa"/>
            <w:vAlign w:val="bottom"/>
          </w:tcPr>
          <w:p>
            <w:pPr>
              <w:spacing w:after="0"/>
              <w:rPr>
                <w:sz w:val="20"/>
                <w:szCs w:val="20"/>
                <w:color w:val="auto"/>
              </w:rPr>
            </w:pPr>
          </w:p>
        </w:tc>
        <w:tc>
          <w:tcPr>
            <w:tcW w:w="9960" w:type="dxa"/>
            <w:vAlign w:val="bottom"/>
          </w:tcPr>
          <w:p>
            <w:pPr>
              <w:jc w:val="right"/>
              <w:ind w:right="920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80" w:type="dxa"/>
            <w:vAlign w:val="bottom"/>
          </w:tcPr>
          <w:p>
            <w:pPr>
              <w:jc w:val="center"/>
              <w:ind w:right="92"/>
              <w:spacing w:after="0" w:line="183" w:lineRule="exact"/>
              <w:rPr>
                <w:sz w:val="20"/>
                <w:szCs w:val="20"/>
                <w:color w:val="auto"/>
              </w:rPr>
            </w:pPr>
            <w:r>
              <w:rPr>
                <w:rFonts w:ascii="Arial" w:cs="Arial" w:eastAsia="Arial" w:hAnsi="Arial"/>
                <w:sz w:val="18"/>
                <w:szCs w:val="18"/>
                <w:b w:val="1"/>
                <w:bCs w:val="1"/>
                <w:color w:val="auto"/>
                <w:w w:val="97"/>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60" w:hanging="404"/>
        <w:spacing w:after="0"/>
        <w:tabs>
          <w:tab w:leader="none" w:pos="1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15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410768 10 5</w:t>
      </w:r>
    </w:p>
    <w:p>
      <w:pPr>
        <w:spacing w:after="0" w:line="90" w:lineRule="exact"/>
        <w:rPr>
          <w:sz w:val="20"/>
          <w:szCs w:val="20"/>
          <w:color w:val="auto"/>
        </w:rPr>
      </w:pPr>
    </w:p>
    <w:p>
      <w:pPr>
        <w:ind w:left="380" w:hanging="284"/>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Schlumberger Limited</w:t>
      </w:r>
    </w:p>
    <w:p>
      <w:pPr>
        <w:spacing w:after="0" w:line="24" w:lineRule="exact"/>
        <w:rPr>
          <w:sz w:val="20"/>
          <w:szCs w:val="20"/>
          <w:color w:val="auto"/>
        </w:rPr>
      </w:pPr>
    </w:p>
    <w:p>
      <w:pPr>
        <w:ind w:left="380" w:hanging="284"/>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rFonts w:ascii="Arial" w:cs="Arial" w:eastAsia="Arial" w:hAnsi="Arial"/>
          <w:sz w:val="18"/>
          <w:szCs w:val="18"/>
          <w:b w:val="1"/>
          <w:bCs w:val="1"/>
          <w:color w:val="auto"/>
        </w:rPr>
      </w:pPr>
    </w:p>
    <w:p>
      <w:pPr>
        <w:ind w:left="660" w:hanging="287"/>
        <w:spacing w:after="0" w:line="207" w:lineRule="exact"/>
        <w:tabs>
          <w:tab w:leader="none" w:pos="660" w:val="left"/>
        </w:tabs>
        <w:numPr>
          <w:ilvl w:val="1"/>
          <w:numId w:val="15"/>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b w:val="1"/>
          <w:bCs w:val="1"/>
          <w:color w:val="auto"/>
        </w:rPr>
      </w:pPr>
    </w:p>
    <w:p>
      <w:pPr>
        <w:ind w:left="680" w:hanging="307"/>
        <w:spacing w:after="0" w:line="207" w:lineRule="exact"/>
        <w:tabs>
          <w:tab w:leader="none" w:pos="680" w:val="left"/>
        </w:tabs>
        <w:numPr>
          <w:ilvl w:val="1"/>
          <w:numId w:val="15"/>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b w:val="1"/>
          <w:bCs w:val="1"/>
          <w:color w:val="auto"/>
        </w:rPr>
      </w:pPr>
    </w:p>
    <w:p>
      <w:pPr>
        <w:ind w:left="380" w:hanging="284"/>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79" w:lineRule="exact"/>
        <w:rPr>
          <w:rFonts w:ascii="Arial" w:cs="Arial" w:eastAsia="Arial" w:hAnsi="Arial"/>
          <w:sz w:val="18"/>
          <w:szCs w:val="18"/>
          <w:b w:val="1"/>
          <w:bCs w:val="1"/>
          <w:color w:val="auto"/>
        </w:rPr>
      </w:pPr>
    </w:p>
    <w:p>
      <w:pPr>
        <w:ind w:left="380" w:hanging="284"/>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Netherlands Antilles</w:t>
      </w:r>
    </w:p>
    <w:p>
      <w:pPr>
        <w:spacing w:after="0" w:line="24" w:lineRule="exact"/>
        <w:rPr>
          <w:sz w:val="20"/>
          <w:szCs w:val="20"/>
          <w:color w:val="auto"/>
        </w:rPr>
      </w:pPr>
    </w:p>
    <w:p>
      <w:pPr>
        <w:ind w:left="1560" w:hanging="316"/>
        <w:spacing w:after="0"/>
        <w:tabs>
          <w:tab w:leader="none" w:pos="15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jc w:val="right"/>
              <w:ind w:right="9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61"/>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Beneficially</w:t>
            </w:r>
          </w:p>
        </w:tc>
        <w:tc>
          <w:tcPr>
            <w:tcW w:w="300" w:type="dxa"/>
            <w:vAlign w:val="bottom"/>
          </w:tcPr>
          <w:p>
            <w:pPr>
              <w:spacing w:after="0"/>
              <w:rPr>
                <w:sz w:val="18"/>
                <w:szCs w:val="18"/>
                <w:color w:val="auto"/>
              </w:rPr>
            </w:pPr>
          </w:p>
        </w:tc>
        <w:tc>
          <w:tcPr>
            <w:tcW w:w="9960" w:type="dxa"/>
            <w:vAlign w:val="bottom"/>
            <w:vMerge w:val="restart"/>
          </w:tcPr>
          <w:p>
            <w:pPr>
              <w:jc w:val="right"/>
              <w:ind w:right="9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2"/>
        </w:trPr>
        <w:tc>
          <w:tcPr>
            <w:tcW w:w="1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0"/>
              </w:rPr>
              <w:t>Owned by</w:t>
            </w:r>
          </w:p>
        </w:tc>
        <w:tc>
          <w:tcPr>
            <w:tcW w:w="300" w:type="dxa"/>
            <w:vAlign w:val="bottom"/>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08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080" w:type="dxa"/>
            <w:vAlign w:val="bottom"/>
          </w:tcPr>
          <w:p>
            <w:pPr>
              <w:jc w:val="center"/>
              <w:ind w:right="92"/>
              <w:spacing w:after="0" w:line="184" w:lineRule="exact"/>
              <w:rPr>
                <w:sz w:val="20"/>
                <w:szCs w:val="20"/>
                <w:color w:val="auto"/>
              </w:rPr>
            </w:pPr>
            <w:r>
              <w:rPr>
                <w:rFonts w:ascii="Arial" w:cs="Arial" w:eastAsia="Arial" w:hAnsi="Arial"/>
                <w:sz w:val="18"/>
                <w:szCs w:val="18"/>
                <w:b w:val="1"/>
                <w:bCs w:val="1"/>
                <w:color w:val="auto"/>
                <w:w w:val="88"/>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34"/>
        </w:trPr>
        <w:tc>
          <w:tcPr>
            <w:tcW w:w="108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5"/>
              </w:rPr>
              <w:t>Person</w:t>
            </w:r>
          </w:p>
        </w:tc>
        <w:tc>
          <w:tcPr>
            <w:tcW w:w="300" w:type="dxa"/>
            <w:vAlign w:val="bottom"/>
          </w:tcPr>
          <w:p>
            <w:pPr>
              <w:spacing w:after="0"/>
              <w:rPr>
                <w:sz w:val="20"/>
                <w:szCs w:val="20"/>
                <w:color w:val="auto"/>
              </w:rPr>
            </w:pPr>
          </w:p>
        </w:tc>
        <w:tc>
          <w:tcPr>
            <w:tcW w:w="9960" w:type="dxa"/>
            <w:vAlign w:val="bottom"/>
          </w:tcPr>
          <w:p>
            <w:pPr>
              <w:jc w:val="right"/>
              <w:ind w:right="920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80" w:type="dxa"/>
            <w:vAlign w:val="bottom"/>
          </w:tcPr>
          <w:p>
            <w:pPr>
              <w:jc w:val="center"/>
              <w:ind w:right="92"/>
              <w:spacing w:after="0" w:line="183" w:lineRule="exact"/>
              <w:rPr>
                <w:sz w:val="20"/>
                <w:szCs w:val="20"/>
                <w:color w:val="auto"/>
              </w:rPr>
            </w:pPr>
            <w:r>
              <w:rPr>
                <w:rFonts w:ascii="Arial" w:cs="Arial" w:eastAsia="Arial" w:hAnsi="Arial"/>
                <w:sz w:val="18"/>
                <w:szCs w:val="18"/>
                <w:b w:val="1"/>
                <w:bCs w:val="1"/>
                <w:color w:val="auto"/>
                <w:w w:val="97"/>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60" w:hanging="404"/>
        <w:spacing w:after="0"/>
        <w:tabs>
          <w:tab w:leader="none" w:pos="15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15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Security and Issuer</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statement relates to common stock, par value $0.001 per share, of Hanover Compressor Company (the “Hanover Stock”) and is being filed pursuant to Rule 13d-1 under the Securities and Exchange Act of 1934, as amended. The principal executive offices of the Issuer are located at 12001 North Houston Rosslyn, Houston, Texas 77806.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8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name of the reporting persons filing this statement are Schlumberger Limited, a company incorporated in the Netherlands Antilles (“SLB”), Schlumberger Technology Corporation, a company incorporated in Texas (“STC”), Schlumberger Surenco S.A., a company incorporated in Panama (“Surenco”), and Schlumberger Oilfield Holdings Ltd., a company incorporated in the British Virgin Islands (“SOHL,” and together with SLB, STC and Surenco, the “Schlumberger Companies”). SLB owns, directly or indirectly, all of the equity interests of each of STC, Surenco and SOHL and thus may be deemed to beneficially own all of the Hanover Stock owned by the other Schlumberger Companies.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statement amends the Amendment No. 2 to Schedule 13D filed by the Schlumberger Companies on February 11, 2004 (Amendment No. 2) to reflect the sale by the Schlumberger Companies of their entire holdings of Hanover Stock. As of November 17, 2005, the Schlumberger Companies no longer hold any Hanover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addresses for the principal executive offices of the Schlumberger Companies are as follows: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East 53rd Street, 57th Floor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Paris, France 75007</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Hague, The Netherlands 2514 JG</w:t>
      </w:r>
    </w:p>
    <w:p>
      <w:pPr>
        <w:spacing w:after="0" w:line="15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Schlumberger is the leading oilfield services company supplying technology, project management and information solutions that optimize performance for customers working in the international oil and gas industry. The company employs more than 50,000 people of over 140 nationalities working in 100 countries, and comprises two primary business segments. Schlumberger Oilfield Services supplies a wide range of products and services that support core industry operational processes. WesternGeco, jointly owned with Baker Hughes, is the world’s largest seismic company and provides advanced acquisition and data processing surveys. In 2004, Schlumberger operating revenue was approximately $11.5 billion.</w:t>
      </w:r>
    </w:p>
    <w:p>
      <w:pPr>
        <w:spacing w:after="0" w:line="10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During the past five years, none of SLB, STC, Surenco, SOHL, (i) has been convicted in a criminal proceeding (excluding traffic violations or similar misdemeanors), or (ii) has been a party to a civil proceeding of a judicial or administrative body of competent jurisdiction that resulted in a judgment decree or final order enjoining future violations of, or prohibiting or mandating any activities subject to, federal or state securities laws or finding any violation of such laws.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Source and Amount of Funds or Other Consideration</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This Amendment No. 3 only reports a sale of Hanover Stock by STC. This Item is N/A to that transaction. The information in Amendment No.1 to Schedule 13D filed by the Schlumberger Companies on October 3, 2001 (“Amendment No. 1”) is incorporated herein by reference with respect to the original transaction by which the Schlumberger Companies acquired the Hanover Stock in August 2001 in exchange for Schlumberger’s gas compression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Amendment No. 3 only reports a sale of Hanover Stock by STC. This Item is N/A to that transaction.</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shares of Hanover Stock were originally acquired by the Schlumberger Companies on August 31, 2001 as partial consideration for certain equity interests of companies engaged in, assets used in connection with, and an Alliance Agreement related to, the gas compression business then conducted by the Schlumberger Companies. The shares of Hanover Stock were held for investment purposes by the Schlumberger Companies prior to their disposition by the Schlumberger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83" w:lineRule="exact"/>
        <w:rPr>
          <w:sz w:val="20"/>
          <w:szCs w:val="20"/>
          <w:color w:val="auto"/>
        </w:rPr>
      </w:pPr>
    </w:p>
    <w:p>
      <w:pPr>
        <w:ind w:firstLine="8"/>
        <w:spacing w:after="0" w:line="323" w:lineRule="auto"/>
        <w:tabs>
          <w:tab w:leader="none" w:pos="288" w:val="left"/>
        </w:tabs>
        <w:numPr>
          <w:ilvl w:val="0"/>
          <w:numId w:val="18"/>
        </w:numPr>
        <w:rPr>
          <w:rFonts w:ascii="Arial" w:cs="Arial" w:eastAsia="Arial" w:hAnsi="Arial"/>
          <w:sz w:val="15"/>
          <w:szCs w:val="15"/>
          <w:color w:val="auto"/>
        </w:rPr>
      </w:pPr>
      <w:r>
        <w:rPr>
          <w:rFonts w:ascii="Arial" w:cs="Arial" w:eastAsia="Arial" w:hAnsi="Arial"/>
          <w:sz w:val="15"/>
          <w:szCs w:val="15"/>
          <w:color w:val="auto"/>
        </w:rPr>
        <w:t>On August 31, 2001, the Schlumberger Companies and two other 100% owned indirect subsidiaries of SLB (CII and OSI) acquired an aggregate of 8,707,693 shares of Hanover Stock in connection with a sale of a division of the Schlumberger Companies. On December 31, 2001 CII and OSI were merged into STC and STC became the owner of the Hanover Stock previously owned by those entities. On July 20 through July 22, 2005 STC sold 200,000 of its shares of Hanover Stock in a series of open market sales. On November 17, 2005 the Schlumberger Companies sold their remaining shares of Hanover Stock in a block trade.</w:t>
      </w:r>
    </w:p>
    <w:p>
      <w:pPr>
        <w:spacing w:after="0" w:line="84" w:lineRule="exact"/>
        <w:rPr>
          <w:rFonts w:ascii="Arial" w:cs="Arial" w:eastAsia="Arial" w:hAnsi="Arial"/>
          <w:sz w:val="15"/>
          <w:szCs w:val="15"/>
          <w:color w:val="auto"/>
        </w:rPr>
      </w:pPr>
    </w:p>
    <w:p>
      <w:pPr>
        <w:ind w:left="300" w:hanging="287"/>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7" w:lineRule="exact"/>
        <w:rPr>
          <w:rFonts w:ascii="Arial" w:cs="Arial" w:eastAsia="Arial" w:hAnsi="Arial"/>
          <w:sz w:val="18"/>
          <w:szCs w:val="18"/>
          <w:color w:val="auto"/>
        </w:rPr>
      </w:pPr>
    </w:p>
    <w:p>
      <w:pPr>
        <w:ind w:firstLine="8"/>
        <w:spacing w:after="0" w:line="298" w:lineRule="auto"/>
        <w:tabs>
          <w:tab w:leader="none" w:pos="2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noted in paragraph (A) above, none of the Schlumberger Companies beneficially owns or has acquired or disposed of any Hanover Stock during the past 60 days. The sale of the 200,000 shares of Hanover Stock by STC noted in paragraph (A) were effected in a series of open market transactions between July 20 and July 22, 2005, at prices per share ranging from $12.57 to $13.00. Schlumberger filed Form 4s with the SEC reporting those sales on July 22 and July 25, 2005. The sale of the remaining shares was effected by a block trade on November 17, 2005 at a price of $12.95 per share.</w:t>
      </w:r>
    </w:p>
    <w:p>
      <w:pPr>
        <w:spacing w:after="0" w:line="99" w:lineRule="exact"/>
        <w:rPr>
          <w:rFonts w:ascii="Arial" w:cs="Arial" w:eastAsia="Arial" w:hAnsi="Arial"/>
          <w:sz w:val="16"/>
          <w:szCs w:val="16"/>
          <w:color w:val="auto"/>
        </w:rPr>
      </w:pPr>
    </w:p>
    <w:p>
      <w:pPr>
        <w:ind w:left="300" w:hanging="287"/>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7" w:lineRule="exact"/>
        <w:rPr>
          <w:rFonts w:ascii="Arial" w:cs="Arial" w:eastAsia="Arial" w:hAnsi="Arial"/>
          <w:sz w:val="18"/>
          <w:szCs w:val="18"/>
          <w:color w:val="auto"/>
        </w:rPr>
      </w:pPr>
    </w:p>
    <w:p>
      <w:pPr>
        <w:ind w:left="280" w:hanging="267"/>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Contracts, Arrangements, Understandings or Relationships with Respect to Securities of the Issuer</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None of the Schlumberger Companies has any operative contracts, arrangements, understandings or relationships (legal or otherwise) with any persons with respect to any securities of Issuer, including, but not limited to, transfers or voting of any securities, finders fees, joint ventures, loan or option arrangements, puts or calls, guarantees of profits, division of profits or loss, or the giving or withholding of any proxies. The registration rights agreement between the Schlumberger Companies and Hanover regarding the Hanover Stock terminated upon the sale.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None. The following documents were filed as exhibits to the original 13D filed with the SEC by the Schlumberger Companies on September 10, 2001:</w:t>
      </w:r>
    </w:p>
    <w:p>
      <w:pPr>
        <w:spacing w:after="0" w:line="100" w:lineRule="exact"/>
        <w:rPr>
          <w:sz w:val="20"/>
          <w:szCs w:val="20"/>
          <w:color w:val="auto"/>
        </w:rPr>
      </w:pPr>
    </w:p>
    <w:p>
      <w:pPr>
        <w:ind w:right="420" w:firstLine="8"/>
        <w:spacing w:after="0" w:line="332" w:lineRule="auto"/>
        <w:tabs>
          <w:tab w:leader="none" w:pos="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Purchase Agreement dated June 28 2001, by and among Schlumberger Technology Corporation, Schlumberger Oilfield Holdings Limited, Schlumberger Surenco S.A., Camco International Inc., Hanover Compressor Company and Hanover Compression Limited Partnership.</w:t>
      </w:r>
    </w:p>
    <w:p>
      <w:pPr>
        <w:spacing w:after="0" w:line="71" w:lineRule="exact"/>
        <w:rPr>
          <w:rFonts w:ascii="Arial" w:cs="Arial" w:eastAsia="Arial" w:hAnsi="Arial"/>
          <w:sz w:val="16"/>
          <w:szCs w:val="16"/>
          <w:color w:val="auto"/>
        </w:rPr>
      </w:pPr>
    </w:p>
    <w:p>
      <w:pPr>
        <w:ind w:right="10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Lock-Up, Standstill and Registration Rights Agreement dated August 31, 2001, by and among Schlumberger Technology Corporation, Schlumberger Oilfield Holdings Limited, Schlumberger Surenco S.A., Camco International, Inc. and Hanover Compressor Company.</w:t>
      </w:r>
    </w:p>
    <w:p>
      <w:pPr>
        <w:spacing w:after="0" w:line="118" w:lineRule="exact"/>
        <w:rPr>
          <w:rFonts w:ascii="Arial" w:cs="Arial" w:eastAsia="Arial" w:hAnsi="Arial"/>
          <w:sz w:val="18"/>
          <w:szCs w:val="18"/>
          <w:color w:val="auto"/>
        </w:rPr>
      </w:pPr>
    </w:p>
    <w:p>
      <w:pPr>
        <w:ind w:right="400" w:firstLine="8"/>
        <w:spacing w:after="0" w:line="370" w:lineRule="auto"/>
        <w:tabs>
          <w:tab w:leader="none" w:pos="176" w:val="left"/>
        </w:tabs>
        <w:numPr>
          <w:ilvl w:val="0"/>
          <w:numId w:val="19"/>
        </w:numPr>
        <w:rPr>
          <w:rFonts w:ascii="Arial" w:cs="Arial" w:eastAsia="Arial" w:hAnsi="Arial"/>
          <w:sz w:val="15"/>
          <w:szCs w:val="15"/>
          <w:color w:val="auto"/>
        </w:rPr>
      </w:pPr>
      <w:r>
        <w:rPr>
          <w:rFonts w:ascii="Arial" w:cs="Arial" w:eastAsia="Arial" w:hAnsi="Arial"/>
          <w:sz w:val="15"/>
          <w:szCs w:val="15"/>
          <w:color w:val="auto"/>
        </w:rPr>
        <w:t>Amendment No. 1 to the Purchase Agreement dated as of August 30, 2001, by and among Schlumberger Technology Corporation, Schlumberger Oilfield Holdings Limited, Schlumberger Surenco S.A., Camco International Inc., Hanover Compressor Company and Hanover Compression Limited Partnership.</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as of November 22,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SCHLUMBERGER LIMITED</w:t>
            </w:r>
          </w:p>
        </w:tc>
        <w:tc>
          <w:tcPr>
            <w:tcW w:w="7040" w:type="dxa"/>
            <w:vAlign w:val="bottom"/>
            <w:gridSpan w:val="2"/>
          </w:tcPr>
          <w:p>
            <w:pPr>
              <w:ind w:left="2700"/>
              <w:spacing w:after="0"/>
              <w:rPr>
                <w:sz w:val="20"/>
                <w:szCs w:val="20"/>
                <w:color w:val="auto"/>
              </w:rPr>
            </w:pPr>
            <w:r>
              <w:rPr>
                <w:rFonts w:ascii="Arial" w:cs="Arial" w:eastAsia="Arial" w:hAnsi="Arial"/>
                <w:sz w:val="18"/>
                <w:szCs w:val="18"/>
                <w:color w:val="auto"/>
              </w:rPr>
              <w:t>SCHLUMBERGER SURENCO S.A.</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Ellen Summer</w:t>
            </w:r>
          </w:p>
        </w:tc>
        <w:tc>
          <w:tcPr>
            <w:tcW w:w="3280" w:type="dxa"/>
            <w:vAlign w:val="bottom"/>
          </w:tcPr>
          <w:p>
            <w:pPr>
              <w:ind w:left="27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Arlene Powis</w:t>
            </w:r>
          </w:p>
        </w:tc>
      </w:tr>
      <w:tr>
        <w:trPr>
          <w:trHeight w:val="110"/>
        </w:trPr>
        <w:tc>
          <w:tcPr>
            <w:tcW w:w="6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Ellen Summer</w:t>
            </w:r>
          </w:p>
        </w:tc>
        <w:tc>
          <w:tcPr>
            <w:tcW w:w="3280" w:type="dxa"/>
            <w:vAlign w:val="bottom"/>
          </w:tcPr>
          <w:p>
            <w:pPr>
              <w:ind w:left="2700"/>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Arlene Powis</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Secretary &amp; General Counsel</w:t>
            </w:r>
          </w:p>
        </w:tc>
        <w:tc>
          <w:tcPr>
            <w:tcW w:w="3280" w:type="dxa"/>
            <w:vAlign w:val="bottom"/>
          </w:tcPr>
          <w:p>
            <w:pPr>
              <w:ind w:left="27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426"/>
        </w:trPr>
        <w:tc>
          <w:tcPr>
            <w:tcW w:w="4380" w:type="dxa"/>
            <w:vAlign w:val="bottom"/>
            <w:gridSpan w:val="2"/>
          </w:tcPr>
          <w:p>
            <w:pPr>
              <w:spacing w:after="0"/>
              <w:rPr>
                <w:sz w:val="20"/>
                <w:szCs w:val="20"/>
                <w:color w:val="auto"/>
              </w:rPr>
            </w:pPr>
            <w:r>
              <w:rPr>
                <w:rFonts w:ascii="Arial" w:cs="Arial" w:eastAsia="Arial" w:hAnsi="Arial"/>
                <w:sz w:val="18"/>
                <w:szCs w:val="18"/>
                <w:color w:val="auto"/>
              </w:rPr>
              <w:t>SCHLUMBERGER TECHNOLOGY</w:t>
            </w:r>
          </w:p>
        </w:tc>
        <w:tc>
          <w:tcPr>
            <w:tcW w:w="7040" w:type="dxa"/>
            <w:vAlign w:val="bottom"/>
            <w:gridSpan w:val="2"/>
          </w:tcPr>
          <w:p>
            <w:pPr>
              <w:ind w:left="2700"/>
              <w:spacing w:after="0"/>
              <w:rPr>
                <w:sz w:val="20"/>
                <w:szCs w:val="20"/>
                <w:color w:val="auto"/>
              </w:rPr>
            </w:pPr>
            <w:r>
              <w:rPr>
                <w:rFonts w:ascii="Arial" w:cs="Arial" w:eastAsia="Arial" w:hAnsi="Arial"/>
                <w:sz w:val="18"/>
                <w:szCs w:val="18"/>
                <w:color w:val="auto"/>
              </w:rPr>
              <w:t>SCHLUMBERGER OILFIELD</w:t>
            </w: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7040" w:type="dxa"/>
            <w:vAlign w:val="bottom"/>
            <w:gridSpan w:val="2"/>
          </w:tcPr>
          <w:p>
            <w:pPr>
              <w:ind w:left="2700"/>
              <w:spacing w:after="0"/>
              <w:rPr>
                <w:sz w:val="20"/>
                <w:szCs w:val="20"/>
                <w:color w:val="auto"/>
              </w:rPr>
            </w:pPr>
            <w:r>
              <w:rPr>
                <w:rFonts w:ascii="Arial" w:cs="Arial" w:eastAsia="Arial" w:hAnsi="Arial"/>
                <w:sz w:val="18"/>
                <w:szCs w:val="18"/>
                <w:color w:val="auto"/>
              </w:rPr>
              <w:t>HOLDINGS LTD.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Arlene Powis</w:t>
            </w:r>
          </w:p>
        </w:tc>
        <w:tc>
          <w:tcPr>
            <w:tcW w:w="3280" w:type="dxa"/>
            <w:vAlign w:val="bottom"/>
          </w:tcPr>
          <w:p>
            <w:pPr>
              <w:ind w:left="27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Arlene Powis</w:t>
            </w:r>
          </w:p>
        </w:tc>
      </w:tr>
      <w:tr>
        <w:trPr>
          <w:trHeight w:val="110"/>
        </w:trPr>
        <w:tc>
          <w:tcPr>
            <w:tcW w:w="6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Arlene Powis</w:t>
            </w:r>
          </w:p>
        </w:tc>
        <w:tc>
          <w:tcPr>
            <w:tcW w:w="3280" w:type="dxa"/>
            <w:vAlign w:val="bottom"/>
          </w:tcPr>
          <w:p>
            <w:pPr>
              <w:ind w:left="2700"/>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Arlene Powis</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Assistant Secrtary</w:t>
            </w:r>
          </w:p>
        </w:tc>
        <w:tc>
          <w:tcPr>
            <w:tcW w:w="3280" w:type="dxa"/>
            <w:vAlign w:val="bottom"/>
          </w:tcPr>
          <w:p>
            <w:pPr>
              <w:ind w:left="27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Assistant 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7"/>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lvl w:ilvl="1">
      <w:lvlJc w:val="left"/>
      <w:lvlText w:val="(%2)"/>
      <w:numFmt w:val="lowerLetter"/>
      <w:start w:val="1"/>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lvl w:ilvl="1">
      <w:lvlJc w:val="left"/>
      <w:lvlText w:val="(%2)"/>
      <w:numFmt w:val="lowerLetter"/>
      <w:start w:val="1"/>
    </w:lvl>
  </w:abstractNum>
  <w:abstractNum w:abstractNumId="11">
    <w:nsid w:val="41A7C4C9"/>
    <w:multiLevelType w:val="hybridMultilevel"/>
    <w:lvl w:ilvl="0">
      <w:lvlJc w:val="left"/>
      <w:lvlText w:val="%1."/>
      <w:numFmt w:val="decimal"/>
      <w:start w:val="7"/>
    </w:lvl>
  </w:abstractNum>
  <w:abstractNum w:abstractNumId="12">
    <w:nsid w:val="6B68079A"/>
    <w:multiLevelType w:val="hybridMultilevel"/>
    <w:lvl w:ilvl="0">
      <w:lvlJc w:val="left"/>
      <w:lvlText w:val="%1."/>
      <w:numFmt w:val="decimal"/>
      <w:start w:val="10"/>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lvl w:ilvl="1">
      <w:lvlJc w:val="left"/>
      <w:lvlText w:val="(%2)"/>
      <w:numFmt w:val="lowerLetter"/>
      <w:start w:val="1"/>
    </w:lvl>
  </w:abstractNum>
  <w:abstractNum w:abstractNumId="15">
    <w:nsid w:val="519B500D"/>
    <w:multiLevelType w:val="hybridMultilevel"/>
    <w:lvl w:ilvl="0">
      <w:lvlJc w:val="left"/>
      <w:lvlText w:val="%1."/>
      <w:numFmt w:val="decimal"/>
      <w:start w:val="7"/>
    </w:lvl>
  </w:abstractNum>
  <w:abstractNum w:abstractNumId="16">
    <w:nsid w:val="431BD7B7"/>
    <w:multiLevelType w:val="hybridMultilevel"/>
    <w:lvl w:ilvl="0">
      <w:lvlJc w:val="left"/>
      <w:lvlText w:val="%1."/>
      <w:numFmt w:val="decimal"/>
      <w:start w:val="10"/>
    </w:lvl>
  </w:abstractNum>
  <w:abstractNum w:abstractNumId="17">
    <w:nsid w:val="3F2DBA31"/>
    <w:multiLevelType w:val="hybridMultilevel"/>
    <w:lvl w:ilvl="0">
      <w:lvlJc w:val="left"/>
      <w:lvlText w:val="(%1)"/>
      <w:numFmt w:val="upp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2019-12-14T01:28:38Z</dcterms:created>
  <dcterms:modified xsi:type="dcterms:W3CDTF">2019-12-14T01:28:38Z</dcterms:modified>
</cp:coreProperties>
</file>