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104140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6"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4580" w:type="dxa"/>
            <w:vAlign w:val="bottom"/>
          </w:tcPr>
          <w:p>
            <w:pPr>
              <w:jc w:val="center"/>
              <w:ind w:right="1854"/>
              <w:spacing w:after="0"/>
              <w:rPr>
                <w:sz w:val="20"/>
                <w:szCs w:val="20"/>
                <w:color w:val="auto"/>
              </w:rPr>
            </w:pPr>
            <w:r>
              <w:rPr>
                <w:rFonts w:ascii="Arial" w:cs="Arial" w:eastAsia="Arial" w:hAnsi="Arial"/>
                <w:sz w:val="18"/>
                <w:szCs w:val="18"/>
                <w:b w:val="1"/>
                <w:bCs w:val="1"/>
                <w:color w:val="auto"/>
                <w:w w:val="99"/>
              </w:rPr>
              <w:t>CURAÇAO</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580" w:type="dxa"/>
            <w:vAlign w:val="bottom"/>
          </w:tcPr>
          <w:p>
            <w:pPr>
              <w:jc w:val="center"/>
              <w:ind w:right="1874"/>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100" w:type="dxa"/>
            <w:vAlign w:val="bottom"/>
          </w:tcPr>
          <w:p>
            <w:pPr>
              <w:jc w:val="center"/>
              <w:ind w:left="189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3"/>
              </w:rPr>
              <w:t>incorporation or organization)</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42 RUE SAINT-DOMINIQUE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PARIS, FRANCE</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75007</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6"/>
              </w:rPr>
              <w:t>5599 SAN FELIPE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7"/>
              </w:rPr>
              <w:t>HOUSTON, TEXAS, U.S.A.</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87"/>
              </w:rPr>
              <w:t>77056</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62 BUCKINGHAM GATE</w:t>
            </w:r>
          </w:p>
        </w:tc>
        <w:tc>
          <w:tcPr>
            <w:tcW w:w="3100" w:type="dxa"/>
            <w:vAlign w:val="bottom"/>
          </w:tcPr>
          <w:p>
            <w:pPr>
              <w:spacing w:after="0"/>
              <w:rPr>
                <w:sz w:val="24"/>
                <w:szCs w:val="24"/>
                <w:color w:val="auto"/>
              </w:rPr>
            </w:pPr>
          </w:p>
        </w:tc>
      </w:tr>
      <w:tr>
        <w:trPr>
          <w:trHeight w:val="234"/>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w w:val="98"/>
              </w:rPr>
              <w:t>PARKSTRAAT 83 THE HAGUE,</w:t>
            </w:r>
          </w:p>
        </w:tc>
        <w:tc>
          <w:tcPr>
            <w:tcW w:w="3100" w:type="dxa"/>
            <w:vAlign w:val="bottom"/>
          </w:tcPr>
          <w:p>
            <w:pPr>
              <w:spacing w:after="0"/>
              <w:rPr>
                <w:sz w:val="24"/>
                <w:szCs w:val="24"/>
                <w:color w:val="auto"/>
              </w:rPr>
            </w:pPr>
          </w:p>
        </w:tc>
      </w:tr>
      <w:tr>
        <w:trPr>
          <w:trHeight w:val="212"/>
        </w:trPr>
        <w:tc>
          <w:tcPr>
            <w:tcW w:w="4580" w:type="dxa"/>
            <w:vAlign w:val="bottom"/>
          </w:tcPr>
          <w:p>
            <w:pPr>
              <w:jc w:val="center"/>
              <w:ind w:right="1874"/>
              <w:spacing w:after="0"/>
              <w:rPr>
                <w:sz w:val="20"/>
                <w:szCs w:val="20"/>
                <w:color w:val="auto"/>
              </w:rPr>
            </w:pPr>
            <w:r>
              <w:rPr>
                <w:rFonts w:ascii="Arial" w:cs="Arial" w:eastAsia="Arial" w:hAnsi="Arial"/>
                <w:sz w:val="18"/>
                <w:szCs w:val="18"/>
                <w:b w:val="1"/>
                <w:bCs w:val="1"/>
                <w:color w:val="auto"/>
              </w:rPr>
              <w:t>THE NETHERLANDS</w:t>
            </w:r>
          </w:p>
        </w:tc>
        <w:tc>
          <w:tcPr>
            <w:tcW w:w="3100" w:type="dxa"/>
            <w:vAlign w:val="bottom"/>
          </w:tcPr>
          <w:p>
            <w:pPr>
              <w:jc w:val="center"/>
              <w:ind w:left="189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580" w:type="dxa"/>
            <w:vAlign w:val="bottom"/>
          </w:tcPr>
          <w:p>
            <w:pPr>
              <w:jc w:val="center"/>
              <w:ind w:right="1874"/>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100" w:type="dxa"/>
            <w:vAlign w:val="bottom"/>
          </w:tcPr>
          <w:p>
            <w:pPr>
              <w:jc w:val="center"/>
              <w:ind w:left="1897"/>
              <w:spacing w:after="0"/>
              <w:rPr>
                <w:sz w:val="20"/>
                <w:szCs w:val="20"/>
                <w:color w:val="auto"/>
              </w:rPr>
            </w:pPr>
            <w:r>
              <w:rPr>
                <w:rFonts w:ascii="Arial" w:cs="Arial" w:eastAsia="Arial" w:hAnsi="Arial"/>
                <w:sz w:val="14"/>
                <w:szCs w:val="14"/>
                <w:b w:val="1"/>
                <w:bCs w:val="1"/>
                <w:color w:val="auto"/>
                <w:w w:val="93"/>
              </w:rPr>
              <w:t>(Zip Codes)</w:t>
            </w:r>
          </w:p>
        </w:tc>
      </w:tr>
    </w:tbl>
    <w:p>
      <w:pPr>
        <w:spacing w:after="0" w:line="75"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449" w:right="239" w:bottom="1440" w:gutter="0" w:footer="0" w:header="0"/>
        </w:sectPr>
      </w:pPr>
    </w:p>
    <w:p>
      <w:pPr>
        <w:spacing w:after="0" w:line="136"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86" w:lineRule="exact"/>
        <w:rPr>
          <w:sz w:val="24"/>
          <w:szCs w:val="24"/>
          <w:color w:val="auto"/>
        </w:rPr>
      </w:pPr>
    </w:p>
    <w:p>
      <w:pPr>
        <w:sectPr>
          <w:pgSz w:w="11900" w:h="16838" w:orient="portrait"/>
          <w:cols w:equalWidth="0" w:num="3">
            <w:col w:w="4340" w:space="720"/>
            <w:col w:w="1700" w:space="720"/>
            <w:col w:w="3940"/>
          </w:cols>
          <w:pgMar w:left="240" w:top="449" w:right="239" w:bottom="1440" w:gutter="0" w:footer="0" w:header="0"/>
          <w:type w:val="continuous"/>
        </w:sectPr>
      </w:pPr>
    </w:p>
    <w:p>
      <w:pPr>
        <w:ind w:left="96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190" w:lineRule="exact"/>
        <w:rPr>
          <w:sz w:val="24"/>
          <w:szCs w:val="24"/>
          <w:color w:val="auto"/>
        </w:rPr>
      </w:pPr>
    </w:p>
    <w:p>
      <w:pPr>
        <w:sectPr>
          <w:pgSz w:w="11900" w:h="16838" w:orient="portrait"/>
          <w:cols w:equalWidth="0" w:num="3">
            <w:col w:w="4840" w:space="720"/>
            <w:col w:w="1980" w:space="720"/>
            <w:col w:w="3160"/>
          </w:cols>
          <w:pgMar w:left="240" w:top="449" w:right="239" w:bottom="1440" w:gutter="0" w:footer="0" w:header="0"/>
          <w:type w:val="continuous"/>
        </w:sectPr>
      </w:pPr>
    </w:p>
    <w:p>
      <w:pPr>
        <w:ind w:right="180"/>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20"/>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80" w:type="dxa"/>
            <w:vAlign w:val="bottom"/>
            <w:gridSpan w:val="3"/>
          </w:tcPr>
          <w:p>
            <w:pPr>
              <w:spacing w:after="0" w:line="184" w:lineRule="exact"/>
              <w:rPr>
                <w:sz w:val="20"/>
                <w:szCs w:val="20"/>
                <w:color w:val="auto"/>
              </w:rPr>
            </w:pPr>
            <w:r>
              <w:rPr>
                <w:rFonts w:ascii="Arial" w:cs="Arial" w:eastAsia="Arial" w:hAnsi="Arial"/>
                <w:sz w:val="16"/>
                <w:szCs w:val="16"/>
                <w:color w:val="auto"/>
                <w:w w:val="94"/>
              </w:rPr>
              <w:t xml:space="preserve">Indicate by check mark whether the registrant is a shell company (as defined in Rule 12b-2 of the Exchange Act).  Yes </w:t>
            </w:r>
            <w:r>
              <w:rPr>
                <w:rFonts w:ascii="MS PGothic" w:cs="MS PGothic" w:eastAsia="MS PGothic" w:hAnsi="MS PGothic"/>
                <w:sz w:val="16"/>
                <w:szCs w:val="16"/>
                <w:color w:val="auto"/>
                <w:w w:val="94"/>
              </w:rPr>
              <w:t>☐</w:t>
            </w:r>
          </w:p>
        </w:tc>
        <w:tc>
          <w:tcPr>
            <w:tcW w:w="3340" w:type="dxa"/>
            <w:vAlign w:val="bottom"/>
            <w:gridSpan w:val="3"/>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3"/>
        </w:trPr>
        <w:tc>
          <w:tcPr>
            <w:tcW w:w="8080" w:type="dxa"/>
            <w:vAlign w:val="bottom"/>
            <w:gridSpan w:val="3"/>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7"/>
        </w:trPr>
        <w:tc>
          <w:tcPr>
            <w:tcW w:w="382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Class</w:t>
            </w:r>
          </w:p>
        </w:tc>
        <w:tc>
          <w:tcPr>
            <w:tcW w:w="420" w:type="dxa"/>
            <w:vAlign w:val="bottom"/>
          </w:tcPr>
          <w:p>
            <w:pPr>
              <w:spacing w:after="0"/>
              <w:rPr>
                <w:sz w:val="24"/>
                <w:szCs w:val="24"/>
                <w:color w:val="auto"/>
              </w:rPr>
            </w:pPr>
          </w:p>
        </w:tc>
        <w:tc>
          <w:tcPr>
            <w:tcW w:w="29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Outstanding at September 30, 2019</w:t>
            </w:r>
          </w:p>
        </w:tc>
      </w:tr>
      <w:tr>
        <w:trPr>
          <w:trHeight w:val="224"/>
        </w:trPr>
        <w:tc>
          <w:tcPr>
            <w:tcW w:w="808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420" w:type="dxa"/>
            <w:vAlign w:val="bottom"/>
          </w:tcPr>
          <w:p>
            <w:pPr>
              <w:spacing w:after="0"/>
              <w:rPr>
                <w:sz w:val="19"/>
                <w:szCs w:val="19"/>
                <w:color w:val="auto"/>
              </w:rPr>
            </w:pPr>
          </w:p>
        </w:tc>
        <w:tc>
          <w:tcPr>
            <w:tcW w:w="242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1,384,389,267</w:t>
            </w:r>
          </w:p>
        </w:tc>
        <w:tc>
          <w:tcPr>
            <w:tcW w:w="500" w:type="dxa"/>
            <w:vAlign w:val="bottom"/>
          </w:tcPr>
          <w:p>
            <w:pPr>
              <w:spacing w:after="0"/>
              <w:rPr>
                <w:sz w:val="19"/>
                <w:szCs w:val="19"/>
                <w:color w:val="auto"/>
              </w:rPr>
            </w:pPr>
          </w:p>
        </w:tc>
      </w:tr>
      <w:tr>
        <w:trPr>
          <w:trHeight w:val="1404"/>
        </w:trPr>
        <w:tc>
          <w:tcPr>
            <w:tcW w:w="3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Quarter 2019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 I</w:t>
            </w:r>
          </w:p>
        </w:tc>
        <w:tc>
          <w:tcPr>
            <w:tcW w:w="964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80" w:type="dxa"/>
            <w:vAlign w:val="bottom"/>
            <w:vMerge w:val="continue"/>
          </w:tcPr>
          <w:p>
            <w:pPr>
              <w:spacing w:after="0"/>
              <w:rPr>
                <w:sz w:val="18"/>
                <w:szCs w:val="18"/>
                <w:color w:val="auto"/>
              </w:rPr>
            </w:pPr>
          </w:p>
        </w:tc>
        <w:tc>
          <w:tcPr>
            <w:tcW w:w="964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14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4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Controls and Procedures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964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4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73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Mine Safety Disclosures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4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3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300" w:top="36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60" w:type="dxa"/>
            <w:vAlign w:val="bottom"/>
            <w:gridSpan w:val="8"/>
          </w:tcPr>
          <w:p>
            <w:pPr>
              <w:ind w:left="200"/>
              <w:spacing w:after="0"/>
              <w:rPr>
                <w:sz w:val="20"/>
                <w:szCs w:val="20"/>
                <w:color w:val="auto"/>
              </w:rPr>
            </w:pPr>
            <w:r>
              <w:rPr>
                <w:rFonts w:ascii="Arial" w:cs="Arial" w:eastAsia="Arial" w:hAnsi="Arial"/>
                <w:sz w:val="14"/>
                <w:szCs w:val="14"/>
                <w:i w:val="1"/>
                <w:iCs w:val="1"/>
                <w:color w:val="auto"/>
                <w:w w:val="96"/>
              </w:rPr>
              <w:t>(Stated in millions, except per share amounts</w:t>
            </w: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Services</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6,332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6,345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18,390</w:t>
            </w:r>
          </w:p>
        </w:tc>
        <w:tc>
          <w:tcPr>
            <w:tcW w:w="16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i w:val="1"/>
                <w:iCs w:val="1"/>
                <w:color w:val="auto"/>
              </w:rPr>
              <w:t>Total Revenue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24,689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15,794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 &amp; other</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Income (loss) before taxes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(11,971)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(10,870)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Tax expense (benefit)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(598)</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(11,373)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(11,383)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(10,470)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(8.22)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(7.56)</w:t>
            </w: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(8.22)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(7.56)</w:t>
            </w: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Assuming dilution</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5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b w:val="1"/>
                <w:bCs w:val="1"/>
                <w:color w:val="auto"/>
              </w:rPr>
              <w:t>Third Quarter</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940" w:type="dxa"/>
            <w:vAlign w:val="bottom"/>
            <w:gridSpan w:val="2"/>
          </w:tcPr>
          <w:p>
            <w:pPr>
              <w:jc w:val="right"/>
              <w:ind w:right="5"/>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(11,373)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(10,450)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r>
      <w:tr>
        <w:trPr>
          <w:trHeight w:val="230"/>
        </w:trPr>
        <w:tc>
          <w:tcPr>
            <w:tcW w:w="532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arising during the period</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532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cash flow hedges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(31)</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(gain) loss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prior service credit</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w w:val="99"/>
              </w:rPr>
              <w:t>Income taxes on pension and other postretirement benefit plans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(11,398)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(10,397)</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5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(11,408)</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(10,417)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 30,</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(2019 - $238; 2018 - $249)</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8,332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4,341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1,186</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16,151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9,605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16,112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7,282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6,912</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57,990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10,364</w:t>
            </w:r>
          </w:p>
        </w:tc>
        <w:tc>
          <w:tcPr>
            <w:tcW w:w="3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12,483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16,333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3,155</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33,663</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13,012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Treasury stock</w:t>
            </w:r>
          </w:p>
        </w:tc>
        <w:tc>
          <w:tcPr>
            <w:tcW w:w="2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(3,641)</w:t>
            </w: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19,111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(4,569)</w:t>
            </w:r>
          </w:p>
        </w:tc>
        <w:tc>
          <w:tcPr>
            <w:tcW w:w="28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Schlumberger stockholders' equity</w:t>
            </w: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23,913</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24,327</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57,990</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5" w:name="page6"/>
    <w:bookmarkEnd w:id="5"/>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9"/>
        </w:trPr>
        <w:tc>
          <w:tcPr>
            <w:tcW w:w="7820" w:type="dxa"/>
            <w:vAlign w:val="bottom"/>
          </w:tcPr>
          <w:p>
            <w:pPr>
              <w:spacing w:after="0"/>
              <w:rPr>
                <w:sz w:val="24"/>
                <w:szCs w:val="24"/>
                <w:color w:val="auto"/>
              </w:rPr>
            </w:pPr>
          </w:p>
        </w:tc>
        <w:tc>
          <w:tcPr>
            <w:tcW w:w="36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00"/>
              <w:spacing w:after="0" w:line="155" w:lineRule="exact"/>
              <w:rPr>
                <w:sz w:val="20"/>
                <w:szCs w:val="20"/>
                <w:color w:val="auto"/>
              </w:rPr>
            </w:pPr>
            <w:r>
              <w:rPr>
                <w:rFonts w:ascii="Arial" w:cs="Arial" w:eastAsia="Arial" w:hAnsi="Arial"/>
                <w:sz w:val="14"/>
                <w:szCs w:val="14"/>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68"/>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(10,450)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income to cash provided by operating activities:</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Impairments and other charges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12,692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2,741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64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(833)</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4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Increase in receivables</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(429)</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inventories</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(400)</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(Increase) decrease in other current assets</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(127)</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other assets</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(266)</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(118)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7820" w:type="dxa"/>
            <w:vAlign w:val="bottom"/>
          </w:tcPr>
          <w:p>
            <w:pPr>
              <w:ind w:left="620"/>
              <w:spacing w:after="0"/>
              <w:rPr>
                <w:sz w:val="20"/>
                <w:szCs w:val="20"/>
                <w:color w:val="auto"/>
              </w:rPr>
            </w:pPr>
            <w:r>
              <w:rPr>
                <w:rFonts w:ascii="Arial" w:cs="Arial" w:eastAsia="Arial" w:hAnsi="Arial"/>
                <w:sz w:val="16"/>
                <w:szCs w:val="16"/>
                <w:color w:val="auto"/>
              </w:rPr>
              <w:t>Decrease in other liabilities</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(19)</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3,179</w:t>
            </w:r>
          </w:p>
        </w:tc>
        <w:tc>
          <w:tcPr>
            <w:tcW w:w="2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(1,230)</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SPM investments</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(526)</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(181)</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(21)</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Sale of investments, net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(88)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(1,808)</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2"/>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0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(2,077)</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repurchase program</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(278)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3,973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(3,396)</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3"/>
        </w:trPr>
        <w:tc>
          <w:tcPr>
            <w:tcW w:w="7820" w:type="dxa"/>
            <w:vAlign w:val="bottom"/>
          </w:tcPr>
          <w:p>
            <w:pPr>
              <w:ind w:left="380"/>
              <w:spacing w:after="0"/>
              <w:rPr>
                <w:sz w:val="20"/>
                <w:szCs w:val="20"/>
                <w:color w:val="auto"/>
              </w:rPr>
            </w:pPr>
            <w:r>
              <w:rPr>
                <w:rFonts w:ascii="Arial" w:cs="Arial" w:eastAsia="Arial" w:hAnsi="Arial"/>
                <w:sz w:val="16"/>
                <w:szCs w:val="16"/>
                <w:color w:val="auto"/>
              </w:rPr>
              <w:t>Net decrease in short-term borrowings</w:t>
            </w:r>
          </w:p>
        </w:tc>
        <w:tc>
          <w:tcPr>
            <w:tcW w:w="10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(44)</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(1,621)</w:t>
            </w:r>
          </w:p>
        </w:tc>
        <w:tc>
          <w:tcPr>
            <w:tcW w:w="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before translation effect</w:t>
            </w:r>
          </w:p>
        </w:tc>
        <w:tc>
          <w:tcPr>
            <w:tcW w:w="1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2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(250)</w:t>
            </w:r>
          </w:p>
        </w:tc>
        <w:tc>
          <w:tcPr>
            <w:tcW w:w="2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782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10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1,433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Cash, end of period</w:t>
            </w: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1,183</w:t>
            </w:r>
          </w:p>
        </w:tc>
        <w:tc>
          <w:tcPr>
            <w:tcW w:w="28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20" w:hanging="512"/>
        <w:spacing w:after="0"/>
        <w:tabs>
          <w:tab w:leader="none" w:pos="520" w:val="left"/>
        </w:tabs>
        <w:numPr>
          <w:ilvl w:val="0"/>
          <w:numId w:val="1"/>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2019 – September 30, 2019</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Issued</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2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3"/>
                <w:szCs w:val="13"/>
                <w:color w:val="auto"/>
              </w:rPr>
            </w:pPr>
          </w:p>
        </w:tc>
        <w:tc>
          <w:tcPr>
            <w:tcW w:w="112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2019</w:t>
            </w: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13,132</w:t>
            </w: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(4,006)</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31,658</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(4,622)</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36,586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(10,470)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(10,450)</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issued under employee stock purchase plan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(278)</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(278)</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329</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($1.50 per share)</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(2,077)</w:t>
            </w: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(2,077)</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(51)</w:t>
            </w:r>
          </w:p>
        </w:tc>
      </w:tr>
      <w:tr>
        <w:trPr>
          <w:trHeight w:val="156"/>
        </w:trPr>
        <w:tc>
          <w:tcPr>
            <w:tcW w:w="3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September 30, 2019</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13,012</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(3,641)</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19,111</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414</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24,327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1"/>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2018 – September 30, 2018</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Issued</w:t>
            </w: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7"/>
              </w:rPr>
              <w:t>In Treasury</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12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3"/>
                <w:szCs w:val="13"/>
                <w:color w:val="auto"/>
              </w:rPr>
            </w:pPr>
          </w:p>
        </w:tc>
        <w:tc>
          <w:tcPr>
            <w:tcW w:w="112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3"/>
                <w:szCs w:val="13"/>
                <w:color w:val="auto"/>
              </w:rPr>
            </w:pPr>
          </w:p>
        </w:tc>
        <w:tc>
          <w:tcPr>
            <w:tcW w:w="9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2018</w:t>
            </w:r>
          </w:p>
        </w:tc>
        <w:tc>
          <w:tcPr>
            <w:tcW w:w="1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12,975</w:t>
            </w:r>
          </w:p>
        </w:tc>
        <w:tc>
          <w:tcPr>
            <w:tcW w:w="2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(4,049)</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32,190</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(4,274)</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419</w:t>
            </w:r>
          </w:p>
        </w:tc>
        <w:tc>
          <w:tcPr>
            <w:tcW w:w="26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37,261</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(128)</w:t>
            </w: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(132)</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(300)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(300)</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declared ($1.50 per share)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(2,077)</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(2,077)</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w:t>
            </w: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September 30, 2018</w:t>
            </w:r>
          </w:p>
        </w:tc>
        <w:tc>
          <w:tcPr>
            <w:tcW w:w="1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13,058</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(3,924)</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31,712</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(4,313)</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36,948</w:t>
            </w:r>
          </w:p>
        </w:tc>
        <w:tc>
          <w:tcPr>
            <w:tcW w:w="100" w:type="dxa"/>
            <w:vAlign w:val="bottom"/>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13"/>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4"/>
                <w:szCs w:val="14"/>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4"/>
              </w:rPr>
              <w:t>Noncontrolling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b w:val="1"/>
                <w:bCs w:val="1"/>
                <w:color w:val="auto"/>
              </w:rPr>
              <w:t>July 1, 2019 – September 30, 2019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Issued</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July 1, 2019</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13,037</w:t>
            </w: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(3,827)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31,186</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(4,544)</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w:t>
            </w:r>
          </w:p>
        </w:tc>
        <w:tc>
          <w:tcPr>
            <w:tcW w:w="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36,273</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 (loss)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(11,383)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(11,373)</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(21)</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(4)</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(134)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(79)</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declared ($0.50 per share)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(692)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(692)</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(6)</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w:t>
            </w: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September 30, 2019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13,012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(3,641)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19,111</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(4,569)</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414</w:t>
            </w: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24,327</w:t>
            </w:r>
          </w:p>
        </w:tc>
        <w:tc>
          <w:tcPr>
            <w:tcW w:w="100" w:type="dxa"/>
            <w:vAlign w:val="bottom"/>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1"/>
        </w:trPr>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gridSpan w:val="13"/>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Retained</w:t>
            </w:r>
          </w:p>
        </w:tc>
        <w:tc>
          <w:tcPr>
            <w:tcW w:w="12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b w:val="1"/>
                <w:bCs w:val="1"/>
                <w:color w:val="auto"/>
              </w:rPr>
              <w:t>July 1, 2018 – September 30, 2018</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Issued</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95"/>
              </w:rPr>
              <w:t>In Treasury</w:t>
            </w:r>
          </w:p>
        </w:tc>
        <w:tc>
          <w:tcPr>
            <w:tcW w:w="1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w w:val="96"/>
              </w:rPr>
              <w:t>Earnings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40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7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July 1, 2018</w:t>
            </w:r>
          </w:p>
        </w:tc>
        <w:tc>
          <w:tcPr>
            <w:tcW w:w="1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13,030</w:t>
            </w:r>
          </w:p>
        </w:tc>
        <w:tc>
          <w:tcPr>
            <w:tcW w:w="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(4,001)</w:t>
            </w: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31,760</w:t>
            </w:r>
          </w:p>
        </w:tc>
        <w:tc>
          <w:tcPr>
            <w:tcW w:w="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(4,305)</w:t>
            </w:r>
          </w:p>
        </w:tc>
        <w:tc>
          <w:tcPr>
            <w:tcW w:w="24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ind w:right="3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w:t>
            </w: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gridSpan w:val="2"/>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36,897</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644</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(47)</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(3)</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FF0FC"/>
          </w:tcPr>
          <w:p>
            <w:pPr>
              <w:spacing w:after="0"/>
              <w:rPr>
                <w:sz w:val="14"/>
                <w:szCs w:val="14"/>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declared ($0.50 per share)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(692)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(692)</w:t>
            </w: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(9)</w:t>
            </w: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w:t>
            </w: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September 30, 2018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13,058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31,712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(4,313)</w:t>
            </w:r>
          </w:p>
        </w:tc>
        <w:tc>
          <w:tcPr>
            <w:tcW w:w="240" w:type="dxa"/>
            <w:vAlign w:val="bottom"/>
            <w:gridSpan w:val="2"/>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36,948</w:t>
            </w:r>
          </w:p>
        </w:tc>
        <w:tc>
          <w:tcPr>
            <w:tcW w:w="100" w:type="dxa"/>
            <w:vAlign w:val="bottom"/>
          </w:tcPr>
          <w:p>
            <w:pPr>
              <w:spacing w:after="0"/>
              <w:rPr>
                <w:sz w:val="13"/>
                <w:szCs w:val="13"/>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4"/>
        </w:trPr>
        <w:tc>
          <w:tcPr>
            <w:tcW w:w="672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 Treasury</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2019 are not necessarily indicative of the results that may be expected for the full year ending December 31, 2019. The December 31, 2018 balance sheet information has been derived from the Schlumberger 2018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2018, filed with the Securities and Exchange Commission on January 23,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29" w:lineRule="exact"/>
        <w:rPr>
          <w:sz w:val="20"/>
          <w:szCs w:val="20"/>
          <w:color w:val="auto"/>
        </w:rPr>
      </w:pPr>
    </w:p>
    <w:p>
      <w:pPr>
        <w:ind w:right="9560" w:firstLine="8"/>
        <w:spacing w:after="0" w:line="378" w:lineRule="auto"/>
        <w:tabs>
          <w:tab w:leader="none" w:pos="2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Charges and Credits </w:t>
      </w:r>
      <w:r>
        <w:rPr>
          <w:rFonts w:ascii="Arial" w:cs="Arial" w:eastAsia="Arial" w:hAnsi="Arial"/>
          <w:sz w:val="18"/>
          <w:szCs w:val="18"/>
          <w:b w:val="1"/>
          <w:bCs w:val="1"/>
          <w:color w:val="auto"/>
        </w:rPr>
        <w:t>2019</w:t>
      </w:r>
    </w:p>
    <w:p>
      <w:pPr>
        <w:spacing w:after="0"/>
        <w:rPr>
          <w:sz w:val="20"/>
          <w:szCs w:val="20"/>
          <w:color w:val="auto"/>
        </w:rPr>
      </w:pPr>
      <w:r>
        <w:rPr>
          <w:rFonts w:ascii="Arial" w:cs="Arial" w:eastAsia="Arial" w:hAnsi="Arial"/>
          <w:sz w:val="16"/>
          <w:szCs w:val="16"/>
          <w:color w:val="auto"/>
        </w:rPr>
        <w:t>In connection with the preparation of its third quarter 2019 financial statements, Schlumberger recorded the following charges, all of which are classified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Impairments &amp; other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Pretax</w:t>
            </w:r>
          </w:p>
        </w:tc>
        <w:tc>
          <w:tcPr>
            <w:tcW w:w="2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Tax</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8,828</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North America pressure pumping</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 North America-related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Argentina</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Equity-method investments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Schlumberger Production Management</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23"/>
        </w:trPr>
        <w:tc>
          <w:tcPr>
            <w:tcW w:w="67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760" w:hanging="374"/>
        <w:spacing w:after="0" w:line="26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August 2019, Schlumberger’s market capitalization deteriorated significantly compared to the end of the second quarter of 2019. Schlumberger’s stock price reached a low not seen since 2005. Additionally, the Philadelphia Oil Services Sector Index, which is comprised of companies involved in the oil services sector, reached an 18-year low.</w:t>
      </w:r>
    </w:p>
    <w:p>
      <w:pPr>
        <w:spacing w:after="0" w:line="181" w:lineRule="exact"/>
        <w:rPr>
          <w:rFonts w:ascii="Arial" w:cs="Arial" w:eastAsia="Arial" w:hAnsi="Arial"/>
          <w:sz w:val="18"/>
          <w:szCs w:val="18"/>
          <w:color w:val="auto"/>
        </w:rPr>
      </w:pPr>
    </w:p>
    <w:p>
      <w:pPr>
        <w:ind w:left="760" w:right="20"/>
        <w:spacing w:after="0" w:line="277" w:lineRule="auto"/>
        <w:rPr>
          <w:rFonts w:ascii="Arial" w:cs="Arial" w:eastAsia="Arial" w:hAnsi="Arial"/>
          <w:sz w:val="18"/>
          <w:szCs w:val="18"/>
          <w:color w:val="auto"/>
        </w:rPr>
      </w:pPr>
      <w:r>
        <w:rPr>
          <w:rFonts w:ascii="Arial" w:cs="Arial" w:eastAsia="Arial" w:hAnsi="Arial"/>
          <w:sz w:val="18"/>
          <w:szCs w:val="18"/>
          <w:color w:val="auto"/>
        </w:rPr>
        <w:t>As a result of these facts, Schlumberger determined that it was more likely than not that the fair value of certain of its reporting units were less than their carrying value. Therefore, Schlumberger performed an interim goodwill impairment test as of August 31, 2019.</w:t>
      </w:r>
    </w:p>
    <w:p>
      <w:pPr>
        <w:spacing w:after="0" w:line="170" w:lineRule="exact"/>
        <w:rPr>
          <w:rFonts w:ascii="Arial" w:cs="Arial" w:eastAsia="Arial" w:hAnsi="Arial"/>
          <w:sz w:val="18"/>
          <w:szCs w:val="18"/>
          <w:color w:val="auto"/>
        </w:rPr>
      </w:pPr>
    </w:p>
    <w:p>
      <w:pPr>
        <w:jc w:val="both"/>
        <w:ind w:left="760"/>
        <w:spacing w:after="0" w:line="297" w:lineRule="auto"/>
        <w:rPr>
          <w:rFonts w:ascii="Arial" w:cs="Arial" w:eastAsia="Arial" w:hAnsi="Arial"/>
          <w:sz w:val="18"/>
          <w:szCs w:val="18"/>
          <w:color w:val="auto"/>
        </w:rPr>
      </w:pPr>
      <w:r>
        <w:rPr>
          <w:rFonts w:ascii="Arial" w:cs="Arial" w:eastAsia="Arial" w:hAnsi="Arial"/>
          <w:sz w:val="16"/>
          <w:szCs w:val="16"/>
          <w:color w:val="auto"/>
        </w:rPr>
        <w:t>As of August 31, 2019, Schlumberger had 17 reporting units with goodwill balances aggregating $25.0 billion. Schlumberger determined that the fair value of seven of its reporting units, representing approximately $13.8 billion of the goodwill, was substantially in excess of their carrying value. Schlumberger performed a detailed quantitative impairment assessment of the remaining 10 reporting units, which represented $11.2 billion of goodwill. As a result of this assessment, Schlumberger concluded that the goodwill associated with nine of the 10 reporting units was impaired, resulting in an $8.8 billion goodwill impairment charge. This charge primarily relates to Schlumberger’s Drilling and Cameron segments.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both"/>
        <w:ind w:left="760"/>
        <w:spacing w:after="0" w:line="264" w:lineRule="auto"/>
        <w:rPr>
          <w:sz w:val="20"/>
          <w:szCs w:val="20"/>
          <w:color w:val="auto"/>
        </w:rPr>
      </w:pPr>
      <w:r>
        <w:rPr>
          <w:rFonts w:ascii="Arial" w:cs="Arial" w:eastAsia="Arial" w:hAnsi="Arial"/>
          <w:sz w:val="18"/>
          <w:szCs w:val="18"/>
          <w:color w:val="auto"/>
        </w:rPr>
        <w:t>Following the $8.8 billion goodwill impairment charge relating to these nine reporting units, only three had a remaining goodwill balance. These three reporting units had goodwill balances which ranged between $0.4 billion and $0.6 billion and aggregated to $1.5 billion as of August 31, 2019. The tenth reporting unit, which was determined not to be impaired, had $0.9 billion of goodwill.</w:t>
      </w:r>
    </w:p>
    <w:p>
      <w:pPr>
        <w:spacing w:after="0" w:line="181" w:lineRule="exact"/>
        <w:rPr>
          <w:sz w:val="20"/>
          <w:szCs w:val="20"/>
          <w:color w:val="auto"/>
        </w:rPr>
      </w:pPr>
    </w:p>
    <w:p>
      <w:pPr>
        <w:jc w:val="both"/>
        <w:ind w:left="760"/>
        <w:spacing w:after="0" w:line="276" w:lineRule="auto"/>
        <w:rPr>
          <w:sz w:val="20"/>
          <w:szCs w:val="20"/>
          <w:color w:val="auto"/>
        </w:rPr>
      </w:pPr>
      <w:r>
        <w:rPr>
          <w:rFonts w:ascii="Arial" w:cs="Arial" w:eastAsia="Arial" w:hAnsi="Arial"/>
          <w:sz w:val="17"/>
          <w:szCs w:val="17"/>
          <w:color w:val="auto"/>
        </w:rPr>
        <w:t>Schlumberger primarily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73"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actual results may differ from those used in Schlumberger’s valuations which could result in additional impairment charges in the future.</w:t>
      </w:r>
    </w:p>
    <w:p>
      <w:pPr>
        <w:spacing w:after="0" w:line="15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discount rates utilized to value Schlumberger’s reporting units were between 12.5% and 14.0%, depending on the risks and uncertainty inherent in the respective reporting unit. Assuming all other assumptions and inputs used in each of the respective discounted cash flow analysis were held constant, a 50 basis point increase in the discount rate assumption would have increased the goodwill impairment charge by approximately $0.3 billion. Conversely, assuming all other assumptions and inputs used in each of the respective discounted cash flow analysis were held constant, a 50 basis point decrease in the discount rate assumption would have decreased the goodwill impairment charge by approximately $0.4 billion.</w:t>
      </w:r>
    </w:p>
    <w:p>
      <w:pPr>
        <w:spacing w:after="0" w:line="193" w:lineRule="exact"/>
        <w:rPr>
          <w:sz w:val="20"/>
          <w:szCs w:val="20"/>
          <w:color w:val="auto"/>
        </w:rPr>
      </w:pPr>
    </w:p>
    <w:p>
      <w:pPr>
        <w:jc w:val="both"/>
        <w:ind w:left="760" w:right="20" w:hanging="374"/>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negative market indicators described above combined with deteriorating market conditions in North America, as well as the results of the previously mentioned fair value determinations of certain of Schlumberger’s reporting units and the appointment of a new Chief Executive Officer (as described below), were all triggering events that indicated that certain of Schlumberger’s long-lived tangible and intangible assets may be impaired.</w:t>
      </w:r>
    </w:p>
    <w:p>
      <w:pPr>
        <w:spacing w:after="0" w:line="186" w:lineRule="exact"/>
        <w:rPr>
          <w:rFonts w:ascii="Arial" w:cs="Arial" w:eastAsia="Arial" w:hAnsi="Arial"/>
          <w:sz w:val="18"/>
          <w:szCs w:val="18"/>
          <w:color w:val="auto"/>
        </w:rPr>
      </w:pPr>
    </w:p>
    <w:p>
      <w:pPr>
        <w:jc w:val="both"/>
        <w:ind w:left="760"/>
        <w:spacing w:after="0" w:line="256" w:lineRule="auto"/>
        <w:rPr>
          <w:rFonts w:ascii="Arial" w:cs="Arial" w:eastAsia="Arial" w:hAnsi="Arial"/>
          <w:sz w:val="18"/>
          <w:szCs w:val="18"/>
          <w:color w:val="auto"/>
        </w:rPr>
      </w:pPr>
      <w:r>
        <w:rPr>
          <w:rFonts w:ascii="Arial" w:cs="Arial" w:eastAsia="Arial" w:hAnsi="Arial"/>
          <w:sz w:val="18"/>
          <w:szCs w:val="18"/>
          <w:color w:val="auto"/>
        </w:rPr>
        <w:t>Recoverability testing, which was performed as of August 31, 2019, indicated that long-lived assets associated with certain asset groups were impaired. The estimated fair value of these asset groups was determined to be below their carrying value. As a result, Schlumberger recorded the following impairment and related charges:</w:t>
      </w:r>
    </w:p>
    <w:p>
      <w:pPr>
        <w:ind w:left="1520" w:hanging="378"/>
        <w:spacing w:after="0" w:line="250"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$1.085 billion of intangible assets, of which $842 million relates to Schlumberger’s 2010 acquisition of Smith International, Inc. The remaining $243 million primarily relates to other acquisitions in North America.</w:t>
      </w:r>
    </w:p>
    <w:p>
      <w:pPr>
        <w:jc w:val="both"/>
        <w:ind w:left="1520" w:hanging="378"/>
        <w:spacing w:after="0" w:line="250"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$1.575 billion of charges relating to Schlumberger’s pressure pumping business in North America. This amount consists of $1.324 billion of pressure pumping equipment and related assets; $98 million of right-of-use assets under operating leases; $121 million relating to a supply contract; $19 million of inventory; and $13 million of severance.</w:t>
      </w:r>
    </w:p>
    <w:p>
      <w:pPr>
        <w:spacing w:after="0" w:line="1" w:lineRule="exact"/>
        <w:rPr>
          <w:rFonts w:ascii="Arial" w:cs="Arial" w:eastAsia="Arial" w:hAnsi="Arial"/>
          <w:sz w:val="18"/>
          <w:szCs w:val="18"/>
          <w:color w:val="auto"/>
        </w:rPr>
      </w:pPr>
    </w:p>
    <w:p>
      <w:pPr>
        <w:ind w:left="1520" w:hanging="378"/>
        <w:spacing w:after="0" w:line="261"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$310 million of charges primarily relating to other businesses in North America, consisting of $230 million of fixed asset impairments, $70 million of inventory write-downs and $10 million of severance.</w:t>
      </w:r>
    </w:p>
    <w:p>
      <w:pPr>
        <w:spacing w:after="0" w:line="18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ongoing economic challenges in Argentina, Schlumberger recorded $127 million of charges during the third quarter of 2019. This consists of $72 million of asset impairments, a $26 million devaluation charge and $29 million of severance.</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also recorded the following impairment and restructuring charges:</w:t>
      </w:r>
    </w:p>
    <w:p>
      <w:pPr>
        <w:spacing w:after="0" w:line="157" w:lineRule="exact"/>
        <w:rPr>
          <w:rFonts w:ascii="Arial" w:cs="Arial" w:eastAsia="Arial" w:hAnsi="Arial"/>
          <w:sz w:val="18"/>
          <w:szCs w:val="18"/>
          <w:color w:val="auto"/>
        </w:rPr>
      </w:pPr>
    </w:p>
    <w:p>
      <w:pPr>
        <w:ind w:left="1520" w:hanging="378"/>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$231 million relating to certain equity method investments that were determined to be other-than-temporarily impaired.</w:t>
      </w:r>
    </w:p>
    <w:p>
      <w:pPr>
        <w:spacing w:after="0" w:line="23" w:lineRule="exact"/>
        <w:rPr>
          <w:rFonts w:ascii="Arial" w:cs="Arial" w:eastAsia="Arial" w:hAnsi="Arial"/>
          <w:sz w:val="18"/>
          <w:szCs w:val="18"/>
          <w:color w:val="auto"/>
        </w:rPr>
      </w:pPr>
    </w:p>
    <w:p>
      <w:pPr>
        <w:ind w:left="1520" w:hanging="378"/>
        <w:spacing w:after="0"/>
        <w:tabs>
          <w:tab w:leader="none" w:pos="1520" w:val="left"/>
        </w:tabs>
        <w:numPr>
          <w:ilvl w:val="1"/>
          <w:numId w:val="5"/>
        </w:numPr>
        <w:rPr>
          <w:rFonts w:ascii="Arial" w:cs="Arial" w:eastAsia="Arial" w:hAnsi="Arial"/>
          <w:sz w:val="17"/>
          <w:szCs w:val="17"/>
          <w:color w:val="auto"/>
        </w:rPr>
      </w:pPr>
      <w:r>
        <w:rPr>
          <w:rFonts w:ascii="Arial" w:cs="Arial" w:eastAsia="Arial" w:hAnsi="Arial"/>
          <w:sz w:val="17"/>
          <w:szCs w:val="17"/>
          <w:color w:val="auto"/>
        </w:rPr>
        <w:t>$294 million impairment relating to the carrying value of certain smaller Schlumberger Production Management (“SPM”) projects.</w:t>
      </w:r>
    </w:p>
    <w:p>
      <w:pPr>
        <w:spacing w:after="0" w:line="20" w:lineRule="exact"/>
        <w:rPr>
          <w:rFonts w:ascii="Arial" w:cs="Arial" w:eastAsia="Arial" w:hAnsi="Arial"/>
          <w:sz w:val="17"/>
          <w:szCs w:val="17"/>
          <w:color w:val="auto"/>
        </w:rPr>
      </w:pPr>
    </w:p>
    <w:p>
      <w:pPr>
        <w:jc w:val="both"/>
        <w:ind w:left="1520" w:hanging="378"/>
        <w:spacing w:after="0" w:line="255"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$242 million of restructuring charges consisting of: $62 million of severance; $57 million relating to the acceleration of stock-based compensation expense associated with certain individuals; $49 million of business divestiture costs; $29 million relating to the repurchase of certain Senior Notes (see Note 9 - </w:t>
      </w:r>
      <w:r>
        <w:rPr>
          <w:rFonts w:ascii="Arial" w:cs="Arial" w:eastAsia="Arial" w:hAnsi="Arial"/>
          <w:sz w:val="18"/>
          <w:szCs w:val="18"/>
          <w:i w:val="1"/>
          <w:iCs w:val="1"/>
          <w:color w:val="auto"/>
        </w:rPr>
        <w:t>Long-term Debt</w:t>
      </w:r>
      <w:r>
        <w:rPr>
          <w:rFonts w:ascii="Arial" w:cs="Arial" w:eastAsia="Arial" w:hAnsi="Arial"/>
          <w:sz w:val="18"/>
          <w:szCs w:val="18"/>
          <w:color w:val="auto"/>
        </w:rPr>
        <w:t>); and $45 million of other provisions.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certain of these impaired assets was estimated based on the present value of projected future cash flows that the underlying assets are expected to generate. Such estimates included unobservable inputs that required significant judgment.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Substantially all of the charges recorded during the third quarter of 2019 will not result in any future cash outflows.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2019, Schlumberger’s Board of Directors announced the appointment of a new Chief Executive Officer. As the new Chief Executive Officer further develops and implements his strategy, it may result in additional restructuring charges in future periods. Furthermore, Schlumberger may be required to record additional impairment charges if industry conditions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six months of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and third quarters of 2018.</w:t>
      </w:r>
    </w:p>
    <w:p>
      <w:pPr>
        <w:spacing w:after="0" w:line="329"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(loss) per share of Schlumberger to diluted earnings (loss)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8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6"/>
              </w:rPr>
              <w:t>(Stated in millions, except per share amounts)</w:t>
            </w:r>
          </w:p>
        </w:tc>
      </w:tr>
      <w:tr>
        <w:trPr>
          <w:trHeight w:val="4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color w:val="auto"/>
                <w:w w:val="89"/>
              </w:rPr>
              <w:t>2018</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Schlumberger</w:t>
            </w:r>
          </w:p>
        </w:tc>
        <w:tc>
          <w:tcPr>
            <w:tcW w:w="12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color w:val="auto"/>
                <w:w w:val="92"/>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Loss per</w:t>
            </w: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color w:val="auto"/>
                <w:w w:val="92"/>
              </w:rPr>
              <w:t>Net Income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6"/>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(Loss)</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Outstanding</w:t>
            </w: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color w:val="auto"/>
                <w:w w:val="89"/>
              </w:rPr>
              <w:t>(Loss)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92"/>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06"/>
        </w:trPr>
        <w:tc>
          <w:tcPr>
            <w:tcW w:w="20" w:type="dxa"/>
            <w:vAlign w:val="bottom"/>
          </w:tcPr>
          <w:p>
            <w:pPr>
              <w:spacing w:after="0"/>
              <w:rPr>
                <w:sz w:val="17"/>
                <w:szCs w:val="17"/>
                <w:color w:val="auto"/>
              </w:rPr>
            </w:pPr>
          </w:p>
        </w:tc>
        <w:tc>
          <w:tcPr>
            <w:tcW w:w="1120" w:type="dxa"/>
            <w:vAlign w:val="bottom"/>
            <w:tcBorders>
              <w:top w:val="single" w:sz="8" w:color="CFF0FC"/>
              <w:bottom w:val="single" w:sz="8" w:color="auto"/>
            </w:tcBorders>
            <w:gridSpan w:val="2"/>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95"/>
              </w:rPr>
              <w:t>Third Quarter</w:t>
            </w:r>
          </w:p>
        </w:tc>
        <w:tc>
          <w:tcPr>
            <w:tcW w:w="2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(11,383)</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tcPr>
          <w:p>
            <w:pPr>
              <w:spacing w:after="0"/>
              <w:rPr>
                <w:sz w:val="23"/>
                <w:szCs w:val="23"/>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(11,383)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(8.22)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color w:val="auto"/>
                <w:w w:val="89"/>
              </w:rPr>
              <w:t>2018</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Schlumberger</w:t>
            </w:r>
          </w:p>
        </w:tc>
        <w:tc>
          <w:tcPr>
            <w:tcW w:w="12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color w:val="auto"/>
                <w:w w:val="92"/>
              </w:rPr>
              <w:t>Schlumberger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7"/>
              </w:rPr>
              <w:t>Average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 Income</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7"/>
                <w:szCs w:val="17"/>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Loss per</w:t>
            </w: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color w:val="auto"/>
                <w:w w:val="92"/>
              </w:rPr>
              <w:t>Net Income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86"/>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Earnings per</w:t>
            </w:r>
          </w:p>
        </w:tc>
      </w:t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(Loss)</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Outstanding</w:t>
            </w: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Arial" w:cs="Arial" w:eastAsia="Arial" w:hAnsi="Arial"/>
                <w:sz w:val="16"/>
                <w:szCs w:val="16"/>
                <w:color w:val="auto"/>
                <w:w w:val="89"/>
              </w:rPr>
              <w:t>(Loss)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4"/>
              <w:spacing w:after="0"/>
              <w:rPr>
                <w:sz w:val="20"/>
                <w:szCs w:val="20"/>
                <w:color w:val="auto"/>
              </w:rPr>
            </w:pPr>
            <w:r>
              <w:rPr>
                <w:rFonts w:ascii="Arial" w:cs="Arial" w:eastAsia="Arial" w:hAnsi="Arial"/>
                <w:sz w:val="16"/>
                <w:szCs w:val="16"/>
                <w:color w:val="auto"/>
                <w:w w:val="92"/>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06"/>
        </w:trPr>
        <w:tc>
          <w:tcPr>
            <w:tcW w:w="20" w:type="dxa"/>
            <w:vAlign w:val="bottom"/>
          </w:tcPr>
          <w:p>
            <w:pPr>
              <w:spacing w:after="0"/>
              <w:rPr>
                <w:sz w:val="17"/>
                <w:szCs w:val="17"/>
                <w:color w:val="auto"/>
              </w:rPr>
            </w:pPr>
          </w:p>
        </w:tc>
        <w:tc>
          <w:tcPr>
            <w:tcW w:w="3280" w:type="dxa"/>
            <w:vAlign w:val="bottom"/>
            <w:tcBorders>
              <w:top w:val="single" w:sz="8" w:color="CFF0FC"/>
            </w:tcBorders>
            <w:gridSpan w:val="3"/>
            <w:shd w:val="clear" w:color="auto" w:fill="CFF0FC"/>
          </w:tcPr>
          <w:p>
            <w:pPr>
              <w:spacing w:after="0" w:line="186" w:lineRule="exact"/>
              <w:rPr>
                <w:sz w:val="20"/>
                <w:szCs w:val="20"/>
                <w:color w:val="auto"/>
              </w:rPr>
            </w:pPr>
            <w:r>
              <w:rPr>
                <w:rFonts w:ascii="Arial" w:cs="Arial" w:eastAsia="Arial" w:hAnsi="Arial"/>
                <w:sz w:val="18"/>
                <w:szCs w:val="18"/>
                <w:b w:val="1"/>
                <w:bCs w:val="1"/>
                <w:color w:val="auto"/>
              </w:rPr>
              <w:t>Nine Months</w:t>
            </w: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2300" w:type="dxa"/>
            <w:vAlign w:val="bottom"/>
            <w:tcBorders>
              <w:top w:val="single" w:sz="8" w:color="CFF0FC"/>
            </w:tcBorders>
            <w:gridSpan w:val="2"/>
          </w:tcPr>
          <w:p>
            <w:pPr>
              <w:spacing w:after="0"/>
              <w:rPr>
                <w:sz w:val="23"/>
                <w:szCs w:val="23"/>
                <w:color w:val="auto"/>
              </w:rPr>
            </w:pP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8"/>
                <w:szCs w:val="18"/>
                <w:b w:val="1"/>
                <w:bCs w:val="1"/>
                <w:color w:val="auto"/>
              </w:rPr>
              <w:t>(10,470)</w:t>
            </w:r>
          </w:p>
        </w:tc>
        <w:tc>
          <w:tcPr>
            <w:tcW w:w="1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tcBorders>
              <w:top w:val="single" w:sz="8" w:color="CFF0FC"/>
            </w:tcBorders>
          </w:tcPr>
          <w:p>
            <w:pPr>
              <w:spacing w:after="0"/>
              <w:rPr>
                <w:sz w:val="23"/>
                <w:szCs w:val="23"/>
                <w:color w:val="auto"/>
              </w:rPr>
            </w:pPr>
          </w:p>
        </w:tc>
        <w:tc>
          <w:tcPr>
            <w:tcW w:w="160" w:type="dxa"/>
            <w:vAlign w:val="bottom"/>
            <w:tcBorders>
              <w:top w:val="single" w:sz="8" w:color="CFF0FC"/>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8"/>
                <w:szCs w:val="18"/>
                <w:b w:val="1"/>
                <w:bCs w:val="1"/>
                <w:color w:val="auto"/>
              </w:rPr>
              <w:t>(7.56)</w:t>
            </w:r>
          </w:p>
        </w:tc>
        <w:tc>
          <w:tcPr>
            <w:tcW w:w="10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1,599</w:t>
            </w:r>
          </w:p>
        </w:tc>
        <w:tc>
          <w:tcPr>
            <w:tcW w:w="3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1,385</w:t>
            </w:r>
          </w:p>
        </w:tc>
        <w:tc>
          <w:tcPr>
            <w:tcW w:w="36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FF0FC"/>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(7.56)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9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554"/>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2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902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r>
      <w:tr>
        <w:trPr>
          <w:trHeight w:val="670"/>
        </w:trPr>
        <w:tc>
          <w:tcPr>
            <w:tcW w:w="7820" w:type="dxa"/>
            <w:vAlign w:val="bottom"/>
          </w:tcPr>
          <w:p>
            <w:pPr>
              <w:jc w:val="right"/>
              <w:ind w:right="1930"/>
              <w:spacing w:after="0"/>
              <w:rPr>
                <w:sz w:val="20"/>
                <w:szCs w:val="20"/>
                <w:color w:val="auto"/>
              </w:rPr>
            </w:pPr>
            <w:r>
              <w:rPr>
                <w:rFonts w:ascii="Arial" w:cs="Arial" w:eastAsia="Arial" w:hAnsi="Arial"/>
                <w:sz w:val="18"/>
                <w:szCs w:val="18"/>
                <w:color w:val="auto"/>
              </w:rPr>
              <w:t>11</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inventories, which are stated at the lower of average cost or net realizable value,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Sept.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486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4,341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10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10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Sept. 30,</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486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35,961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17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26,356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26,985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9,605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00" w:type="dxa"/>
            <w:vAlign w:val="bottom"/>
            <w:gridSpan w:val="3"/>
            <w:vMerge w:val="continue"/>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3"/>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8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spacing w:after="0"/>
              <w:rPr>
                <w:sz w:val="24"/>
                <w:szCs w:val="24"/>
                <w:color w:val="auto"/>
              </w:rPr>
            </w:pPr>
          </w:p>
        </w:tc>
        <w:tc>
          <w:tcPr>
            <w:tcW w:w="4860" w:type="dxa"/>
            <w:vAlign w:val="bottom"/>
            <w:tcBorders>
              <w:bottom w:val="single" w:sz="8" w:color="CFF0FC"/>
            </w:tcBorders>
          </w:tcPr>
          <w:p>
            <w:pPr>
              <w:spacing w:after="0"/>
              <w:rPr>
                <w:sz w:val="24"/>
                <w:szCs w:val="24"/>
                <w:color w:val="auto"/>
              </w:rPr>
            </w:pPr>
          </w:p>
        </w:tc>
        <w:tc>
          <w:tcPr>
            <w:tcW w:w="17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7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Arial" w:cs="Arial" w:eastAsia="Arial" w:hAnsi="Arial"/>
                <w:sz w:val="18"/>
                <w:szCs w:val="18"/>
                <w:color w:val="auto"/>
              </w:rPr>
              <w:t>Nine Months</w:t>
            </w:r>
          </w:p>
        </w:tc>
        <w:tc>
          <w:tcPr>
            <w:tcW w:w="2000" w:type="dxa"/>
            <w:vAlign w:val="bottom"/>
            <w:gridSpan w:val="3"/>
          </w:tcPr>
          <w:p>
            <w:pPr>
              <w:jc w:val="right"/>
              <w:ind w:right="125"/>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1,525</w:t>
            </w:r>
          </w:p>
        </w:tc>
        <w:tc>
          <w:tcPr>
            <w:tcW w:w="20" w:type="dxa"/>
            <w:vAlign w:val="bottom"/>
          </w:tcPr>
          <w:p>
            <w:pPr>
              <w:spacing w:after="0"/>
              <w:rPr>
                <w:sz w:val="20"/>
                <w:szCs w:val="20"/>
                <w:color w:val="auto"/>
              </w:rPr>
            </w:pPr>
          </w:p>
        </w:tc>
        <w:tc>
          <w:tcPr>
            <w:tcW w:w="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2019 was as follows:</w:t>
      </w:r>
    </w:p>
    <w:p>
      <w:pPr>
        <w:spacing w:after="0" w:line="234" w:lineRule="exact"/>
        <w:rPr>
          <w:sz w:val="20"/>
          <w:szCs w:val="20"/>
          <w:color w:val="auto"/>
        </w:rPr>
      </w:pPr>
    </w:p>
    <w:p>
      <w:pPr>
        <w:ind w:left="1018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420"/>
          </w:cols>
          <w:pgMar w:left="240" w:top="472"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2019</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100" w:hanging="1099"/>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601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181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875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5" w:lineRule="exact"/>
        <w:rPr>
          <w:sz w:val="20"/>
          <w:szCs w:val="20"/>
          <w:color w:val="auto"/>
        </w:rPr>
      </w:pPr>
    </w:p>
    <w:p>
      <w:pPr>
        <w:ind w:left="1100" w:hanging="1099"/>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875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875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720"/>
            <w:col w:w="1500"/>
          </w:cols>
          <w:pgMar w:left="240" w:top="472" w:right="239" w:bottom="1440" w:gutter="0" w:footer="0" w:header="0"/>
          <w:type w:val="continuous"/>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goodwill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3"/>
        </w:trPr>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Reservoir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40" w:type="dxa"/>
            <w:vAlign w:val="bottom"/>
          </w:tcPr>
          <w:p>
            <w:pPr>
              <w:spacing w:after="0"/>
              <w:rPr>
                <w:sz w:val="20"/>
                <w:szCs w:val="20"/>
                <w:color w:val="auto"/>
              </w:rPr>
            </w:pPr>
          </w:p>
        </w:tc>
        <w:tc>
          <w:tcPr>
            <w:tcW w:w="2240" w:type="dxa"/>
            <w:vAlign w:val="bottom"/>
            <w:gridSpan w:val="4"/>
          </w:tcPr>
          <w:p>
            <w:pPr>
              <w:ind w:left="900"/>
              <w:spacing w:after="0"/>
              <w:rPr>
                <w:sz w:val="20"/>
                <w:szCs w:val="20"/>
                <w:color w:val="auto"/>
              </w:rPr>
            </w:pPr>
            <w:r>
              <w:rPr>
                <w:rFonts w:ascii="Arial" w:cs="Arial" w:eastAsia="Arial" w:hAnsi="Arial"/>
                <w:sz w:val="18"/>
                <w:szCs w:val="18"/>
                <w:color w:val="auto"/>
              </w:rPr>
              <w:t>Characterization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Drilling</w:t>
            </w: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Production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Cameron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9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Impairment</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(8,828)</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Impact of changes in exchange rates and other</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1"/>
        </w:trPr>
        <w:tc>
          <w:tcPr>
            <w:tcW w:w="3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Sept. 30, 2019</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color w:val="auto"/>
                <w:w w:val="90"/>
              </w:rPr>
              <w:t>Dec. 31, 2018</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88"/>
              </w:rPr>
              <w:t>Gross</w:t>
            </w:r>
          </w:p>
        </w:tc>
        <w:tc>
          <w:tcPr>
            <w:tcW w:w="100" w:type="dxa"/>
            <w:vAlign w:val="bottom"/>
          </w:tcPr>
          <w:p>
            <w:pPr>
              <w:spacing w:after="0"/>
              <w:rPr>
                <w:sz w:val="17"/>
                <w:szCs w:val="17"/>
                <w:color w:val="auto"/>
              </w:rPr>
            </w:pPr>
          </w:p>
        </w:tc>
        <w:tc>
          <w:tcPr>
            <w:tcW w:w="1040" w:type="dxa"/>
            <w:vAlign w:val="bottom"/>
          </w:tcPr>
          <w:p>
            <w:pPr>
              <w:jc w:val="right"/>
              <w:ind w:right="53"/>
              <w:spacing w:after="0"/>
              <w:rPr>
                <w:sz w:val="20"/>
                <w:szCs w:val="20"/>
                <w:color w:val="auto"/>
              </w:rPr>
            </w:pPr>
            <w:r>
              <w:rPr>
                <w:rFonts w:ascii="Arial" w:cs="Arial" w:eastAsia="Arial" w:hAnsi="Arial"/>
                <w:sz w:val="16"/>
                <w:szCs w:val="16"/>
                <w:color w:val="auto"/>
                <w:w w:val="95"/>
              </w:rPr>
              <w:t>Accumulated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Net Book</w:t>
            </w:r>
          </w:p>
        </w:tc>
      </w:tr>
      <w:tr>
        <w:trPr>
          <w:trHeight w:val="246"/>
        </w:trPr>
        <w:tc>
          <w:tcPr>
            <w:tcW w:w="3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Book Value</w:t>
            </w: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color w:val="auto"/>
                <w:w w:val="92"/>
              </w:rPr>
              <w:t>Book Value</w:t>
            </w:r>
          </w:p>
        </w:tc>
        <w:tc>
          <w:tcPr>
            <w:tcW w:w="1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6"/>
                <w:szCs w:val="16"/>
                <w:color w:val="auto"/>
                <w:w w:val="98"/>
              </w:rPr>
              <w:t>Amortization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7"/>
              </w:rPr>
              <w:t>Value</w:t>
            </w:r>
          </w:p>
        </w:tc>
      </w:tr>
      <w:tr>
        <w:trPr>
          <w:trHeight w:val="226"/>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FF0FC"/>
          </w:tcPr>
          <w:p>
            <w:pPr>
              <w:spacing w:after="0"/>
              <w:rPr>
                <w:sz w:val="19"/>
                <w:szCs w:val="19"/>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9,728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2,446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7,282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400" w:type="dxa"/>
            <w:vAlign w:val="bottom"/>
            <w:tcBorders>
              <w:bottom w:val="single" w:sz="8" w:color="CFF0FC"/>
            </w:tcBorders>
          </w:tcPr>
          <w:p>
            <w:pPr>
              <w:spacing w:after="0"/>
              <w:rPr>
                <w:sz w:val="24"/>
                <w:szCs w:val="24"/>
                <w:color w:val="auto"/>
              </w:rPr>
            </w:pPr>
          </w:p>
        </w:tc>
        <w:tc>
          <w:tcPr>
            <w:tcW w:w="342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4"/>
                <w:szCs w:val="2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color w:val="auto"/>
              </w:rPr>
              <w:t>Nine Months</w:t>
            </w:r>
          </w:p>
        </w:tc>
        <w:tc>
          <w:tcPr>
            <w:tcW w:w="376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2019, amortization charged to income for the subsequent five years is estimated to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fourth quarter of 2019—$138 million; 2020—$528 million; 2021—$518 million; 2022—$515 million; 2023—$497 million; and 2024—$477 million.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3" w:name="page14"/>
    <w:bookmarkEnd w:id="13"/>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 30,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6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3.90%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2028</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4.20%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4.30%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2029</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3.75%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2026</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0.25%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2031</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2.20%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3.63%</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7.00%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2038</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4.50%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2021</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5.95%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2041</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3.60%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2022</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5.13%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2043</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2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6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FF0FC"/>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14,644</w:t>
            </w:r>
          </w:p>
        </w:tc>
        <w:tc>
          <w:tcPr>
            <w:tcW w:w="12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2019, Schlumberger issued €500 million of 0.00% Notes due 2024, €500 million of 0.25% Notes due 2027 and €500 million of 0.50% Notes due 2031.</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 September 2019, Schlumberger repurchased $783 million of its 3.00% Senior Notes due 2020 and $321 million of its 3.625% Senior Notes due 2022. Schlumberger paid a premium of $29 million in connection with these repurchases. This premium was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 (Loss)</w:t>
      </w:r>
      <w:r>
        <w:rPr>
          <w:rFonts w:ascii="Arial" w:cs="Arial" w:eastAsia="Arial" w:hAnsi="Arial"/>
          <w:sz w:val="18"/>
          <w:szCs w:val="18"/>
          <w:color w:val="auto"/>
        </w:rPr>
        <w:t>. (See Note 2 -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2019, Schlumberger completed a debt exchange offer, pursuant to which it issued $1.500 billion in principal of 3.90% Senior Notes due 2028 (the “New Notes”) in exchange for $401 million of 3.00% Senior Notes due 2020, $234 million of 3.63% Senior Notes due 2022 and $817 million of 4.00% Senior Notes due 2025. In connection with the exchange of principal, Schlumberger paid a premium of $48 million, substantially all of which was in the form of New Notes. This premium is being amortized as additional interest expense over the term of the New Notes.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September 30, 2019 and December 31, 2018, was $16.9 billion and $14.6 billion,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2019, Schlumberger had separate committed credit facility agreements aggregating $6.5 billion with commercial banks, of which $4.1 billion was available and unused. These committed facilities support commercial paper programs in the United States and Europe, of which $1.0 billion matures in February 2020, $2.0 billion matures in February 2023, $2.0 billion matures in February 2024 and $1.5 billion matures in July 2024. Interest rates and other terms of borrowing under these lines of credit vary by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 xml:space="preserve">Borrowings under Schlumberger’s commercial paper programs at September 30, 2019 were $2.4 billion, of which $0.3 billion was classified in </w:t>
      </w:r>
      <w:r>
        <w:rPr>
          <w:rFonts w:ascii="Arial" w:cs="Arial" w:eastAsia="Arial" w:hAnsi="Arial"/>
          <w:sz w:val="18"/>
          <w:szCs w:val="18"/>
          <w:i w:val="1"/>
          <w:iCs w:val="1"/>
          <w:color w:val="auto"/>
        </w:rPr>
        <w:t>Short-term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borrowings and current portion of long-term debt </w:t>
      </w:r>
      <w:r>
        <w:rPr>
          <w:rFonts w:ascii="Arial" w:cs="Arial" w:eastAsia="Arial" w:hAnsi="Arial"/>
          <w:sz w:val="18"/>
          <w:szCs w:val="18"/>
          <w:color w:val="auto"/>
        </w:rPr>
        <w:t>and the remaining $2.1 billion was classified in</w:t>
      </w:r>
      <w:r>
        <w:rPr>
          <w:rFonts w:ascii="Arial" w:cs="Arial" w:eastAsia="Arial" w:hAnsi="Arial"/>
          <w:sz w:val="18"/>
          <w:szCs w:val="18"/>
          <w:i w:val="1"/>
          <w:iCs w:val="1"/>
          <w:color w:val="auto"/>
        </w:rPr>
        <w:t xml:space="preserve"> Long-term Debt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December 31, 2018, borrowings under the commercial paper programs were $2.4 billion,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w:t>
      </w:r>
      <w:r>
        <w:rPr>
          <w:rFonts w:ascii="Arial" w:cs="Arial" w:eastAsia="Arial" w:hAnsi="Arial"/>
          <w:sz w:val="18"/>
          <w:szCs w:val="18"/>
          <w:color w:val="auto"/>
        </w:rPr>
        <w:t>.</w:t>
      </w:r>
    </w:p>
    <w:p>
      <w:pPr>
        <w:spacing w:after="0" w:line="29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Schlumberger is subject to interest rate risk on its debt and its investment portfolio. Schlumberger maintains an interest rate risk management strategy that uses a mix of variable and fixed rate debt combined with its investment portfolio, to mitigate the exposure to changes in interest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Schlumberger had fixed rate debt aggregating $14.0 billion and variable rate debt aggregating $2.7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generates revenue in more than 120 countries. Schlumberger’s functional currency is primarily the US dollar. However, outside the United States, a significant portion of Schlumberger’s expenses are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 reclassified</w:t>
      </w:r>
      <w:r>
        <w:rPr>
          <w:rFonts w:ascii="Arial" w:cs="Arial" w:eastAsia="Arial" w:hAnsi="Arial"/>
          <w:sz w:val="17"/>
          <w:szCs w:val="17"/>
          <w:i w:val="1"/>
          <w:iCs w:val="1"/>
          <w:color w:val="auto"/>
        </w:rPr>
        <w:t xml:space="preserve"> </w:t>
      </w:r>
      <w:r>
        <w:rPr>
          <w:rFonts w:ascii="Arial" w:cs="Arial" w:eastAsia="Arial" w:hAnsi="Arial"/>
          <w:sz w:val="17"/>
          <w:szCs w:val="17"/>
          <w:color w:val="auto"/>
        </w:rPr>
        <w:t>into earnings in the same period or periods that the hedged item is recognized in earnings.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is also exposed to risks on future cash flows relating to certain of its fixed rate debt denominated in currencies other than the functional currency. Schlumberger uses cross-currency swaps to provide a hedge against these cash flow risks.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2017, a Canadian-dollar functional currency subsidiary of Schlumberger issued $1.1 billion of US-dollar denominated debt. Schlumberger entered into cross-currency swaps for an aggregate notional amount of $1.1 billion in order to hedge changes in the fair value of its $0.5 billion of 2.20% Senior Notes due 2020 and its $0.6 billion of 2.65% Senior Notes due 2022. These cross-currency swaps effectively convert the US-dollar denominated notes to Canadian-dollar denominated debt with fixed annual interest rates of 1.97% and 2.52%,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third quarter of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as are changes in fair value of the hedged item.</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2019, contracts were outstanding for the US dollar equivalent of $6.8 billion in various foreign currencies, of which $2.8 billion relates to hedges of debt denominated in currencies other than the functional currency.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September 30, 2019, Schlumberger recognized a cumulative $37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changes in the fair value of foreign currency forward contracts and cross-currency swaps.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 xml:space="preserve">The effect of derivative instruments designated as fair value and cash flow hedges, and those not designated as hedges, on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Income </w:t>
      </w:r>
      <w:r>
        <w:rPr>
          <w:rFonts w:ascii="Arial" w:cs="Arial" w:eastAsia="Arial" w:hAnsi="Arial"/>
          <w:sz w:val="18"/>
          <w:szCs w:val="18"/>
          <w:color w:val="auto"/>
        </w:rPr>
        <w:t>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4"/>
                <w:szCs w:val="14"/>
                <w:i w:val="1"/>
                <w:iCs w:val="1"/>
                <w:color w:val="auto"/>
                <w:w w:val="95"/>
              </w:rPr>
              <w:t>(Stated in millions)</w:t>
            </w: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1"/>
          </w:tcPr>
          <w:p>
            <w:pPr>
              <w:jc w:val="right"/>
              <w:ind w:right="550"/>
              <w:spacing w:after="0"/>
              <w:rPr>
                <w:sz w:val="20"/>
                <w:szCs w:val="20"/>
                <w:color w:val="auto"/>
              </w:rPr>
            </w:pPr>
            <w:r>
              <w:rPr>
                <w:rFonts w:ascii="Arial" w:cs="Arial" w:eastAsia="Arial" w:hAnsi="Arial"/>
                <w:sz w:val="16"/>
                <w:szCs w:val="16"/>
                <w:b w:val="1"/>
                <w:bCs w:val="1"/>
                <w:color w:val="auto"/>
                <w:w w:val="94"/>
              </w:rPr>
              <w:t>Gain (Loss) Recognized in Income (Loss)</w:t>
            </w:r>
          </w:p>
        </w:tc>
        <w:tc>
          <w:tcPr>
            <w:tcW w:w="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Borders>
              <w:bottom w:val="single" w:sz="8" w:color="auto"/>
            </w:tcBorders>
            <w:gridSpan w:val="4"/>
          </w:tcPr>
          <w:p>
            <w:pPr>
              <w:jc w:val="right"/>
              <w:ind w:right="224"/>
              <w:spacing w:after="0"/>
              <w:rPr>
                <w:sz w:val="20"/>
                <w:szCs w:val="20"/>
                <w:color w:val="auto"/>
              </w:rPr>
            </w:pPr>
            <w:r>
              <w:rPr>
                <w:rFonts w:ascii="Arial" w:cs="Arial" w:eastAsia="Arial" w:hAnsi="Arial"/>
                <w:sz w:val="16"/>
                <w:szCs w:val="16"/>
                <w:b w:val="1"/>
                <w:bCs w:val="1"/>
                <w:color w:val="auto"/>
              </w:rPr>
              <w:t>Third Quarter</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6"/>
                <w:szCs w:val="16"/>
                <w:b w:val="1"/>
                <w:bCs w:val="1"/>
                <w:color w:val="auto"/>
              </w:rPr>
              <w:t>Nine Months</w:t>
            </w:r>
          </w:p>
        </w:tc>
        <w:tc>
          <w:tcPr>
            <w:tcW w:w="2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32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Consolidated Statement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Arial" w:cs="Arial" w:eastAsia="Arial" w:hAnsi="Arial"/>
                <w:sz w:val="16"/>
                <w:szCs w:val="16"/>
                <w:color w:val="auto"/>
              </w:rPr>
              <w:t>Income (Loss) Classification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6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Cross currency swaps</w:t>
            </w:r>
          </w:p>
        </w:tc>
        <w:tc>
          <w:tcPr>
            <w:tcW w:w="1320" w:type="dxa"/>
            <w:vAlign w:val="bottom"/>
            <w:gridSpan w:val="2"/>
          </w:tcPr>
          <w:p>
            <w:pPr>
              <w:jc w:val="right"/>
              <w:ind w:right="56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3"/>
                <w:szCs w:val="23"/>
                <w:color w:val="auto"/>
              </w:rPr>
            </w:pPr>
          </w:p>
        </w:tc>
        <w:tc>
          <w:tcPr>
            <w:tcW w:w="8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280" w:type="dxa"/>
            <w:vAlign w:val="bottom"/>
            <w:gridSpan w:val="2"/>
          </w:tcPr>
          <w:p>
            <w:pPr>
              <w:ind w:left="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Derivatives designated as cash flow hedges:</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contracts</w:t>
            </w:r>
          </w:p>
        </w:tc>
        <w:tc>
          <w:tcPr>
            <w:tcW w:w="132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w:t>
            </w:r>
          </w:p>
        </w:tc>
        <w:tc>
          <w:tcPr>
            <w:tcW w:w="700" w:type="dxa"/>
            <w:vAlign w:val="bottom"/>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w:t>
            </w:r>
          </w:p>
        </w:tc>
        <w:tc>
          <w:tcPr>
            <w:tcW w:w="8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ind w:left="80"/>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Cross currency swaps</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7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600" w:type="dxa"/>
            <w:vAlign w:val="bottom"/>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19"/>
                <w:szCs w:val="19"/>
                <w:color w:val="auto"/>
              </w:rPr>
            </w:pPr>
          </w:p>
        </w:tc>
        <w:tc>
          <w:tcPr>
            <w:tcW w:w="60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jc w:val="right"/>
              <w:ind w:right="562"/>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w:t>
            </w:r>
          </w:p>
        </w:tc>
        <w:tc>
          <w:tcPr>
            <w:tcW w:w="700" w:type="dxa"/>
            <w:vAlign w:val="bottom"/>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(32)</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Derivatives not designated as hedges:</w:t>
            </w:r>
          </w:p>
        </w:tc>
        <w:tc>
          <w:tcPr>
            <w:tcW w:w="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32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w:t>
            </w:r>
          </w:p>
        </w:tc>
        <w:tc>
          <w:tcPr>
            <w:tcW w:w="88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ind w:left="80"/>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Third Quarter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720"/>
              <w:spacing w:after="0"/>
              <w:rPr>
                <w:sz w:val="20"/>
                <w:szCs w:val="20"/>
                <w:color w:val="auto"/>
              </w:rPr>
            </w:pPr>
            <w:r>
              <w:rPr>
                <w:rFonts w:ascii="Arial" w:cs="Arial" w:eastAsia="Arial" w:hAnsi="Arial"/>
                <w:sz w:val="18"/>
                <w:szCs w:val="18"/>
                <w:color w:val="auto"/>
              </w:rPr>
              <w:t>Third Quarter 2018</w:t>
            </w: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10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Before</w:t>
            </w: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right="20" w:hanging="512"/>
        <w:spacing w:after="0" w:line="193" w:lineRule="auto"/>
        <w:tabs>
          <w:tab w:leader="none" w:pos="52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2019; $2 million in 2018).</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($9 million in 2019; $8 million in 2018).</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Nine Months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2018</w:t>
            </w: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2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Before</w:t>
            </w: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4,669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(699)</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(433)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right="20" w:hanging="512"/>
        <w:spacing w:after="0" w:line="193" w:lineRule="auto"/>
        <w:tabs>
          <w:tab w:leader="none" w:pos="52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($6 million in 2019; $7 million in 2018).</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($29 million in both 2019 and 2018).</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3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tcPr>
          <w:p>
            <w:pPr>
              <w:spacing w:after="0"/>
              <w:rPr>
                <w:sz w:val="19"/>
                <w:szCs w:val="19"/>
                <w:color w:val="auto"/>
              </w:rPr>
            </w:pPr>
          </w:p>
        </w:tc>
        <w:tc>
          <w:tcPr>
            <w:tcW w:w="2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8,389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5,665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7,343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171</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24,689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3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4"/>
              </w:rPr>
              <w:t>Third Quarter 2019</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Eliminations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America</w:t>
            </w: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2,470</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3,153</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1,363</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(96)</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8,541</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9"/>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92"/>
              </w:rPr>
              <w:t>Third Quarter 2018</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North</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1"/>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2019</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Eliminations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America</w:t>
            </w: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4,669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7,279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4,218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9,120</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3,949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(328)</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24,689</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69"/>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color w:val="auto"/>
                <w:w w:val="93"/>
              </w:rPr>
              <w:t>Nine Months 2018</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North</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America</w:t>
            </w:r>
          </w:p>
        </w:tc>
        <w:tc>
          <w:tcPr>
            <w:tcW w:w="12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International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&amp; 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9,458</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4,175</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(388)</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24,636</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September 30, 2019 and December 31, 2018.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$2.6 billion at September 30, 2019, of which approximately 60% is expected to be recognized as revenue over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 xml:space="preserve">Billings and cash collections in excess of revenue was $0.9 billion at both September 30, 2019 and December 31, 2018. Such amounts are included within </w:t>
      </w: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275"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(credit)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Third Quarter</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Int'l</w:t>
            </w:r>
          </w:p>
        </w:tc>
        <w:tc>
          <w:tcPr>
            <w:tcW w:w="200" w:type="dxa"/>
            <w:vAlign w:val="bottom"/>
          </w:tcPr>
          <w:p>
            <w:pPr>
              <w:spacing w:after="0"/>
              <w:rPr>
                <w:sz w:val="19"/>
                <w:szCs w:val="19"/>
                <w:color w:val="auto"/>
              </w:rPr>
            </w:pPr>
          </w:p>
        </w:tc>
        <w:tc>
          <w:tcPr>
            <w:tcW w:w="52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US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Int'l</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rPr>
              <w:t>US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Int'l</w:t>
            </w:r>
          </w:p>
        </w:tc>
        <w:tc>
          <w:tcPr>
            <w:tcW w:w="200" w:type="dxa"/>
            <w:vAlign w:val="bottom"/>
          </w:tcPr>
          <w:p>
            <w:pPr>
              <w:spacing w:after="0"/>
              <w:rPr>
                <w:sz w:val="19"/>
                <w:szCs w:val="19"/>
                <w:color w:val="auto"/>
              </w:rPr>
            </w:pPr>
          </w:p>
        </w:tc>
        <w:tc>
          <w:tcPr>
            <w:tcW w:w="940" w:type="dxa"/>
            <w:vAlign w:val="bottom"/>
            <w:gridSpan w:val="4"/>
          </w:tcPr>
          <w:p>
            <w:pPr>
              <w:jc w:val="right"/>
              <w:ind w:right="420"/>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Int'l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5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35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right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w:t>
            </w:r>
          </w:p>
        </w:tc>
        <w:tc>
          <w:tcPr>
            <w:tcW w:w="2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right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79"/>
              </w:rPr>
              <w:t>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(58)</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3"/>
              </w:rPr>
              <w:t>(61)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(173)</w:t>
            </w:r>
          </w:p>
        </w:tc>
        <w:tc>
          <w:tcPr>
            <w:tcW w:w="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(446)</w:t>
            </w:r>
          </w:p>
        </w:tc>
        <w:tc>
          <w:tcPr>
            <w:tcW w:w="460" w:type="dxa"/>
            <w:vAlign w:val="bottom"/>
            <w:tcBorders>
              <w:right w:val="single" w:sz="8" w:color="CFF0FC"/>
            </w:tcBorders>
            <w:shd w:val="clear" w:color="auto" w:fill="CFF0FC"/>
          </w:tcPr>
          <w:p>
            <w:pPr>
              <w:spacing w:after="0"/>
              <w:rPr>
                <w:sz w:val="19"/>
                <w:szCs w:val="19"/>
                <w:color w:val="auto"/>
              </w:rPr>
            </w:pPr>
          </w:p>
        </w:tc>
        <w:tc>
          <w:tcPr>
            <w:tcW w:w="4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0"/>
              </w:rPr>
              <w:t>(186)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35</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right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480" w:type="dxa"/>
            <w:vAlign w:val="bottom"/>
            <w:gridSpan w:val="26"/>
          </w:tcPr>
          <w:p>
            <w:pPr>
              <w:spacing w:after="0"/>
              <w:rPr>
                <w:sz w:val="20"/>
                <w:szCs w:val="20"/>
                <w:color w:val="auto"/>
              </w:rPr>
            </w:pPr>
            <w:r>
              <w:rPr>
                <w:rFonts w:ascii="Arial" w:cs="Arial" w:eastAsia="Arial" w:hAnsi="Arial"/>
                <w:sz w:val="18"/>
                <w:szCs w:val="18"/>
                <w:color w:val="auto"/>
                <w:w w:val="99"/>
              </w:rPr>
              <w:t>The net periodic benefit credit for the Schlumberger US postretirement medical plan included the following components: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right"/>
              <w:ind w:right="490"/>
              <w:spacing w:after="0"/>
              <w:rPr>
                <w:sz w:val="20"/>
                <w:szCs w:val="20"/>
                <w:color w:val="auto"/>
              </w:rPr>
            </w:pPr>
            <w:r>
              <w:rPr>
                <w:rFonts w:ascii="Arial" w:cs="Arial" w:eastAsia="Arial" w:hAnsi="Arial"/>
                <w:sz w:val="18"/>
                <w:szCs w:val="18"/>
                <w:b w:val="1"/>
                <w:bCs w:val="1"/>
                <w:color w:val="auto"/>
              </w:rPr>
              <w:t>Third Quarter</w:t>
            </w: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2"/>
              </w:rPr>
              <w:t>Nine Months</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2018</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4"/>
            <w:shd w:val="clear" w:color="auto" w:fill="CFF0FC"/>
          </w:tcPr>
          <w:p>
            <w:pPr>
              <w:jc w:val="right"/>
              <w:ind w:right="9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w w:val="90"/>
              </w:rPr>
              <w:t>(7)</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gridSpan w:val="2"/>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w:t>
            </w:r>
          </w:p>
        </w:tc>
        <w:tc>
          <w:tcPr>
            <w:tcW w:w="160" w:type="dxa"/>
            <w:vAlign w:val="bottom"/>
            <w:vMerge w:val="continue"/>
            <w:shd w:val="clear" w:color="auto" w:fill="CFF0FC"/>
          </w:tcPr>
          <w:p>
            <w:pPr>
              <w:spacing w:after="0"/>
              <w:rPr>
                <w:sz w:val="19"/>
                <w:szCs w:val="19"/>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tcBorders>
              <w:right w:val="single" w:sz="8" w:color="CFF0FC"/>
            </w:tcBorders>
            <w:gridSpan w:val="3"/>
            <w:shd w:val="clear" w:color="auto" w:fill="CFF0FC"/>
          </w:tcPr>
          <w:p>
            <w:pPr>
              <w:jc w:val="right"/>
              <w:ind w:right="90"/>
              <w:spacing w:after="0"/>
              <w:rPr>
                <w:sz w:val="20"/>
                <w:szCs w:val="20"/>
                <w:color w:val="auto"/>
              </w:rPr>
            </w:pPr>
            <w:r>
              <w:rPr>
                <w:rFonts w:ascii="Arial" w:cs="Arial" w:eastAsia="Arial" w:hAnsi="Arial"/>
                <w:sz w:val="18"/>
                <w:szCs w:val="18"/>
                <w:color w:val="auto"/>
                <w:w w:val="90"/>
              </w:rPr>
              <w:t>(3)</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FF0FC"/>
          </w:tcPr>
          <w:p>
            <w:pPr>
              <w:spacing w:after="0"/>
              <w:rPr>
                <w:sz w:val="19"/>
                <w:szCs w:val="19"/>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2019 Compared to Second Quarter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Third Quarter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4"/>
          </w:tcPr>
          <w:p>
            <w:pPr>
              <w:jc w:val="right"/>
              <w:ind w:right="113"/>
              <w:spacing w:after="0"/>
              <w:rPr>
                <w:sz w:val="20"/>
                <w:szCs w:val="20"/>
                <w:color w:val="auto"/>
              </w:rPr>
            </w:pPr>
            <w:r>
              <w:rPr>
                <w:rFonts w:ascii="Arial" w:cs="Arial" w:eastAsia="Arial" w:hAnsi="Arial"/>
                <w:sz w:val="18"/>
                <w:szCs w:val="18"/>
                <w:color w:val="auto"/>
              </w:rPr>
              <w:t>Second Quarter 2019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2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center"/>
              <w:ind w:left="233"/>
              <w:spacing w:after="0"/>
              <w:rPr>
                <w:sz w:val="20"/>
                <w:szCs w:val="20"/>
                <w:color w:val="auto"/>
              </w:rPr>
            </w:pPr>
            <w:r>
              <w:rPr>
                <w:rFonts w:ascii="Arial" w:cs="Arial" w:eastAsia="Arial" w:hAnsi="Arial"/>
                <w:sz w:val="18"/>
                <w:szCs w:val="18"/>
                <w:color w:val="auto"/>
                <w:w w:val="90"/>
              </w:rPr>
              <w:t>Before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840" w:type="dxa"/>
            <w:vAlign w:val="bottom"/>
          </w:tcPr>
          <w:p>
            <w:pPr>
              <w:jc w:val="center"/>
              <w:ind w:left="253"/>
              <w:spacing w:after="0"/>
              <w:rPr>
                <w:sz w:val="20"/>
                <w:szCs w:val="20"/>
                <w:color w:val="auto"/>
              </w:rPr>
            </w:pPr>
            <w:r>
              <w:rPr>
                <w:rFonts w:ascii="Arial" w:cs="Arial" w:eastAsia="Arial" w:hAnsi="Arial"/>
                <w:sz w:val="18"/>
                <w:szCs w:val="18"/>
                <w:color w:val="auto"/>
                <w:w w:val="85"/>
              </w:rPr>
              <w:t>Taxes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300</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235</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165</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968</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(238)</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(146)</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20" w:hanging="512"/>
        <w:spacing w:after="0" w:line="193" w:lineRule="auto"/>
        <w:tabs>
          <w:tab w:leader="none" w:pos="52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Q3 2019; $2 million in Q2 2019).</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($9 million in Q3 2019; $10 million in Q2 2019).</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Third-quarter revenue of $8.5 billion increased 3% sequentially with North America revenue of $2.8 billion increasing 2%, while international revenue of $5.6 billion increased 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revenue increased 3% sequentially, led by Europe/CIS/Africa where revenue increased 9% sequentially driven by the peak summer activity campaigns in the Northern Hemisphere as well as the start of new projects in Africa. Sequential international revenue growth was also driven by double-digit growth in Asia. Latin America revenue decreased 9% sequentially on lower activity in Argentina and Mexico. International activity in the fourth quarter will be affected by the usual winter slowdown, particularly in the Northern Hemisphere.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North America revenue improved 2% sequentially, driven by WesternGeco</w:t>
      </w:r>
      <w:r>
        <w:rPr>
          <w:rFonts w:ascii="Arial" w:cs="Arial" w:eastAsia="Arial" w:hAnsi="Arial"/>
          <w:sz w:val="13"/>
          <w:szCs w:val="13"/>
          <w:color w:val="auto"/>
        </w:rPr>
        <w:t>®</w:t>
      </w:r>
      <w:r>
        <w:rPr>
          <w:rFonts w:ascii="Arial" w:cs="Arial" w:eastAsia="Arial" w:hAnsi="Arial"/>
          <w:sz w:val="16"/>
          <w:szCs w:val="16"/>
          <w:color w:val="auto"/>
        </w:rPr>
        <w:t xml:space="preserve"> multiclient seismic license sales. Land revenue was slightly higher as a modest increase in OneStim</w:t>
      </w:r>
      <w:r>
        <w:rPr>
          <w:rFonts w:ascii="Arial" w:cs="Arial" w:eastAsia="Arial" w:hAnsi="Arial"/>
          <w:sz w:val="13"/>
          <w:szCs w:val="13"/>
          <w:color w:val="auto"/>
        </w:rPr>
        <w:t>®</w:t>
      </w:r>
      <w:r>
        <w:rPr>
          <w:rFonts w:ascii="Arial" w:cs="Arial" w:eastAsia="Arial" w:hAnsi="Arial"/>
          <w:sz w:val="16"/>
          <w:szCs w:val="16"/>
          <w:color w:val="auto"/>
        </w:rPr>
        <w:t xml:space="preserve"> activity was off-set by softer pricing while land drilling revenue was essentially flat despite the lower rig count. As Schlumberger exited the third quarter, OneStim activity decelerated as frac programs were either deferred or cancelled due to customer budget and cash flow constraints.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quarter’s results reflected a macro environment of slowing production growth rate in North American land as operators maintained capital discipline and reduced drilling and frac activity. Year-to-date high single-digit international revenue growth continues to be underpinned by international investment levels. Market uncertainty, however, is weighing on future oil demand outlook in a climate where trade concerns are seen as challenging global economic growth.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Reservoir Characterization revenue of $1.7 billion increased 6% sequentially due to peak summer activity campaigns. Growth was led by Wireline international activity, increased Integrated Service Management (ISM) project activity in India and higher WesternGeco multiclient seismic license sales in North America.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Reservoir Characterization pretax operating margin of 22% was 149 basis points (bps) higher sequentially due to the peak summer campaign for Wireline and stronger WesternGeco multiclient seismic license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Drilling revenue of $2.5 billion increased 2% sequentially led by stronger international activity in Russia from the peak summer drilling campaign that mainly benefited Drilling &amp; Measurements. Higher drilling activity in China and Australia also contributed to the sequential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Drilling pretax operating margin of 12% was essentially flat sequentially.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revenue of $3.2 billion increased 2% sequentially, primarily driven by higher international activity for Completions in the Far East, Asia &amp; Australia, Russia &amp; Central Asia, and Sub-Sahara Africa GeoMarkets.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Recent production shut-ins in Ecuador due to the ongoing civil unrest may potentially impact fourth quarter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Production pretax operating margin of 9% expanded 148 bps sequentially largely due to improved international margins from higher activity. Additionally, the reduction in depreciation and amortization expense as a result of the third quarter 2019 impairment charges (see Note 2 - </w:t>
      </w:r>
      <w:r>
        <w:rPr>
          <w:rFonts w:ascii="Arial" w:cs="Arial" w:eastAsia="Arial" w:hAnsi="Arial"/>
          <w:sz w:val="18"/>
          <w:szCs w:val="18"/>
          <w:i w:val="1"/>
          <w:iCs w:val="1"/>
          <w:color w:val="auto"/>
        </w:rPr>
        <w:t>Charges &amp; Credits</w:t>
      </w:r>
      <w:r>
        <w:rPr>
          <w:rFonts w:ascii="Arial" w:cs="Arial" w:eastAsia="Arial" w:hAnsi="Arial"/>
          <w:sz w:val="18"/>
          <w:szCs w:val="18"/>
          <w:color w:val="auto"/>
        </w:rPr>
        <w:t>) accounted for just under half of the sequential margin improvement.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Cameron revenue of $1.4 billion increased 3% sequentially driven by higher international revenue for Surface Systems, OneSubsea, and Drilling Systems.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Cameron pretax operating margin of 13% was essentially flat sequentially.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2019 Compared to Third Quarter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Third Quarter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720"/>
              <w:spacing w:after="0"/>
              <w:rPr>
                <w:sz w:val="20"/>
                <w:szCs w:val="20"/>
                <w:color w:val="auto"/>
              </w:rPr>
            </w:pPr>
            <w:r>
              <w:rPr>
                <w:rFonts w:ascii="Arial" w:cs="Arial" w:eastAsia="Arial" w:hAnsi="Arial"/>
                <w:sz w:val="18"/>
                <w:szCs w:val="18"/>
                <w:color w:val="auto"/>
              </w:rPr>
              <w:t>Third Quarter 2018</w:t>
            </w: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Income (Loss)</w:t>
            </w:r>
          </w:p>
        </w:tc>
        <w:tc>
          <w:tcPr>
            <w:tcW w:w="10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Before</w:t>
            </w: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(96)</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right="20" w:hanging="512"/>
        <w:spacing w:after="0" w:line="193" w:lineRule="auto"/>
        <w:tabs>
          <w:tab w:leader="none" w:pos="52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 w:lineRule="exact"/>
        <w:rPr>
          <w:rFonts w:ascii="Arial" w:cs="Arial" w:eastAsia="Arial" w:hAnsi="Arial"/>
          <w:sz w:val="28"/>
          <w:szCs w:val="28"/>
          <w:color w:val="auto"/>
          <w:vertAlign w:val="superscript"/>
        </w:rPr>
      </w:pPr>
    </w:p>
    <w:p>
      <w:pPr>
        <w:ind w:left="520" w:hanging="512"/>
        <w:spacing w:after="0" w:line="231" w:lineRule="auto"/>
        <w:tabs>
          <w:tab w:leader="none" w:pos="52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($1 million in 2019; $2 million in 2018).</w:t>
      </w:r>
    </w:p>
    <w:p>
      <w:pPr>
        <w:spacing w:after="0" w:line="118"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($9 million in 2019; $8 million in 2018).</w:t>
      </w:r>
    </w:p>
    <w:p>
      <w:pPr>
        <w:spacing w:after="0" w:line="118" w:lineRule="exact"/>
        <w:rPr>
          <w:rFonts w:ascii="Arial" w:cs="Arial" w:eastAsia="Arial" w:hAnsi="Arial"/>
          <w:sz w:val="22"/>
          <w:szCs w:val="22"/>
          <w:color w:val="auto"/>
          <w:vertAlign w:val="superscript"/>
        </w:rPr>
      </w:pPr>
    </w:p>
    <w:p>
      <w:pPr>
        <w:ind w:left="520" w:hanging="512"/>
        <w:spacing w:after="0" w:line="182" w:lineRule="auto"/>
        <w:tabs>
          <w:tab w:leader="none" w:pos="52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Third-quarter 2019 revenue of $8.5 billion was essentially flat year-on-year as North America revenue declined 11% while international revenue increased 8%. The international results were underpinned by increased investment levels. In contrast, the North America results reflect a slowing production growth rate on land as operators maintained capital discipline and reduced drilling and frac activity.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Third-quarter 2019 revenue of $1.7 billion was 4% higher year-on-year. Revenue in Wireline, Testing, and ISM drove the increase as a result of higher international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90 bps to 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Third-quarter 2019 revenue of $2.5 billion increased 2% year-on-year primarily due to higher demand for drilling services, largely in the international markets.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Year-on-year, pretax operating margin decreased 161 bps to 12% despite higher revenue as margins were affected by competitive pricing and higher costs associated with a number of integrated contracts internationally.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Third-quarter 2019 revenue of $3.2 billion decreased 3% year-on-year with most of the revenue decrease attributable to lower OneStim activity in North America as customers reduced spending due to higher cost of capital, lower borrowing capacity and expectation of better returns from their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72 bps to 9% primarily due to reduced profitability in OneStim in North America.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Third-quarter 2019 revenue of $1.4 billion decreased 2% year-on-year due to lower revenue for OneSubsea and Valves &amp; Process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increased 117 bps to 13% due to improved profitability in OneSubsea.</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Nine Months 2019 Compared to Nine Months 2018</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44"/>
        </w:trPr>
        <w:tc>
          <w:tcPr>
            <w:tcW w:w="3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Nine Months 2019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color w:val="auto"/>
              </w:rPr>
              <w:t>Nine Months 2018</w:t>
            </w:r>
          </w:p>
        </w:tc>
      </w:tr>
      <w:tr>
        <w:trPr>
          <w:trHeight w:val="218"/>
        </w:trPr>
        <w:tc>
          <w:tcPr>
            <w:tcW w:w="3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2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Before</w:t>
            </w:r>
          </w:p>
        </w:tc>
      </w:tr>
      <w:tr>
        <w:trPr>
          <w:trHeight w:val="234"/>
        </w:trPr>
        <w:tc>
          <w:tcPr>
            <w:tcW w:w="39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Revenue</w:t>
            </w:r>
          </w:p>
        </w:tc>
        <w:tc>
          <w:tcPr>
            <w:tcW w:w="22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Taxes</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4,669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Drilling</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7,279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Cameron</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(328)</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r>
      <w:tr>
        <w:trPr>
          <w:trHeight w:val="223"/>
        </w:trPr>
        <w:tc>
          <w:tcPr>
            <w:tcW w:w="39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(699)</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(433)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(405)</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23"/>
        </w:trPr>
        <w:tc>
          <w:tcPr>
            <w:tcW w:w="392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(10,870)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4" w:lineRule="exact"/>
        <w:rPr>
          <w:sz w:val="20"/>
          <w:szCs w:val="20"/>
          <w:color w:val="auto"/>
        </w:rPr>
      </w:pPr>
    </w:p>
    <w:p>
      <w:pPr>
        <w:ind w:left="520" w:right="20" w:hanging="512"/>
        <w:spacing w:after="0" w:line="193" w:lineRule="auto"/>
        <w:tabs>
          <w:tab w:leader="none" w:pos="52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4" w:lineRule="exact"/>
        <w:rPr>
          <w:rFonts w:ascii="Arial" w:cs="Arial" w:eastAsia="Arial" w:hAnsi="Arial"/>
          <w:sz w:val="28"/>
          <w:szCs w:val="28"/>
          <w:color w:val="auto"/>
          <w:vertAlign w:val="superscript"/>
        </w:rPr>
      </w:pPr>
    </w:p>
    <w:p>
      <w:pPr>
        <w:ind w:left="520" w:hanging="512"/>
        <w:spacing w:after="0"/>
        <w:tabs>
          <w:tab w:leader="none" w:pos="52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($6 million in 2019; $7 million in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jc w:val="right"/>
              <w:ind w:right="111"/>
              <w:spacing w:after="0"/>
              <w:rPr>
                <w:sz w:val="20"/>
                <w:szCs w:val="20"/>
                <w:color w:val="auto"/>
              </w:rPr>
            </w:pPr>
            <w:r>
              <w:rPr>
                <w:rFonts w:ascii="Arial" w:cs="Arial" w:eastAsia="Arial" w:hAnsi="Arial"/>
                <w:sz w:val="14"/>
                <w:szCs w:val="14"/>
                <w:color w:val="auto"/>
                <w:w w:val="81"/>
              </w:rPr>
              <w:t>(3)</w:t>
            </w:r>
          </w:p>
        </w:tc>
        <w:tc>
          <w:tcPr>
            <w:tcW w:w="7860" w:type="dxa"/>
            <w:vAlign w:val="bottom"/>
            <w:vMerge w:val="restart"/>
          </w:tcPr>
          <w:p>
            <w:pPr>
              <w:ind w:left="180"/>
              <w:spacing w:after="0"/>
              <w:rPr>
                <w:sz w:val="20"/>
                <w:szCs w:val="20"/>
                <w:color w:val="auto"/>
              </w:rPr>
            </w:pPr>
            <w:r>
              <w:rPr>
                <w:rFonts w:ascii="Arial" w:cs="Arial" w:eastAsia="Arial" w:hAnsi="Arial"/>
                <w:sz w:val="16"/>
                <w:szCs w:val="16"/>
                <w:color w:val="auto"/>
                <w:w w:val="92"/>
              </w:rPr>
              <w:t>Interest expense excludes amounts which are included in the segments’ income ($29 million in both 2019 and  2018).</w:t>
            </w:r>
          </w:p>
        </w:tc>
        <w:tc>
          <w:tcPr>
            <w:tcW w:w="0" w:type="dxa"/>
            <w:vAlign w:val="bottom"/>
          </w:tcPr>
          <w:p>
            <w:pPr>
              <w:spacing w:after="0"/>
              <w:rPr>
                <w:sz w:val="1"/>
                <w:szCs w:val="1"/>
                <w:color w:val="auto"/>
              </w:rPr>
            </w:pPr>
          </w:p>
        </w:tc>
      </w:tr>
      <w:tr>
        <w:trPr>
          <w:trHeight w:val="64"/>
        </w:trPr>
        <w:tc>
          <w:tcPr>
            <w:tcW w:w="340" w:type="dxa"/>
            <w:vAlign w:val="bottom"/>
          </w:tcPr>
          <w:p>
            <w:pPr>
              <w:spacing w:after="0"/>
              <w:rPr>
                <w:sz w:val="5"/>
                <w:szCs w:val="5"/>
                <w:color w:val="auto"/>
              </w:rPr>
            </w:pPr>
          </w:p>
        </w:tc>
        <w:tc>
          <w:tcPr>
            <w:tcW w:w="7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ind w:left="520" w:hanging="512"/>
        <w:spacing w:after="0"/>
        <w:tabs>
          <w:tab w:leader="none" w:pos="520" w:val="left"/>
        </w:tabs>
        <w:numPr>
          <w:ilvl w:val="0"/>
          <w:numId w:val="22"/>
        </w:numPr>
        <w:rPr>
          <w:rFonts w:ascii="Arial" w:cs="Arial" w:eastAsia="Arial" w:hAnsi="Arial"/>
          <w:sz w:val="28"/>
          <w:szCs w:val="28"/>
          <w:color w:val="auto"/>
          <w:vertAlign w:val="superscript"/>
        </w:rPr>
      </w:pPr>
      <w:r>
        <w:rPr>
          <w:rFonts w:ascii="Arial" w:cs="Arial" w:eastAsia="Arial" w:hAnsi="Arial"/>
          <w:sz w:val="16"/>
          <w:szCs w:val="16"/>
          <w:color w:val="auto"/>
        </w:rPr>
        <w:t xml:space="preserve">Charges and credits are described in detail in Note 2 to the </w:t>
      </w:r>
      <w:r>
        <w:rPr>
          <w:rFonts w:ascii="Arial" w:cs="Arial" w:eastAsia="Arial" w:hAnsi="Arial"/>
          <w:sz w:val="16"/>
          <w:szCs w:val="16"/>
          <w:i w:val="1"/>
          <w:iCs w:val="1"/>
          <w:color w:val="auto"/>
        </w:rPr>
        <w:t>Consolidated Financial Statements.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Nine-month 2019 revenue of $24.7 billion was essentially flat year-on-year with North America revenue decreasing 8% and international revenue increasing 6%. The international results were underpinned by increased investment levels. In contrast, the North America results reflect a slowing production growth rate on land as operators maintained capital discipline and reduced drilling and frac activity.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Nine-month 2019 revenue of $4.7 billion increased 1% year-on-year primarily driven by increased international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91 bps to 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Nine-month 2019 revenue of $7.3 billion increased 7% year-on-year primarily due to higher demand for drilling services, largely in the international markets that benefited Drilling &amp; Measurements, M-I SWACO, and Integrated Drilling Services (IDS).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103 bps to 12% despite higher revenue as margins were affected by competitive pricing and higher costs associated with a number of integrated contracts internationally.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Nine-month 2019 revenue of $9.1 billion decreased 4% year-on-year with most of the revenue decline attributable to lower OneStim activity in North America as customers reduced spending due to higher cost of capital lower, borrowing capacity and expectation of better returns from their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90 bps to 8% primarily due to reduced profitability in OneStim in North America.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Nine-month 2019 revenue of $3.9 billion decreased 5% year-on-year due to lower revenue for OneSubsea and Valves &amp; Process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19 bps to 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Third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Nine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1120" w:type="dxa"/>
            <w:vAlign w:val="bottom"/>
            <w:gridSpan w:val="2"/>
          </w:tcPr>
          <w:p>
            <w:pPr>
              <w:jc w:val="right"/>
              <w:ind w:right="45"/>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1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1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0"/>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decreases in earnings from equity method investments primarily relates to lower income associated with Schlumberger's equity investments in rig- and seismic-related businesses.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first nine months of 2019 declined $20 million to $31 million as compared to the same period of 2018 as a result of lower short-term investment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9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7"/>
              </w:rPr>
              <w:t>Third Quarter</w:t>
            </w: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4"/>
              </w:rPr>
              <w:t>Nine Months</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6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2018</w:t>
            </w: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CFF0FC"/>
            </w:tcBorders>
          </w:tcPr>
          <w:p>
            <w:pPr>
              <w:spacing w:after="0"/>
              <w:rPr>
                <w:sz w:val="19"/>
                <w:szCs w:val="19"/>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34"/>
        </w:trPr>
        <w:tc>
          <w:tcPr>
            <w:tcW w:w="56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4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effective tax rate for the third quarter of 2019 was 5%, as compared to 16% for the same period of 2018. The lower effective tax rate was almost entirely due to the charges described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which were primarily related to non-deductible goodwill.</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effective tax rate for the first nine months of 2019 was 4%, as compared to 18% for the same period of 2018. The charges described in Note 2 to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reduced the effective tax rate for the first nine months of 2019 by 12 percentage points, as the majority of the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non-deductible goodwill.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Schlumberger recorded the following charges in connection with the preparation of its third quarter 2019 financial statements, which are fully described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all of which are classified in </w:t>
      </w:r>
      <w:r>
        <w:rPr>
          <w:rFonts w:ascii="Arial" w:cs="Arial" w:eastAsia="Arial" w:hAnsi="Arial"/>
          <w:sz w:val="17"/>
          <w:szCs w:val="17"/>
          <w:i w:val="1"/>
          <w:iCs w:val="1"/>
          <w:color w:val="auto"/>
        </w:rPr>
        <w:t>Impairment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Pretax</w:t>
            </w:r>
          </w:p>
        </w:tc>
        <w:tc>
          <w:tcPr>
            <w:tcW w:w="2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Tax</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8,828</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North America pressure pumping</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 North America-related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Argentina</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Equity-method investments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Schlumberger Production Management</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23"/>
        </w:trPr>
        <w:tc>
          <w:tcPr>
            <w:tcW w:w="67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these impairment charges were effective as of August 31, 2019, the third quarter 2019 results include a one month reduction in depreciation and amortization expense of $27 million. Approximately $21 million of this amount relates to the Production segment. The remaining $6 million is reflected in the “Corporate &amp; other” line item.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six months of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During the second quarter of 2018, Schlumberger recorded a $184 million pretax charge ($164 million after-tax) associated with headcount reductions, primarily to further streamline its support cost structure. This charge is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and third quarters of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Sept.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8"/>
                <w:szCs w:val="18"/>
                <w:color w:val="auto"/>
              </w:rPr>
              <w:t>Dec. 31,</w:t>
            </w:r>
          </w:p>
        </w:tc>
      </w:tr>
      <w:tr>
        <w:trPr>
          <w:trHeight w:val="234"/>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1,493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50"/>
              <w:spacing w:after="0"/>
              <w:rPr>
                <w:sz w:val="20"/>
                <w:szCs w:val="20"/>
                <w:color w:val="auto"/>
              </w:rPr>
            </w:pPr>
            <w:r>
              <w:rPr>
                <w:rFonts w:ascii="Arial" w:cs="Arial" w:eastAsia="Arial" w:hAnsi="Arial"/>
                <w:sz w:val="18"/>
                <w:szCs w:val="18"/>
                <w:color w:val="auto"/>
              </w:rPr>
              <w:t>(3,215)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(1,407)</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(16,333)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ind w:right="50"/>
              <w:spacing w:after="0"/>
              <w:rPr>
                <w:sz w:val="20"/>
                <w:szCs w:val="20"/>
                <w:color w:val="auto"/>
              </w:rPr>
            </w:pPr>
            <w:r>
              <w:rPr>
                <w:rFonts w:ascii="Arial" w:cs="Arial" w:eastAsia="Arial" w:hAnsi="Arial"/>
                <w:sz w:val="18"/>
                <w:szCs w:val="18"/>
                <w:color w:val="auto"/>
              </w:rPr>
              <w:t>(14,159)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(14,644)</w:t>
            </w:r>
          </w:p>
        </w:tc>
      </w:tr>
      <w:tr>
        <w:trPr>
          <w:trHeight w:val="223"/>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(14,381)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(14,520)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72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9"/>
          </w:tcPr>
          <w:p>
            <w:pPr>
              <w:jc w:val="right"/>
              <w:ind w:right="760"/>
              <w:spacing w:after="0"/>
              <w:rPr>
                <w:sz w:val="20"/>
                <w:szCs w:val="20"/>
                <w:color w:val="auto"/>
              </w:rPr>
            </w:pPr>
            <w:r>
              <w:rPr>
                <w:rFonts w:ascii="Arial" w:cs="Arial" w:eastAsia="Arial" w:hAnsi="Arial"/>
                <w:sz w:val="18"/>
                <w:szCs w:val="18"/>
                <w:b w:val="1"/>
                <w:bCs w:val="1"/>
                <w:color w:val="auto"/>
                <w:w w:val="89"/>
              </w:rPr>
              <w:t>Nine Months Ended Sept. 30,</w:t>
            </w:r>
          </w:p>
        </w:tc>
      </w:tr>
      <w:tr>
        <w:trPr>
          <w:trHeight w:val="223"/>
        </w:trPr>
        <w:tc>
          <w:tcPr>
            <w:tcW w:w="6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2019</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(833)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(67)</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(1,340)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(1,147)</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operations</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(1,539)</w:t>
            </w:r>
          </w:p>
        </w:tc>
        <w:tc>
          <w:tcPr>
            <w:tcW w:w="120" w:type="dxa"/>
            <w:vAlign w:val="bottom"/>
            <w:gridSpan w:val="2"/>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SPM investments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(526)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(719)</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Multiclient seismic data costs capitalized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gridSpan w:val="2"/>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(278)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(300)</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(290)</w:t>
            </w: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(192)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Increase in net debt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20" w:type="dxa"/>
            <w:vAlign w:val="bottom"/>
            <w:gridSpan w:val="2"/>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(13,274)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(13,110)</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debt, end of period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(14,520)</w:t>
            </w:r>
          </w:p>
        </w:tc>
        <w:tc>
          <w:tcPr>
            <w:tcW w:w="120" w:type="dxa"/>
            <w:vAlign w:val="bottom"/>
            <w:gridSpan w:val="2"/>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520" w:hanging="512"/>
        <w:spacing w:after="0" w:line="213" w:lineRule="auto"/>
        <w:tabs>
          <w:tab w:leader="none" w:pos="520" w:val="left"/>
        </w:tabs>
        <w:numPr>
          <w:ilvl w:val="0"/>
          <w:numId w:val="23"/>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520" w:hanging="512"/>
        <w:spacing w:after="0" w:line="181" w:lineRule="auto"/>
        <w:tabs>
          <w:tab w:leader="none" w:pos="520" w:val="left"/>
        </w:tabs>
        <w:numPr>
          <w:ilvl w:val="0"/>
          <w:numId w:val="23"/>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50" w:lineRule="exact"/>
        <w:rPr>
          <w:rFonts w:ascii="Arial" w:cs="Arial" w:eastAsia="Arial" w:hAnsi="Arial"/>
          <w:sz w:val="28"/>
          <w:szCs w:val="28"/>
          <w:color w:val="auto"/>
          <w:vertAlign w:val="superscript"/>
        </w:rPr>
      </w:pPr>
    </w:p>
    <w:p>
      <w:pPr>
        <w:ind w:left="520" w:hanging="512"/>
        <w:spacing w:after="0" w:line="182" w:lineRule="auto"/>
        <w:tabs>
          <w:tab w:leader="none" w:pos="52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approximately $104 million and $265 million during the nine months ended September 30, 2019 and 2018, respectively.</w:t>
      </w:r>
    </w:p>
    <w:p>
      <w:pPr>
        <w:spacing w:after="0" w:line="51" w:lineRule="exact"/>
        <w:rPr>
          <w:rFonts w:ascii="Arial" w:cs="Arial" w:eastAsia="Arial" w:hAnsi="Arial"/>
          <w:sz w:val="22"/>
          <w:szCs w:val="22"/>
          <w:color w:val="auto"/>
          <w:vertAlign w:val="superscript"/>
        </w:rPr>
      </w:pPr>
    </w:p>
    <w:p>
      <w:pPr>
        <w:jc w:val="both"/>
        <w:ind w:left="520" w:hanging="512"/>
        <w:spacing w:after="0" w:line="247" w:lineRule="auto"/>
        <w:tabs>
          <w:tab w:leader="none" w:pos="520" w:val="left"/>
        </w:tabs>
        <w:numPr>
          <w:ilvl w:val="0"/>
          <w:numId w:val="23"/>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2019 and 2018 included:</w:t>
      </w:r>
    </w:p>
    <w:p>
      <w:pPr>
        <w:spacing w:after="0" w:line="225" w:lineRule="exact"/>
        <w:rPr>
          <w:sz w:val="20"/>
          <w:szCs w:val="20"/>
          <w:color w:val="auto"/>
        </w:rPr>
      </w:pPr>
    </w:p>
    <w:p>
      <w:pPr>
        <w:ind w:left="760" w:hanging="374"/>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January 21, 2016, the Board approved a $10 billion share repurchase program for Schlumberger common stock. Schlumberger had repurchased $1.0 billion of Schlumberger common stock under this program as of September 30,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summarizes the activity under the share repurchase program: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25"/>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6"/>
                <w:szCs w:val="16"/>
                <w:color w:val="auto"/>
                <w:w w:val="89"/>
              </w:rPr>
              <w:t>Total cost</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Total number</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Average price</w:t>
            </w:r>
          </w:p>
        </w:tc>
      </w:tr>
      <w:tr>
        <w:trPr>
          <w:trHeight w:val="216"/>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6"/>
                <w:szCs w:val="16"/>
                <w:color w:val="auto"/>
                <w:w w:val="88"/>
              </w:rPr>
              <w:t>of shares</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paid per</w:t>
            </w:r>
          </w:p>
        </w:tc>
      </w:tr>
      <w:tr>
        <w:trPr>
          <w:trHeight w:val="219"/>
        </w:trPr>
        <w:tc>
          <w:tcPr>
            <w:tcW w:w="6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6"/>
                <w:szCs w:val="16"/>
                <w:color w:val="auto"/>
                <w:w w:val="88"/>
              </w:rPr>
              <w:t>purchased</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purchased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2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Nine months ended September 30, 2018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760" w:hanging="374"/>
        <w:spacing w:after="0" w:line="308"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Capital expenditures were $1.2 billion during the first nine months of 2019 compared to $1.5 billion during the first nine months of 2018. Capital expenditures for full-year 2019 are expected to be approximately $1.6 billion to $1.7 billion as compared to $2.2 billion in 2018.</w:t>
      </w:r>
    </w:p>
    <w:p>
      <w:pPr>
        <w:spacing w:after="0" w:line="187" w:lineRule="exact"/>
        <w:rPr>
          <w:rFonts w:ascii="Arial" w:cs="Arial" w:eastAsia="Arial" w:hAnsi="Arial"/>
          <w:sz w:val="17"/>
          <w:szCs w:val="17"/>
          <w:color w:val="auto"/>
        </w:rPr>
      </w:pPr>
    </w:p>
    <w:p>
      <w:pPr>
        <w:ind w:left="760" w:right="2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third quarter of 2019, Schlumberger issued €500 million of 0.00% Notes due 2024, €500 million of 0.25% Notes due 2027 and €500 million of 0.50% Notes due 2031.</w:t>
      </w:r>
    </w:p>
    <w:p>
      <w:pPr>
        <w:spacing w:after="0" w:line="17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September 2019, Schlumberger repurchased $783 million of its 3.00% Senior Notes due 2020 and $321 million of its 3.625% Senior Notes due 2022.</w:t>
      </w:r>
    </w:p>
    <w:p>
      <w:pPr>
        <w:spacing w:after="0" w:line="170"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April 2019, Schlumberger completed a debt exchange offer, pursuant to which it issued $1.500 billion in principal of 3.90% Senior Notes due 2028 in exchange for $401 million of 3.00% Senior Notes due 2020, $234 million of 3.63% Senior Notes due 2022 and $817 million of 4.00% Senior Notes due 2025.</w:t>
      </w:r>
    </w:p>
    <w:p>
      <w:pPr>
        <w:spacing w:after="0" w:line="181"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first quarter of 2019, Schlumberger issued $750 million of 3.75% Senior Notes due 2024 and $850 million of 4.30% Senior Notes due 2029.</w:t>
      </w:r>
    </w:p>
    <w:p>
      <w:pPr>
        <w:spacing w:after="0" w:line="170" w:lineRule="exact"/>
        <w:rPr>
          <w:rFonts w:ascii="Arial" w:cs="Arial" w:eastAsia="Arial" w:hAnsi="Arial"/>
          <w:sz w:val="18"/>
          <w:szCs w:val="18"/>
          <w:color w:val="auto"/>
        </w:rPr>
      </w:pPr>
    </w:p>
    <w:p>
      <w:pPr>
        <w:ind w:left="760"/>
        <w:spacing w:after="0" w:line="342" w:lineRule="auto"/>
        <w:rPr>
          <w:rFonts w:ascii="Arial" w:cs="Arial" w:eastAsia="Arial" w:hAnsi="Arial"/>
          <w:sz w:val="18"/>
          <w:szCs w:val="18"/>
          <w:color w:val="auto"/>
        </w:rPr>
      </w:pPr>
      <w:r>
        <w:rPr>
          <w:rFonts w:ascii="Arial" w:cs="Arial" w:eastAsia="Arial" w:hAnsi="Arial"/>
          <w:sz w:val="16"/>
          <w:szCs w:val="16"/>
          <w:color w:val="auto"/>
        </w:rPr>
        <w:t>In October 2019, Schlumberger and Rockwell Automation closed their previously announced joint venture, Sensia. Rockwell Automation owns 53% of the joint venture and Schlumberger owns 47%. At closing, Rockwell Automation made a $250 million cash payment to Schlumberger.</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Schlumberger generates revenue in more than 120 countries. As of September 30, 2019, five of those countries individually accounted for greater than 5% of Schlumberger’s net receivables balance, of which only the United States accounted for greater than 10% of such receivables.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Schlumberger had $2.3 billion of cash and short-term investments on hand. Schlumberger had separate committed debt facility agreements aggregating $6.5 billion that support commercial paper programs, of which $4.1 billion was available and unused. Schlumberger believes these amounts are sufficient to meet future business requirements for at least the next 12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September 30, 2019 were $2.4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third-quarter 2019 Form 10-Q, as well as other statements we make, contain “forward-looking statements” within the meaning of the federal securities laws, which include any statements that are not historical facts, such as our forecasts or expectations regarding business outlook; </w:t>
      </w:r>
      <w:r>
        <w:rPr>
          <w:rFonts w:ascii="Arial" w:cs="Arial" w:eastAsia="Arial" w:hAnsi="Arial"/>
          <w:sz w:val="16"/>
          <w:szCs w:val="16"/>
          <w:color w:val="212529"/>
        </w:rPr>
        <w:t>our expectations regarding</w:t>
      </w:r>
      <w:r>
        <w:rPr>
          <w:rFonts w:ascii="Arial" w:cs="Arial" w:eastAsia="Arial" w:hAnsi="Arial"/>
          <w:sz w:val="16"/>
          <w:szCs w:val="16"/>
          <w:color w:val="auto"/>
        </w:rPr>
        <w:t xml:space="preserve"> </w:t>
      </w:r>
      <w:r>
        <w:rPr>
          <w:rFonts w:ascii="Arial" w:cs="Arial" w:eastAsia="Arial" w:hAnsi="Arial"/>
          <w:sz w:val="16"/>
          <w:szCs w:val="16"/>
          <w:color w:val="212529"/>
        </w:rPr>
        <w:t xml:space="preserve">the amount of cash expenditures estimated to be incurred as a result of the impairment charges described in Note 2 to the </w:t>
      </w:r>
      <w:r>
        <w:rPr>
          <w:rFonts w:ascii="Arial" w:cs="Arial" w:eastAsia="Arial" w:hAnsi="Arial"/>
          <w:sz w:val="16"/>
          <w:szCs w:val="16"/>
          <w:i w:val="1"/>
          <w:iCs w:val="1"/>
          <w:color w:val="212529"/>
        </w:rPr>
        <w:t>Consolidated Financial Statements</w:t>
      </w:r>
      <w:r>
        <w:rPr>
          <w:rFonts w:ascii="Arial" w:cs="Arial" w:eastAsia="Arial" w:hAnsi="Arial"/>
          <w:sz w:val="16"/>
          <w:szCs w:val="16"/>
          <w:color w:val="212529"/>
        </w:rPr>
        <w:t xml:space="preserve">; </w:t>
      </w:r>
      <w:r>
        <w:rPr>
          <w:rFonts w:ascii="Arial" w:cs="Arial" w:eastAsia="Arial" w:hAnsi="Arial"/>
          <w:sz w:val="16"/>
          <w:szCs w:val="16"/>
          <w:color w:val="000000"/>
        </w:rPr>
        <w:t>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third-quarter 2019 Form 10-Q and our most recent Forms 10-K, 10-Q, and 8-K filed with or furnished to the Securities and Exchange Commission. If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86" w:lineRule="auto"/>
        <w:rPr>
          <w:sz w:val="20"/>
          <w:szCs w:val="20"/>
          <w:color w:val="auto"/>
        </w:rPr>
      </w:pPr>
      <w:r>
        <w:rPr>
          <w:rFonts w:ascii="Arial" w:cs="Arial" w:eastAsia="Arial" w:hAnsi="Arial"/>
          <w:sz w:val="17"/>
          <w:szCs w:val="17"/>
          <w:color w:val="auto"/>
        </w:rPr>
        <w:t>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2018. Schlumberger’s exposure to market risk has not changed materially since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11—</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2019, Schlumberger had repurchased $1.0 billion of Schlumberger common stock under its $10 billion share repurchase program.</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Schlumberger’s common stock repurchase activity for the three months ended September 30, 2019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3"/>
              </w:rPr>
              <w:t>(Stated in thousands, except per share amounts)</w:t>
            </w:r>
          </w:p>
        </w:tc>
      </w:tr>
      <w:tr>
        <w:trPr>
          <w:trHeight w:val="421"/>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Total number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Maximum</w:t>
            </w:r>
          </w:p>
        </w:tc>
      </w:tr>
      <w:tr>
        <w:trPr>
          <w:trHeight w:val="203"/>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value of shares</w:t>
            </w:r>
          </w:p>
        </w:tc>
      </w:tr>
      <w:tr>
        <w:trPr>
          <w:trHeight w:val="203"/>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purchased as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that may yet be</w:t>
            </w:r>
          </w:p>
        </w:tc>
      </w:tr>
      <w:tr>
        <w:trPr>
          <w:trHeight w:val="203"/>
        </w:trPr>
        <w:tc>
          <w:tcPr>
            <w:tcW w:w="588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Total number</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part of publicly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purchased</w:t>
            </w:r>
          </w:p>
        </w:tc>
      </w:tr>
      <w:tr>
        <w:trPr>
          <w:trHeight w:val="203"/>
        </w:trPr>
        <w:tc>
          <w:tcPr>
            <w:tcW w:w="58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of shares</w:t>
            </w:r>
          </w:p>
        </w:tc>
        <w:tc>
          <w:tcPr>
            <w:tcW w:w="120" w:type="dxa"/>
            <w:vAlign w:val="bottom"/>
          </w:tcPr>
          <w:p>
            <w:pPr>
              <w:spacing w:after="0"/>
              <w:rPr>
                <w:sz w:val="17"/>
                <w:szCs w:val="17"/>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announced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under the</w:t>
            </w:r>
          </w:p>
        </w:tc>
      </w:tr>
      <w:tr>
        <w:trPr>
          <w:trHeight w:val="209"/>
        </w:trPr>
        <w:tc>
          <w:tcPr>
            <w:tcW w:w="58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purchased</w:t>
            </w:r>
          </w:p>
        </w:tc>
        <w:tc>
          <w:tcPr>
            <w:tcW w:w="12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87"/>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programs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programs</w:t>
            </w:r>
          </w:p>
        </w:tc>
      </w:tr>
      <w:tr>
        <w:trPr>
          <w:trHeight w:val="226"/>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2019</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9,044,087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August 2019</w:t>
            </w:r>
          </w:p>
        </w:tc>
        <w:tc>
          <w:tcPr>
            <w:tcW w:w="1160" w:type="dxa"/>
            <w:vAlign w:val="bottom"/>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999.7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9,009,642</w:t>
            </w:r>
          </w:p>
        </w:tc>
        <w:tc>
          <w:tcPr>
            <w:tcW w:w="10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September 2019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8,998,416</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during the third quarter of 2019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45" w:lineRule="exact"/>
        <w:rPr>
          <w:sz w:val="20"/>
          <w:szCs w:val="20"/>
          <w:color w:val="auto"/>
        </w:rPr>
      </w:pPr>
    </w:p>
    <w:p>
      <w:pPr>
        <w:ind w:left="440" w:right="400"/>
        <w:spacing w:after="0" w:line="277" w:lineRule="auto"/>
        <w:rPr>
          <w:rFonts w:ascii="Arial" w:cs="Arial" w:eastAsia="Arial" w:hAnsi="Arial"/>
          <w:sz w:val="18"/>
          <w:szCs w:val="18"/>
          <w:u w:val="single" w:color="auto"/>
          <w:color w:val="0000EE"/>
        </w:rPr>
      </w:pPr>
      <w:hyperlink r:id="rId50">
        <w:r>
          <w:rPr>
            <w:rFonts w:ascii="Arial" w:cs="Arial" w:eastAsia="Arial" w:hAnsi="Arial"/>
            <w:sz w:val="18"/>
            <w:szCs w:val="18"/>
            <w:color w:val="auto"/>
          </w:rPr>
          <w:t>Exhibit 3.1—</w:t>
        </w:r>
        <w:r>
          <w:rPr>
            <w:rFonts w:ascii="Arial" w:cs="Arial" w:eastAsia="Arial" w:hAnsi="Arial"/>
            <w:sz w:val="18"/>
            <w:szCs w:val="18"/>
            <w:u w:val="single" w:color="auto"/>
            <w:color w:val="0000EE"/>
          </w:rPr>
          <w:t>Articles of Incorporation of Schlumberger Limited (Schlumberger N.V.) (incorporated by reference to Exhibit 3.1 to Schlumberger’s</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Current Report on Form 8-K filed on April 6, 2016)</w:t>
        </w:r>
      </w:hyperlink>
    </w:p>
    <w:p>
      <w:pPr>
        <w:spacing w:after="0" w:line="76" w:lineRule="exact"/>
        <w:rPr>
          <w:sz w:val="20"/>
          <w:szCs w:val="20"/>
          <w:color w:val="auto"/>
        </w:rPr>
      </w:pPr>
    </w:p>
    <w:p>
      <w:pPr>
        <w:ind w:left="440"/>
        <w:spacing w:after="0" w:line="277" w:lineRule="auto"/>
        <w:rPr>
          <w:rFonts w:ascii="Arial" w:cs="Arial" w:eastAsia="Arial" w:hAnsi="Arial"/>
          <w:sz w:val="18"/>
          <w:szCs w:val="18"/>
          <w:u w:val="single" w:color="auto"/>
          <w:color w:val="0000EE"/>
        </w:rPr>
      </w:pPr>
      <w:hyperlink r:id="rId51">
        <w:r>
          <w:rPr>
            <w:rFonts w:ascii="Arial" w:cs="Arial" w:eastAsia="Arial" w:hAnsi="Arial"/>
            <w:sz w:val="18"/>
            <w:szCs w:val="18"/>
            <w:color w:val="auto"/>
          </w:rPr>
          <w:t>Exhibit 3.2—</w:t>
        </w:r>
        <w:r>
          <w:rPr>
            <w:rFonts w:ascii="Arial" w:cs="Arial" w:eastAsia="Arial" w:hAnsi="Arial"/>
            <w:sz w:val="18"/>
            <w:szCs w:val="18"/>
            <w:u w:val="single" w:color="auto"/>
            <w:color w:val="0000EE"/>
          </w:rPr>
          <w:t>Amended and Restated By-laws of Schlumberger Limited (Schlumberger N.V.) (incorporated by reference to Exhibit 3 to Schlumberger’s</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Current Report on Form 8-K filed on July 22, 2019)</w:t>
        </w:r>
      </w:hyperlink>
    </w:p>
    <w:p>
      <w:pPr>
        <w:spacing w:after="0" w:line="76" w:lineRule="exact"/>
        <w:rPr>
          <w:sz w:val="20"/>
          <w:szCs w:val="20"/>
          <w:color w:val="auto"/>
        </w:rPr>
      </w:pPr>
    </w:p>
    <w:p>
      <w:pPr>
        <w:ind w:left="440" w:right="540" w:firstLine="9"/>
        <w:spacing w:after="0" w:line="277" w:lineRule="auto"/>
        <w:tabs>
          <w:tab w:leader="none" w:pos="575" w:val="left"/>
        </w:tabs>
        <w:numPr>
          <w:ilvl w:val="0"/>
          <w:numId w:val="26"/>
        </w:numPr>
        <w:rPr>
          <w:rFonts w:ascii="Arial" w:cs="Arial" w:eastAsia="Arial" w:hAnsi="Arial"/>
          <w:sz w:val="18"/>
          <w:szCs w:val="18"/>
          <w:u w:val="single" w:color="auto"/>
          <w:color w:val="0000EE"/>
        </w:rPr>
      </w:pPr>
      <w:hyperlink w:anchor="page31">
        <w:r>
          <w:rPr>
            <w:rFonts w:ascii="Arial" w:cs="Arial" w:eastAsia="Arial" w:hAnsi="Arial"/>
            <w:sz w:val="18"/>
            <w:szCs w:val="18"/>
            <w:color w:val="auto"/>
          </w:rPr>
          <w:t>Exhibit 10.1—</w:t>
        </w:r>
        <w:r>
          <w:rPr>
            <w:rFonts w:ascii="Arial" w:cs="Arial" w:eastAsia="Arial" w:hAnsi="Arial"/>
            <w:sz w:val="18"/>
            <w:szCs w:val="18"/>
            <w:u w:val="single" w:color="auto"/>
            <w:color w:val="0000EE"/>
          </w:rPr>
          <w:t>Employment, Non-Competition and Non-Solicitation Agreement effective as of August 1, 2019, by and between Schlumberger</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EE"/>
          </w:rPr>
          <w:t>Limited and Paal Kibsgaard (+)</w:t>
        </w:r>
      </w:hyperlink>
    </w:p>
    <w:p>
      <w:pPr>
        <w:spacing w:after="0" w:line="75" w:lineRule="exact"/>
        <w:rPr>
          <w:rFonts w:ascii="Arial" w:cs="Arial" w:eastAsia="Arial" w:hAnsi="Arial"/>
          <w:sz w:val="18"/>
          <w:szCs w:val="18"/>
          <w:u w:val="single" w:color="auto"/>
          <w:color w:val="0000EE"/>
        </w:rPr>
      </w:pPr>
    </w:p>
    <w:p>
      <w:pPr>
        <w:ind w:left="440" w:right="180" w:firstLine="9"/>
        <w:spacing w:after="0" w:line="277" w:lineRule="auto"/>
        <w:tabs>
          <w:tab w:leader="none" w:pos="575" w:val="left"/>
        </w:tabs>
        <w:numPr>
          <w:ilvl w:val="0"/>
          <w:numId w:val="26"/>
        </w:numPr>
        <w:rPr>
          <w:rFonts w:ascii="Arial" w:cs="Arial" w:eastAsia="Arial" w:hAnsi="Arial"/>
          <w:sz w:val="18"/>
          <w:szCs w:val="18"/>
          <w:u w:val="single" w:color="auto"/>
          <w:color w:val="0000EE"/>
        </w:rPr>
      </w:pPr>
      <w:hyperlink w:anchor="page47">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EE"/>
          </w:rPr>
          <w:t>pursuant to Section 302 of the Sarbanes-Oxley Act of 2002</w:t>
        </w:r>
      </w:hyperlink>
    </w:p>
    <w:p>
      <w:pPr>
        <w:spacing w:after="0" w:line="75" w:lineRule="exact"/>
        <w:rPr>
          <w:rFonts w:ascii="Arial" w:cs="Arial" w:eastAsia="Arial" w:hAnsi="Arial"/>
          <w:sz w:val="18"/>
          <w:szCs w:val="18"/>
          <w:u w:val="single" w:color="auto"/>
          <w:color w:val="0000EE"/>
        </w:rPr>
      </w:pPr>
    </w:p>
    <w:p>
      <w:pPr>
        <w:ind w:left="440" w:right="240" w:firstLine="9"/>
        <w:spacing w:after="0" w:line="277" w:lineRule="auto"/>
        <w:tabs>
          <w:tab w:leader="none" w:pos="575" w:val="left"/>
        </w:tabs>
        <w:numPr>
          <w:ilvl w:val="0"/>
          <w:numId w:val="26"/>
        </w:numPr>
        <w:rPr>
          <w:rFonts w:ascii="Arial" w:cs="Arial" w:eastAsia="Arial" w:hAnsi="Arial"/>
          <w:sz w:val="18"/>
          <w:szCs w:val="18"/>
          <w:u w:val="single" w:color="auto"/>
          <w:color w:val="0000EE"/>
        </w:rPr>
      </w:pPr>
      <w:hyperlink w:anchor="page48">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48">
        <w:r>
          <w:rPr>
            <w:rFonts w:ascii="Arial" w:cs="Arial" w:eastAsia="Arial" w:hAnsi="Arial"/>
            <w:sz w:val="18"/>
            <w:szCs w:val="18"/>
            <w:u w:val="single" w:color="auto"/>
            <w:color w:val="0000EE"/>
          </w:rPr>
          <w:t>pursuant to Section 302 of the Sarbanes-Oxley Act of 2002</w:t>
        </w:r>
      </w:hyperlink>
    </w:p>
    <w:p>
      <w:pPr>
        <w:spacing w:after="0" w:line="76" w:lineRule="exact"/>
        <w:rPr>
          <w:rFonts w:ascii="Arial" w:cs="Arial" w:eastAsia="Arial" w:hAnsi="Arial"/>
          <w:sz w:val="18"/>
          <w:szCs w:val="18"/>
          <w:color w:val="auto"/>
        </w:rPr>
      </w:pPr>
    </w:p>
    <w:p>
      <w:pPr>
        <w:ind w:left="440" w:right="320" w:firstLine="9"/>
        <w:spacing w:after="0" w:line="277" w:lineRule="auto"/>
        <w:tabs>
          <w:tab w:leader="none" w:pos="665" w:val="left"/>
        </w:tabs>
        <w:numPr>
          <w:ilvl w:val="0"/>
          <w:numId w:val="27"/>
        </w:numPr>
        <w:rPr>
          <w:rFonts w:ascii="Arial" w:cs="Arial" w:eastAsia="Arial" w:hAnsi="Arial"/>
          <w:sz w:val="18"/>
          <w:szCs w:val="18"/>
          <w:u w:val="single" w:color="auto"/>
          <w:color w:val="0000EE"/>
        </w:rPr>
      </w:pPr>
      <w:hyperlink w:anchor="page49">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w:t>
        </w:r>
      </w:hyperlink>
      <w:hyperlink w:anchor="page49">
        <w:r>
          <w:rPr>
            <w:rFonts w:ascii="Arial" w:cs="Arial" w:eastAsia="Arial" w:hAnsi="Arial"/>
            <w:sz w:val="18"/>
            <w:szCs w:val="18"/>
            <w:u w:val="single" w:color="auto"/>
            <w:color w:val="0000EE"/>
          </w:rPr>
          <w:t>Oxley Act of 2002</w:t>
        </w:r>
      </w:hyperlink>
    </w:p>
    <w:p>
      <w:pPr>
        <w:spacing w:after="0" w:line="75" w:lineRule="exact"/>
        <w:rPr>
          <w:rFonts w:ascii="Arial" w:cs="Arial" w:eastAsia="Arial" w:hAnsi="Arial"/>
          <w:sz w:val="18"/>
          <w:szCs w:val="18"/>
          <w:u w:val="single" w:color="auto"/>
          <w:color w:val="0000EE"/>
        </w:rPr>
      </w:pPr>
    </w:p>
    <w:p>
      <w:pPr>
        <w:ind w:left="440" w:right="380" w:firstLine="9"/>
        <w:spacing w:after="0" w:line="277" w:lineRule="auto"/>
        <w:tabs>
          <w:tab w:leader="none" w:pos="665" w:val="left"/>
        </w:tabs>
        <w:numPr>
          <w:ilvl w:val="0"/>
          <w:numId w:val="27"/>
        </w:numPr>
        <w:rPr>
          <w:rFonts w:ascii="Arial" w:cs="Arial" w:eastAsia="Arial" w:hAnsi="Arial"/>
          <w:sz w:val="18"/>
          <w:szCs w:val="18"/>
          <w:u w:val="single" w:color="auto"/>
          <w:color w:val="0000EE"/>
        </w:rPr>
      </w:pPr>
      <w:hyperlink w:anchor="page50">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w:t>
        </w:r>
      </w:hyperlink>
      <w:hyperlink w:anchor="page50">
        <w:r>
          <w:rPr>
            <w:rFonts w:ascii="Arial" w:cs="Arial" w:eastAsia="Arial" w:hAnsi="Arial"/>
            <w:sz w:val="18"/>
            <w:szCs w:val="18"/>
            <w:u w:val="single" w:color="auto"/>
            <w:color w:val="0000EE"/>
          </w:rPr>
          <w:t>Oxley Act of 2002</w:t>
        </w:r>
      </w:hyperlink>
    </w:p>
    <w:p>
      <w:pPr>
        <w:spacing w:after="0" w:line="76" w:lineRule="exact"/>
        <w:rPr>
          <w:rFonts w:ascii="Arial" w:cs="Arial" w:eastAsia="Arial" w:hAnsi="Arial"/>
          <w:sz w:val="18"/>
          <w:szCs w:val="18"/>
          <w:color w:val="auto"/>
        </w:rPr>
      </w:pPr>
    </w:p>
    <w:p>
      <w:pPr>
        <w:ind w:left="580" w:hanging="13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95—</w:t>
      </w:r>
      <w:hyperlink w:anchor="page51">
        <w:r>
          <w:rPr>
            <w:rFonts w:ascii="Arial" w:cs="Arial" w:eastAsia="Arial" w:hAnsi="Arial"/>
            <w:sz w:val="18"/>
            <w:szCs w:val="18"/>
            <w:u w:val="single" w:color="auto"/>
            <w:color w:val="0000EE"/>
          </w:rPr>
          <w:t>Mine Safety Disclosures</w:t>
        </w:r>
      </w:hyperlink>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101.INS—Inline XBRL Instance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101.SCH—Inline XBRL Taxonomy Extension Schema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101.CAL—Inline XBRL Taxonomy Extension Calculation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101.DEF—Inline XBRL Taxonomy Extension Definition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101.LAB—Inline XBRL Taxonomy Extension Label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101.PRE—Inline XBRL Taxonomy Extension Presentation Linkbase Document</w:t>
      </w:r>
    </w:p>
    <w:p>
      <w:pPr>
        <w:spacing w:after="0" w:line="13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Exhibit 104—Cover Page Interactive Data File (formatted as inline XBRL and contained in Exhibit 101)</w:t>
      </w:r>
    </w:p>
    <w:p>
      <w:pPr>
        <w:spacing w:after="0" w:line="374"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Filed with this Form 10-Q.</w:t>
      </w:r>
    </w:p>
    <w:p>
      <w:pPr>
        <w:spacing w:after="0" w:line="23"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9"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80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2019</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Howard Guild</w:t>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NON-COMPETITION AND</w:t>
      </w:r>
    </w:p>
    <w:p>
      <w:pPr>
        <w:jc w:val="center"/>
        <w:spacing w:after="0"/>
        <w:rPr>
          <w:sz w:val="20"/>
          <w:szCs w:val="20"/>
          <w:color w:val="auto"/>
        </w:rPr>
      </w:pPr>
      <w:r>
        <w:rPr>
          <w:rFonts w:ascii="Arial" w:cs="Arial" w:eastAsia="Arial" w:hAnsi="Arial"/>
          <w:sz w:val="22"/>
          <w:szCs w:val="22"/>
          <w:b w:val="1"/>
          <w:bCs w:val="1"/>
          <w:u w:val="single" w:color="auto"/>
          <w:color w:val="auto"/>
        </w:rPr>
        <w:t>NON-SOLICITATION AGREEMENT</w:t>
      </w:r>
    </w:p>
    <w:p>
      <w:pPr>
        <w:spacing w:after="0" w:line="196" w:lineRule="exact"/>
        <w:rPr>
          <w:sz w:val="20"/>
          <w:szCs w:val="20"/>
          <w:color w:val="auto"/>
        </w:rPr>
      </w:pPr>
    </w:p>
    <w:p>
      <w:pPr>
        <w:jc w:val="both"/>
        <w:ind w:firstLine="950"/>
        <w:spacing w:after="0" w:line="243"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EMPLOYMENT, NON-COMPETITION AND NON-SOLICITATION</w:t>
      </w:r>
      <w:r>
        <w:rPr>
          <w:rFonts w:ascii="Arial" w:cs="Arial" w:eastAsia="Arial" w:hAnsi="Arial"/>
          <w:sz w:val="22"/>
          <w:szCs w:val="22"/>
          <w:color w:val="auto"/>
        </w:rPr>
        <w:t xml:space="preserve"> AGREEMENT (“Agreement”) is effective as of August 1</w:t>
      </w:r>
      <w:r>
        <w:rPr>
          <w:rFonts w:ascii="Arial" w:cs="Arial" w:eastAsia="Arial" w:hAnsi="Arial"/>
          <w:sz w:val="18"/>
          <w:szCs w:val="18"/>
          <w:color w:val="auto"/>
        </w:rPr>
        <w:t>st</w:t>
      </w:r>
      <w:r>
        <w:rPr>
          <w:rFonts w:ascii="Arial" w:cs="Arial" w:eastAsia="Arial" w:hAnsi="Arial"/>
          <w:sz w:val="22"/>
          <w:szCs w:val="22"/>
          <w:color w:val="auto"/>
        </w:rPr>
        <w:t xml:space="preserve">, 2019, by and between </w:t>
      </w:r>
      <w:r>
        <w:rPr>
          <w:rFonts w:ascii="Arial" w:cs="Arial" w:eastAsia="Arial" w:hAnsi="Arial"/>
          <w:sz w:val="22"/>
          <w:szCs w:val="22"/>
          <w:b w:val="1"/>
          <w:bCs w:val="1"/>
          <w:color w:val="auto"/>
        </w:rPr>
        <w:t>SCHLUMBERGER LIMITED</w:t>
      </w:r>
      <w:r>
        <w:rPr>
          <w:rFonts w:ascii="Arial" w:cs="Arial" w:eastAsia="Arial" w:hAnsi="Arial"/>
          <w:sz w:val="22"/>
          <w:szCs w:val="22"/>
          <w:color w:val="auto"/>
        </w:rPr>
        <w:t>, a Curaçao corporation (the “Company”), and Paal Kibsgaard (“Executive”).</w:t>
      </w:r>
    </w:p>
    <w:p>
      <w:pPr>
        <w:spacing w:after="0" w:line="196" w:lineRule="exact"/>
        <w:rPr>
          <w:sz w:val="20"/>
          <w:szCs w:val="20"/>
          <w:color w:val="auto"/>
        </w:rPr>
      </w:pPr>
    </w:p>
    <w:p>
      <w:pPr>
        <w:jc w:val="both"/>
        <w:ind w:firstLine="958"/>
        <w:spacing w:after="0" w:line="287" w:lineRule="auto"/>
        <w:tabs>
          <w:tab w:leader="none" w:pos="176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Employment of Executive</w:t>
      </w:r>
      <w:r>
        <w:rPr>
          <w:rFonts w:ascii="Arial" w:cs="Arial" w:eastAsia="Arial" w:hAnsi="Arial"/>
          <w:sz w:val="19"/>
          <w:szCs w:val="19"/>
          <w:color w:val="auto"/>
        </w:rPr>
        <w:t xml:space="preserve">: In consideration of the mutual covenants and agreements herein contained, including Executive’s execution of a release of claims as provided in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the Company and Executive enter into an agreement retaining Executive’s services as described herein, securing Executive’s covenants herein, establishing certain incentive, tenure and performance criteria related to such employment, and otherwise fixing Executive’s benefits.</w:t>
      </w:r>
    </w:p>
    <w:p>
      <w:pPr>
        <w:spacing w:after="0" w:line="156" w:lineRule="exact"/>
        <w:rPr>
          <w:rFonts w:ascii="Arial" w:cs="Arial" w:eastAsia="Arial" w:hAnsi="Arial"/>
          <w:sz w:val="19"/>
          <w:szCs w:val="19"/>
          <w:color w:val="auto"/>
        </w:rPr>
      </w:pPr>
    </w:p>
    <w:p>
      <w:pPr>
        <w:jc w:val="both"/>
        <w:ind w:firstLine="958"/>
        <w:spacing w:after="0" w:line="275" w:lineRule="auto"/>
        <w:tabs>
          <w:tab w:leader="none" w:pos="1761"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Term and Extent of Services</w:t>
      </w:r>
      <w:r>
        <w:rPr>
          <w:rFonts w:ascii="Arial" w:cs="Arial" w:eastAsia="Arial" w:hAnsi="Arial"/>
          <w:sz w:val="19"/>
          <w:szCs w:val="19"/>
          <w:color w:val="auto"/>
        </w:rPr>
        <w:t>: The term will commence August 1, 2019 (the “Effective Date”) and will continue until the close of business on July 31, 2022 (the “Term”). This Agreement does not constitute a guarantee of continued employment but instead provides for certain obligations of, and rights and benefits for, Executive during the Term, and in the event his employment with the Company terminates under the circumstances described herein. Effective as of August 1, 2019, Executive shall resign from his positions as Chairman of the Board and as Chief Executive Officer of the Company. Executive will remain employed by the Company through the end of the Term, unless otherwise terminated under Section 4. During the Term, the Executive shall be employed as an advisor reporting to the Chairman of the Board of Directors of the Company (the “Board”). At the expiration of the Term, Executive’s employment with the Company and all of its affiliates shall terminate.</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Nothing herein shall prohibit Executive, during the Term, from being engaged as a consultant or employee to organizations and businesses or to be appointed to their board of directors except those specifically identified as Unauthorized Competitors in Section</w:t>
      </w:r>
    </w:p>
    <w:p>
      <w:pPr>
        <w:spacing w:after="0" w:line="2" w:lineRule="exact"/>
        <w:rPr>
          <w:sz w:val="20"/>
          <w:szCs w:val="20"/>
          <w:color w:val="auto"/>
        </w:rPr>
      </w:pPr>
    </w:p>
    <w:p>
      <w:pPr>
        <w:jc w:val="both"/>
        <w:ind w:firstLine="8"/>
        <w:spacing w:after="0" w:line="234" w:lineRule="auto"/>
        <w:tabs>
          <w:tab w:leader="none" w:pos="284" w:val="left"/>
        </w:tabs>
        <w:numPr>
          <w:ilvl w:val="0"/>
          <w:numId w:val="30"/>
        </w:numPr>
        <w:rPr>
          <w:rFonts w:ascii="Arial" w:cs="Arial" w:eastAsia="Arial" w:hAnsi="Arial"/>
          <w:sz w:val="22"/>
          <w:szCs w:val="22"/>
          <w:color w:val="auto"/>
        </w:rPr>
      </w:pPr>
      <w:r>
        <w:rPr>
          <w:rFonts w:ascii="Arial" w:cs="Arial" w:eastAsia="Arial" w:hAnsi="Arial"/>
          <w:sz w:val="22"/>
          <w:szCs w:val="22"/>
          <w:color w:val="auto"/>
        </w:rPr>
        <w:t>Executive agrees that he will not accept employment with any oil and gas related company without prior written approval from the Chairman of the Board. For the avoidance of doubt, “oil and gas related company” expressly excludes any Unauthorized Competitor.</w:t>
      </w:r>
    </w:p>
    <w:p>
      <w:pPr>
        <w:spacing w:after="0" w:line="200" w:lineRule="exact"/>
        <w:rPr>
          <w:rFonts w:ascii="Arial" w:cs="Arial" w:eastAsia="Arial" w:hAnsi="Arial"/>
          <w:sz w:val="22"/>
          <w:szCs w:val="22"/>
          <w:color w:val="auto"/>
        </w:rPr>
      </w:pPr>
    </w:p>
    <w:p>
      <w:pPr>
        <w:ind w:left="1760" w:hanging="802"/>
        <w:spacing w:after="0"/>
        <w:tabs>
          <w:tab w:leader="none" w:pos="1760"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Non-Competition Payments and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840" w:hanging="941"/>
        <w:spacing w:after="0" w:line="238" w:lineRule="auto"/>
        <w:tabs>
          <w:tab w:leader="none" w:pos="2840" w:val="left"/>
        </w:tabs>
        <w:numPr>
          <w:ilvl w:val="2"/>
          <w:numId w:val="30"/>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During the Term, or if Executive’s employment is terminated sooner pursuant to Section 4, until such termination, Executive shall be entitled to payment of annual base salary of $2,000,000.00 (Two Million Dollars), and shall be paid in accordance with the Company’s standard payroll practices for employees.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jc w:val="both"/>
        <w:ind w:left="1640" w:hanging="941"/>
        <w:spacing w:after="0" w:line="236" w:lineRule="auto"/>
        <w:tabs>
          <w:tab w:leader="none" w:pos="16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Welfare Benefits</w:t>
      </w:r>
      <w:r>
        <w:rPr>
          <w:rFonts w:ascii="Arial" w:cs="Arial" w:eastAsia="Arial" w:hAnsi="Arial"/>
          <w:sz w:val="22"/>
          <w:szCs w:val="22"/>
          <w:color w:val="auto"/>
        </w:rPr>
        <w:t xml:space="preserve">: During the Term, or if Executive’s employment is terminated sooner pursuant to Section 4, until such termination, Executive shall be eligible to participate in the Company’s </w:t>
      </w:r>
      <w:r>
        <w:rPr>
          <w:rFonts w:ascii="Arial" w:cs="Arial" w:eastAsia="Arial" w:hAnsi="Arial"/>
          <w:sz w:val="22"/>
          <w:szCs w:val="22"/>
          <w:color w:val="191919"/>
        </w:rPr>
        <w:t xml:space="preserve">health, welfare and insurance plans (e.g., </w:t>
      </w:r>
      <w:r>
        <w:rPr>
          <w:rFonts w:ascii="Arial" w:cs="Arial" w:eastAsia="Arial" w:hAnsi="Arial"/>
          <w:sz w:val="22"/>
          <w:szCs w:val="22"/>
          <w:color w:val="000000"/>
        </w:rPr>
        <w:t>medical</w:t>
      </w:r>
      <w:r>
        <w:rPr>
          <w:rFonts w:ascii="Arial" w:cs="Arial" w:eastAsia="Arial" w:hAnsi="Arial"/>
          <w:sz w:val="22"/>
          <w:szCs w:val="22"/>
          <w:color w:val="191919"/>
        </w:rPr>
        <w:t xml:space="preserve">, dental, vision, life insurance, short- and long-term disability, etc.) </w:t>
      </w:r>
      <w:r>
        <w:rPr>
          <w:rFonts w:ascii="Arial" w:cs="Arial" w:eastAsia="Arial" w:hAnsi="Arial"/>
          <w:sz w:val="22"/>
          <w:szCs w:val="22"/>
          <w:color w:val="000000"/>
        </w:rPr>
        <w:t>on a basis comparable to that of other United States employees of the</w:t>
      </w:r>
      <w:r>
        <w:rPr>
          <w:rFonts w:ascii="Arial" w:cs="Arial" w:eastAsia="Arial" w:hAnsi="Arial"/>
          <w:sz w:val="22"/>
          <w:szCs w:val="22"/>
          <w:color w:val="191919"/>
        </w:rPr>
        <w:t xml:space="preserve"> </w:t>
      </w:r>
      <w:r>
        <w:rPr>
          <w:rFonts w:ascii="Arial" w:cs="Arial" w:eastAsia="Arial" w:hAnsi="Arial"/>
          <w:sz w:val="22"/>
          <w:szCs w:val="22"/>
          <w:color w:val="000000"/>
        </w:rPr>
        <w:t>Company from time to time.</w:t>
      </w:r>
    </w:p>
    <w:p>
      <w:pPr>
        <w:spacing w:after="0" w:line="201" w:lineRule="exact"/>
        <w:rPr>
          <w:rFonts w:ascii="Arial" w:cs="Arial" w:eastAsia="Arial" w:hAnsi="Arial"/>
          <w:sz w:val="22"/>
          <w:szCs w:val="22"/>
          <w:color w:val="auto"/>
        </w:rPr>
      </w:pPr>
    </w:p>
    <w:p>
      <w:pPr>
        <w:jc w:val="both"/>
        <w:ind w:left="1640" w:hanging="941"/>
        <w:spacing w:after="0"/>
        <w:tabs>
          <w:tab w:leader="none" w:pos="16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Pension</w:t>
      </w:r>
      <w:r>
        <w:rPr>
          <w:rFonts w:ascii="Arial" w:cs="Arial" w:eastAsia="Arial" w:hAnsi="Arial"/>
          <w:sz w:val="22"/>
          <w:szCs w:val="22"/>
          <w:color w:val="auto"/>
        </w:rPr>
        <w:t>: During the Term, or if Executive’s employment is terminated sooner pursuant to Section 4, until such termination, Executive shall continue to accrue benefits under the Company’s pension plans.</w:t>
      </w:r>
    </w:p>
    <w:p>
      <w:pPr>
        <w:spacing w:after="0" w:line="199" w:lineRule="exact"/>
        <w:rPr>
          <w:rFonts w:ascii="Arial" w:cs="Arial" w:eastAsia="Arial" w:hAnsi="Arial"/>
          <w:sz w:val="22"/>
          <w:szCs w:val="22"/>
          <w:color w:val="auto"/>
        </w:rPr>
      </w:pPr>
    </w:p>
    <w:p>
      <w:pPr>
        <w:ind w:left="1640" w:hanging="941"/>
        <w:spacing w:after="0"/>
        <w:tabs>
          <w:tab w:leader="none" w:pos="164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Incentive Plans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140" w:hanging="482"/>
        <w:spacing w:after="0" w:line="287" w:lineRule="auto"/>
        <w:tabs>
          <w:tab w:leader="none" w:pos="21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During the Term, or if Executive’s employment is terminated sooner pursuant to Section 4, until such termination, Executive will continue to vest in stock options and performance share units (“PSUs”) previously granted to Executive under the Company’s stock incentive plans in accordance with the terms of those plans and any applicable agreement.</w:t>
      </w:r>
    </w:p>
    <w:p>
      <w:pPr>
        <w:spacing w:after="0" w:line="156" w:lineRule="exact"/>
        <w:rPr>
          <w:rFonts w:ascii="Arial" w:cs="Arial" w:eastAsia="Arial" w:hAnsi="Arial"/>
          <w:sz w:val="19"/>
          <w:szCs w:val="19"/>
          <w:color w:val="auto"/>
        </w:rPr>
      </w:pPr>
    </w:p>
    <w:p>
      <w:pPr>
        <w:jc w:val="both"/>
        <w:ind w:left="2140" w:hanging="482"/>
        <w:spacing w:after="0" w:line="245" w:lineRule="auto"/>
        <w:tabs>
          <w:tab w:leader="none" w:pos="2140" w:val="left"/>
        </w:tabs>
        <w:numPr>
          <w:ilvl w:val="1"/>
          <w:numId w:val="31"/>
        </w:numPr>
        <w:rPr>
          <w:rFonts w:ascii="Arial" w:cs="Arial" w:eastAsia="Arial" w:hAnsi="Arial"/>
          <w:sz w:val="21"/>
          <w:szCs w:val="21"/>
          <w:color w:val="auto"/>
        </w:rPr>
      </w:pPr>
      <w:r>
        <w:rPr>
          <w:rFonts w:ascii="Arial" w:cs="Arial" w:eastAsia="Arial" w:hAnsi="Arial"/>
          <w:sz w:val="21"/>
          <w:szCs w:val="21"/>
          <w:color w:val="auto"/>
        </w:rPr>
        <w:t>Except for termination of Executive’s employment for Cause pursuant to Section 4(c) or upon Executive’s employment with an Unauthorized Competitor identified in Section 5(c)(i), Executive shall, pursuant to the terms of Executive’s stock option and PSU award agreements, and upon execution and delivery of this Agreement, be deemed to have terminated his employment with the Company at the end of the Term due to “Special Retirement,” as defined in the applicable equity award agreements and plan rules, and shall have the period to exercise any outstanding stock options as per the plan rules of five years, to the extent that such options were exercisable as of the date of such termination. In addition, any PSUs outstanding as of such date will continue to vest according the terms of the applicable PSU award agreements.</w:t>
      </w:r>
    </w:p>
    <w:p>
      <w:pPr>
        <w:spacing w:after="0" w:line="195" w:lineRule="exact"/>
        <w:rPr>
          <w:rFonts w:ascii="Arial" w:cs="Arial" w:eastAsia="Arial" w:hAnsi="Arial"/>
          <w:sz w:val="21"/>
          <w:szCs w:val="21"/>
          <w:color w:val="auto"/>
        </w:rPr>
      </w:pPr>
    </w:p>
    <w:p>
      <w:pPr>
        <w:jc w:val="both"/>
        <w:ind w:left="2140" w:hanging="482"/>
        <w:spacing w:after="0" w:line="277" w:lineRule="auto"/>
        <w:tabs>
          <w:tab w:leader="none" w:pos="21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For the year 2019, Executive will be eligible for the normal full-year cash incentive bonus, based on achievement of the personal and financial performance targets that were approved by the Board in early 2019, with the date of payment of such annual cash incentive award being the same as the date of payment for the other officers of the Company. The actual pay-out to Executive under this Section 3(d)(iii) shall be based on achievement of the established personal and financial performance targets as if Executive had been employed as Chairman and Chief Executive Officer for the full year and the payment will not be prorated.</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32" w:name="page33"/>
    <w:bookmarkEnd w:id="32"/>
    <w:p>
      <w:pPr>
        <w:jc w:val="both"/>
        <w:ind w:left="3340" w:hanging="482"/>
        <w:spacing w:after="0"/>
        <w:tabs>
          <w:tab w:leader="none" w:pos="3340" w:val="left"/>
        </w:tabs>
        <w:numPr>
          <w:ilvl w:val="2"/>
          <w:numId w:val="32"/>
        </w:numPr>
        <w:rPr>
          <w:rFonts w:ascii="Arial" w:cs="Arial" w:eastAsia="Arial" w:hAnsi="Arial"/>
          <w:sz w:val="22"/>
          <w:szCs w:val="22"/>
          <w:color w:val="auto"/>
        </w:rPr>
      </w:pPr>
      <w:r>
        <w:rPr>
          <w:rFonts w:ascii="Arial" w:cs="Arial" w:eastAsia="Arial" w:hAnsi="Arial"/>
          <w:sz w:val="22"/>
          <w:szCs w:val="22"/>
          <w:color w:val="auto"/>
        </w:rPr>
        <w:t>From and after the Effective Date, Executive will not be eligible to participate in, or receive any, annual incentive or bonus program or payout of any kind, other than as described in Section 3(d)(iii) above.</w:t>
      </w:r>
    </w:p>
    <w:p>
      <w:pPr>
        <w:spacing w:after="0" w:line="199" w:lineRule="exact"/>
        <w:rPr>
          <w:rFonts w:ascii="Arial" w:cs="Arial" w:eastAsia="Arial" w:hAnsi="Arial"/>
          <w:sz w:val="22"/>
          <w:szCs w:val="22"/>
          <w:color w:val="auto"/>
        </w:rPr>
      </w:pPr>
    </w:p>
    <w:p>
      <w:pPr>
        <w:jc w:val="both"/>
        <w:ind w:left="2840" w:hanging="941"/>
        <w:spacing w:after="0"/>
        <w:tabs>
          <w:tab w:leader="none" w:pos="284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As soon as practicable following the Effective Date, Executive shall be paid a cash amount representing his accrued and unused vacation accumulated as of August 1, 2019. During the Term, Executive shall not be eligible to accrue vacation pay.</w:t>
      </w:r>
    </w:p>
    <w:p>
      <w:pPr>
        <w:spacing w:after="0" w:line="199" w:lineRule="exact"/>
        <w:rPr>
          <w:rFonts w:ascii="Arial" w:cs="Arial" w:eastAsia="Arial" w:hAnsi="Arial"/>
          <w:sz w:val="22"/>
          <w:szCs w:val="22"/>
          <w:color w:val="auto"/>
        </w:rPr>
      </w:pPr>
    </w:p>
    <w:p>
      <w:pPr>
        <w:jc w:val="both"/>
        <w:ind w:left="2840" w:hanging="941"/>
        <w:spacing w:after="0" w:line="244" w:lineRule="auto"/>
        <w:tabs>
          <w:tab w:leader="none" w:pos="2840"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Expense Reimbursement:</w:t>
      </w:r>
      <w:r>
        <w:rPr>
          <w:rFonts w:ascii="Arial" w:cs="Arial" w:eastAsia="Arial" w:hAnsi="Arial"/>
          <w:sz w:val="21"/>
          <w:szCs w:val="21"/>
          <w:color w:val="auto"/>
        </w:rPr>
        <w:t xml:space="preserve"> The Company shall reimburse Executive for actual and reasonable business expenses incurred in the normal course of performing his duties hereunder, following delivery of supporting documentation therefor. Executive shall submit all invoices for such incurred costs to the Company no later than 30 days prior to the end of the taxable year following the taxable year in which they were incurred. The Company shall reimburse Executive for any undisputed costs within 30 days of receipt of such invoices and supporting documentation as requested. The Company accepts that Executive expects to remain on the International Advisory Board (“IAB”) of King Abdullah University of Science and Technology (“KAUST”), in Saudi Arabia, and agrees to pay, or reimburse Executive for, first class air travel from Houston to the location of the official KAUST IAB meetings, for the duration of the Term or Executive’s service on the KAUST IAB, whichever is shorter.</w:t>
      </w:r>
    </w:p>
    <w:p>
      <w:pPr>
        <w:spacing w:after="0" w:line="203" w:lineRule="exact"/>
        <w:rPr>
          <w:rFonts w:ascii="Arial" w:cs="Arial" w:eastAsia="Arial" w:hAnsi="Arial"/>
          <w:sz w:val="21"/>
          <w:szCs w:val="21"/>
          <w:color w:val="auto"/>
        </w:rPr>
      </w:pPr>
    </w:p>
    <w:p>
      <w:pPr>
        <w:ind w:firstLine="958"/>
        <w:spacing w:after="0" w:line="251" w:lineRule="auto"/>
        <w:tabs>
          <w:tab w:leader="none" w:pos="1761"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Should Executive’s employment terminate prior to the end of the Term, the following provisions of this Section 4 shall govern the rights of Executive under this Agreement:</w:t>
      </w:r>
    </w:p>
    <w:p>
      <w:pPr>
        <w:spacing w:after="0" w:line="186" w:lineRule="exact"/>
        <w:rPr>
          <w:rFonts w:ascii="Arial" w:cs="Arial" w:eastAsia="Arial" w:hAnsi="Arial"/>
          <w:sz w:val="22"/>
          <w:szCs w:val="22"/>
          <w:color w:val="auto"/>
        </w:rPr>
      </w:pPr>
    </w:p>
    <w:p>
      <w:pPr>
        <w:jc w:val="both"/>
        <w:ind w:left="2840" w:hanging="941"/>
        <w:spacing w:after="0" w:line="252" w:lineRule="auto"/>
        <w:tabs>
          <w:tab w:leader="none" w:pos="2840"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87" w:lineRule="exact"/>
        <w:rPr>
          <w:rFonts w:ascii="Arial" w:cs="Arial" w:eastAsia="Arial" w:hAnsi="Arial"/>
          <w:sz w:val="21"/>
          <w:szCs w:val="21"/>
          <w:color w:val="auto"/>
        </w:rPr>
      </w:pPr>
    </w:p>
    <w:p>
      <w:pPr>
        <w:jc w:val="both"/>
        <w:ind w:left="2840" w:hanging="941"/>
        <w:spacing w:after="0" w:line="235" w:lineRule="auto"/>
        <w:tabs>
          <w:tab w:leader="none" w:pos="284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33" w:name="page34"/>
    <w:bookmarkEnd w:id="33"/>
    <w:p>
      <w:pPr>
        <w:jc w:val="both"/>
        <w:ind w:left="1640" w:hanging="941"/>
        <w:spacing w:after="0" w:line="238" w:lineRule="auto"/>
        <w:tabs>
          <w:tab w:leader="none" w:pos="16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w:t>
      </w:r>
      <w:r>
        <w:rPr>
          <w:rFonts w:ascii="Arial" w:cs="Arial" w:eastAsia="Arial" w:hAnsi="Arial"/>
          <w:sz w:val="22"/>
          <w:szCs w:val="22"/>
          <w:color w:val="auto"/>
        </w:rPr>
        <w:t>: In the event the Company terminates Executive’s employment during the Term for Cause, as defined below, he shall be entitled to any other amounts earned, accrued or owing as of the date of termination of employment under the applicable employee benefit plans or programs of the Company.</w:t>
      </w:r>
    </w:p>
    <w:p>
      <w:pPr>
        <w:spacing w:after="0" w:line="199" w:lineRule="exact"/>
        <w:rPr>
          <w:sz w:val="20"/>
          <w:szCs w:val="20"/>
          <w:color w:val="auto"/>
        </w:rPr>
      </w:pPr>
    </w:p>
    <w:p>
      <w:pPr>
        <w:jc w:val="both"/>
        <w:ind w:left="720"/>
        <w:spacing w:after="0"/>
        <w:rPr>
          <w:sz w:val="20"/>
          <w:szCs w:val="20"/>
          <w:color w:val="auto"/>
        </w:rPr>
      </w:pPr>
      <w:r>
        <w:rPr>
          <w:rFonts w:ascii="Arial" w:cs="Arial" w:eastAsia="Arial" w:hAnsi="Arial"/>
          <w:sz w:val="22"/>
          <w:szCs w:val="22"/>
          <w:color w:val="auto"/>
        </w:rPr>
        <w:t>“Cause” means Executive’s dishonesty relating to his employment with the Company, conviction of a felony, willful unauthorized disclosure of confidential information of the Company, or breach of any of Executive’s obligations in Section 5.</w:t>
      </w:r>
    </w:p>
    <w:p>
      <w:pPr>
        <w:spacing w:after="0" w:line="200" w:lineRule="exact"/>
        <w:rPr>
          <w:sz w:val="20"/>
          <w:szCs w:val="20"/>
          <w:color w:val="auto"/>
        </w:rPr>
      </w:pPr>
    </w:p>
    <w:p>
      <w:pPr>
        <w:jc w:val="both"/>
        <w:ind w:left="1640" w:hanging="941"/>
        <w:spacing w:after="0" w:line="279" w:lineRule="auto"/>
        <w:tabs>
          <w:tab w:leader="none" w:pos="16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Voluntary Termination and Termination Due to Mutual Agreement</w:t>
      </w:r>
      <w:r>
        <w:rPr>
          <w:rFonts w:ascii="Arial" w:cs="Arial" w:eastAsia="Arial" w:hAnsi="Arial"/>
          <w:sz w:val="19"/>
          <w:szCs w:val="19"/>
          <w:color w:val="auto"/>
        </w:rPr>
        <w:t>: Upon 15 days’ prior written notice to the Company (unless otherwise waived by the Company in writing), Executive may voluntarily terminate his employment with the Company. A voluntary termination pursuant to this Section 4(d) shall not include a termination under Section 4 (a), 4(b) or 4 (c) above, and shall not be deemed a breach of this Agreement by Executive (except if Executive accepts employment or other prohibited association with an Unauthorized Competitor during the Term).</w:t>
      </w:r>
    </w:p>
    <w:p>
      <w:pPr>
        <w:spacing w:after="0" w:line="164" w:lineRule="exact"/>
        <w:rPr>
          <w:rFonts w:ascii="Arial" w:cs="Arial" w:eastAsia="Arial" w:hAnsi="Arial"/>
          <w:sz w:val="19"/>
          <w:szCs w:val="19"/>
          <w:color w:val="auto"/>
        </w:rPr>
      </w:pPr>
    </w:p>
    <w:p>
      <w:pPr>
        <w:jc w:val="both"/>
        <w:ind w:left="1660"/>
        <w:spacing w:after="0" w:line="277" w:lineRule="auto"/>
        <w:rPr>
          <w:rFonts w:ascii="Arial" w:cs="Arial" w:eastAsia="Arial" w:hAnsi="Arial"/>
          <w:sz w:val="19"/>
          <w:szCs w:val="19"/>
          <w:color w:val="auto"/>
        </w:rPr>
      </w:pPr>
      <w:r>
        <w:rPr>
          <w:rFonts w:ascii="Arial" w:cs="Arial" w:eastAsia="Arial" w:hAnsi="Arial"/>
          <w:sz w:val="19"/>
          <w:szCs w:val="19"/>
          <w:color w:val="auto"/>
        </w:rPr>
        <w:t>Executive may work for another employer (excluding an Unauthorized Competitor) during the Term without terminating his employment relationship with the Company hereunder. In the event Executive voluntarily terminates his employment with the Company during the Term pursuant to this Section 4(d)</w:t>
      </w:r>
      <w:r>
        <w:rPr>
          <w:rFonts w:ascii="Arial" w:cs="Arial" w:eastAsia="Arial" w:hAnsi="Arial"/>
          <w:sz w:val="19"/>
          <w:szCs w:val="19"/>
          <w:color w:val="333333"/>
        </w:rPr>
        <w:t>,</w:t>
      </w:r>
      <w:r>
        <w:rPr>
          <w:rFonts w:ascii="Arial" w:cs="Arial" w:eastAsia="Arial" w:hAnsi="Arial"/>
          <w:sz w:val="19"/>
          <w:szCs w:val="19"/>
          <w:color w:val="auto"/>
        </w:rPr>
        <w:t xml:space="preserve"> </w:t>
      </w:r>
      <w:r>
        <w:rPr>
          <w:rFonts w:ascii="Arial" w:cs="Arial" w:eastAsia="Arial" w:hAnsi="Arial"/>
          <w:sz w:val="19"/>
          <w:szCs w:val="19"/>
          <w:color w:val="191919"/>
        </w:rPr>
        <w:t>and (I)</w:t>
      </w:r>
      <w:r>
        <w:rPr>
          <w:rFonts w:ascii="Arial" w:cs="Arial" w:eastAsia="Arial" w:hAnsi="Arial"/>
          <w:sz w:val="19"/>
          <w:szCs w:val="19"/>
          <w:color w:val="auto"/>
        </w:rPr>
        <w:t xml:space="preserve"> does not become employed by or otherwise render services to an Unauthorized Competitor or </w:t>
      </w:r>
      <w:r>
        <w:rPr>
          <w:rFonts w:ascii="Arial" w:cs="Arial" w:eastAsia="Arial" w:hAnsi="Arial"/>
          <w:sz w:val="19"/>
          <w:szCs w:val="19"/>
          <w:color w:val="191919"/>
        </w:rPr>
        <w:t>(II) becomes employed</w:t>
      </w:r>
      <w:r>
        <w:rPr>
          <w:rFonts w:ascii="Arial" w:cs="Arial" w:eastAsia="Arial" w:hAnsi="Arial"/>
          <w:sz w:val="19"/>
          <w:szCs w:val="19"/>
          <w:color w:val="auto"/>
        </w:rPr>
        <w:t xml:space="preserve"> by an oil &amp; gas related company, for which employment the Executive, will have received written pre-approval the Chairman of the Board prior to acceptance of employment, he shall be entitled to:</w:t>
      </w:r>
    </w:p>
    <w:p>
      <w:pPr>
        <w:spacing w:after="0" w:line="166" w:lineRule="exact"/>
        <w:rPr>
          <w:rFonts w:ascii="Arial" w:cs="Arial" w:eastAsia="Arial" w:hAnsi="Arial"/>
          <w:sz w:val="19"/>
          <w:szCs w:val="19"/>
          <w:color w:val="auto"/>
        </w:rPr>
      </w:pPr>
    </w:p>
    <w:p>
      <w:pPr>
        <w:ind w:left="2140" w:right="20" w:hanging="482"/>
        <w:spacing w:after="0" w:line="251" w:lineRule="auto"/>
        <w:tabs>
          <w:tab w:leader="none" w:pos="21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other benefits for which he is eligible in accordance with applicable plans or programs of the Company;</w:t>
      </w:r>
    </w:p>
    <w:p>
      <w:pPr>
        <w:spacing w:after="0" w:line="186" w:lineRule="exact"/>
        <w:rPr>
          <w:rFonts w:ascii="Arial" w:cs="Arial" w:eastAsia="Arial" w:hAnsi="Arial"/>
          <w:sz w:val="22"/>
          <w:szCs w:val="22"/>
          <w:color w:val="auto"/>
        </w:rPr>
      </w:pPr>
    </w:p>
    <w:p>
      <w:pPr>
        <w:ind w:left="2140" w:hanging="482"/>
        <w:spacing w:after="0" w:line="251" w:lineRule="auto"/>
        <w:tabs>
          <w:tab w:leader="none" w:pos="21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exercise any stock options granted under a plan of the Company that vested during the Term (and prior to his termination date) as per the Plan rules.</w:t>
      </w:r>
    </w:p>
    <w:p>
      <w:pPr>
        <w:spacing w:after="0" w:line="186" w:lineRule="exact"/>
        <w:rPr>
          <w:rFonts w:ascii="Arial" w:cs="Arial" w:eastAsia="Arial" w:hAnsi="Arial"/>
          <w:sz w:val="22"/>
          <w:szCs w:val="22"/>
          <w:color w:val="auto"/>
        </w:rPr>
      </w:pPr>
    </w:p>
    <w:p>
      <w:pPr>
        <w:jc w:val="both"/>
        <w:ind w:left="1640" w:hanging="941"/>
        <w:spacing w:after="0" w:line="247" w:lineRule="auto"/>
        <w:tabs>
          <w:tab w:leader="none" w:pos="164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Termination due to Employment by or Services to Unauthorized Competitor</w:t>
      </w:r>
      <w:r>
        <w:rPr>
          <w:rFonts w:ascii="Arial" w:cs="Arial" w:eastAsia="Arial" w:hAnsi="Arial"/>
          <w:sz w:val="21"/>
          <w:szCs w:val="21"/>
          <w:color w:val="auto"/>
        </w:rPr>
        <w:t xml:space="preserve">: If during the Term, Executive accepts employment with, </w:t>
      </w:r>
      <w:r>
        <w:rPr>
          <w:rFonts w:ascii="Arial" w:cs="Arial" w:eastAsia="Arial" w:hAnsi="Arial"/>
          <w:sz w:val="21"/>
          <w:szCs w:val="21"/>
          <w:color w:val="191919"/>
        </w:rPr>
        <w:t>or otherwise render services</w:t>
      </w:r>
      <w:r>
        <w:rPr>
          <w:rFonts w:ascii="Arial" w:cs="Arial" w:eastAsia="Arial" w:hAnsi="Arial"/>
          <w:sz w:val="21"/>
          <w:szCs w:val="21"/>
          <w:color w:val="auto"/>
        </w:rPr>
        <w:t xml:space="preserve"> to, an Unauthorized Competitor (as defined in Section 5(c)), Executive shall be required to reimburse all payments and other value received by Executive under this Agreement no later than 30 days from the date the Company learns of the acceptance. This repayment obligation shall not apply if Executive becomes an employee of an Unauthorized Competitor as a result of a merger or acquisition involving Executive’s employer and an Unauthorized Competitor.</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34" w:name="page35"/>
    <w:bookmarkEnd w:id="34"/>
    <w:p>
      <w:pPr>
        <w:ind w:left="962"/>
        <w:spacing w:after="0" w:line="251" w:lineRule="auto"/>
        <w:rPr>
          <w:sz w:val="20"/>
          <w:szCs w:val="20"/>
          <w:color w:val="auto"/>
        </w:rPr>
      </w:pPr>
      <w:r>
        <w:rPr>
          <w:rFonts w:ascii="Arial" w:cs="Arial" w:eastAsia="Arial" w:hAnsi="Arial"/>
          <w:sz w:val="22"/>
          <w:szCs w:val="22"/>
          <w:color w:val="auto"/>
        </w:rPr>
        <w:t>For purposes of this Agreement, an Unauthorized Competitor means those companies as specifically identified in Section 5.</w:t>
      </w:r>
    </w:p>
    <w:p>
      <w:pPr>
        <w:spacing w:after="0" w:line="187" w:lineRule="exact"/>
        <w:rPr>
          <w:sz w:val="20"/>
          <w:szCs w:val="20"/>
          <w:color w:val="auto"/>
        </w:rPr>
      </w:pPr>
    </w:p>
    <w:p>
      <w:pPr>
        <w:ind w:left="802" w:hanging="802"/>
        <w:spacing w:after="0"/>
        <w:tabs>
          <w:tab w:leader="none" w:pos="80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Confidentiality, Return of Property, and Covenant Not to Compete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882" w:hanging="941"/>
        <w:spacing w:after="0" w:line="270" w:lineRule="auto"/>
        <w:tabs>
          <w:tab w:leader="none" w:pos="1882"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Executive acknowledges that the Company has provided and will provide Executive with Confidential Information. Executive agrees that in return for this and other consideration provided under this Agreement, he will not disclose or make available to any other person or entity, or use for his own personal gain, monetary or otherwise,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1882" w:hanging="941"/>
        <w:spacing w:after="0" w:line="277" w:lineRule="auto"/>
        <w:tabs>
          <w:tab w:leader="none" w:pos="1882"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Executive agrees that at the time of leaving the Company’s employ, if not sooner, he will deliver to the Company all (and will not keep in his possession, recreate or deliver to anyone else, any)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382" w:lineRule="exact"/>
        <w:rPr>
          <w:sz w:val="20"/>
          <w:szCs w:val="20"/>
          <w:color w:val="auto"/>
        </w:rPr>
      </w:pPr>
    </w:p>
    <w:p>
      <w:pPr>
        <w:ind w:left="4702"/>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63500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2"/>
          </w:cols>
          <w:pgMar w:left="1198" w:top="348" w:right="239" w:bottom="1440" w:gutter="0" w:footer="0" w:header="0"/>
        </w:sectPr>
      </w:pPr>
    </w:p>
    <w:bookmarkStart w:id="35" w:name="page36"/>
    <w:bookmarkEnd w:id="35"/>
    <w:p>
      <w:pPr>
        <w:jc w:val="both"/>
        <w:ind w:left="1640" w:hanging="941"/>
        <w:spacing w:after="0" w:line="245" w:lineRule="auto"/>
        <w:tabs>
          <w:tab w:leader="none" w:pos="164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Covenant Not to Compete</w:t>
      </w:r>
      <w:r>
        <w:rPr>
          <w:rFonts w:ascii="Arial" w:cs="Arial" w:eastAsia="Arial" w:hAnsi="Arial"/>
          <w:sz w:val="21"/>
          <w:szCs w:val="21"/>
          <w:color w:val="auto"/>
        </w:rPr>
        <w:t>: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by the Company to Executive, (2) as part of the consideration for the payments to be made and benefits to be extended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195" w:lineRule="exact"/>
        <w:rPr>
          <w:rFonts w:ascii="Arial" w:cs="Arial" w:eastAsia="Arial" w:hAnsi="Arial"/>
          <w:sz w:val="21"/>
          <w:szCs w:val="21"/>
          <w:color w:val="auto"/>
        </w:rPr>
      </w:pPr>
    </w:p>
    <w:p>
      <w:pPr>
        <w:jc w:val="both"/>
        <w:ind w:left="2140" w:hanging="482"/>
        <w:spacing w:after="0" w:line="272" w:lineRule="auto"/>
        <w:tabs>
          <w:tab w:leader="none" w:pos="2140" w:val="left"/>
        </w:tabs>
        <w:numPr>
          <w:ilvl w:val="1"/>
          <w:numId w:val="38"/>
        </w:numPr>
        <w:rPr>
          <w:rFonts w:ascii="Arial" w:cs="Arial" w:eastAsia="Arial" w:hAnsi="Arial"/>
          <w:sz w:val="19"/>
          <w:szCs w:val="19"/>
          <w:color w:val="auto"/>
        </w:rPr>
      </w:pPr>
      <w:r>
        <w:rPr>
          <w:rFonts w:ascii="Arial" w:cs="Arial" w:eastAsia="Arial" w:hAnsi="Arial"/>
          <w:sz w:val="19"/>
          <w:szCs w:val="19"/>
          <w:color w:val="191919"/>
        </w:rPr>
        <w:t xml:space="preserve">Executive agrees that for a period of three (3) years from the Effective Date, he shall not accept employment with or otherwise render services, </w:t>
      </w:r>
      <w:r>
        <w:rPr>
          <w:rFonts w:ascii="Arial" w:cs="Arial" w:eastAsia="Arial" w:hAnsi="Arial"/>
          <w:sz w:val="19"/>
          <w:szCs w:val="19"/>
          <w:color w:val="000000"/>
        </w:rPr>
        <w:t>directly or indirectly,</w:t>
      </w:r>
      <w:r>
        <w:rPr>
          <w:rFonts w:ascii="Arial" w:cs="Arial" w:eastAsia="Arial" w:hAnsi="Arial"/>
          <w:sz w:val="19"/>
          <w:szCs w:val="19"/>
          <w:color w:val="191919"/>
        </w:rPr>
        <w:t xml:space="preserve"> anywhere in the world, to any specifically identified Unauthorized Competitor, whether as a director, officer, agent, employee, independent contractor or consultant, or, during the Term, take any action inconsistent with the fiduciary relationship of an employee to his employer. In order to protect the Company’s goodwill and other legitimate business interests, provide greater flexibility to Executive in obtaining other employment and to provide both parties with greater certainty as to </w:t>
      </w:r>
      <w:r>
        <w:rPr>
          <w:rFonts w:ascii="Arial" w:cs="Arial" w:eastAsia="Arial" w:hAnsi="Arial"/>
          <w:sz w:val="19"/>
          <w:szCs w:val="19"/>
          <w:color w:val="000000"/>
        </w:rPr>
        <w:t>their obligations hereunder, the parties agree that Executive shall not</w:t>
      </w:r>
      <w:r>
        <w:rPr>
          <w:rFonts w:ascii="Arial" w:cs="Arial" w:eastAsia="Arial" w:hAnsi="Arial"/>
          <w:sz w:val="19"/>
          <w:szCs w:val="19"/>
          <w:color w:val="191919"/>
        </w:rPr>
        <w:t xml:space="preserve"> </w:t>
      </w:r>
      <w:r>
        <w:rPr>
          <w:rFonts w:ascii="Arial" w:cs="Arial" w:eastAsia="Arial" w:hAnsi="Arial"/>
          <w:sz w:val="19"/>
          <w:szCs w:val="19"/>
          <w:color w:val="000000"/>
        </w:rPr>
        <w:t xml:space="preserve">be prohibited from accepting employment or otherwise rendering any services, anywhere in the world with any company or other enterprise except an Unauthorized Competitor; </w:t>
      </w:r>
      <w:r>
        <w:rPr>
          <w:rFonts w:ascii="Arial" w:cs="Arial" w:eastAsia="Arial" w:hAnsi="Arial"/>
          <w:sz w:val="19"/>
          <w:szCs w:val="19"/>
          <w:i w:val="1"/>
          <w:iCs w:val="1"/>
          <w:color w:val="000000"/>
        </w:rPr>
        <w:t>provided</w:t>
      </w:r>
      <w:r>
        <w:rPr>
          <w:rFonts w:ascii="Arial" w:cs="Arial" w:eastAsia="Arial" w:hAnsi="Arial"/>
          <w:sz w:val="19"/>
          <w:szCs w:val="19"/>
          <w:color w:val="000000"/>
        </w:rPr>
        <w:t>,</w:t>
      </w:r>
      <w:r>
        <w:rPr>
          <w:rFonts w:ascii="Arial" w:cs="Arial" w:eastAsia="Arial" w:hAnsi="Arial"/>
          <w:sz w:val="19"/>
          <w:szCs w:val="19"/>
          <w:i w:val="1"/>
          <w:iCs w:val="1"/>
          <w:color w:val="000000"/>
        </w:rPr>
        <w:t xml:space="preserve"> however</w:t>
      </w:r>
      <w:r>
        <w:rPr>
          <w:rFonts w:ascii="Arial" w:cs="Arial" w:eastAsia="Arial" w:hAnsi="Arial"/>
          <w:sz w:val="19"/>
          <w:szCs w:val="19"/>
          <w:color w:val="000000"/>
        </w:rPr>
        <w:t>, that before Executive may accept employment or a service engagement</w:t>
      </w:r>
      <w:r>
        <w:rPr>
          <w:rFonts w:ascii="Arial" w:cs="Arial" w:eastAsia="Arial" w:hAnsi="Arial"/>
          <w:sz w:val="19"/>
          <w:szCs w:val="19"/>
          <w:i w:val="1"/>
          <w:iCs w:val="1"/>
          <w:color w:val="000000"/>
        </w:rPr>
        <w:t xml:space="preserve"> </w:t>
      </w:r>
      <w:r>
        <w:rPr>
          <w:rFonts w:ascii="Arial" w:cs="Arial" w:eastAsia="Arial" w:hAnsi="Arial"/>
          <w:sz w:val="19"/>
          <w:szCs w:val="19"/>
          <w:color w:val="000000"/>
        </w:rPr>
        <w:t>with any oil and gas related company that is not an Unauthorized Competitor, Executive must have received written pre-approval from the Chairman of the Board.</w:t>
      </w:r>
    </w:p>
    <w:p>
      <w:pPr>
        <w:spacing w:after="0" w:line="164" w:lineRule="exact"/>
        <w:rPr>
          <w:rFonts w:ascii="Arial" w:cs="Arial" w:eastAsia="Arial" w:hAnsi="Arial"/>
          <w:sz w:val="19"/>
          <w:szCs w:val="19"/>
          <w:color w:val="auto"/>
        </w:rPr>
      </w:pPr>
    </w:p>
    <w:p>
      <w:pPr>
        <w:ind w:left="2140"/>
        <w:spacing w:after="0" w:line="256" w:lineRule="auto"/>
        <w:rPr>
          <w:rFonts w:ascii="Arial" w:cs="Arial" w:eastAsia="Arial" w:hAnsi="Arial"/>
          <w:sz w:val="19"/>
          <w:szCs w:val="19"/>
          <w:color w:val="auto"/>
        </w:rPr>
      </w:pPr>
      <w:r>
        <w:rPr>
          <w:rFonts w:ascii="Arial" w:cs="Arial" w:eastAsia="Arial" w:hAnsi="Arial"/>
          <w:sz w:val="22"/>
          <w:szCs w:val="22"/>
          <w:b w:val="1"/>
          <w:bCs w:val="1"/>
          <w:color w:val="auto"/>
        </w:rPr>
        <w:t>For purposes of this Agreement, an “Unauthorized Competitor” refers specifically to the following entities:</w:t>
      </w:r>
    </w:p>
    <w:p>
      <w:pPr>
        <w:sectPr>
          <w:pgSz w:w="11900" w:h="16838" w:orient="portrait"/>
          <w:cols w:equalWidth="0" w:num="1">
            <w:col w:w="10220"/>
          </w:cols>
          <w:pgMar w:left="1440" w:top="348" w:right="239" w:bottom="1440" w:gutter="0" w:footer="0" w:header="0"/>
        </w:sectPr>
      </w:pPr>
    </w:p>
    <w:p>
      <w:pPr>
        <w:spacing w:after="0" w:line="38" w:lineRule="exact"/>
        <w:rPr>
          <w:sz w:val="20"/>
          <w:szCs w:val="20"/>
          <w:color w:val="auto"/>
        </w:rPr>
      </w:pPr>
    </w:p>
    <w:p>
      <w:pPr>
        <w:ind w:left="2140"/>
        <w:spacing w:after="0"/>
        <w:rPr>
          <w:sz w:val="20"/>
          <w:szCs w:val="20"/>
          <w:color w:val="auto"/>
        </w:rPr>
      </w:pPr>
      <w:r>
        <w:rPr>
          <w:rFonts w:ascii="Arial" w:cs="Arial" w:eastAsia="Arial" w:hAnsi="Arial"/>
          <w:sz w:val="28"/>
          <w:szCs w:val="28"/>
          <w:color w:val="auto"/>
        </w:rPr>
        <w:t>•</w:t>
      </w:r>
    </w:p>
    <w:p>
      <w:pPr>
        <w:ind w:left="2140"/>
        <w:spacing w:after="0" w:line="184" w:lineRule="auto"/>
        <w:rPr>
          <w:sz w:val="20"/>
          <w:szCs w:val="20"/>
          <w:color w:val="auto"/>
        </w:rPr>
      </w:pPr>
      <w:r>
        <w:rPr>
          <w:rFonts w:ascii="Arial" w:cs="Arial" w:eastAsia="Arial" w:hAnsi="Arial"/>
          <w:sz w:val="26"/>
          <w:szCs w:val="26"/>
          <w:color w:val="auto"/>
        </w:rPr>
        <w:t>•</w:t>
      </w:r>
    </w:p>
    <w:p>
      <w:pPr>
        <w:ind w:left="2140"/>
        <w:spacing w:after="0" w:line="184" w:lineRule="auto"/>
        <w:rPr>
          <w:sz w:val="20"/>
          <w:szCs w:val="20"/>
          <w:color w:val="auto"/>
        </w:rPr>
      </w:pPr>
      <w:r>
        <w:rPr>
          <w:rFonts w:ascii="Arial" w:cs="Arial" w:eastAsia="Arial" w:hAnsi="Arial"/>
          <w:sz w:val="26"/>
          <w:szCs w:val="26"/>
          <w:color w:val="auto"/>
        </w:rPr>
        <w:t>•</w:t>
      </w:r>
    </w:p>
    <w:p>
      <w:pPr>
        <w:ind w:left="2140"/>
        <w:spacing w:after="0" w:line="184" w:lineRule="auto"/>
        <w:rPr>
          <w:sz w:val="20"/>
          <w:szCs w:val="20"/>
          <w:color w:val="auto"/>
        </w:rPr>
      </w:pPr>
      <w:r>
        <w:rPr>
          <w:rFonts w:ascii="Arial" w:cs="Arial" w:eastAsia="Arial" w:hAnsi="Arial"/>
          <w:sz w:val="26"/>
          <w:szCs w:val="26"/>
          <w:color w:val="auto"/>
        </w:rPr>
        <w:t>•</w:t>
      </w:r>
    </w:p>
    <w:p>
      <w:pPr>
        <w:ind w:left="2140"/>
        <w:spacing w:after="0" w:line="185" w:lineRule="auto"/>
        <w:rPr>
          <w:sz w:val="20"/>
          <w:szCs w:val="20"/>
          <w:color w:val="auto"/>
        </w:rPr>
      </w:pPr>
      <w:r>
        <w:rPr>
          <w:rFonts w:ascii="Arial" w:cs="Arial" w:eastAsia="Arial" w:hAnsi="Arial"/>
          <w:sz w:val="26"/>
          <w:szCs w:val="26"/>
          <w:color w:val="auto"/>
        </w:rPr>
        <w:t>•</w:t>
      </w:r>
    </w:p>
    <w:p>
      <w:pPr>
        <w:ind w:left="2140"/>
        <w:spacing w:after="0" w:line="184" w:lineRule="auto"/>
        <w:rPr>
          <w:sz w:val="20"/>
          <w:szCs w:val="20"/>
          <w:color w:val="auto"/>
        </w:rPr>
      </w:pPr>
      <w:r>
        <w:rPr>
          <w:rFonts w:ascii="Arial" w:cs="Arial" w:eastAsia="Arial" w:hAnsi="Arial"/>
          <w:sz w:val="26"/>
          <w:szCs w:val="26"/>
          <w:color w:val="auto"/>
        </w:rPr>
        <w:t>•</w:t>
      </w:r>
    </w:p>
    <w:p>
      <w:pPr>
        <w:ind w:left="2140"/>
        <w:spacing w:after="0" w:line="184" w:lineRule="auto"/>
        <w:rPr>
          <w:sz w:val="20"/>
          <w:szCs w:val="20"/>
          <w:color w:val="auto"/>
        </w:rPr>
      </w:pPr>
      <w:r>
        <w:rPr>
          <w:rFonts w:ascii="Arial" w:cs="Arial" w:eastAsia="Arial" w:hAnsi="Arial"/>
          <w:sz w:val="26"/>
          <w:szCs w:val="26"/>
          <w:color w:val="auto"/>
        </w:rPr>
        <w:t>•</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Halliburton Company;</w:t>
      </w:r>
    </w:p>
    <w:p>
      <w:pPr>
        <w:spacing w:after="0" w:line="218" w:lineRule="auto"/>
        <w:rPr>
          <w:sz w:val="20"/>
          <w:szCs w:val="20"/>
          <w:color w:val="auto"/>
        </w:rPr>
      </w:pPr>
      <w:r>
        <w:rPr>
          <w:rFonts w:ascii="Arial" w:cs="Arial" w:eastAsia="Arial" w:hAnsi="Arial"/>
          <w:sz w:val="22"/>
          <w:szCs w:val="22"/>
          <w:b w:val="1"/>
          <w:bCs w:val="1"/>
          <w:color w:val="auto"/>
        </w:rPr>
        <w:t>Baker Hughes, a GE company;</w:t>
      </w:r>
    </w:p>
    <w:p>
      <w:pPr>
        <w:spacing w:after="0"/>
        <w:rPr>
          <w:sz w:val="20"/>
          <w:szCs w:val="20"/>
          <w:color w:val="auto"/>
        </w:rPr>
      </w:pPr>
      <w:r>
        <w:rPr>
          <w:rFonts w:ascii="Arial" w:cs="Arial" w:eastAsia="Arial" w:hAnsi="Arial"/>
          <w:sz w:val="19"/>
          <w:szCs w:val="19"/>
          <w:b w:val="1"/>
          <w:bCs w:val="1"/>
          <w:color w:val="auto"/>
        </w:rPr>
        <w:t>Weatherford International Limited plc;</w:t>
      </w:r>
    </w:p>
    <w:p>
      <w:pPr>
        <w:spacing w:after="0" w:line="228" w:lineRule="auto"/>
        <w:rPr>
          <w:sz w:val="20"/>
          <w:szCs w:val="20"/>
          <w:color w:val="auto"/>
        </w:rPr>
      </w:pPr>
      <w:r>
        <w:rPr>
          <w:rFonts w:ascii="Arial" w:cs="Arial" w:eastAsia="Arial" w:hAnsi="Arial"/>
          <w:sz w:val="22"/>
          <w:szCs w:val="22"/>
          <w:b w:val="1"/>
          <w:bCs w:val="1"/>
          <w:color w:val="auto"/>
        </w:rPr>
        <w:t>Archer Limited;</w:t>
      </w:r>
    </w:p>
    <w:p>
      <w:pPr>
        <w:spacing w:after="0" w:line="218" w:lineRule="auto"/>
        <w:rPr>
          <w:sz w:val="20"/>
          <w:szCs w:val="20"/>
          <w:color w:val="auto"/>
        </w:rPr>
      </w:pPr>
      <w:r>
        <w:rPr>
          <w:rFonts w:ascii="Arial" w:cs="Arial" w:eastAsia="Arial" w:hAnsi="Arial"/>
          <w:sz w:val="22"/>
          <w:szCs w:val="22"/>
          <w:b w:val="1"/>
          <w:bCs w:val="1"/>
          <w:color w:val="auto"/>
        </w:rPr>
        <w:t>Oilserv Limited;</w:t>
      </w:r>
    </w:p>
    <w:p>
      <w:pPr>
        <w:spacing w:after="0" w:line="217" w:lineRule="auto"/>
        <w:rPr>
          <w:sz w:val="20"/>
          <w:szCs w:val="20"/>
          <w:color w:val="auto"/>
        </w:rPr>
      </w:pPr>
      <w:r>
        <w:rPr>
          <w:rFonts w:ascii="Arial" w:cs="Arial" w:eastAsia="Arial" w:hAnsi="Arial"/>
          <w:sz w:val="22"/>
          <w:szCs w:val="22"/>
          <w:b w:val="1"/>
          <w:bCs w:val="1"/>
          <w:color w:val="auto"/>
        </w:rPr>
        <w:t>Aker Solutions ASA;</w:t>
      </w:r>
    </w:p>
    <w:p>
      <w:pPr>
        <w:spacing w:after="0" w:line="218" w:lineRule="auto"/>
        <w:rPr>
          <w:sz w:val="20"/>
          <w:szCs w:val="20"/>
          <w:color w:val="auto"/>
        </w:rPr>
      </w:pPr>
      <w:r>
        <w:rPr>
          <w:rFonts w:ascii="Arial" w:cs="Arial" w:eastAsia="Arial" w:hAnsi="Arial"/>
          <w:sz w:val="22"/>
          <w:szCs w:val="22"/>
          <w:b w:val="1"/>
          <w:bCs w:val="1"/>
          <w:color w:val="auto"/>
        </w:rPr>
        <w:t>TechnipFMC plc;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National Oilwell Varco, Inc.;</w:t>
      </w:r>
    </w:p>
    <w:p>
      <w:pPr>
        <w:spacing w:after="0" w:line="175"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63500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2240" w:space="360"/>
            <w:col w:w="7620"/>
          </w:cols>
          <w:pgMar w:left="1440" w:top="348" w:right="239" w:bottom="1440" w:gutter="0" w:footer="0" w:header="0"/>
          <w:type w:val="continuous"/>
        </w:sectPr>
      </w:pPr>
    </w:p>
    <w:bookmarkStart w:id="36" w:name="page37"/>
    <w:bookmarkEnd w:id="36"/>
    <w:p>
      <w:pPr>
        <w:ind w:left="2140"/>
        <w:spacing w:after="0"/>
        <w:rPr>
          <w:sz w:val="20"/>
          <w:szCs w:val="20"/>
          <w:color w:val="auto"/>
        </w:rPr>
      </w:pPr>
      <w:r>
        <w:rPr>
          <w:rFonts w:ascii="Arial" w:cs="Arial" w:eastAsia="Arial" w:hAnsi="Arial"/>
          <w:sz w:val="28"/>
          <w:szCs w:val="28"/>
          <w:color w:val="auto"/>
        </w:rPr>
        <w:t>•</w:t>
      </w:r>
    </w:p>
    <w:p>
      <w:pPr>
        <w:spacing w:after="0" w:line="137" w:lineRule="exact"/>
        <w:rPr>
          <w:sz w:val="20"/>
          <w:szCs w:val="20"/>
          <w:color w:val="auto"/>
        </w:rPr>
      </w:pPr>
    </w:p>
    <w:p>
      <w:pPr>
        <w:ind w:left="2140"/>
        <w:spacing w:after="0"/>
        <w:rPr>
          <w:sz w:val="20"/>
          <w:szCs w:val="20"/>
          <w:color w:val="auto"/>
        </w:rPr>
      </w:pPr>
      <w:r>
        <w:rPr>
          <w:rFonts w:ascii="Arial" w:cs="Arial" w:eastAsia="Arial" w:hAnsi="Arial"/>
          <w:sz w:val="28"/>
          <w:szCs w:val="28"/>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233" w:lineRule="auto"/>
        <w:rPr>
          <w:sz w:val="20"/>
          <w:szCs w:val="20"/>
          <w:color w:val="auto"/>
        </w:rPr>
      </w:pPr>
      <w:r>
        <w:rPr>
          <w:rFonts w:ascii="Arial" w:cs="Arial" w:eastAsia="Arial" w:hAnsi="Arial"/>
          <w:sz w:val="22"/>
          <w:szCs w:val="22"/>
          <w:b w:val="1"/>
          <w:bCs w:val="1"/>
          <w:color w:val="auto"/>
        </w:rPr>
        <w:t>any entity engaged in seismic data acquisition, processing and reservoir geosciences services to the oil and natural gas industry; and any other oilfield equipment and services company,</w:t>
      </w:r>
    </w:p>
    <w:p>
      <w:pPr>
        <w:spacing w:after="0" w:line="182" w:lineRule="exact"/>
        <w:rPr>
          <w:sz w:val="20"/>
          <w:szCs w:val="20"/>
          <w:color w:val="auto"/>
        </w:rPr>
      </w:pPr>
    </w:p>
    <w:p>
      <w:pPr>
        <w:sectPr>
          <w:pgSz w:w="11900" w:h="16838" w:orient="portrait"/>
          <w:cols w:equalWidth="0" w:num="2">
            <w:col w:w="2240" w:space="360"/>
            <w:col w:w="7620"/>
          </w:cols>
          <w:pgMar w:left="1440" w:top="268" w:right="239" w:bottom="1440" w:gutter="0" w:footer="0" w:header="0"/>
        </w:sectPr>
      </w:pPr>
    </w:p>
    <w:p>
      <w:pPr>
        <w:jc w:val="both"/>
        <w:ind w:left="2140"/>
        <w:spacing w:after="0" w:line="248" w:lineRule="auto"/>
        <w:rPr>
          <w:sz w:val="20"/>
          <w:szCs w:val="20"/>
          <w:color w:val="auto"/>
        </w:rPr>
      </w:pPr>
      <w:r>
        <w:rPr>
          <w:rFonts w:ascii="Arial" w:cs="Arial" w:eastAsia="Arial" w:hAnsi="Arial"/>
          <w:sz w:val="21"/>
          <w:szCs w:val="21"/>
          <w:b w:val="1"/>
          <w:bCs w:val="1"/>
          <w:color w:val="auto"/>
        </w:rPr>
        <w:t xml:space="preserve">and includes any and all of their parents, subsidiaries, affiliates, joint ventures or divisions, as of the date of this Agreement as well as any of their successors or assigns; </w:t>
      </w:r>
      <w:r>
        <w:rPr>
          <w:rFonts w:ascii="Arial" w:cs="Arial" w:eastAsia="Arial" w:hAnsi="Arial"/>
          <w:sz w:val="21"/>
          <w:szCs w:val="21"/>
          <w:b w:val="1"/>
          <w:bCs w:val="1"/>
          <w:i w:val="1"/>
          <w:iCs w:val="1"/>
          <w:color w:val="auto"/>
        </w:rPr>
        <w:t>provided</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however</w:t>
      </w:r>
      <w:r>
        <w:rPr>
          <w:rFonts w:ascii="Arial" w:cs="Arial" w:eastAsia="Arial" w:hAnsi="Arial"/>
          <w:sz w:val="21"/>
          <w:szCs w:val="21"/>
          <w:b w:val="1"/>
          <w:bCs w:val="1"/>
          <w:color w:val="auto"/>
        </w:rPr>
        <w:t>, that the restrictions in this Section 5(c) shall not apply if Executive</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becomes an employee of an Unauthorized Competitor as a result of a merger or other acquisition involving Executive’s employer and an Unauthorized Competitor after Executive accepts employment or service under terms and conditions that otherwise satisfy this Agreement.</w:t>
      </w:r>
    </w:p>
    <w:p>
      <w:pPr>
        <w:spacing w:after="0" w:line="191" w:lineRule="exact"/>
        <w:rPr>
          <w:sz w:val="20"/>
          <w:szCs w:val="20"/>
          <w:color w:val="auto"/>
        </w:rPr>
      </w:pPr>
    </w:p>
    <w:p>
      <w:pPr>
        <w:jc w:val="both"/>
        <w:ind w:left="2140" w:hanging="482"/>
        <w:spacing w:after="0" w:line="252" w:lineRule="auto"/>
        <w:tabs>
          <w:tab w:leader="none" w:pos="21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Executive further agrees that </w:t>
      </w:r>
      <w:r>
        <w:rPr>
          <w:rFonts w:ascii="Arial" w:cs="Arial" w:eastAsia="Arial" w:hAnsi="Arial"/>
          <w:sz w:val="21"/>
          <w:szCs w:val="21"/>
          <w:color w:val="191919"/>
        </w:rPr>
        <w:t>for a period of three (3) years from the Effective Date,</w:t>
      </w:r>
      <w:r>
        <w:rPr>
          <w:rFonts w:ascii="Arial" w:cs="Arial" w:eastAsia="Arial" w:hAnsi="Arial"/>
          <w:sz w:val="21"/>
          <w:szCs w:val="21"/>
          <w:color w:val="auto"/>
        </w:rPr>
        <w:t xml:space="preserve">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187" w:lineRule="exact"/>
        <w:rPr>
          <w:rFonts w:ascii="Arial" w:cs="Arial" w:eastAsia="Arial" w:hAnsi="Arial"/>
          <w:sz w:val="21"/>
          <w:szCs w:val="21"/>
          <w:color w:val="auto"/>
        </w:rPr>
      </w:pPr>
    </w:p>
    <w:p>
      <w:pPr>
        <w:jc w:val="both"/>
        <w:ind w:left="2140" w:hanging="482"/>
        <w:spacing w:after="0" w:line="277" w:lineRule="auto"/>
        <w:tabs>
          <w:tab w:leader="none" w:pos="21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Executive acknowledges that the restrictive covenant under Section 5(c)(i), for which he received consideration from the Company as provided in Section 3, is ancillary to otherwise enforceable provisions of this Agreement with respect to the protection of Confidential Information,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166" w:lineRule="exact"/>
        <w:rPr>
          <w:rFonts w:ascii="Arial" w:cs="Arial" w:eastAsia="Arial" w:hAnsi="Arial"/>
          <w:sz w:val="19"/>
          <w:szCs w:val="19"/>
          <w:color w:val="auto"/>
        </w:rPr>
      </w:pPr>
    </w:p>
    <w:p>
      <w:pPr>
        <w:jc w:val="both"/>
        <w:ind w:left="2140" w:hanging="482"/>
        <w:spacing w:after="0" w:line="247" w:lineRule="auto"/>
        <w:tabs>
          <w:tab w:leader="none" w:pos="21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Executive acknowledges that in the event of a breach by Executive of any of these restrictive covenants, the covenants may be enforced by temporary restraining order, preliminary or temporary injunction and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268" w:right="239" w:bottom="1440" w:gutter="0" w:footer="0" w:header="0"/>
          <w:type w:val="continuous"/>
        </w:sectPr>
      </w:pPr>
    </w:p>
    <w:bookmarkStart w:id="37" w:name="page38"/>
    <w:bookmarkEnd w:id="37"/>
    <w:p>
      <w:pPr>
        <w:jc w:val="both"/>
        <w:ind w:left="2140" w:hanging="482"/>
        <w:spacing w:after="0" w:line="297" w:lineRule="auto"/>
        <w:tabs>
          <w:tab w:leader="none" w:pos="2140" w:val="left"/>
        </w:tabs>
        <w:numPr>
          <w:ilvl w:val="1"/>
          <w:numId w:val="40"/>
        </w:numPr>
        <w:rPr>
          <w:rFonts w:ascii="Arial" w:cs="Arial" w:eastAsia="Arial" w:hAnsi="Arial"/>
          <w:sz w:val="19"/>
          <w:szCs w:val="19"/>
          <w:color w:val="auto"/>
        </w:rPr>
      </w:pPr>
      <w:r>
        <w:rPr>
          <w:rFonts w:ascii="Arial" w:cs="Arial" w:eastAsia="Arial" w:hAnsi="Arial"/>
          <w:sz w:val="19"/>
          <w:szCs w:val="19"/>
          <w:color w:val="auto"/>
        </w:rPr>
        <w:t>Executive further acknowledges that if his employment terminates prior to the Term for any reason, the restrictive covenant provisions of Section 5 will extend throughout the remainder of the Term or indefinitely, as provided in the applicable subsection of this Section 5.</w:t>
      </w:r>
    </w:p>
    <w:p>
      <w:pPr>
        <w:spacing w:after="0" w:line="147" w:lineRule="exact"/>
        <w:rPr>
          <w:rFonts w:ascii="Arial" w:cs="Arial" w:eastAsia="Arial" w:hAnsi="Arial"/>
          <w:sz w:val="19"/>
          <w:szCs w:val="19"/>
          <w:color w:val="auto"/>
        </w:rPr>
      </w:pPr>
    </w:p>
    <w:p>
      <w:pPr>
        <w:jc w:val="both"/>
        <w:ind w:left="2140" w:hanging="482"/>
        <w:spacing w:after="0" w:line="273" w:lineRule="auto"/>
        <w:tabs>
          <w:tab w:leader="none" w:pos="2140" w:val="left"/>
        </w:tabs>
        <w:numPr>
          <w:ilvl w:val="1"/>
          <w:numId w:val="40"/>
        </w:numPr>
        <w:rPr>
          <w:rFonts w:ascii="Arial" w:cs="Arial" w:eastAsia="Arial" w:hAnsi="Arial"/>
          <w:sz w:val="19"/>
          <w:szCs w:val="19"/>
          <w:color w:val="auto"/>
        </w:rPr>
      </w:pPr>
      <w:r>
        <w:rPr>
          <w:rFonts w:ascii="Arial" w:cs="Arial" w:eastAsia="Arial" w:hAnsi="Arial"/>
          <w:sz w:val="19"/>
          <w:szCs w:val="19"/>
          <w:color w:val="auto"/>
        </w:rPr>
        <w:t>Executive further agrees that in the event that (x) the Company determines that Executive has breached any term of Section 5(c) or (y) all or any part or of Section 5(c) is held or found invalid or unenforceable for any reason whatsoever by a court of competent jurisdiction in an action between Executive and the Company, in addition to any other remedies at law or in equity the Company may have available to it, the Company may immediately stop payment or issuance of any future amounts due pursuant to Section 3, and may in its sole discretion require that Executive repay to the Company, within five business days of receipt of written demand therefor, an amount equal to the payments or benefits received by Executive pursuant to Section 3. The repayment required by the foregoing provision shall be net of any taxes withheld on the original payments to Executive.</w:t>
      </w:r>
    </w:p>
    <w:p>
      <w:pPr>
        <w:spacing w:after="0" w:line="175" w:lineRule="exact"/>
        <w:rPr>
          <w:rFonts w:ascii="Arial" w:cs="Arial" w:eastAsia="Arial" w:hAnsi="Arial"/>
          <w:sz w:val="19"/>
          <w:szCs w:val="19"/>
          <w:color w:val="auto"/>
        </w:rPr>
      </w:pPr>
    </w:p>
    <w:p>
      <w:pPr>
        <w:jc w:val="both"/>
        <w:ind w:left="2140" w:hanging="482"/>
        <w:spacing w:after="0" w:line="236" w:lineRule="auto"/>
        <w:tabs>
          <w:tab w:leader="none" w:pos="21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Executive expressly recognizes that Executive was a high-level, executive employee who was provided with access to Confidential Information of the Company as part of Executive’s employment and that the restrictive covenants set forth in this Section 5 are reasonable and necessary in light of Executive’s prior executive position and prior access to the Company’s Confidential Information.</w:t>
      </w:r>
    </w:p>
    <w:p>
      <w:pPr>
        <w:spacing w:after="0" w:line="201" w:lineRule="exact"/>
        <w:rPr>
          <w:rFonts w:ascii="Arial" w:cs="Arial" w:eastAsia="Arial" w:hAnsi="Arial"/>
          <w:sz w:val="22"/>
          <w:szCs w:val="22"/>
          <w:color w:val="auto"/>
        </w:rPr>
      </w:pPr>
    </w:p>
    <w:p>
      <w:pPr>
        <w:jc w:val="both"/>
        <w:ind w:left="1640" w:hanging="941"/>
        <w:spacing w:after="0" w:line="233" w:lineRule="auto"/>
        <w:tabs>
          <w:tab w:leader="none" w:pos="164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Employment by Affiliates</w:t>
      </w:r>
      <w:r>
        <w:rPr>
          <w:rFonts w:ascii="Arial" w:cs="Arial" w:eastAsia="Arial" w:hAnsi="Arial"/>
          <w:sz w:val="22"/>
          <w:szCs w:val="22"/>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Curaçao corporation, (ii) any entity in which the equity interests owned or controlled directly or indirectly by Schlumberger Limited represent 40% or more of the voting power of the issued and outstanding equity interest of such entity, and (iii) any other company controlled by, controlling or under common control with the Company within the meaning of Section 414 of the Internal Revenue Code of 1986, as amended.</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38" w:name="page39"/>
    <w:bookmarkEnd w:id="38"/>
    <w:p>
      <w:pPr>
        <w:jc w:val="both"/>
        <w:ind w:left="2840" w:hanging="941"/>
        <w:spacing w:after="0" w:line="274" w:lineRule="auto"/>
        <w:tabs>
          <w:tab w:leader="none" w:pos="284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agrees that he shall not, directly or indirectly, whether in writing, orally or electronically, make any negative, derogatory or other comment that could reasonably be expected to be detrimental to the Company or any of its Affiliates, their business or operations, or to any of its or their current or former employees, officers or directors. Notwithstanding the foregoing, nothing in this Agreement, including the confidentiality provisions above, limits Executive’s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the Company), or to receive any award for information provided to a governmental agency.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2840" w:hanging="941"/>
        <w:spacing w:after="0" w:line="297" w:lineRule="auto"/>
        <w:tabs>
          <w:tab w:leader="none" w:pos="284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Notification of Future Employer</w:t>
      </w:r>
      <w:r>
        <w:rPr>
          <w:rFonts w:ascii="Arial" w:cs="Arial" w:eastAsia="Arial" w:hAnsi="Arial"/>
          <w:sz w:val="19"/>
          <w:szCs w:val="19"/>
          <w:color w:val="auto"/>
        </w:rPr>
        <w:t>. Executive consents to the Company showing this Agreement to any third party believed by the Company to be a prospective or actual employer of Executive, and to insisting on Executive's compliance with the terms of this Agreement.</w:t>
      </w:r>
    </w:p>
    <w:p>
      <w:pPr>
        <w:spacing w:after="0" w:line="147" w:lineRule="exact"/>
        <w:rPr>
          <w:rFonts w:ascii="Arial" w:cs="Arial" w:eastAsia="Arial" w:hAnsi="Arial"/>
          <w:sz w:val="19"/>
          <w:szCs w:val="19"/>
          <w:color w:val="auto"/>
        </w:rPr>
      </w:pPr>
    </w:p>
    <w:p>
      <w:pPr>
        <w:jc w:val="both"/>
        <w:ind w:firstLine="958"/>
        <w:spacing w:after="0"/>
        <w:tabs>
          <w:tab w:leader="none" w:pos="176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99" w:lineRule="exact"/>
        <w:rPr>
          <w:rFonts w:ascii="Arial" w:cs="Arial" w:eastAsia="Arial" w:hAnsi="Arial"/>
          <w:sz w:val="22"/>
          <w:szCs w:val="22"/>
          <w:color w:val="auto"/>
        </w:rPr>
      </w:pPr>
    </w:p>
    <w:p>
      <w:pPr>
        <w:jc w:val="both"/>
        <w:ind w:right="20" w:firstLine="958"/>
        <w:spacing w:after="0"/>
        <w:tabs>
          <w:tab w:leader="none" w:pos="176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addressed as follows:</w:t>
      </w:r>
    </w:p>
    <w:p>
      <w:pPr>
        <w:sectPr>
          <w:pgSz w:w="11900" w:h="16838" w:orient="portrait"/>
          <w:cols w:equalWidth="0" w:num="1">
            <w:col w:w="11420"/>
          </w:cols>
          <w:pgMar w:left="240" w:top="348" w:right="239" w:bottom="1440" w:gutter="0" w:footer="0" w:header="0"/>
        </w:sectPr>
      </w:pPr>
    </w:p>
    <w:p>
      <w:pPr>
        <w:spacing w:after="0" w:line="200"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Schlumberger Limited</w:t>
      </w:r>
    </w:p>
    <w:p>
      <w:pPr>
        <w:spacing w:after="0" w:line="238" w:lineRule="auto"/>
        <w:rPr>
          <w:sz w:val="20"/>
          <w:szCs w:val="20"/>
          <w:color w:val="auto"/>
        </w:rPr>
      </w:pPr>
      <w:r>
        <w:rPr>
          <w:rFonts w:ascii="Arial" w:cs="Arial" w:eastAsia="Arial" w:hAnsi="Arial"/>
          <w:sz w:val="22"/>
          <w:szCs w:val="22"/>
          <w:color w:val="191919"/>
        </w:rPr>
        <w:t>5599 San Felipe, 17</w:t>
      </w:r>
      <w:r>
        <w:rPr>
          <w:rFonts w:ascii="Arial" w:cs="Arial" w:eastAsia="Arial" w:hAnsi="Arial"/>
          <w:sz w:val="18"/>
          <w:szCs w:val="18"/>
          <w:color w:val="191919"/>
        </w:rPr>
        <w:t>th</w:t>
      </w:r>
      <w:r>
        <w:rPr>
          <w:rFonts w:ascii="Arial" w:cs="Arial" w:eastAsia="Arial" w:hAnsi="Arial"/>
          <w:sz w:val="22"/>
          <w:szCs w:val="22"/>
          <w:color w:val="191919"/>
        </w:rPr>
        <w:t xml:space="preserve"> Floor</w:t>
      </w:r>
    </w:p>
    <w:p>
      <w:pPr>
        <w:spacing w:after="0" w:line="230" w:lineRule="auto"/>
        <w:rPr>
          <w:sz w:val="20"/>
          <w:szCs w:val="20"/>
          <w:color w:val="auto"/>
        </w:rPr>
      </w:pPr>
      <w:r>
        <w:rPr>
          <w:rFonts w:ascii="Arial" w:cs="Arial" w:eastAsia="Arial" w:hAnsi="Arial"/>
          <w:sz w:val="22"/>
          <w:szCs w:val="22"/>
          <w:color w:val="191919"/>
        </w:rPr>
        <w:t>Houston, TX 77056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Counsel</w:t>
      </w:r>
    </w:p>
    <w:p>
      <w:pPr>
        <w:spacing w:after="0" w:line="200" w:lineRule="exact"/>
        <w:rPr>
          <w:sz w:val="20"/>
          <w:szCs w:val="20"/>
          <w:color w:val="auto"/>
        </w:rPr>
      </w:pPr>
    </w:p>
    <w:p>
      <w:pPr>
        <w:sectPr>
          <w:pgSz w:w="11900" w:h="16838" w:orient="portrait"/>
          <w:cols w:equalWidth="0" w:num="2">
            <w:col w:w="3300" w:space="720"/>
            <w:col w:w="7400"/>
          </w:cols>
          <w:pgMar w:left="240" w:top="348" w:right="239" w:bottom="1440" w:gutter="0" w:footer="0" w:header="0"/>
          <w:type w:val="continuous"/>
        </w:sectPr>
      </w:pPr>
    </w:p>
    <w:p>
      <w:pPr>
        <w:spacing w:after="0" w:line="36"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Paal Kibsgaard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3030 Post Oak Blvd, Unit 402</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Houston, TX 77056</w:t>
      </w:r>
    </w:p>
    <w:p>
      <w:pPr>
        <w:spacing w:after="0" w:line="200" w:lineRule="exact"/>
        <w:rPr>
          <w:sz w:val="20"/>
          <w:szCs w:val="20"/>
          <w:color w:val="auto"/>
        </w:rPr>
      </w:pPr>
    </w:p>
    <w:p>
      <w:pPr>
        <w:sectPr>
          <w:pgSz w:w="11900" w:h="16838" w:orient="portrait"/>
          <w:cols w:equalWidth="0" w:num="2">
            <w:col w:w="3300" w:space="720"/>
            <w:col w:w="7400"/>
          </w:cols>
          <w:pgMar w:left="240" w:top="348" w:right="239" w:bottom="1440" w:gutter="0" w:footer="0" w:header="0"/>
          <w:type w:val="continuous"/>
        </w:sectPr>
      </w:pP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or to such other address as either party may furnish to the other in writing in accordance herewith, except that notices of changes of address shall be effective only upon receipt.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type w:val="continuous"/>
        </w:sectPr>
      </w:pPr>
    </w:p>
    <w:bookmarkStart w:id="39" w:name="page40"/>
    <w:bookmarkEnd w:id="39"/>
    <w:p>
      <w:pPr>
        <w:jc w:val="both"/>
        <w:ind w:firstLine="958"/>
        <w:spacing w:after="0" w:line="277" w:lineRule="auto"/>
        <w:tabs>
          <w:tab w:leader="none" w:pos="176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Applicable Law; Venue</w:t>
      </w:r>
      <w:r>
        <w:rPr>
          <w:rFonts w:ascii="Arial" w:cs="Arial" w:eastAsia="Arial" w:hAnsi="Arial"/>
          <w:sz w:val="19"/>
          <w:szCs w:val="19"/>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66" w:lineRule="exact"/>
        <w:rPr>
          <w:rFonts w:ascii="Arial" w:cs="Arial" w:eastAsia="Arial" w:hAnsi="Arial"/>
          <w:sz w:val="19"/>
          <w:szCs w:val="19"/>
          <w:color w:val="auto"/>
        </w:rPr>
      </w:pPr>
    </w:p>
    <w:p>
      <w:pPr>
        <w:jc w:val="both"/>
        <w:ind w:firstLine="958"/>
        <w:spacing w:after="0"/>
        <w:tabs>
          <w:tab w:leader="none" w:pos="1761"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99" w:lineRule="exact"/>
        <w:rPr>
          <w:rFonts w:ascii="Arial" w:cs="Arial" w:eastAsia="Arial" w:hAnsi="Arial"/>
          <w:sz w:val="22"/>
          <w:szCs w:val="22"/>
          <w:color w:val="auto"/>
        </w:rPr>
      </w:pPr>
    </w:p>
    <w:p>
      <w:pPr>
        <w:ind w:right="20" w:firstLine="958"/>
        <w:spacing w:after="0" w:line="274" w:lineRule="auto"/>
        <w:tabs>
          <w:tab w:leader="none" w:pos="1869"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Withholding of Taxes</w:t>
      </w:r>
      <w:r>
        <w:rPr>
          <w:rFonts w:ascii="Arial" w:cs="Arial" w:eastAsia="Arial" w:hAnsi="Arial"/>
          <w:sz w:val="21"/>
          <w:szCs w:val="21"/>
          <w:color w:val="auto"/>
        </w:rPr>
        <w:t>: The Company may withhold from any benefits payable under this Agreement all federal, state, city or other taxes as may be required pursuant to any law or governmental regulation or ruling.</w:t>
      </w:r>
    </w:p>
    <w:p>
      <w:pPr>
        <w:spacing w:after="0" w:line="164" w:lineRule="exact"/>
        <w:rPr>
          <w:rFonts w:ascii="Arial" w:cs="Arial" w:eastAsia="Arial" w:hAnsi="Arial"/>
          <w:sz w:val="21"/>
          <w:szCs w:val="21"/>
          <w:color w:val="auto"/>
        </w:rPr>
      </w:pPr>
    </w:p>
    <w:p>
      <w:pPr>
        <w:jc w:val="both"/>
        <w:ind w:firstLine="958"/>
        <w:spacing w:after="0" w:line="279" w:lineRule="auto"/>
        <w:tabs>
          <w:tab w:leader="none" w:pos="1861"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No Assignment; Successors</w:t>
      </w:r>
      <w:r>
        <w:rPr>
          <w:rFonts w:ascii="Arial" w:cs="Arial" w:eastAsia="Arial" w:hAnsi="Arial"/>
          <w:sz w:val="19"/>
          <w:szCs w:val="19"/>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64"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This Agreement shall be binding upon and inure to the benefit of the Company, its successors and assigns (including, without limitation, any company into or with which the Company may merge or consolidate).</w:t>
      </w:r>
    </w:p>
    <w:p>
      <w:pPr>
        <w:spacing w:after="0" w:line="187" w:lineRule="exact"/>
        <w:rPr>
          <w:sz w:val="20"/>
          <w:szCs w:val="20"/>
          <w:color w:val="auto"/>
        </w:rPr>
      </w:pPr>
    </w:p>
    <w:p>
      <w:pPr>
        <w:jc w:val="both"/>
        <w:ind w:firstLine="958"/>
        <w:spacing w:after="0" w:line="247" w:lineRule="auto"/>
        <w:tabs>
          <w:tab w:leader="none" w:pos="1869"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Effect of Prior Agreements</w:t>
      </w:r>
      <w:r>
        <w:rPr>
          <w:rFonts w:ascii="Arial" w:cs="Arial" w:eastAsia="Arial" w:hAnsi="Arial"/>
          <w:sz w:val="21"/>
          <w:szCs w:val="21"/>
          <w:color w:val="auto"/>
        </w:rPr>
        <w:t>: This Agreement contains the entire understanding between the parties hereto and supersedes any prior employment, severance or other agreement between the Company or any predecessor of the Company and Executive; except that (i) this Agreement will not affect or reduce any benefit or compensation inuring to Executive of a kind elsewhere expressly provided and not modified in this Agreement, and is not intended to modify the terms and conditions of the award agreements or plans governing the terms of Executive’s equity compensation awards and (ii) any restrictive covenants included in prior arrangements with the Company or its Affiliates that impose additional or broader requirements or restrictions on Executive remain in effect in accordance with their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0" w:name="page41"/>
    <w:bookmarkEnd w:id="40"/>
    <w:p>
      <w:pPr>
        <w:jc w:val="both"/>
        <w:ind w:firstLine="958"/>
        <w:spacing w:after="0" w:line="247" w:lineRule="auto"/>
        <w:tabs>
          <w:tab w:leader="none" w:pos="1869"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In consideration for the compensation and other benefits provided pursuant to this Agreement, Executive has executed a “Waiver and Release,” in the form attached hereto as Exhibit A. Executive acknowledges that he was given copies of this Agreement and the Waiver and Release on June 15</w:t>
      </w:r>
      <w:r>
        <w:rPr>
          <w:rFonts w:ascii="Arial" w:cs="Arial" w:eastAsia="Arial" w:hAnsi="Arial"/>
          <w:sz w:val="17"/>
          <w:szCs w:val="17"/>
          <w:color w:val="auto"/>
        </w:rPr>
        <w:t>th</w:t>
      </w:r>
      <w:r>
        <w:rPr>
          <w:rFonts w:ascii="Arial" w:cs="Arial" w:eastAsia="Arial" w:hAnsi="Arial"/>
          <w:sz w:val="21"/>
          <w:szCs w:val="21"/>
          <w:color w:val="auto"/>
        </w:rPr>
        <w:t>, 2019</w:t>
      </w:r>
      <w:r>
        <w:rPr>
          <w:rFonts w:ascii="Arial" w:cs="Arial" w:eastAsia="Arial" w:hAnsi="Arial"/>
          <w:sz w:val="21"/>
          <w:szCs w:val="21"/>
          <w:u w:val="single" w:color="auto"/>
          <w:color w:val="191919"/>
        </w:rPr>
        <w:t>,</w:t>
      </w:r>
      <w:r>
        <w:rPr>
          <w:rFonts w:ascii="Arial" w:cs="Arial" w:eastAsia="Arial" w:hAnsi="Arial"/>
          <w:sz w:val="21"/>
          <w:szCs w:val="21"/>
          <w:color w:val="auto"/>
        </w:rPr>
        <w:t xml:space="preserve"> and was given sufficient time to consider whether to sign the Agreement and the Waiver and Release. The Company’s obligations under this Agreement are expressly conditioned on the execution of the Waiver and Release within the time period set forth in Section 2, and Executive’s failure to execute and deliver such Waiver and Release, or Executive’s revocation of the Waiver and Release within the seven-day period provided in the Release, will void the Company’s obligations hereunder.</w:t>
      </w:r>
    </w:p>
    <w:p>
      <w:pPr>
        <w:spacing w:after="0" w:line="191" w:lineRule="exact"/>
        <w:rPr>
          <w:rFonts w:ascii="Arial" w:cs="Arial" w:eastAsia="Arial" w:hAnsi="Arial"/>
          <w:sz w:val="21"/>
          <w:szCs w:val="21"/>
          <w:color w:val="auto"/>
        </w:rPr>
      </w:pPr>
    </w:p>
    <w:p>
      <w:pPr>
        <w:jc w:val="both"/>
        <w:ind w:firstLine="958"/>
        <w:spacing w:after="0" w:line="269" w:lineRule="auto"/>
        <w:tabs>
          <w:tab w:leader="none" w:pos="1869"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1.409A-1(b)(9)(iii), or (ii) in compliance with Section 409A, including, but not limited to, being paid pursuant to a fixed schedule or specified date pursuant to Treas. Reg. § 1.409A-3(a) and the provisions of this Agreement will be administered, interpreted and construed accordingly. Notwithstanding the foregoing provisions of this Agreement, if the payment of any severance compensation or severance benefits under Section 2 would be subject to additional taxes and interest under Section 409A because the timing of such payment is not delayed as provided in Section 409A(a)(2)(B)(i) of the Code, and Executive constitutes a specified employee within the meaning of Section 409A(a)(2)(B)</w:t>
      </w:r>
    </w:p>
    <w:p>
      <w:pPr>
        <w:jc w:val="both"/>
        <w:ind w:firstLine="8"/>
        <w:spacing w:after="0" w:line="245" w:lineRule="auto"/>
        <w:tabs>
          <w:tab w:leader="none" w:pos="297" w:val="left"/>
        </w:tabs>
        <w:numPr>
          <w:ilvl w:val="0"/>
          <w:numId w:val="47"/>
        </w:numPr>
        <w:rPr>
          <w:rFonts w:ascii="Arial" w:cs="Arial" w:eastAsia="Arial" w:hAnsi="Arial"/>
          <w:sz w:val="21"/>
          <w:szCs w:val="21"/>
          <w:color w:val="auto"/>
        </w:rPr>
      </w:pPr>
      <w:r>
        <w:rPr>
          <w:rFonts w:ascii="Arial" w:cs="Arial" w:eastAsia="Arial" w:hAnsi="Arial"/>
          <w:sz w:val="21"/>
          <w:szCs w:val="21"/>
          <w:color w:val="auto"/>
        </w:rPr>
        <w:t>of the Code, then any such payments that Executive would otherwise be entitled to during the first six months following Executive’s separation from service within the meaning of Section 409A(a)(2)(A)(i) of the Code shall be accumulated and paid on the date that is six months after Executive’s separation from service (or if such payment date does not fall on a business day of the Company, the next following business day of the Company), or such earlier date upon which such amount can be paid under Section 409A without being subject to such additional taxes and interest.</w:t>
      </w:r>
    </w:p>
    <w:p>
      <w:pPr>
        <w:spacing w:after="0" w:line="194" w:lineRule="exact"/>
        <w:rPr>
          <w:rFonts w:ascii="Arial" w:cs="Arial" w:eastAsia="Arial" w:hAnsi="Arial"/>
          <w:sz w:val="21"/>
          <w:szCs w:val="21"/>
          <w:color w:val="auto"/>
        </w:rPr>
      </w:pPr>
    </w:p>
    <w:p>
      <w:pPr>
        <w:jc w:val="both"/>
        <w:ind w:firstLine="958"/>
        <w:spacing w:after="0"/>
        <w:tabs>
          <w:tab w:leader="none" w:pos="1869"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99" w:lineRule="exact"/>
        <w:rPr>
          <w:rFonts w:ascii="Arial" w:cs="Arial" w:eastAsia="Arial" w:hAnsi="Arial"/>
          <w:sz w:val="22"/>
          <w:szCs w:val="22"/>
          <w:color w:val="auto"/>
        </w:rPr>
      </w:pPr>
    </w:p>
    <w:p>
      <w:pPr>
        <w:ind w:firstLine="958"/>
        <w:spacing w:after="0" w:line="251" w:lineRule="auto"/>
        <w:tabs>
          <w:tab w:leader="none" w:pos="1869"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186" w:lineRule="exact"/>
        <w:rPr>
          <w:rFonts w:ascii="Arial" w:cs="Arial" w:eastAsia="Arial" w:hAnsi="Arial"/>
          <w:sz w:val="22"/>
          <w:szCs w:val="22"/>
          <w:color w:val="auto"/>
        </w:rPr>
      </w:pPr>
    </w:p>
    <w:p>
      <w:pPr>
        <w:ind w:firstLine="958"/>
        <w:spacing w:after="0" w:line="251" w:lineRule="auto"/>
        <w:tabs>
          <w:tab w:leader="none" w:pos="1869"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have been inserted for purposes of convenience and shall not be used for interpretive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1" w:name="page42"/>
    <w:bookmarkEnd w:id="41"/>
    <w:p>
      <w:pPr>
        <w:ind w:right="20" w:firstLine="950"/>
        <w:spacing w:after="0" w:line="251" w:lineRule="auto"/>
        <w:rPr>
          <w:sz w:val="20"/>
          <w:szCs w:val="20"/>
          <w:color w:val="auto"/>
        </w:rPr>
      </w:pPr>
      <w:r>
        <w:rPr>
          <w:rFonts w:ascii="Arial" w:cs="Arial" w:eastAsia="Arial" w:hAnsi="Arial"/>
          <w:sz w:val="22"/>
          <w:szCs w:val="22"/>
          <w:color w:val="auto"/>
        </w:rPr>
        <w:t>IN WITNESS WHEREOF, the parties have caused this Agreement to be executed and delivered the 17</w:t>
      </w:r>
      <w:r>
        <w:rPr>
          <w:rFonts w:ascii="Arial" w:cs="Arial" w:eastAsia="Arial" w:hAnsi="Arial"/>
          <w:sz w:val="18"/>
          <w:szCs w:val="18"/>
          <w:color w:val="auto"/>
        </w:rPr>
        <w:t>th</w:t>
      </w:r>
      <w:r>
        <w:rPr>
          <w:rFonts w:ascii="Arial" w:cs="Arial" w:eastAsia="Arial" w:hAnsi="Arial"/>
          <w:sz w:val="22"/>
          <w:szCs w:val="22"/>
          <w:color w:val="auto"/>
        </w:rPr>
        <w:t xml:space="preserve"> day of July 2019, but effective as of the 1</w:t>
      </w:r>
      <w:r>
        <w:rPr>
          <w:rFonts w:ascii="Arial" w:cs="Arial" w:eastAsia="Arial" w:hAnsi="Arial"/>
          <w:sz w:val="18"/>
          <w:szCs w:val="18"/>
          <w:color w:val="auto"/>
        </w:rPr>
        <w:t>st</w:t>
      </w:r>
      <w:r>
        <w:rPr>
          <w:rFonts w:ascii="Arial" w:cs="Arial" w:eastAsia="Arial" w:hAnsi="Arial"/>
          <w:sz w:val="22"/>
          <w:szCs w:val="22"/>
          <w:color w:val="auto"/>
        </w:rPr>
        <w:t xml:space="preserve"> of August 2019.</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SCHLUMBERGER LIMITED</w:t>
      </w:r>
    </w:p>
    <w:p>
      <w:pPr>
        <w:spacing w:after="0" w:line="220"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Alexander C. Juden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060" w:type="dxa"/>
            <w:vAlign w:val="bottom"/>
            <w:tcBorders>
              <w:top w:val="single" w:sz="8" w:color="auto"/>
            </w:tcBorders>
          </w:tcPr>
          <w:p>
            <w:pPr>
              <w:ind w:left="140"/>
              <w:spacing w:after="0" w:line="216" w:lineRule="exact"/>
              <w:rPr>
                <w:sz w:val="20"/>
                <w:szCs w:val="20"/>
                <w:color w:val="auto"/>
              </w:rPr>
            </w:pPr>
            <w:r>
              <w:rPr>
                <w:rFonts w:ascii="Arial" w:cs="Arial" w:eastAsia="Arial" w:hAnsi="Arial"/>
                <w:sz w:val="22"/>
                <w:szCs w:val="22"/>
                <w:color w:val="auto"/>
              </w:rPr>
              <w:t>Alexander C. Juden</w:t>
            </w:r>
          </w:p>
        </w:tc>
        <w:tc>
          <w:tcPr>
            <w:tcW w:w="20" w:type="dxa"/>
            <w:vAlign w:val="bottom"/>
          </w:tcPr>
          <w:p>
            <w:pPr>
              <w:spacing w:after="0"/>
              <w:rPr>
                <w:sz w:val="18"/>
                <w:szCs w:val="18"/>
                <w:color w:val="auto"/>
              </w:rPr>
            </w:pPr>
          </w:p>
        </w:tc>
      </w:tr>
      <w:tr>
        <w:trPr>
          <w:trHeight w:val="275"/>
        </w:trPr>
        <w:tc>
          <w:tcPr>
            <w:tcW w:w="5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4060" w:type="dxa"/>
            <w:vAlign w:val="bottom"/>
          </w:tcPr>
          <w:p>
            <w:pPr>
              <w:ind w:left="140"/>
              <w:spacing w:after="0"/>
              <w:rPr>
                <w:sz w:val="20"/>
                <w:szCs w:val="20"/>
                <w:color w:val="auto"/>
              </w:rPr>
            </w:pPr>
            <w:r>
              <w:rPr>
                <w:rFonts w:ascii="Arial" w:cs="Arial" w:eastAsia="Arial" w:hAnsi="Arial"/>
                <w:sz w:val="22"/>
                <w:szCs w:val="22"/>
                <w:color w:val="auto"/>
              </w:rPr>
              <w:t>Secretary and General Counsel</w:t>
            </w:r>
          </w:p>
        </w:tc>
        <w:tc>
          <w:tcPr>
            <w:tcW w:w="20" w:type="dxa"/>
            <w:vAlign w:val="bottom"/>
          </w:tcPr>
          <w:p>
            <w:pPr>
              <w:spacing w:after="0"/>
              <w:rPr>
                <w:sz w:val="23"/>
                <w:szCs w:val="23"/>
                <w:color w:val="auto"/>
              </w:rPr>
            </w:pPr>
          </w:p>
        </w:tc>
      </w:tr>
      <w:tr>
        <w:trPr>
          <w:trHeight w:val="473"/>
        </w:trPr>
        <w:tc>
          <w:tcPr>
            <w:tcW w:w="57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Arial" w:cs="Arial" w:eastAsia="Arial" w:hAnsi="Arial"/>
                <w:sz w:val="22"/>
                <w:szCs w:val="22"/>
                <w:color w:val="auto"/>
              </w:rPr>
              <w:t>EXECUTIVE</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22"/>
        </w:trPr>
        <w:tc>
          <w:tcPr>
            <w:tcW w:w="5720" w:type="dxa"/>
            <w:vAlign w:val="bottom"/>
          </w:tcPr>
          <w:p>
            <w:pPr>
              <w:spacing w:after="0"/>
              <w:rPr>
                <w:sz w:val="24"/>
                <w:szCs w:val="24"/>
                <w:color w:val="auto"/>
              </w:rPr>
            </w:pP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3"/>
              </w:rPr>
              <w:t>/s/Paal Kibsgaard</w:t>
            </w:r>
          </w:p>
        </w:tc>
        <w:tc>
          <w:tcPr>
            <w:tcW w:w="4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92"/>
        </w:trPr>
        <w:tc>
          <w:tcPr>
            <w:tcW w:w="6380" w:type="dxa"/>
            <w:vAlign w:val="bottom"/>
            <w:gridSpan w:val="2"/>
          </w:tcPr>
          <w:p>
            <w:pPr>
              <w:jc w:val="right"/>
              <w:ind w:right="452"/>
              <w:spacing w:after="0"/>
              <w:rPr>
                <w:sz w:val="20"/>
                <w:szCs w:val="20"/>
                <w:color w:val="auto"/>
              </w:rPr>
            </w:pPr>
            <w:r>
              <w:rPr>
                <w:rFonts w:ascii="Arial" w:cs="Arial" w:eastAsia="Arial" w:hAnsi="Arial"/>
                <w:sz w:val="22"/>
                <w:szCs w:val="22"/>
                <w:color w:val="auto"/>
              </w:rPr>
              <w:t>12</w:t>
            </w:r>
          </w:p>
        </w:tc>
        <w:tc>
          <w:tcPr>
            <w:tcW w:w="9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7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u w:val="single" w:color="auto"/>
          <w:color w:val="191919"/>
        </w:rPr>
        <w:t>Exhibit A</w:t>
      </w:r>
    </w:p>
    <w:p>
      <w:pPr>
        <w:spacing w:after="0" w:line="220" w:lineRule="exact"/>
        <w:rPr>
          <w:sz w:val="20"/>
          <w:szCs w:val="20"/>
          <w:color w:val="auto"/>
        </w:rPr>
      </w:pPr>
    </w:p>
    <w:p>
      <w:pPr>
        <w:ind w:left="4740"/>
        <w:spacing w:after="0"/>
        <w:rPr>
          <w:sz w:val="20"/>
          <w:szCs w:val="20"/>
          <w:color w:val="auto"/>
        </w:rPr>
      </w:pPr>
      <w:r>
        <w:rPr>
          <w:rFonts w:ascii="Arial" w:cs="Arial" w:eastAsia="Arial" w:hAnsi="Arial"/>
          <w:sz w:val="22"/>
          <w:szCs w:val="22"/>
          <w:color w:val="191919"/>
        </w:rPr>
        <w:t>S</w:t>
      </w:r>
      <w:r>
        <w:rPr>
          <w:rFonts w:ascii="Arial" w:cs="Arial" w:eastAsia="Arial" w:hAnsi="Arial"/>
          <w:sz w:val="14"/>
          <w:szCs w:val="14"/>
          <w:color w:val="191919"/>
        </w:rPr>
        <w:t>CHLUMBERGER</w:t>
      </w:r>
      <w:r>
        <w:rPr>
          <w:rFonts w:ascii="Arial" w:cs="Arial" w:eastAsia="Arial" w:hAnsi="Arial"/>
          <w:sz w:val="22"/>
          <w:szCs w:val="22"/>
          <w:color w:val="191919"/>
        </w:rPr>
        <w:t xml:space="preserve"> L</w:t>
      </w:r>
      <w:r>
        <w:rPr>
          <w:rFonts w:ascii="Arial" w:cs="Arial" w:eastAsia="Arial" w:hAnsi="Arial"/>
          <w:sz w:val="14"/>
          <w:szCs w:val="14"/>
          <w:color w:val="191919"/>
        </w:rPr>
        <w:t>IMITED</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191919"/>
        </w:rPr>
        <w:t>W</w:t>
      </w:r>
      <w:r>
        <w:rPr>
          <w:rFonts w:ascii="Arial" w:cs="Arial" w:eastAsia="Arial" w:hAnsi="Arial"/>
          <w:sz w:val="14"/>
          <w:szCs w:val="14"/>
          <w:color w:val="191919"/>
        </w:rPr>
        <w:t>AIVER</w:t>
      </w:r>
      <w:r>
        <w:rPr>
          <w:rFonts w:ascii="Arial" w:cs="Arial" w:eastAsia="Arial" w:hAnsi="Arial"/>
          <w:sz w:val="22"/>
          <w:szCs w:val="22"/>
          <w:color w:val="191919"/>
        </w:rPr>
        <w:t xml:space="preserve"> A</w:t>
      </w:r>
      <w:r>
        <w:rPr>
          <w:rFonts w:ascii="Arial" w:cs="Arial" w:eastAsia="Arial" w:hAnsi="Arial"/>
          <w:sz w:val="14"/>
          <w:szCs w:val="14"/>
          <w:color w:val="191919"/>
        </w:rPr>
        <w:t>ND</w:t>
      </w:r>
      <w:r>
        <w:rPr>
          <w:rFonts w:ascii="Arial" w:cs="Arial" w:eastAsia="Arial" w:hAnsi="Arial"/>
          <w:sz w:val="22"/>
          <w:szCs w:val="22"/>
          <w:color w:val="191919"/>
        </w:rPr>
        <w:t xml:space="preserve"> R</w:t>
      </w:r>
      <w:r>
        <w:rPr>
          <w:rFonts w:ascii="Arial" w:cs="Arial" w:eastAsia="Arial" w:hAnsi="Arial"/>
          <w:sz w:val="14"/>
          <w:szCs w:val="14"/>
          <w:color w:val="191919"/>
        </w:rPr>
        <w:t>ELEASE</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191919"/>
        </w:rPr>
        <w:t>Schlumberger Limited has offered to pay me the payments (the “Release Payments”) contemplated by section 3(a) of my Employment Agreement with Schlumberger Limited, effective as of August 1</w:t>
      </w:r>
      <w:r>
        <w:rPr>
          <w:rFonts w:ascii="Arial" w:cs="Arial" w:eastAsia="Arial" w:hAnsi="Arial"/>
          <w:sz w:val="16"/>
          <w:szCs w:val="16"/>
          <w:color w:val="191919"/>
        </w:rPr>
        <w:t>st</w:t>
      </w:r>
      <w:r>
        <w:rPr>
          <w:rFonts w:ascii="Arial" w:cs="Arial" w:eastAsia="Arial" w:hAnsi="Arial"/>
          <w:sz w:val="19"/>
          <w:szCs w:val="19"/>
          <w:color w:val="191919"/>
        </w:rPr>
        <w:t>, 2019 (the “Agreement”), which is in addition to any remuneration or benefits to which I am already entitled. This Release Payment was offered to me in exchange for my agreement, among other things, to waive all of my claims against and release Schlumberger Limited and its predecessors, successors and assigns (collectively referred to as the “Company”), all of the affiliates (including parents and subsidiaries) of the Company (collectively referred to as the “Affiliates”) and the Company’s and Affiliates’ directors and officers, employees and agents, employee benefit plans and the fiduciaries and agents of said plans (collectively, with the Company and Affiliates, referred to as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 I have read this Waiver and Release and the Agreement (which, together, are referred to herein as the “Agreement Materials”) and the Agreement is incorporated herein by reference. The payment of the Release Payment is voluntary on the part of the Company and is not required by any legal obligation other than the Agreement. I choose to accept this offer.</w:t>
      </w:r>
    </w:p>
    <w:p>
      <w:pPr>
        <w:spacing w:after="0" w:line="200" w:lineRule="exact"/>
        <w:rPr>
          <w:sz w:val="20"/>
          <w:szCs w:val="20"/>
          <w:color w:val="auto"/>
        </w:rPr>
      </w:pPr>
    </w:p>
    <w:p>
      <w:pPr>
        <w:spacing w:after="0" w:line="21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191919"/>
        </w:rPr>
        <w:t>I understand that signing this Waiver and Release is an important legal act. I acknowledge that the Company has advised me in writing to consult an attorney before signing this Waiver and Release. I understand that, in order to be eligible for the Release Payment, I must sign (and return to Alexander C. Juden, Schlumberger Limited, 5599 San Felipe, 17</w:t>
      </w:r>
      <w:r>
        <w:rPr>
          <w:rFonts w:ascii="Arial" w:cs="Arial" w:eastAsia="Arial" w:hAnsi="Arial"/>
          <w:sz w:val="17"/>
          <w:szCs w:val="17"/>
          <w:color w:val="191919"/>
        </w:rPr>
        <w:t>th</w:t>
      </w:r>
      <w:r>
        <w:rPr>
          <w:rFonts w:ascii="Arial" w:cs="Arial" w:eastAsia="Arial" w:hAnsi="Arial"/>
          <w:sz w:val="21"/>
          <w:szCs w:val="21"/>
          <w:color w:val="191919"/>
        </w:rPr>
        <w:t xml:space="preserve"> Floor, Houston, TX 77056) this Waiver and Release by 5 p.m. on July 17</w:t>
      </w:r>
      <w:r>
        <w:rPr>
          <w:rFonts w:ascii="Arial" w:cs="Arial" w:eastAsia="Arial" w:hAnsi="Arial"/>
          <w:sz w:val="17"/>
          <w:szCs w:val="17"/>
          <w:color w:val="191919"/>
        </w:rPr>
        <w:t>th</w:t>
      </w:r>
      <w:r>
        <w:rPr>
          <w:rFonts w:ascii="Arial" w:cs="Arial" w:eastAsia="Arial" w:hAnsi="Arial"/>
          <w:sz w:val="21"/>
          <w:szCs w:val="21"/>
          <w:color w:val="191919"/>
        </w:rPr>
        <w:t>, 2019. I acknowledge that I have been given at least 21 days to consider whether to sign the Agreement and whether to execute this Waiver and Release.</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191919"/>
        </w:rPr>
        <w:t>In exchange for the payment to me of the Release Payments, which is in addition to any remuneration or benefits to which I am already entitled, I, among other things, (1) 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 (2) 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 This Waiver and Release includes, but is not limited to, claims and causes of action under: Title VII of the Civil Rights Act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19"/>
          <w:szCs w:val="19"/>
          <w:color w:val="191919"/>
        </w:rPr>
        <w:t xml:space="preserve">of 1964, as amended (“Title VII”); the Age Discrimination in Employment Act of 1967, as amended, including the Older Workers Benefit Protection Act of 1990 (“ADEA”); the Civil Rights Act of 1866, as amended; the Civil Rights Act of 1991; the Americans with Disabilities Act of 1990 (“ADA”); the Energy Reorganization Act, as amended, 42 U.S.C. § 5851; the Workers Adjustment and Retraining Notification Act of 1988; the Pregnancy Discrimination Act of 1978; the Employee Retirement Income Security Act of 1974, as amended; the Family and Medical Leave Act of 1993; the Occupational Safety and Health Act; claims in connection with workers’ compensation; and/or contract, tort, defamation, slander, wrongful termination or any other state or federal regulatory, statutory or common law. Further, 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 I agree that this Waiver and Release is valid, fair, adequate and reasonable, is with my full knowledge and consent, was not procured through fraud, duress or mistake and has not had the effect of misleading, misinforming or failing to inform me. Notwithstanding the above, nothing in this Waiver and Release is intended to (i) 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 (ii) release or affect in any way any claims arising under the Agreement or (iii) prevent me from </w:t>
      </w:r>
      <w:r>
        <w:rPr>
          <w:rFonts w:ascii="Arial" w:cs="Arial" w:eastAsia="Arial" w:hAnsi="Arial"/>
          <w:sz w:val="19"/>
          <w:szCs w:val="19"/>
          <w:color w:val="000000"/>
        </w:rPr>
        <w:t>filing a complaint with, providing information to, or testifying or otherwise assisting</w:t>
      </w:r>
      <w:r>
        <w:rPr>
          <w:rFonts w:ascii="Arial" w:cs="Arial" w:eastAsia="Arial" w:hAnsi="Arial"/>
          <w:sz w:val="19"/>
          <w:szCs w:val="19"/>
          <w:color w:val="191919"/>
        </w:rPr>
        <w:t xml:space="preserve"> </w:t>
      </w:r>
      <w:r>
        <w:rPr>
          <w:rFonts w:ascii="Arial" w:cs="Arial" w:eastAsia="Arial" w:hAnsi="Arial"/>
          <w:sz w:val="19"/>
          <w:szCs w:val="19"/>
          <w:color w:val="000000"/>
        </w:rPr>
        <w:t>in any investigation or proceeding brought by any state, federal or local regulatory or law enforcement agency or legislative body, or (iv) prevent me from filing any claims that are not permitted to be waived or released under applicable law . However, I further agree and covenant that I will not seek or accept any personal, equitable or monetary relief from the Corporate Group in any action, suit, proceeding or administrative charge filed on my behalf by any person, organization or other entity against the Corporate Group. Notwithstanding the foregoing, I understand and the Company agrees, that nothing in the Agreement or this Waiver and Release prohibits me from reporting to any governmental authority information concerning possible violations of law or regulation, making other disclosures that are protected under the whistleblower provisions of federal law or regulation or receiving an award for information provided to any government agency (collectively the “Protected Disclosures”). This Agreement and the Waiver and Release do not limit my right to receive an award for information provided to any governmental agencies. Pursuant to the Defend Trade Secrets Act of 2016, I understand that I will not be held criminally or civilly liable under any federal or state trade secret law for the disclosure of any secret or confidential information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9"/>
          <w:szCs w:val="19"/>
          <w:color w:val="191919"/>
        </w:rPr>
        <w:t>I acknowledge that payment of the Release Payment to me by the Company is not an admission by the Company or any other member of the Corporate Group that they engaged in any wrongful or unlawful act or that the Company or any member of the Corporate Group violated any federal or state law or regulation. 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I acknowledge that this Waiver and Release does not create any right on my part to be rehired by the Company or the Affiliates and I hereby waive any right to future employment by the Company or any other member of the Corporate Group.</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191919"/>
        </w:rPr>
        <w:t>Subject to the provisions above regarding Protected Disclosures, 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and, in that connection, from making confidential disclosure to potential employers of such facts or opinions as I may elect to convey, nor is it intended to restrict the Company from conducting such confidential internal communications as may be necessary to manage this resignation in a businesslike way.</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191919"/>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and/or written agreements or representations, if any, between me and the Company or any other member of the Corporate Group. I understand that for a period of 7 calendar days following the date that I sign this Waiver and Release, I may revoke my acceptance of the offer, provided that my written statement of revocation is received on or before that seventh day by Rebecca Bleeker, Executive Compensation Manager of Schlumberger Limited - Houston, in which case the Waiver and Release will not become effective. In the event I revoke my acceptance of this offer, the Company shall have no obligation to pay me the Release Payment. I understand that failure to revoke my acceptance of the offer within 7 calendar days from the date I sign this Waiver and Release will result in this Waiver and Release being permanent and irrevocable.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9"/>
          <w:szCs w:val="19"/>
          <w:color w:val="191919"/>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0" w:type="dxa"/>
            <w:vAlign w:val="bottom"/>
          </w:tcPr>
          <w:p>
            <w:pPr>
              <w:spacing w:after="0"/>
              <w:rPr>
                <w:sz w:val="24"/>
                <w:szCs w:val="24"/>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22"/>
                <w:szCs w:val="22"/>
                <w:color w:val="191919"/>
              </w:rPr>
              <w:t>Employee’s Printed Name</w:t>
            </w:r>
          </w:p>
        </w:tc>
        <w:tc>
          <w:tcPr>
            <w:tcW w:w="11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191919"/>
              </w:rPr>
              <w:t>Company Representative</w:t>
            </w:r>
          </w:p>
        </w:tc>
        <w:tc>
          <w:tcPr>
            <w:tcW w:w="0" w:type="dxa"/>
            <w:vAlign w:val="bottom"/>
          </w:tcPr>
          <w:p>
            <w:pPr>
              <w:spacing w:after="0"/>
              <w:rPr>
                <w:sz w:val="1"/>
                <w:szCs w:val="1"/>
                <w:color w:val="auto"/>
              </w:rPr>
            </w:pPr>
          </w:p>
        </w:tc>
      </w:tr>
      <w:tr>
        <w:trPr>
          <w:trHeight w:val="428"/>
        </w:trPr>
        <w:tc>
          <w:tcPr>
            <w:tcW w:w="20" w:type="dxa"/>
            <w:vAlign w:val="bottom"/>
            <w:vMerge w:val="restart"/>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vMerge w:val="continue"/>
          </w:tcPr>
          <w:p>
            <w:pPr>
              <w:spacing w:after="0"/>
              <w:rPr>
                <w:sz w:val="23"/>
                <w:szCs w:val="23"/>
                <w:color w:val="auto"/>
              </w:rPr>
            </w:pPr>
          </w:p>
        </w:tc>
        <w:tc>
          <w:tcPr>
            <w:tcW w:w="3720" w:type="dxa"/>
            <w:vAlign w:val="bottom"/>
          </w:tcPr>
          <w:p>
            <w:pPr>
              <w:spacing w:after="0"/>
              <w:rPr>
                <w:sz w:val="20"/>
                <w:szCs w:val="20"/>
                <w:color w:val="auto"/>
              </w:rPr>
            </w:pPr>
            <w:r>
              <w:rPr>
                <w:rFonts w:ascii="Arial" w:cs="Arial" w:eastAsia="Arial" w:hAnsi="Arial"/>
                <w:sz w:val="22"/>
                <w:szCs w:val="22"/>
                <w:color w:val="191919"/>
              </w:rPr>
              <w:t>Employee’s Signature</w:t>
            </w:r>
          </w:p>
        </w:tc>
        <w:tc>
          <w:tcPr>
            <w:tcW w:w="11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800" w:type="dxa"/>
            <w:vAlign w:val="bottom"/>
            <w:gridSpan w:val="2"/>
          </w:tcPr>
          <w:p>
            <w:pPr>
              <w:spacing w:after="0"/>
              <w:rPr>
                <w:sz w:val="20"/>
                <w:szCs w:val="20"/>
                <w:color w:val="auto"/>
              </w:rPr>
            </w:pPr>
            <w:r>
              <w:rPr>
                <w:rFonts w:ascii="Arial" w:cs="Arial" w:eastAsia="Arial" w:hAnsi="Arial"/>
                <w:sz w:val="22"/>
                <w:szCs w:val="22"/>
                <w:color w:val="191919"/>
              </w:rPr>
              <w:t>Company’s Execution Date</w:t>
            </w:r>
          </w:p>
        </w:tc>
        <w:tc>
          <w:tcPr>
            <w:tcW w:w="0" w:type="dxa"/>
            <w:vAlign w:val="bottom"/>
          </w:tcPr>
          <w:p>
            <w:pPr>
              <w:spacing w:after="0"/>
              <w:rPr>
                <w:sz w:val="1"/>
                <w:szCs w:val="1"/>
                <w:color w:val="auto"/>
              </w:rPr>
            </w:pPr>
          </w:p>
        </w:tc>
      </w:tr>
      <w:tr>
        <w:trPr>
          <w:trHeight w:val="671"/>
        </w:trPr>
        <w:tc>
          <w:tcPr>
            <w:tcW w:w="3740" w:type="dxa"/>
            <w:vAlign w:val="bottom"/>
            <w:gridSpan w:val="2"/>
          </w:tcPr>
          <w:p>
            <w:pPr>
              <w:spacing w:after="0"/>
              <w:rPr>
                <w:sz w:val="20"/>
                <w:szCs w:val="20"/>
                <w:color w:val="auto"/>
              </w:rPr>
            </w:pPr>
            <w:r>
              <w:rPr>
                <w:rFonts w:ascii="Arial" w:cs="Arial" w:eastAsia="Arial" w:hAnsi="Arial"/>
                <w:sz w:val="22"/>
                <w:szCs w:val="22"/>
                <w:color w:val="191919"/>
              </w:rPr>
              <w:t>Employee’s Signature Date:</w:t>
            </w:r>
          </w:p>
        </w:tc>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80" w:type="dxa"/>
            <w:vAlign w:val="bottom"/>
            <w:gridSpan w:val="2"/>
          </w:tcPr>
          <w:p>
            <w:pPr>
              <w:jc w:val="right"/>
              <w:ind w:right="800"/>
              <w:spacing w:after="0"/>
              <w:rPr>
                <w:sz w:val="20"/>
                <w:szCs w:val="20"/>
                <w:color w:val="auto"/>
              </w:rPr>
            </w:pPr>
            <w:r>
              <w:rPr>
                <w:rFonts w:ascii="Arial" w:cs="Arial" w:eastAsia="Arial" w:hAnsi="Arial"/>
                <w:sz w:val="22"/>
                <w:szCs w:val="22"/>
                <w:color w:val="auto"/>
              </w:rPr>
              <w:t>16</w:t>
            </w:r>
          </w:p>
        </w:tc>
        <w:tc>
          <w:tcPr>
            <w:tcW w:w="1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2"/>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hanging="504"/>
        <w:spacing w:after="0" w:line="308" w:lineRule="auto"/>
        <w:tabs>
          <w:tab w:leader="none" w:pos="11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hanging="504"/>
        <w:spacing w:after="0" w:line="264"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04"/>
        <w:spacing w:after="0" w:line="277"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120" w:hanging="504"/>
        <w:spacing w:after="0" w:line="277"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October 23,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3"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560" w:hanging="172"/>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8"/>
        <w:spacing w:after="0" w:line="342" w:lineRule="auto"/>
        <w:tabs>
          <w:tab w:leader="none" w:pos="57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8"/>
        <w:spacing w:after="0" w:line="277" w:lineRule="auto"/>
        <w:tabs>
          <w:tab w:leader="none" w:pos="5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8"/>
        <w:spacing w:after="0" w:line="264" w:lineRule="auto"/>
        <w:tabs>
          <w:tab w:leader="none" w:pos="5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120" w:hanging="504"/>
        <w:spacing w:after="0" w:line="264"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120" w:hanging="504"/>
        <w:spacing w:after="0" w:line="308" w:lineRule="auto"/>
        <w:tabs>
          <w:tab w:leader="none" w:pos="11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120" w:hanging="504"/>
        <w:spacing w:after="0" w:line="264"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 w:firstLine="388"/>
        <w:spacing w:after="0" w:line="308" w:lineRule="auto"/>
        <w:tabs>
          <w:tab w:leader="none" w:pos="5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04"/>
        <w:spacing w:after="0" w:line="277"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120" w:hanging="504"/>
        <w:spacing w:after="0" w:line="277"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October 23,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53"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September 30, 2019 as filed with the Securities and Exchange Commission on the date hereof (the “Report”), I, Olivier Le Peuch, Chief Executive Officer of the Company, certify, pursuant to 18 U.S.C. § 1350, as adopted pursuant to § 906 of the Sarbanes-Oxley Act of 2002, that:</w:t>
      </w:r>
    </w:p>
    <w:p>
      <w:pPr>
        <w:spacing w:after="0" w:line="73" w:lineRule="exact"/>
        <w:rPr>
          <w:sz w:val="20"/>
          <w:szCs w:val="20"/>
          <w:color w:val="auto"/>
        </w:rPr>
      </w:pPr>
    </w:p>
    <w:p>
      <w:pPr>
        <w:ind w:left="10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23, 2019</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54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53"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39" w:lineRule="exact"/>
        <w:rPr>
          <w:sz w:val="20"/>
          <w:szCs w:val="20"/>
          <w:color w:val="auto"/>
        </w:rPr>
      </w:pPr>
    </w:p>
    <w:p>
      <w:pPr>
        <w:ind w:left="10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23, 2019</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54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53"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1"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three months ended September 30, 2019. Due to timing and other factors, the data may not agree with the mine data retrieval system maintained by the MSHA at www.MSHA.gov.</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September 30,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4"/>
              </w:rPr>
              <w:t>Received</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3"/>
              </w:rPr>
              <w:t>Notice of</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5"/>
              </w:rPr>
              <w:t>Have</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2"/>
              </w:rPr>
              <w:t>Violations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1"/>
              </w:rPr>
              <w:t>Pattern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7"/>
              </w:rPr>
              <w:t>Legal</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0"/>
              </w:rPr>
              <w:t>Total Dollar</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Number</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3"/>
              </w:rPr>
              <w:t>Actions</w:t>
            </w:r>
          </w:p>
        </w:tc>
        <w:tc>
          <w:tcPr>
            <w:tcW w:w="8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Legal Actions</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ind w:left="120"/>
              <w:spacing w:after="0" w:line="135" w:lineRule="exact"/>
              <w:rPr>
                <w:sz w:val="20"/>
                <w:szCs w:val="20"/>
                <w:color w:val="auto"/>
              </w:rPr>
            </w:pPr>
            <w:r>
              <w:rPr>
                <w:rFonts w:ascii="Arial" w:cs="Arial" w:eastAsia="Arial" w:hAnsi="Arial"/>
                <w:sz w:val="13"/>
                <w:szCs w:val="13"/>
                <w:color w:val="auto"/>
              </w:rPr>
              <w:t>Section</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0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106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2"/>
              </w:rPr>
              <w:t>Value of MSHA</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4"/>
              </w:rPr>
              <w:t>of Mining</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6"/>
              </w:rPr>
              <w:t>Pending as</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Legal Actions</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88"/>
              </w:rPr>
              <w:t>Resolved</w:t>
            </w: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8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Section 104</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5"/>
              </w:rPr>
              <w:t>104(b)</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0"/>
              </w:rPr>
              <w:t>107(a)</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2"/>
              </w:rPr>
              <w:t>Assessments</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5"/>
              </w:rPr>
              <w:t>104(e)</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1"/>
              </w:rPr>
              <w:t>of Last Day</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49"/>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color w:val="auto"/>
                <w:w w:val="89"/>
              </w:rPr>
              <w:t>S&amp;S Citations</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and Orders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Orders</w:t>
            </w:r>
          </w:p>
        </w:tc>
        <w:tc>
          <w:tcPr>
            <w:tcW w:w="106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color w:val="auto"/>
                <w:w w:val="86"/>
              </w:rPr>
              <w:t xml:space="preserve">Proposed </w:t>
            </w:r>
            <w:r>
              <w:rPr>
                <w:rFonts w:ascii="Arial" w:cs="Arial" w:eastAsia="Arial" w:hAnsi="Arial"/>
                <w:sz w:val="10"/>
                <w:szCs w:val="10"/>
                <w:color w:val="auto"/>
                <w:w w:val="86"/>
              </w:rPr>
              <w:t>(1)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of 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During 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Period</w:t>
            </w: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$121</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7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860" w:type="dxa"/>
            <w:vAlign w:val="bottom"/>
            <w:vMerge w:val="restart"/>
          </w:tcPr>
          <w:p>
            <w:pPr>
              <w:jc w:val="center"/>
              <w:ind w:right="17"/>
              <w:spacing w:after="0"/>
              <w:rPr>
                <w:sz w:val="20"/>
                <w:szCs w:val="20"/>
                <w:color w:val="auto"/>
              </w:rPr>
            </w:pPr>
            <w:r>
              <w:rPr>
                <w:rFonts w:ascii="Arial" w:cs="Arial" w:eastAsia="Arial" w:hAnsi="Arial"/>
                <w:sz w:val="13"/>
                <w:szCs w:val="13"/>
                <w:color w:val="auto"/>
                <w:w w:val="82"/>
              </w:rPr>
              <w:t>2</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90"/>
              </w:rPr>
              <w:t>$1,579</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Galveston GBT Barite Grinding</w:t>
            </w:r>
          </w:p>
        </w:tc>
        <w:tc>
          <w:tcPr>
            <w:tcW w:w="860" w:type="dxa"/>
            <w:vAlign w:val="bottom"/>
            <w:vMerge w:val="restart"/>
          </w:tcPr>
          <w:p>
            <w:pPr>
              <w:jc w:val="center"/>
              <w:ind w:right="17"/>
              <w:spacing w:after="0"/>
              <w:rPr>
                <w:sz w:val="20"/>
                <w:szCs w:val="20"/>
                <w:color w:val="auto"/>
              </w:rPr>
            </w:pPr>
            <w:r>
              <w:rPr>
                <w:rFonts w:ascii="Arial" w:cs="Arial" w:eastAsia="Arial" w:hAnsi="Arial"/>
                <w:sz w:val="13"/>
                <w:szCs w:val="13"/>
                <w:color w:val="auto"/>
                <w:w w:val="82"/>
              </w:rPr>
              <w:t>1</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9"/>
              </w:rPr>
              <w:t>$0</w:t>
            </w:r>
            <w:r>
              <w:rPr>
                <w:rFonts w:ascii="Arial" w:cs="Arial" w:eastAsia="Arial" w:hAnsi="Arial"/>
                <w:sz w:val="10"/>
                <w:szCs w:val="10"/>
                <w:color w:val="auto"/>
                <w:w w:val="89"/>
              </w:rPr>
              <w:t>(2)</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Plant/4104675</w:t>
            </w: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0"/>
                <w:szCs w:val="20"/>
                <w:color w:val="auto"/>
              </w:rPr>
            </w:pPr>
            <w:r>
              <w:rPr>
                <w:rFonts w:ascii="Arial" w:cs="Arial" w:eastAsia="Arial" w:hAnsi="Arial"/>
                <w:sz w:val="13"/>
                <w:szCs w:val="13"/>
                <w:color w:val="auto"/>
                <w:w w:val="97"/>
              </w:rPr>
              <w:t>Greybull Milling Operation/4800602</w:t>
            </w:r>
          </w:p>
        </w:tc>
        <w:tc>
          <w:tcPr>
            <w:tcW w:w="860" w:type="dxa"/>
            <w:vAlign w:val="bottom"/>
          </w:tcPr>
          <w:p>
            <w:pPr>
              <w:jc w:val="center"/>
              <w:ind w:right="17"/>
              <w:spacing w:after="0"/>
              <w:rPr>
                <w:sz w:val="20"/>
                <w:szCs w:val="20"/>
                <w:color w:val="auto"/>
              </w:rPr>
            </w:pPr>
            <w:r>
              <w:rPr>
                <w:rFonts w:ascii="Arial" w:cs="Arial" w:eastAsia="Arial" w:hAnsi="Arial"/>
                <w:sz w:val="13"/>
                <w:szCs w:val="13"/>
                <w:color w:val="auto"/>
                <w:w w:val="82"/>
              </w:rPr>
              <w:t>2</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060" w:type="dxa"/>
            <w:vAlign w:val="bottom"/>
          </w:tcPr>
          <w:p>
            <w:pPr>
              <w:jc w:val="center"/>
              <w:ind w:left="17"/>
              <w:spacing w:after="0"/>
              <w:rPr>
                <w:sz w:val="20"/>
                <w:szCs w:val="20"/>
                <w:color w:val="auto"/>
              </w:rPr>
            </w:pPr>
            <w:r>
              <w:rPr>
                <w:rFonts w:ascii="Arial" w:cs="Arial" w:eastAsia="Arial" w:hAnsi="Arial"/>
                <w:sz w:val="13"/>
                <w:szCs w:val="13"/>
                <w:color w:val="auto"/>
                <w:w w:val="85"/>
              </w:rPr>
              <w:t>$2,112</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7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446"/>
        </w:trPr>
        <w:tc>
          <w:tcPr>
            <w:tcW w:w="2000" w:type="dxa"/>
            <w:vAlign w:val="bottom"/>
          </w:tcPr>
          <w:p>
            <w:pPr>
              <w:spacing w:after="0"/>
              <w:rPr>
                <w:sz w:val="20"/>
                <w:szCs w:val="20"/>
                <w:color w:val="auto"/>
              </w:rPr>
            </w:pPr>
            <w:r>
              <w:rPr>
                <w:rFonts w:ascii="Arial" w:cs="Arial" w:eastAsia="Arial" w:hAnsi="Arial"/>
                <w:sz w:val="13"/>
                <w:szCs w:val="13"/>
                <w:color w:val="auto"/>
                <w:w w:val="96"/>
              </w:rPr>
              <w:t>Greybull Mining Operation/4800603</w:t>
            </w:r>
          </w:p>
        </w:tc>
        <w:tc>
          <w:tcPr>
            <w:tcW w:w="860" w:type="dxa"/>
            <w:vAlign w:val="bottom"/>
          </w:tcPr>
          <w:p>
            <w:pPr>
              <w:jc w:val="center"/>
              <w:ind w:right="17"/>
              <w:spacing w:after="0"/>
              <w:rPr>
                <w:sz w:val="20"/>
                <w:szCs w:val="20"/>
                <w:color w:val="auto"/>
              </w:rPr>
            </w:pPr>
            <w:r>
              <w:rPr>
                <w:rFonts w:ascii="Arial" w:cs="Arial" w:eastAsia="Arial" w:hAnsi="Arial"/>
                <w:sz w:val="13"/>
                <w:szCs w:val="13"/>
                <w:color w:val="auto"/>
                <w:w w:val="82"/>
              </w:rPr>
              <w:t>1</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9"/>
              </w:rPr>
              <w:t>$0</w:t>
            </w:r>
            <w:r>
              <w:rPr>
                <w:rFonts w:ascii="Arial" w:cs="Arial" w:eastAsia="Arial" w:hAnsi="Arial"/>
                <w:sz w:val="10"/>
                <w:szCs w:val="10"/>
                <w:color w:val="auto"/>
                <w:w w:val="89"/>
              </w:rPr>
              <w:t>(3)</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7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378"/>
        </w:trPr>
        <w:tc>
          <w:tcPr>
            <w:tcW w:w="2000" w:type="dxa"/>
            <w:vAlign w:val="bottom"/>
          </w:tcPr>
          <w:p>
            <w:pPr>
              <w:spacing w:after="0"/>
              <w:rPr>
                <w:sz w:val="20"/>
                <w:szCs w:val="20"/>
                <w:color w:val="auto"/>
              </w:rPr>
            </w:pPr>
            <w:r>
              <w:rPr>
                <w:rFonts w:ascii="Arial" w:cs="Arial" w:eastAsia="Arial" w:hAnsi="Arial"/>
                <w:sz w:val="13"/>
                <w:szCs w:val="13"/>
                <w:color w:val="auto"/>
              </w:rPr>
              <w:t>Greystone Mine/2600411</w:t>
            </w:r>
          </w:p>
        </w:tc>
        <w:tc>
          <w:tcPr>
            <w:tcW w:w="860" w:type="dxa"/>
            <w:vAlign w:val="bottom"/>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rPr>
              <w:t>N</w:t>
            </w:r>
          </w:p>
        </w:tc>
        <w:tc>
          <w:tcPr>
            <w:tcW w:w="76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Hixton</w:t>
            </w: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Mine/4703742</w:t>
            </w: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Alma</w:t>
            </w: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Mine/4703823</w:t>
            </w: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Monahans</w:t>
            </w: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9"/>
              </w:rPr>
              <w:t>$0</w:t>
            </w:r>
            <w:r>
              <w:rPr>
                <w:rFonts w:ascii="Arial" w:cs="Arial" w:eastAsia="Arial" w:hAnsi="Arial"/>
                <w:sz w:val="10"/>
                <w:szCs w:val="10"/>
                <w:color w:val="auto"/>
                <w:w w:val="89"/>
              </w:rPr>
              <w:t>(4)</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Mine/4105336</w:t>
            </w: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w w:val="88"/>
              </w:rPr>
              <w:t>Wisconsin Proppants High Roller Sand</w:t>
            </w:r>
          </w:p>
        </w:tc>
        <w:tc>
          <w:tcPr>
            <w:tcW w:w="860" w:type="dxa"/>
            <w:vAlign w:val="bottom"/>
            <w:vMerge w:val="restart"/>
          </w:tcPr>
          <w:p>
            <w:pPr>
              <w:jc w:val="center"/>
              <w:ind w:right="37"/>
              <w:spacing w:after="0"/>
              <w:rPr>
                <w:sz w:val="20"/>
                <w:szCs w:val="20"/>
                <w:color w:val="auto"/>
              </w:rPr>
            </w:pPr>
            <w:r>
              <w:rPr>
                <w:rFonts w:ascii="Arial" w:cs="Arial" w:eastAsia="Arial" w:hAnsi="Arial"/>
                <w:sz w:val="13"/>
                <w:szCs w:val="13"/>
                <w:color w:val="auto"/>
                <w:w w:val="86"/>
              </w:rPr>
              <w:t>─</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Mine/4105321</w:t>
            </w:r>
          </w:p>
        </w:tc>
        <w:tc>
          <w:tcPr>
            <w:tcW w:w="8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520" w:right="40" w:hanging="512"/>
        <w:spacing w:after="0" w:line="273"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during the quarter on or before September 30, 2019,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3" w:lineRule="exact"/>
        <w:rPr>
          <w:rFonts w:ascii="Arial" w:cs="Arial" w:eastAsia="Arial" w:hAnsi="Arial"/>
          <w:sz w:val="16"/>
          <w:szCs w:val="16"/>
          <w:color w:val="auto"/>
        </w:rPr>
      </w:pPr>
    </w:p>
    <w:p>
      <w:pPr>
        <w:ind w:left="520" w:hanging="512"/>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September 30, 2019, MSHA had not yet proposed an assessment for the one S&amp;S citation at Galveston GBT Barite Grinding Plant/4104675.</w:t>
      </w:r>
    </w:p>
    <w:p>
      <w:pPr>
        <w:spacing w:after="0" w:line="59" w:lineRule="exact"/>
        <w:rPr>
          <w:rFonts w:ascii="Arial" w:cs="Arial" w:eastAsia="Arial" w:hAnsi="Arial"/>
          <w:sz w:val="16"/>
          <w:szCs w:val="16"/>
          <w:color w:val="auto"/>
        </w:rPr>
      </w:pPr>
    </w:p>
    <w:p>
      <w:pPr>
        <w:ind w:left="520" w:hanging="512"/>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September 30, 2019, MSHA had not yet proposed an assessment for the one S&amp;S citation at Greybull Mining Operation/4800603.</w:t>
      </w:r>
    </w:p>
    <w:p>
      <w:pPr>
        <w:spacing w:after="0" w:line="59" w:lineRule="exact"/>
        <w:rPr>
          <w:rFonts w:ascii="Arial" w:cs="Arial" w:eastAsia="Arial" w:hAnsi="Arial"/>
          <w:sz w:val="16"/>
          <w:szCs w:val="16"/>
          <w:color w:val="auto"/>
        </w:rPr>
      </w:pPr>
    </w:p>
    <w:p>
      <w:pPr>
        <w:ind w:left="520" w:hanging="512"/>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September 30, 2019, MSHA had not yet proposed an assessment for three non-S&amp;S citations at Wisconsin Proppants Monahans Mine/4105336.</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decimal"/>
      <w:start w:val="2"/>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
      <w:numFmt w:val="bullet"/>
      <w:start w:val="1"/>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4"/>
    </w:lvl>
  </w:abstractNum>
  <w:abstractNum w:abstractNumId="7">
    <w:nsid w:val="8138641"/>
    <w:multiLevelType w:val="hybridMultilevel"/>
    <w:lvl w:ilvl="0">
      <w:lvlJc w:val="left"/>
      <w:lvlText w:val="%1."/>
      <w:numFmt w:val="decimal"/>
      <w:start w:val="6"/>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8"/>
    </w:lvl>
  </w:abstractNum>
  <w:abstractNum w:abstractNumId="11">
    <w:nsid w:val="6CEAF087"/>
    <w:multiLevelType w:val="hybridMultilevel"/>
    <w:lvl w:ilvl="0">
      <w:lvlJc w:val="left"/>
      <w:lvlText w:val="%1."/>
      <w:numFmt w:val="decimal"/>
      <w:start w:val="9"/>
    </w:lvl>
  </w:abstractNum>
  <w:abstractNum w:abstractNumId="12">
    <w:nsid w:val="22221A70"/>
    <w:multiLevelType w:val="hybridMultilevel"/>
    <w:lvl w:ilvl="0">
      <w:lvlJc w:val="left"/>
      <w:lvlText w:val="%1."/>
      <w:numFmt w:val="decimal"/>
      <w:start w:val="10"/>
    </w:lvl>
  </w:abstractNum>
  <w:abstractNum w:abstractNumId="13">
    <w:nsid w:val="4516DDE9"/>
    <w:multiLevelType w:val="hybridMultilevel"/>
    <w:lvl w:ilvl="0">
      <w:lvlJc w:val="left"/>
      <w:lvlText w:val="%1."/>
      <w:numFmt w:val="decimal"/>
      <w:start w:val="11"/>
    </w:lvl>
  </w:abstractNum>
  <w:abstractNum w:abstractNumId="14">
    <w:nsid w:val="3006C83E"/>
    <w:multiLevelType w:val="hybridMultilevel"/>
    <w:lvl w:ilvl="0">
      <w:lvlJc w:val="left"/>
      <w:lvlText w:val="%1."/>
      <w:numFmt w:val="decimal"/>
      <w:start w:val="12"/>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3"/>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4"/>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5"/>
    </w:lvl>
    <w:lvl w:ilvl="1">
      <w:lvlJc w:val="left"/>
      <w:lvlText w:val="%2."/>
      <w:numFmt w:val="decimal"/>
      <w:start w:val="3"/>
    </w:lvl>
    <w:lvl w:ilvl="2">
      <w:lvlJc w:val="left"/>
      <w:lvlText w:val="(%3)"/>
      <w:numFmt w:val="lowerLetter"/>
      <w:start w:val="1"/>
    </w:lvl>
  </w:abstractNum>
  <w:abstractNum w:abstractNumId="30">
    <w:nsid w:val="3855585C"/>
    <w:multiLevelType w:val="hybridMultilevel"/>
    <w:lvl w:ilvl="0">
      <w:lvlJc w:val="left"/>
      <w:lvlText w:val="(%1)"/>
      <w:numFmt w:val="lowerLetter"/>
      <w:start w:val="2"/>
    </w:lvl>
    <w:lvl w:ilvl="1">
      <w:lvlJc w:val="left"/>
      <w:lvlText w:val="%2."/>
      <w:numFmt w:val="lowerRoman"/>
      <w:start w:val="1"/>
    </w:lvl>
  </w:abstractNum>
  <w:abstractNum w:abstractNumId="31">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2">
    <w:nsid w:val="6A2342E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3">
    <w:nsid w:val="2A487CB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
    <w:nsid w:val="1D4ED43B"/>
    <w:multiLevelType w:val="hybridMultilevel"/>
    <w:lvl w:ilvl="0">
      <w:lvlJc w:val="left"/>
      <w:lvlText w:val="(%1)"/>
      <w:numFmt w:val="lowerLetter"/>
      <w:start w:val="3"/>
    </w:lvl>
  </w:abstractNum>
  <w:abstractNum w:abstractNumId="35">
    <w:nsid w:val="725A06FB"/>
    <w:multiLevelType w:val="hybridMultilevel"/>
    <w:lvl w:ilvl="0">
      <w:lvlJc w:val="left"/>
      <w:lvlText w:val="(%1)"/>
      <w:numFmt w:val="lowerLetter"/>
      <w:start w:val="4"/>
    </w:lvl>
    <w:lvl w:ilvl="1">
      <w:lvlJc w:val="left"/>
      <w:lvlText w:val="%2."/>
      <w:numFmt w:val="lowerRoman"/>
      <w:start w:val="1"/>
    </w:lvl>
  </w:abstractNum>
  <w:abstractNum w:abstractNumId="36">
    <w:nsid w:val="2CD89A32"/>
    <w:multiLevelType w:val="hybridMultilevel"/>
    <w:lvl w:ilvl="0">
      <w:lvlJc w:val="left"/>
      <w:lvlText w:val="%1."/>
      <w:numFmt w:val="decimal"/>
      <w:start w:val="5"/>
    </w:lvl>
    <w:lvl w:ilvl="1">
      <w:lvlJc w:val="left"/>
      <w:lvlText w:val="(%2)"/>
      <w:numFmt w:val="lowerLetter"/>
      <w:start w:val="1"/>
    </w:lvl>
  </w:abstractNum>
  <w:abstractNum w:abstractNumId="37">
    <w:nsid w:val="57E4CCAF"/>
    <w:multiLevelType w:val="hybridMultilevel"/>
    <w:lvl w:ilvl="0">
      <w:lvlJc w:val="left"/>
      <w:lvlText w:val="(%1)"/>
      <w:numFmt w:val="lowerLetter"/>
      <w:start w:val="3"/>
    </w:lvl>
    <w:lvl w:ilvl="1">
      <w:lvlJc w:val="left"/>
      <w:lvlText w:val="%2."/>
      <w:numFmt w:val="lowerRoman"/>
      <w:start w:val="1"/>
    </w:lvl>
  </w:abstractNum>
  <w:abstractNum w:abstractNumId="38">
    <w:nsid w:val="7A6D8D3C"/>
    <w:multiLevelType w:val="hybridMultilevel"/>
    <w:lvl w:ilvl="0">
      <w:lvlJc w:val="left"/>
      <w:lvlText w:val="%1."/>
      <w:numFmt w:val="lowerRoman"/>
      <w:start w:val="2"/>
    </w:lvl>
  </w:abstractNum>
  <w:abstractNum w:abstractNumId="39">
    <w:nsid w:val="4B588F54"/>
    <w:multiLevelType w:val="hybridMultilevel"/>
    <w:lvl w:ilvl="0">
      <w:lvlJc w:val="left"/>
      <w:lvlText w:val="%1"/>
      <w:numFmt w:val="lowerLetter"/>
      <w:start w:val="1"/>
    </w:lvl>
    <w:lvl w:ilvl="1">
      <w:lvlJc w:val="left"/>
      <w:lvlText w:val="%2."/>
      <w:numFmt w:val="lowerRoman"/>
      <w:start w:val="5"/>
    </w:lvl>
  </w:abstractNum>
  <w:abstractNum w:abstractNumId="40">
    <w:nsid w:val="542289EC"/>
    <w:multiLevelType w:val="hybridMultilevel"/>
    <w:lvl w:ilvl="0">
      <w:lvlJc w:val="left"/>
      <w:lvlText w:val="(%1)"/>
      <w:numFmt w:val="lowerLetter"/>
      <w:start w:val="4"/>
    </w:lvl>
    <w:lvl w:ilvl="1">
      <w:lvlJc w:val="left"/>
      <w:lvlText w:val="%2"/>
      <w:numFmt w:val="lowerRoman"/>
      <w:start w:val="1"/>
    </w:lvl>
  </w:abstractNum>
  <w:abstractNum w:abstractNumId="41">
    <w:nsid w:val="6DE91B18"/>
    <w:multiLevelType w:val="hybridMultilevel"/>
    <w:lvl w:ilvl="0">
      <w:lvlJc w:val="left"/>
      <w:lvlText w:val="%1"/>
      <w:numFmt w:val="decimal"/>
      <w:start w:val="1"/>
    </w:lvl>
    <w:lvl w:ilvl="1">
      <w:lvlJc w:val="left"/>
      <w:lvlText w:val="(%2)"/>
      <w:numFmt w:val="lowerLetter"/>
      <w:start w:val="5"/>
    </w:lvl>
  </w:abstractNum>
  <w:abstractNum w:abstractNumId="42">
    <w:nsid w:val="38437FDB"/>
    <w:multiLevelType w:val="hybridMultilevel"/>
    <w:lvl w:ilvl="0">
      <w:lvlJc w:val="left"/>
      <w:lvlText w:val="%1."/>
      <w:numFmt w:val="decimal"/>
      <w:start w:val="6"/>
    </w:lvl>
    <w:lvl w:ilvl="1">
      <w:lvlJc w:val="left"/>
      <w:lvlText w:val="%2"/>
      <w:numFmt w:val="lowerLetter"/>
      <w:start w:val="1"/>
    </w:lvl>
  </w:abstractNum>
  <w:abstractNum w:abstractNumId="43">
    <w:nsid w:val="7644A45C"/>
    <w:multiLevelType w:val="hybridMultilevel"/>
    <w:lvl w:ilvl="0">
      <w:lvlJc w:val="left"/>
      <w:lvlText w:val="%1."/>
      <w:numFmt w:val="decimal"/>
      <w:start w:val="8"/>
    </w:lvl>
  </w:abstractNum>
  <w:abstractNum w:abstractNumId="44">
    <w:nsid w:val="32FFF902"/>
    <w:multiLevelType w:val="hybridMultilevel"/>
    <w:lvl w:ilvl="0">
      <w:lvlJc w:val="left"/>
      <w:lvlText w:val="%1."/>
      <w:numFmt w:val="decimal"/>
      <w:start w:val="12"/>
    </w:lvl>
  </w:abstractNum>
  <w:abstractNum w:abstractNumId="45">
    <w:nsid w:val="684A481A"/>
    <w:multiLevelType w:val="hybridMultilevel"/>
    <w:lvl w:ilvl="0">
      <w:lvlJc w:val="left"/>
      <w:lvlText w:val="%1"/>
      <w:numFmt w:val="lowerRoman"/>
      <w:start w:val="1"/>
    </w:lvl>
    <w:lvl w:ilvl="1">
      <w:lvlJc w:val="left"/>
      <w:lvlText w:val="%2."/>
      <w:numFmt w:val="decimal"/>
      <w:start w:val="13"/>
    </w:lvl>
  </w:abstractNum>
  <w:abstractNum w:abstractNumId="46">
    <w:nsid w:val="579478FE"/>
    <w:multiLevelType w:val="hybridMultilevel"/>
    <w:lvl w:ilvl="0">
      <w:lvlJc w:val="left"/>
      <w:lvlText w:val="(%1)"/>
      <w:numFmt w:val="lowerRoman"/>
      <w:start w:val="1"/>
    </w:lvl>
    <w:lvl w:ilvl="1">
      <w:lvlJc w:val="left"/>
      <w:lvlText w:val="%2."/>
      <w:numFmt w:val="decimal"/>
      <w:start w:val="15"/>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50" Type="http://schemas.openxmlformats.org/officeDocument/2006/relationships/hyperlink" Target="http://www.sec.gov/Archives/edgar/data/87347/000119312516532046/d176097dex31.htm" TargetMode="External"/><Relationship Id="rId51"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2019-12-28T05:03:42Z</dcterms:created>
  <dcterms:modified xsi:type="dcterms:W3CDTF">2019-12-28T05:03:42Z</dcterms:modified>
</cp:coreProperties>
</file>