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UNDER SECTION 13 OR 15(d)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ectPr>
          <w:pgSz w:w="11900" w:h="16838" w:orient="portrait"/>
          <w:cols w:equalWidth="0" w:num="1">
            <w:col w:w="11420"/>
          </w:cols>
          <w:pgMar w:left="240" w:top="355" w:right="239" w:bottom="1440" w:gutter="0" w:footer="0" w:header="0"/>
        </w:sectPr>
      </w:pPr>
    </w:p>
    <w:p>
      <w:pPr>
        <w:spacing w:after="0" w:line="64"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For the Quarter ended:</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No.:</w:t>
      </w:r>
    </w:p>
    <w:p>
      <w:pPr>
        <w:spacing w:after="0" w:line="55" w:lineRule="exact"/>
        <w:rPr>
          <w:sz w:val="24"/>
          <w:szCs w:val="24"/>
          <w:color w:val="auto"/>
        </w:rPr>
      </w:pPr>
    </w:p>
    <w:p>
      <w:pPr>
        <w:sectPr>
          <w:pgSz w:w="11900" w:h="16838" w:orient="portrait"/>
          <w:cols w:equalWidth="0" w:num="2">
            <w:col w:w="7180" w:space="720"/>
            <w:col w:w="3520"/>
          </w:cols>
          <w:pgMar w:left="240" w:top="355" w:right="239" w:bottom="1440" w:gutter="0" w:footer="0" w:header="0"/>
          <w:type w:val="continuous"/>
        </w:sectPr>
      </w:pPr>
    </w:p>
    <w:p>
      <w:pPr>
        <w:ind w:left="2300"/>
        <w:spacing w:after="0"/>
        <w:rPr>
          <w:sz w:val="20"/>
          <w:szCs w:val="20"/>
          <w:color w:val="auto"/>
        </w:rPr>
      </w:pPr>
      <w:r>
        <w:rPr>
          <w:rFonts w:ascii="Arial" w:cs="Arial" w:eastAsia="Arial" w:hAnsi="Arial"/>
          <w:sz w:val="11"/>
          <w:szCs w:val="11"/>
          <w:b w:val="1"/>
          <w:bCs w:val="1"/>
          <w:color w:val="auto"/>
        </w:rPr>
        <w:t>September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127000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1-4601</w:t>
      </w:r>
    </w:p>
    <w:p>
      <w:pPr>
        <w:spacing w:after="0" w:line="200" w:lineRule="exact"/>
        <w:rPr>
          <w:sz w:val="24"/>
          <w:szCs w:val="24"/>
          <w:color w:val="auto"/>
        </w:rPr>
      </w:pPr>
    </w:p>
    <w:p>
      <w:pPr>
        <w:sectPr>
          <w:pgSz w:w="11900" w:h="16838" w:orient="portrait"/>
          <w:cols w:equalWidth="0" w:num="2">
            <w:col w:w="7780" w:space="720"/>
            <w:col w:w="2920"/>
          </w:cols>
          <w:pgMar w:left="240" w:top="355" w:right="239" w:bottom="1440" w:gutter="0" w:footer="0" w:header="0"/>
          <w:type w:val="continuous"/>
        </w:sectPr>
      </w:pPr>
    </w:p>
    <w:p>
      <w:pPr>
        <w:spacing w:after="0" w:line="1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102870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20" w:type="dxa"/>
            <w:vAlign w:val="bottom"/>
          </w:tcPr>
          <w:p>
            <w:pPr>
              <w:jc w:val="center"/>
              <w:ind w:right="1878"/>
              <w:spacing w:after="0"/>
              <w:rPr>
                <w:sz w:val="20"/>
                <w:szCs w:val="20"/>
                <w:color w:val="auto"/>
              </w:rPr>
            </w:pPr>
            <w:r>
              <w:rPr>
                <w:rFonts w:ascii="Arial" w:cs="Arial" w:eastAsia="Arial" w:hAnsi="Arial"/>
                <w:sz w:val="18"/>
                <w:szCs w:val="18"/>
                <w:b w:val="1"/>
                <w:bCs w:val="1"/>
                <w:color w:val="auto"/>
                <w:w w:val="98"/>
              </w:rPr>
              <w:t>NETHERLANDS ANTILLES</w:t>
            </w:r>
          </w:p>
        </w:tc>
        <w:tc>
          <w:tcPr>
            <w:tcW w:w="3060" w:type="dxa"/>
            <w:vAlign w:val="bottom"/>
          </w:tcPr>
          <w:p>
            <w:pPr>
              <w:jc w:val="center"/>
              <w:ind w:left="190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62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6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20" w:type="dxa"/>
            <w:vAlign w:val="bottom"/>
          </w:tcPr>
          <w:p>
            <w:pPr>
              <w:jc w:val="center"/>
              <w:ind w:right="1898"/>
              <w:spacing w:after="0"/>
              <w:rPr>
                <w:sz w:val="20"/>
                <w:szCs w:val="20"/>
                <w:color w:val="auto"/>
              </w:rPr>
            </w:pPr>
            <w:r>
              <w:rPr>
                <w:rFonts w:ascii="Arial" w:cs="Arial" w:eastAsia="Arial" w:hAnsi="Arial"/>
                <w:sz w:val="14"/>
                <w:szCs w:val="14"/>
                <w:b w:val="1"/>
                <w:bCs w:val="1"/>
                <w:color w:val="auto"/>
                <w:w w:val="88"/>
              </w:rPr>
              <w:t>incorporation or organization)</w:t>
            </w:r>
          </w:p>
        </w:tc>
        <w:tc>
          <w:tcPr>
            <w:tcW w:w="3060" w:type="dxa"/>
            <w:vAlign w:val="bottom"/>
          </w:tcPr>
          <w:p>
            <w:pPr>
              <w:jc w:val="center"/>
              <w:ind w:left="1921"/>
              <w:spacing w:after="0"/>
              <w:rPr>
                <w:sz w:val="20"/>
                <w:szCs w:val="20"/>
                <w:color w:val="auto"/>
              </w:rPr>
            </w:pPr>
            <w:r>
              <w:rPr>
                <w:rFonts w:ascii="Arial" w:cs="Arial" w:eastAsia="Arial" w:hAnsi="Arial"/>
                <w:sz w:val="14"/>
                <w:szCs w:val="14"/>
                <w:b w:val="1"/>
                <w:bCs w:val="1"/>
                <w:color w:val="auto"/>
                <w:w w:val="89"/>
              </w:rPr>
              <w:t>Identification No.)</w:t>
            </w:r>
          </w:p>
        </w:tc>
      </w:tr>
      <w:tr>
        <w:trPr>
          <w:trHeight w:val="310"/>
        </w:trPr>
        <w:tc>
          <w:tcPr>
            <w:tcW w:w="4620" w:type="dxa"/>
            <w:vAlign w:val="bottom"/>
          </w:tcPr>
          <w:p>
            <w:pPr>
              <w:jc w:val="center"/>
              <w:ind w:right="1898"/>
              <w:spacing w:after="0"/>
              <w:rPr>
                <w:sz w:val="20"/>
                <w:szCs w:val="20"/>
                <w:color w:val="auto"/>
              </w:rPr>
            </w:pPr>
            <w:r>
              <w:rPr>
                <w:rFonts w:ascii="Arial" w:cs="Arial" w:eastAsia="Arial" w:hAnsi="Arial"/>
                <w:sz w:val="18"/>
                <w:szCs w:val="18"/>
                <w:b w:val="1"/>
                <w:bCs w:val="1"/>
                <w:color w:val="auto"/>
                <w:w w:val="90"/>
              </w:rPr>
              <w:t>153 EAST 53 STREET, 57</w:t>
            </w:r>
            <w:r>
              <w:rPr>
                <w:rFonts w:ascii="Arial" w:cs="Arial" w:eastAsia="Arial" w:hAnsi="Arial"/>
                <w:sz w:val="22"/>
                <w:szCs w:val="22"/>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3060" w:type="dxa"/>
            <w:vAlign w:val="bottom"/>
          </w:tcPr>
          <w:p>
            <w:pPr>
              <w:spacing w:after="0"/>
              <w:rPr>
                <w:sz w:val="24"/>
                <w:szCs w:val="24"/>
                <w:color w:val="auto"/>
              </w:rPr>
            </w:pPr>
          </w:p>
        </w:tc>
      </w:tr>
      <w:tr>
        <w:trPr>
          <w:trHeight w:val="228"/>
        </w:trPr>
        <w:tc>
          <w:tcPr>
            <w:tcW w:w="4620" w:type="dxa"/>
            <w:vAlign w:val="bottom"/>
          </w:tcPr>
          <w:p>
            <w:pPr>
              <w:jc w:val="center"/>
              <w:ind w:right="1898"/>
              <w:spacing w:after="0"/>
              <w:rPr>
                <w:sz w:val="20"/>
                <w:szCs w:val="20"/>
                <w:color w:val="auto"/>
              </w:rPr>
            </w:pPr>
            <w:r>
              <w:rPr>
                <w:rFonts w:ascii="Arial" w:cs="Arial" w:eastAsia="Arial" w:hAnsi="Arial"/>
                <w:sz w:val="18"/>
                <w:szCs w:val="18"/>
                <w:b w:val="1"/>
                <w:bCs w:val="1"/>
                <w:color w:val="auto"/>
                <w:w w:val="97"/>
              </w:rPr>
              <w:t>NEW YORK, NEW YORK, U.S.A.</w:t>
            </w:r>
          </w:p>
        </w:tc>
        <w:tc>
          <w:tcPr>
            <w:tcW w:w="3060" w:type="dxa"/>
            <w:vAlign w:val="bottom"/>
          </w:tcPr>
          <w:p>
            <w:pPr>
              <w:jc w:val="center"/>
              <w:ind w:left="1901"/>
              <w:spacing w:after="0"/>
              <w:rPr>
                <w:sz w:val="20"/>
                <w:szCs w:val="20"/>
                <w:color w:val="auto"/>
              </w:rPr>
            </w:pPr>
            <w:r>
              <w:rPr>
                <w:rFonts w:ascii="Arial" w:cs="Arial" w:eastAsia="Arial" w:hAnsi="Arial"/>
                <w:sz w:val="18"/>
                <w:szCs w:val="18"/>
                <w:b w:val="1"/>
                <w:bCs w:val="1"/>
                <w:color w:val="auto"/>
                <w:w w:val="87"/>
              </w:rPr>
              <w:t>10022</w:t>
            </w:r>
          </w:p>
        </w:tc>
      </w:tr>
      <w:tr>
        <w:trPr>
          <w:trHeight w:val="312"/>
        </w:trPr>
        <w:tc>
          <w:tcPr>
            <w:tcW w:w="4620" w:type="dxa"/>
            <w:vAlign w:val="bottom"/>
          </w:tcPr>
          <w:p>
            <w:pPr>
              <w:jc w:val="center"/>
              <w:ind w:right="1898"/>
              <w:spacing w:after="0"/>
              <w:rPr>
                <w:sz w:val="20"/>
                <w:szCs w:val="20"/>
                <w:color w:val="auto"/>
              </w:rPr>
            </w:pPr>
            <w:r>
              <w:rPr>
                <w:rFonts w:ascii="Arial" w:cs="Arial" w:eastAsia="Arial" w:hAnsi="Arial"/>
                <w:sz w:val="18"/>
                <w:szCs w:val="18"/>
                <w:b w:val="1"/>
                <w:bCs w:val="1"/>
                <w:color w:val="auto"/>
                <w:w w:val="98"/>
              </w:rPr>
              <w:t>42 RUE SAINT-DOMINIQUE</w:t>
            </w:r>
          </w:p>
        </w:tc>
        <w:tc>
          <w:tcPr>
            <w:tcW w:w="3060" w:type="dxa"/>
            <w:vAlign w:val="bottom"/>
          </w:tcPr>
          <w:p>
            <w:pPr>
              <w:spacing w:after="0"/>
              <w:rPr>
                <w:sz w:val="24"/>
                <w:szCs w:val="24"/>
                <w:color w:val="auto"/>
              </w:rPr>
            </w:pPr>
          </w:p>
        </w:tc>
      </w:tr>
      <w:tr>
        <w:trPr>
          <w:trHeight w:val="228"/>
        </w:trPr>
        <w:tc>
          <w:tcPr>
            <w:tcW w:w="462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PARIS, FRANCE</w:t>
            </w:r>
          </w:p>
        </w:tc>
        <w:tc>
          <w:tcPr>
            <w:tcW w:w="3060" w:type="dxa"/>
            <w:vAlign w:val="bottom"/>
          </w:tcPr>
          <w:p>
            <w:pPr>
              <w:jc w:val="center"/>
              <w:ind w:left="190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4620" w:type="dxa"/>
            <w:vAlign w:val="bottom"/>
          </w:tcPr>
          <w:p>
            <w:pPr>
              <w:jc w:val="center"/>
              <w:ind w:right="1898"/>
              <w:spacing w:after="0"/>
              <w:rPr>
                <w:sz w:val="20"/>
                <w:szCs w:val="20"/>
                <w:color w:val="auto"/>
              </w:rPr>
            </w:pPr>
            <w:r>
              <w:rPr>
                <w:rFonts w:ascii="Arial" w:cs="Arial" w:eastAsia="Arial" w:hAnsi="Arial"/>
                <w:sz w:val="18"/>
                <w:szCs w:val="18"/>
                <w:b w:val="1"/>
                <w:bCs w:val="1"/>
                <w:color w:val="auto"/>
                <w:w w:val="93"/>
              </w:rPr>
              <w:t>PARKSTRAAT 83</w:t>
            </w:r>
          </w:p>
        </w:tc>
        <w:tc>
          <w:tcPr>
            <w:tcW w:w="3060" w:type="dxa"/>
            <w:vAlign w:val="bottom"/>
          </w:tcPr>
          <w:p>
            <w:pPr>
              <w:spacing w:after="0"/>
              <w:rPr>
                <w:sz w:val="24"/>
                <w:szCs w:val="24"/>
                <w:color w:val="auto"/>
              </w:rPr>
            </w:pPr>
          </w:p>
        </w:tc>
      </w:tr>
      <w:tr>
        <w:trPr>
          <w:trHeight w:val="216"/>
        </w:trPr>
        <w:tc>
          <w:tcPr>
            <w:tcW w:w="4620" w:type="dxa"/>
            <w:vAlign w:val="bottom"/>
          </w:tcPr>
          <w:p>
            <w:pPr>
              <w:jc w:val="center"/>
              <w:ind w:right="1878"/>
              <w:spacing w:after="0"/>
              <w:rPr>
                <w:sz w:val="20"/>
                <w:szCs w:val="20"/>
                <w:color w:val="auto"/>
              </w:rPr>
            </w:pPr>
            <w:r>
              <w:rPr>
                <w:rFonts w:ascii="Arial" w:cs="Arial" w:eastAsia="Arial" w:hAnsi="Arial"/>
                <w:sz w:val="18"/>
                <w:szCs w:val="18"/>
                <w:b w:val="1"/>
                <w:bCs w:val="1"/>
                <w:color w:val="auto"/>
                <w:w w:val="99"/>
              </w:rPr>
              <w:t>THE HAGUE,</w:t>
            </w:r>
          </w:p>
        </w:tc>
        <w:tc>
          <w:tcPr>
            <w:tcW w:w="3060" w:type="dxa"/>
            <w:vAlign w:val="bottom"/>
          </w:tcPr>
          <w:p>
            <w:pPr>
              <w:spacing w:after="0"/>
              <w:rPr>
                <w:sz w:val="18"/>
                <w:szCs w:val="18"/>
                <w:color w:val="auto"/>
              </w:rPr>
            </w:pPr>
          </w:p>
        </w:tc>
      </w:tr>
      <w:tr>
        <w:trPr>
          <w:trHeight w:val="231"/>
        </w:trPr>
        <w:tc>
          <w:tcPr>
            <w:tcW w:w="4620" w:type="dxa"/>
            <w:vAlign w:val="bottom"/>
          </w:tcPr>
          <w:p>
            <w:pPr>
              <w:jc w:val="center"/>
              <w:ind w:right="1898"/>
              <w:spacing w:after="0"/>
              <w:rPr>
                <w:sz w:val="20"/>
                <w:szCs w:val="20"/>
                <w:color w:val="auto"/>
              </w:rPr>
            </w:pPr>
            <w:r>
              <w:rPr>
                <w:rFonts w:ascii="Arial" w:cs="Arial" w:eastAsia="Arial" w:hAnsi="Arial"/>
                <w:sz w:val="18"/>
                <w:szCs w:val="18"/>
                <w:b w:val="1"/>
                <w:bCs w:val="1"/>
                <w:color w:val="auto"/>
                <w:w w:val="99"/>
              </w:rPr>
              <w:t>THE NETHERLANDS</w:t>
            </w:r>
          </w:p>
        </w:tc>
        <w:tc>
          <w:tcPr>
            <w:tcW w:w="3060" w:type="dxa"/>
            <w:vAlign w:val="bottom"/>
          </w:tcPr>
          <w:p>
            <w:pPr>
              <w:jc w:val="center"/>
              <w:ind w:left="19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620" w:type="dxa"/>
            <w:vAlign w:val="bottom"/>
          </w:tcPr>
          <w:p>
            <w:pPr>
              <w:jc w:val="center"/>
              <w:ind w:right="187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060" w:type="dxa"/>
            <w:vAlign w:val="bottom"/>
          </w:tcPr>
          <w:p>
            <w:pPr>
              <w:jc w:val="center"/>
              <w:ind w:left="1901"/>
              <w:spacing w:after="0"/>
              <w:rPr>
                <w:sz w:val="20"/>
                <w:szCs w:val="20"/>
                <w:color w:val="auto"/>
              </w:rPr>
            </w:pPr>
            <w:r>
              <w:rPr>
                <w:rFonts w:ascii="Arial" w:cs="Arial" w:eastAsia="Arial" w:hAnsi="Arial"/>
                <w:sz w:val="14"/>
                <w:szCs w:val="14"/>
                <w:b w:val="1"/>
                <w:bCs w:val="1"/>
                <w:color w:val="auto"/>
                <w:w w:val="88"/>
              </w:rPr>
              <w:t>(Zip Codes)</w:t>
            </w: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 w:lineRule="exact"/>
        <w:rPr>
          <w:sz w:val="24"/>
          <w:szCs w:val="24"/>
          <w:color w:val="auto"/>
        </w:rPr>
      </w:pPr>
    </w:p>
    <w:p>
      <w:pPr>
        <w:ind w:right="1720"/>
        <w:spacing w:after="0" w:line="27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60" w:type="dxa"/>
            <w:vAlign w:val="bottom"/>
          </w:tcPr>
          <w:p>
            <w:pPr>
              <w:spacing w:after="0"/>
              <w:rPr>
                <w:sz w:val="15"/>
                <w:szCs w:val="15"/>
                <w:color w:val="auto"/>
              </w:rPr>
            </w:pPr>
          </w:p>
        </w:tc>
        <w:tc>
          <w:tcPr>
            <w:tcW w:w="4720" w:type="dxa"/>
            <w:vAlign w:val="bottom"/>
            <w:gridSpan w:val="2"/>
          </w:tcPr>
          <w:p>
            <w:pPr>
              <w:jc w:val="center"/>
              <w:ind w:right="4300"/>
              <w:spacing w:after="0"/>
              <w:rPr>
                <w:sz w:val="20"/>
                <w:szCs w:val="20"/>
                <w:color w:val="auto"/>
              </w:rPr>
            </w:pPr>
            <w:r>
              <w:rPr>
                <w:rFonts w:ascii="Arial" w:cs="Arial" w:eastAsia="Arial" w:hAnsi="Arial"/>
                <w:sz w:val="14"/>
                <w:szCs w:val="14"/>
                <w:b w:val="1"/>
                <w:bCs w:val="1"/>
                <w:color w:val="auto"/>
                <w:w w:val="80"/>
              </w:rPr>
              <w:t>Class</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at September 30, 2004</w:t>
            </w:r>
          </w:p>
        </w:tc>
        <w:tc>
          <w:tcPr>
            <w:tcW w:w="1440" w:type="dxa"/>
            <w:vAlign w:val="bottom"/>
          </w:tcPr>
          <w:p>
            <w:pPr>
              <w:spacing w:after="0"/>
              <w:rPr>
                <w:sz w:val="15"/>
                <w:szCs w:val="15"/>
                <w:color w:val="auto"/>
              </w:rPr>
            </w:pPr>
          </w:p>
        </w:tc>
      </w:tr>
      <w:tr>
        <w:trPr>
          <w:trHeight w:val="95"/>
        </w:trPr>
        <w:tc>
          <w:tcPr>
            <w:tcW w:w="26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r>
      <w:tr>
        <w:trPr>
          <w:trHeight w:val="316"/>
        </w:trPr>
        <w:tc>
          <w:tcPr>
            <w:tcW w:w="73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5"/>
              </w:rPr>
              <w:t>COMMON STOCK, $0.01 PAR VALUE</w:t>
            </w:r>
          </w:p>
        </w:tc>
        <w:tc>
          <w:tcPr>
            <w:tcW w:w="2600" w:type="dxa"/>
            <w:vAlign w:val="bottom"/>
          </w:tcPr>
          <w:p>
            <w:pPr>
              <w:jc w:val="right"/>
              <w:ind w:right="782"/>
              <w:spacing w:after="0"/>
              <w:rPr>
                <w:sz w:val="20"/>
                <w:szCs w:val="20"/>
                <w:color w:val="auto"/>
              </w:rPr>
            </w:pPr>
            <w:r>
              <w:rPr>
                <w:rFonts w:ascii="Arial" w:cs="Arial" w:eastAsia="Arial" w:hAnsi="Arial"/>
                <w:sz w:val="18"/>
                <w:szCs w:val="18"/>
                <w:b w:val="1"/>
                <w:bCs w:val="1"/>
                <w:color w:val="auto"/>
              </w:rPr>
              <w:t>588,743,138</w:t>
            </w:r>
          </w:p>
        </w:tc>
        <w:tc>
          <w:tcPr>
            <w:tcW w:w="1440" w:type="dxa"/>
            <w:vAlign w:val="bottom"/>
          </w:tcPr>
          <w:p>
            <w:pPr>
              <w:spacing w:after="0"/>
              <w:rPr>
                <w:sz w:val="24"/>
                <w:szCs w:val="24"/>
                <w:color w:val="auto"/>
              </w:rPr>
            </w:pPr>
          </w:p>
        </w:tc>
      </w:tr>
      <w:tr>
        <w:trPr>
          <w:trHeight w:val="201"/>
        </w:trPr>
        <w:tc>
          <w:tcPr>
            <w:tcW w:w="2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6"/>
              </w:rPr>
              <w:t>Period Ended September 30,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8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2,931,092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2,544,875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8,482,340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7,474,854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&amp; other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2,966,370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2,574,454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8,565,572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7,573,179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Cost of goods sold &amp; services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2,324,497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2,457,643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6,713,695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6,374,328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121,271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11,905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35,249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244,394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114,894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2,586,174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2,834,148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7,695,116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7,421,709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(259,694)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870,456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75,442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(59,645)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202,253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304,754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(200,049)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668,203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(7,684)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(12,597)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655,606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21,135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238,492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318,205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894,098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589,936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585,179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589,186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613,787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-2222500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-2222500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-2222500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-2222500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-2222500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-2222500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-2222500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-2222500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-2222500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-2222500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-2222500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-2222500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-1365250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-1365250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-1365250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-1365250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-1365250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-1365250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-1365250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-1365250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-1365250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-1365250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-1365250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-1365250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-507365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-507365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-507365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-507365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-507365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-507365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-507365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-507365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-507365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-507365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-507365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-507365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164" w:lineRule="exact"/>
        <w:rPr>
          <w:sz w:val="20"/>
          <w:szCs w:val="20"/>
          <w:color w:val="auto"/>
        </w:rPr>
      </w:pPr>
    </w:p>
    <w:p>
      <w:pPr>
        <w:ind w:left="9860"/>
        <w:spacing w:after="0"/>
        <w:rPr>
          <w:sz w:val="20"/>
          <w:szCs w:val="20"/>
          <w:color w:val="auto"/>
        </w:rPr>
      </w:pPr>
      <w:r>
        <w:rPr>
          <w:rFonts w:ascii="Arial" w:cs="Arial" w:eastAsia="Arial" w:hAnsi="Arial"/>
          <w:sz w:val="16"/>
          <w:szCs w:val="16"/>
          <w:i w:val="1"/>
          <w:iCs w:val="1"/>
          <w:color w:val="auto"/>
        </w:rPr>
        <w:t>(Stated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Sept. 30, 2004</w:t>
            </w: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2,339,148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2,874,781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(2004 - $113,012; 2003 - $128,199)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2,893,882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2,568,425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822,391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284,689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328,366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3,237,841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6,869,677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10,369,121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185,228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3,620,087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3,799,711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385,623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2,772,699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3,377,583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316,544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270,686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15,655,475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20,041,326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&amp; STOCKHOLDERS’ EQUITY</w:t>
            </w:r>
          </w:p>
        </w:tc>
        <w:tc>
          <w:tcPr>
            <w:tcW w:w="5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3,189,805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3,247,546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832,093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Long-term debt - 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120,819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524,254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1,217,568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4,777,960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6,794,730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3,738,406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6,097,418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657,770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156,161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9,330,297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2,433,593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2,258,488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6,068,472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5,505,744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(1,621,683)</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(1,508,239)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(955,826)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5,924,556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5,881,289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15,655,475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20,041,326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00" w:type="dxa"/>
            <w:vAlign w:val="bottom"/>
          </w:tcPr>
          <w:p>
            <w:pPr>
              <w:jc w:val="center"/>
              <w:ind w:right="1152"/>
              <w:spacing w:after="0"/>
              <w:rPr>
                <w:sz w:val="20"/>
                <w:szCs w:val="20"/>
                <w:color w:val="auto"/>
              </w:rPr>
            </w:pPr>
            <w:r>
              <w:rPr>
                <w:rFonts w:ascii="Arial" w:cs="Arial" w:eastAsia="Arial" w:hAnsi="Arial"/>
                <w:sz w:val="18"/>
                <w:szCs w:val="18"/>
                <w:color w:val="auto"/>
                <w:w w:val="87"/>
              </w:rPr>
              <w:t>See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gridSpan w:val="4"/>
          </w:tcPr>
          <w:p>
            <w:pPr>
              <w:jc w:val="right"/>
              <w:ind w:right="337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-4613910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-4613910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-4613910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-4613910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-4613910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-4613910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-557530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-557530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860"/>
        <w:spacing w:after="0"/>
        <w:rPr>
          <w:sz w:val="20"/>
          <w:szCs w:val="20"/>
          <w:color w:val="auto"/>
        </w:rPr>
      </w:pPr>
      <w:r>
        <w:rPr>
          <w:rFonts w:ascii="Arial" w:cs="Arial" w:eastAsia="Arial" w:hAnsi="Arial"/>
          <w:sz w:val="16"/>
          <w:szCs w:val="16"/>
          <w:i w:val="1"/>
          <w:iCs w:val="1"/>
          <w:color w:val="auto"/>
        </w:rPr>
        <w:t>(Stated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Nine Months Ended Sept.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655,606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978,562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1,032,131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Grant Prideco stock</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Charges, net of tax &amp; minority interest </w:t>
            </w:r>
            <w:r>
              <w:rPr>
                <w:rFonts w:ascii="Arial" w:cs="Arial" w:eastAsia="Arial" w:hAnsi="Arial"/>
                <w:sz w:val="22"/>
                <w:szCs w:val="22"/>
                <w:color w:val="auto"/>
                <w:vertAlign w:val="superscript"/>
              </w:rPr>
              <w:t>(2)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198,801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(64,078)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decrease in deferred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10,113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Change in operating assets and liabilities excluding acquisitions/divestitures: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(622,707)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(Increase) decrease in inventories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(164,131)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(10,703)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(63,326)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estimated liability for taxes on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25,038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860"/>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42,923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(32,186)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979,917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1,080,140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(800,598)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(44,619)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(55,471)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of fixed assets &amp;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Sale of Grant Prideco stock</w:t>
            </w:r>
          </w:p>
        </w:tc>
        <w:tc>
          <w:tcPr>
            <w:tcW w:w="10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rigs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business divestitures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1,729,085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(236,556)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Shares of Axalto shares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98,851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1,164,662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Acquisition of PetroAlliance</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(12,134)</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(purchase) of investments,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556,237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2,407,636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(484,353)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(330,892)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(327,296)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171,432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convertible debentures (net of fees)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1,399,612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commercial paper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369,744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1,320,195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(111,034)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Settlement of US Interest Rate Swap</w:t>
            </w:r>
          </w:p>
        </w:tc>
        <w:tc>
          <w:tcPr>
            <w:tcW w:w="1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(70,495)</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of principal on commercial paper and long-term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6"/>
              </w:rPr>
              <w:t>(3,503,626)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(2,922,076)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Net increase (decrease) in short-term debt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15,878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(129,992)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6"/>
              </w:rPr>
              <w:t>(3,417,192)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(706,262)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(4,246)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(33,885)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234,192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 excluding impairment charges.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 xml:space="preserve">See Note 4 – </w:t>
      </w:r>
      <w:r>
        <w:rPr>
          <w:rFonts w:ascii="Arial" w:cs="Arial" w:eastAsia="Arial" w:hAnsi="Arial"/>
          <w:sz w:val="18"/>
          <w:szCs w:val="18"/>
          <w:i w:val="1"/>
          <w:iCs w:val="1"/>
          <w:color w:val="auto"/>
        </w:rPr>
        <w:t>Charges</w:t>
      </w:r>
      <w:r>
        <w:rPr>
          <w:rFonts w:ascii="Arial" w:cs="Arial" w:eastAsia="Arial" w:hAnsi="Arial"/>
          <w:sz w:val="18"/>
          <w:szCs w:val="18"/>
          <w:color w:val="auto"/>
        </w:rPr>
        <w:t xml:space="preserve"> – </w:t>
      </w:r>
      <w:r>
        <w:rPr>
          <w:rFonts w:ascii="Arial" w:cs="Arial" w:eastAsia="Arial" w:hAnsi="Arial"/>
          <w:sz w:val="18"/>
          <w:szCs w:val="18"/>
          <w:i w:val="1"/>
          <w:iCs w:val="1"/>
          <w:color w:val="auto"/>
        </w:rPr>
        <w:t>Continuing Operations</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420"/>
          </w:cols>
          <w:pgMar w:left="240" w:top="27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660"/>
        <w:spacing w:after="0"/>
        <w:rPr>
          <w:sz w:val="20"/>
          <w:szCs w:val="20"/>
          <w:color w:val="auto"/>
        </w:rPr>
      </w:pPr>
      <w:r>
        <w:rPr>
          <w:rFonts w:ascii="Arial" w:cs="Arial" w:eastAsia="Arial" w:hAnsi="Arial"/>
          <w:sz w:val="18"/>
          <w:szCs w:val="18"/>
          <w:i w:val="1"/>
          <w:iCs w:val="1"/>
          <w:color w:val="auto"/>
        </w:rPr>
        <w:t>(Stated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15"/>
          </w:tcPr>
          <w:p>
            <w:pPr>
              <w:jc w:val="center"/>
              <w:ind w:right="280"/>
              <w:spacing w:after="0"/>
              <w:rPr>
                <w:sz w:val="20"/>
                <w:szCs w:val="20"/>
                <w:color w:val="auto"/>
              </w:rPr>
            </w:pPr>
            <w:r>
              <w:rPr>
                <w:rFonts w:ascii="Arial" w:cs="Arial" w:eastAsia="Arial" w:hAnsi="Arial"/>
                <w:sz w:val="14"/>
                <w:szCs w:val="14"/>
                <w:b w:val="1"/>
                <w:bCs w:val="1"/>
                <w:color w:val="auto"/>
                <w:w w:val="87"/>
              </w:rPr>
              <w:t>Accumulated Other Comprehensive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Retained</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Marked to</w:t>
            </w:r>
          </w:p>
        </w:tc>
        <w:tc>
          <w:tcPr>
            <w:tcW w:w="180" w:type="dxa"/>
            <w:vAlign w:val="bottom"/>
          </w:tcPr>
          <w:p>
            <w:pPr>
              <w:spacing w:after="0"/>
              <w:rPr>
                <w:sz w:val="20"/>
                <w:szCs w:val="20"/>
                <w:color w:val="auto"/>
              </w:rPr>
            </w:pPr>
          </w:p>
        </w:tc>
        <w:tc>
          <w:tcPr>
            <w:tcW w:w="840" w:type="dxa"/>
            <w:vAlign w:val="bottom"/>
            <w:gridSpan w:val="5"/>
          </w:tcPr>
          <w:p>
            <w:pPr>
              <w:ind w:left="140"/>
              <w:spacing w:after="0"/>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20"/>
                <w:szCs w:val="20"/>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Translation</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5"/>
                <w:szCs w:val="15"/>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5"/>
                <w:szCs w:val="15"/>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Adjustment</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$2,258,488</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$(1,508,239)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$5,505,744</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 (22,504)</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$(283,075)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894,098</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894,098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Hanover stock marked to market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Derivatives &amp; investments marked to market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(8,605)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cancellation</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adjustment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 of SchlumbergerSema</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(552,000)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Sale of Axalto</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(110,000)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 (US/UK Plans)</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(85,437)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Tax benefit on minimum pension liability</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33,426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(331,370)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 repurchase plan</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(236,556)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Proceeds from shares sold to optionees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87,175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 based compensation cost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20,119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stock options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issued on conversion of debentures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Purchase of PetroAlliance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$2,433,593</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$(1,621,683)</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$6,068,472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$ 37,150</w:t>
            </w: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$(259,740)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(733,236)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8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w w:val="98"/>
              </w:rPr>
              <w:t>SHARES OF COMMON STOCK</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5"/>
              </w:rPr>
              <w:t>(Unaudited)</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5"/>
          </w:tcPr>
          <w:p>
            <w:pPr>
              <w:ind w:left="40"/>
              <w:spacing w:after="0"/>
              <w:rPr>
                <w:sz w:val="20"/>
                <w:szCs w:val="20"/>
                <w:color w:val="auto"/>
              </w:rPr>
            </w:pPr>
            <w:r>
              <w:rPr>
                <w:rFonts w:ascii="Arial" w:cs="Arial" w:eastAsia="Arial" w:hAnsi="Arial"/>
                <w:sz w:val="14"/>
                <w:szCs w:val="14"/>
                <w:b w:val="1"/>
                <w:bCs w:val="1"/>
                <w:color w:val="auto"/>
              </w:rPr>
              <w:t>Issued</w:t>
            </w:r>
          </w:p>
        </w:tc>
        <w:tc>
          <w:tcPr>
            <w:tcW w:w="1140" w:type="dxa"/>
            <w:vAlign w:val="bottom"/>
            <w:gridSpan w:val="6"/>
          </w:tcPr>
          <w:p>
            <w:pPr>
              <w:ind w:left="100"/>
              <w:spacing w:after="0"/>
              <w:rPr>
                <w:sz w:val="20"/>
                <w:szCs w:val="20"/>
                <w:color w:val="auto"/>
              </w:rPr>
            </w:pPr>
            <w:r>
              <w:rPr>
                <w:rFonts w:ascii="Arial" w:cs="Arial" w:eastAsia="Arial" w:hAnsi="Arial"/>
                <w:sz w:val="14"/>
                <w:szCs w:val="14"/>
                <w:b w:val="1"/>
                <w:bCs w:val="1"/>
                <w:color w:val="auto"/>
              </w:rPr>
              <w:t>In Treasury</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667,105,988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0"/>
              </w:rPr>
              <w:t>(81,157,660)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585,948,328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Stock Repurchase Plan</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w w:val="99"/>
              </w:rPr>
              <w:t>(3,816,000)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(3,816,000)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Debentures</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1,654,879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1,654,879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4,519,534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4,519,534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Granted to Directors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Purchase of PetroAlliance</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421,870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4"/>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667,106,015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0"/>
              </w:rPr>
              <w:t>(78,362,877)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588,743,138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-2233295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-2233295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-2233295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-2233295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-2233295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-2233295</wp:posOffset>
            </wp:positionV>
            <wp:extent cx="32797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7977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 month period ended September 30, 2004 are not necessarily indicative of the results that may be expected for the full year ending December 31, 2004. The December 31, 2003 balance sheet information has been derived from the audited 2003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filed with the Securities and Exchange Commission on March 3, 2004, for the fiscal year ended December 31, 2003.</w:t>
      </w:r>
    </w:p>
    <w:p>
      <w:pPr>
        <w:spacing w:after="0" w:line="10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sale of the SchlumbergerSema business was completed in January 2004. Schlumberger received €393 million after adjustments ($495 million) in cash and 19.3 million shares of common stock of Atos Origin with a value of €1.02 billion ($1.275 billion). The results of SchlumbergerSema are reported as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and include, in the first quarter of 2004, a gain of $26 million on the sale and in the second quarter of 2004, a</w:t>
      </w:r>
      <w:r>
        <w:rPr>
          <w:rFonts w:ascii="Arial" w:cs="Arial" w:eastAsia="Arial" w:hAnsi="Arial"/>
          <w:sz w:val="16"/>
          <w:szCs w:val="16"/>
          <w:i w:val="1"/>
          <w:iCs w:val="1"/>
          <w:color w:val="auto"/>
        </w:rPr>
        <w:t xml:space="preserve"> </w:t>
      </w:r>
      <w:r>
        <w:rPr>
          <w:rFonts w:ascii="Arial" w:cs="Arial" w:eastAsia="Arial" w:hAnsi="Arial"/>
          <w:sz w:val="16"/>
          <w:szCs w:val="16"/>
          <w:color w:val="auto"/>
        </w:rPr>
        <w:t>credit of $15 million related to adjustments to several accruals. The net assets sold were approximately $2.2 billion. See Note 8 for further information.</w:t>
      </w:r>
    </w:p>
    <w:p>
      <w:pPr>
        <w:spacing w:after="0" w:line="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On February 18, 2004, Schlumberger sold its Telecom Billing Software business for an all-cash amount of $37 million, excluding potential future cash receipts of up to $10 million of which $7 million was received in the third quarter. The results of Telecom Billing Software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and include, in the first quarter of 2004 a gain of $17 million on the sale and in the third quarter of 2004 a $7 million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additional proceeds received in the third quarter. The net assets sold were approximately $17 million.</w:t>
      </w:r>
    </w:p>
    <w:p>
      <w:pPr>
        <w:spacing w:after="0" w:line="99"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 xml:space="preserve">On March 19, 2004, Schlumberger sold its Infodata business for an all-cash amount of $104 million. The results of Infodata are reported as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w:t>
      </w:r>
      <w:r>
        <w:rPr>
          <w:rFonts w:ascii="Arial" w:cs="Arial" w:eastAsia="Arial" w:hAnsi="Arial"/>
          <w:sz w:val="18"/>
          <w:szCs w:val="18"/>
          <w:color w:val="auto"/>
        </w:rPr>
        <w:t>and include, in the first quarter of 2004, a gain of $50 million on the sale. The net assets sold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$47 million.</w:t>
      </w:r>
    </w:p>
    <w:p>
      <w:pPr>
        <w:spacing w:after="0" w:line="12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On April 29, 2004, Schlumberger completed the sale of its Business Continuity (BCO) business for an all-cash amount of $233 million. The results of BCO are reported in </w:t>
      </w:r>
      <w:r>
        <w:rPr>
          <w:rFonts w:ascii="Arial" w:cs="Arial" w:eastAsia="Arial" w:hAnsi="Arial"/>
          <w:sz w:val="18"/>
          <w:szCs w:val="18"/>
          <w:i w:val="1"/>
          <w:iCs w:val="1"/>
          <w:color w:val="auto"/>
        </w:rPr>
        <w:t>Discontinued Operation</w:t>
      </w:r>
      <w:r>
        <w:rPr>
          <w:rFonts w:ascii="Arial" w:cs="Arial" w:eastAsia="Arial" w:hAnsi="Arial"/>
          <w:sz w:val="18"/>
          <w:szCs w:val="18"/>
          <w:color w:val="auto"/>
        </w:rPr>
        <w:t xml:space="preserve">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in the second quarter of 2004, a gain of $48 million on the sale. The net assets sold were approximately $160 million.</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On May 18, 2004, Schlumberger’s wholly owned subsidiary Schlumberger BV placed 34.8 million ordinary shares in its smart card business Axalto Holding NV, representing 87% of the total ordinary shares outstanding. The sale price was €14.80 per share giving net proceeds, after expenses, of $606 million, which included a subsequent placement of 166,250 shares. The results of Axalto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and include, in the second quarter of 2004, a loss of $7 million on the sale, in the third quarter of 2004 credits for (1) a $9 million gain on the sale of Schlumberger’s residual investment of 5.1 million shares in Axalto – the sale price was €16.59 per share giving net proceeds, after expenses, of $99 million and (2) a $9 million credit related to the net assets sold. The net assets sold were approximately $700 million.</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On July 1, 2004, Schlumberger completed the sale of its Electricity Metering North America business for an all-cash amount of $248 million. The results of Electricity Metering North America are reported in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and included in the second quarter of 2004, a credit of $25 million including a US tax valuation allowance release of $49 million related to a tax loss carry forward associated with the sale of SchlumbergerSema (which is also included in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This transaction allowed for the recognition of a deferred tax asset that was previously unrecorded. Excluding the tax release, the transaction would have resulted in a loss of $24 million. The net assets sold were approximately $134 million.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00"/>
          </w:cols>
          <w:pgMar w:left="240" w:top="274" w:right="259" w:bottom="1440" w:gutter="0" w:footer="0" w:header="0"/>
        </w:sectPr>
      </w:pPr>
    </w:p>
    <w:bookmarkStart w:id="6" w:name="page7"/>
    <w:bookmarkEnd w:id="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 July 26, 2004, Schlumberger completed the sale of its Telecom Messaging business for an amount of $15 million ($6 million in cash and $9 million in future payments). The results of Telecom Messaging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included in the third quarter of 2004, a loss of $4 million on the sale. The net assets sold were approximately $15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and pretax income (loss) from discontinued operations excluding gains (losses) on sale were as follows:</w:t>
      </w:r>
    </w:p>
    <w:p>
      <w:pPr>
        <w:spacing w:after="0" w:line="158" w:lineRule="exact"/>
        <w:rPr>
          <w:sz w:val="20"/>
          <w:szCs w:val="20"/>
          <w:color w:val="auto"/>
        </w:rPr>
      </w:pPr>
    </w:p>
    <w:p>
      <w:pPr>
        <w:ind w:left="9860"/>
        <w:spacing w:after="0"/>
        <w:rPr>
          <w:sz w:val="20"/>
          <w:szCs w:val="20"/>
          <w:color w:val="auto"/>
        </w:rPr>
      </w:pPr>
      <w:r>
        <w:rPr>
          <w:rFonts w:ascii="Arial" w:cs="Arial" w:eastAsia="Arial" w:hAnsi="Arial"/>
          <w:sz w:val="16"/>
          <w:szCs w:val="16"/>
          <w:i w:val="1"/>
          <w:iCs w:val="1"/>
          <w:color w:val="auto"/>
        </w:rPr>
        <w:t>(Stated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641,244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1,955,985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40" w:type="dxa"/>
            <w:vAlign w:val="bottom"/>
            <w:gridSpan w:val="2"/>
          </w:tcPr>
          <w:p>
            <w:pPr>
              <w:spacing w:after="0"/>
              <w:rPr>
                <w:sz w:val="20"/>
                <w:szCs w:val="20"/>
                <w:color w:val="auto"/>
              </w:rPr>
            </w:pPr>
            <w:r>
              <w:rPr>
                <w:rFonts w:ascii="Arial" w:cs="Arial" w:eastAsia="Arial" w:hAnsi="Arial"/>
                <w:sz w:val="18"/>
                <w:szCs w:val="18"/>
                <w:color w:val="auto"/>
              </w:rPr>
              <w:t>Infodata</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Pretax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Telecom Billing Software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10,015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323"/>
        </w:trPr>
        <w:tc>
          <w:tcPr>
            <w:tcW w:w="7940" w:type="dxa"/>
            <w:vAlign w:val="bottom"/>
            <w:gridSpan w:val="2"/>
          </w:tcPr>
          <w:p>
            <w:pPr>
              <w:spacing w:after="0"/>
              <w:rPr>
                <w:sz w:val="20"/>
                <w:szCs w:val="20"/>
                <w:color w:val="auto"/>
              </w:rPr>
            </w:pPr>
            <w:r>
              <w:rPr>
                <w:rFonts w:ascii="Arial" w:cs="Arial" w:eastAsia="Arial" w:hAnsi="Arial"/>
                <w:sz w:val="18"/>
                <w:szCs w:val="18"/>
                <w:color w:val="auto"/>
              </w:rPr>
              <w:t>Axalto</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212,240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270,925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Pretax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17,030</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Electricity Meters North America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77,173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154,333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940" w:type="dxa"/>
            <w:vAlign w:val="bottom"/>
            <w:gridSpan w:val="2"/>
          </w:tcPr>
          <w:p>
            <w:pPr>
              <w:spacing w:after="0"/>
              <w:rPr>
                <w:sz w:val="20"/>
                <w:szCs w:val="20"/>
                <w:color w:val="auto"/>
              </w:rPr>
            </w:pPr>
            <w:r>
              <w:rPr>
                <w:rFonts w:ascii="Arial" w:cs="Arial" w:eastAsia="Arial" w:hAnsi="Arial"/>
                <w:sz w:val="18"/>
                <w:szCs w:val="18"/>
                <w:color w:val="auto"/>
              </w:rPr>
              <w:t>Business Continuity</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Pretax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Telecom Messaging</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5,060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323"/>
        </w:trPr>
        <w:tc>
          <w:tcPr>
            <w:tcW w:w="7940" w:type="dxa"/>
            <w:vAlign w:val="bottom"/>
            <w:gridSpan w:val="2"/>
          </w:tcPr>
          <w:p>
            <w:pPr>
              <w:spacing w:after="0"/>
              <w:rPr>
                <w:sz w:val="20"/>
                <w:szCs w:val="20"/>
                <w:color w:val="auto"/>
              </w:rPr>
            </w:pPr>
            <w:r>
              <w:rPr>
                <w:rFonts w:ascii="Arial" w:cs="Arial" w:eastAsia="Arial" w:hAnsi="Arial"/>
                <w:sz w:val="18"/>
                <w:szCs w:val="18"/>
                <w:color w:val="auto"/>
              </w:rPr>
              <w:t>eCity</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Pretax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NPTest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Pretax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323"/>
        </w:trPr>
        <w:tc>
          <w:tcPr>
            <w:tcW w:w="7940" w:type="dxa"/>
            <w:vAlign w:val="bottom"/>
            <w:gridSpan w:val="2"/>
          </w:tcPr>
          <w:p>
            <w:pPr>
              <w:spacing w:after="0"/>
              <w:rPr>
                <w:sz w:val="20"/>
                <w:szCs w:val="20"/>
                <w:color w:val="auto"/>
              </w:rPr>
            </w:pPr>
            <w:r>
              <w:rPr>
                <w:rFonts w:ascii="Arial" w:cs="Arial" w:eastAsia="Arial" w:hAnsi="Arial"/>
                <w:sz w:val="18"/>
                <w:szCs w:val="18"/>
                <w:color w:val="auto"/>
              </w:rPr>
              <w:t>Verification Systems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Pretax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Reclassification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158" w:lineRule="exact"/>
        <w:rPr>
          <w:sz w:val="20"/>
          <w:szCs w:val="20"/>
          <w:color w:val="auto"/>
        </w:rPr>
      </w:pPr>
    </w:p>
    <w:p>
      <w:pPr>
        <w:ind w:left="8020"/>
        <w:spacing w:after="0"/>
        <w:rPr>
          <w:sz w:val="20"/>
          <w:szCs w:val="20"/>
          <w:color w:val="auto"/>
        </w:rPr>
      </w:pPr>
      <w:r>
        <w:rPr>
          <w:rFonts w:ascii="Arial" w:cs="Arial" w:eastAsia="Arial" w:hAnsi="Arial"/>
          <w:sz w:val="15"/>
          <w:szCs w:val="15"/>
          <w:i w:val="1"/>
          <w:iCs w:val="1"/>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83"/>
              </w:rPr>
              <w:t>2004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18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Earnings Per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4"/>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Income from</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Share from</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Loss from</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Continuing</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Continuing</w:t>
            </w:r>
          </w:p>
        </w:tc>
        <w:tc>
          <w:tcPr>
            <w:tcW w:w="32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Continuing</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4"/>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Third Quarter</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Operations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Operations</w:t>
            </w:r>
          </w:p>
        </w:tc>
        <w:tc>
          <w:tcPr>
            <w:tcW w:w="32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Operations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297,070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589,936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304,267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613,787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Income from</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Income from</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Continuing</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Earnings</w:t>
            </w:r>
          </w:p>
        </w:tc>
        <w:tc>
          <w:tcPr>
            <w:tcW w:w="32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Continuing</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Earnings</w:t>
            </w:r>
          </w:p>
        </w:tc>
        <w:tc>
          <w:tcPr>
            <w:tcW w:w="0" w:type="dxa"/>
            <w:vAlign w:val="bottom"/>
          </w:tcPr>
          <w:p>
            <w:pPr>
              <w:spacing w:after="0"/>
              <w:rPr>
                <w:sz w:val="1"/>
                <w:szCs w:val="1"/>
                <w:color w:val="auto"/>
              </w:rPr>
            </w:pPr>
          </w:p>
        </w:tc>
      </w:tr>
      <w:tr>
        <w:trPr>
          <w:trHeight w:val="174"/>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Nine Months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Operations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 Share</w:t>
            </w:r>
          </w:p>
        </w:tc>
        <w:tc>
          <w:tcPr>
            <w:tcW w:w="32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Operations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655,606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589,186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21,591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Dilutive effect of options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677,197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613,009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205,524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-2336165</wp:posOffset>
            </wp:positionV>
            <wp:extent cx="49276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-2336165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-2336165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-2336165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-1615440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-1615440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-1615440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-1615440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-1615440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-1615440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-1615440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-1615440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-1615440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-1615440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-1615440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-1615440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-1615440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-1615440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-1615440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-1615440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-749300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-749300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-749300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-749300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-749300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-749300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approximate number of outstanding options at September 30 to purchase shares of common stock which were not included in the computation of diluted earnings per share because to do so would have had an antidilutive effect, were as follows:</w:t>
      </w:r>
    </w:p>
    <w:p>
      <w:pPr>
        <w:spacing w:after="0" w:line="118"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90"/>
              </w:rPr>
              <w:t>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Nine months</w:t>
            </w: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w w:val="85"/>
              </w:rPr>
              <w:t>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220" w:right="66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options were excluded in the third quarter 2003 due to the net-loss in that period. If a net income had been reported, 25.7 million would have been excluded.</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third quarter and nine months 2003, the computation of diluted earnings per share excludes any effects of the convertible debentures because to do so would have had an antidilutive effect.</w:t>
      </w:r>
    </w:p>
    <w:p>
      <w:pPr>
        <w:spacing w:after="0" w:line="112" w:lineRule="exact"/>
        <w:rPr>
          <w:sz w:val="20"/>
          <w:szCs w:val="20"/>
          <w:color w:val="auto"/>
        </w:rPr>
      </w:pPr>
    </w:p>
    <w:p>
      <w:pPr>
        <w:ind w:right="8700" w:firstLine="8"/>
        <w:spacing w:after="0" w:line="455"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Charges – Continuing Operations </w:t>
      </w:r>
      <w:r>
        <w:rPr>
          <w:rFonts w:ascii="Arial" w:cs="Arial" w:eastAsia="Arial" w:hAnsi="Arial"/>
          <w:sz w:val="15"/>
          <w:szCs w:val="15"/>
          <w:u w:val="single" w:color="auto"/>
          <w:color w:val="auto"/>
        </w:rPr>
        <w:t>Debt Extinguishment Costs</w:t>
      </w:r>
    </w:p>
    <w:p>
      <w:pPr>
        <w:ind w:right="640"/>
        <w:spacing w:after="0" w:line="332" w:lineRule="auto"/>
        <w:rPr>
          <w:sz w:val="20"/>
          <w:szCs w:val="20"/>
          <w:color w:val="auto"/>
        </w:rPr>
      </w:pPr>
      <w:r>
        <w:rPr>
          <w:rFonts w:ascii="Arial" w:cs="Arial" w:eastAsia="Arial" w:hAnsi="Arial"/>
          <w:sz w:val="16"/>
          <w:szCs w:val="16"/>
          <w:color w:val="auto"/>
        </w:rPr>
        <w:t>In June 2004, Schlumberger Technology Corporation bought back and retired $351 million of its outstanding $1 billion 6.5% Notes due 2012. As a result Schlumberger recorded a pretax charge of $37 million ($23 million after tax—$0.04 per share), which included market premium and transaction costs.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March 2004, Schlumberger plc (SPLC) accepted tenders for the outstanding £175 million SPLC 6.50% Guaranteed Bonds due 2032. In addition, Schlumberger SA (SSA) bought back €25 million of the outstanding €274 million SSA 5.25% Guaranteed Bonds due 2008 and €8 million of the outstanding €259 million SSA 5.875% Guaranteed Bonds due 2011. As a result, Schlumberger recorded a pretax and after-tax charge of $77 million, which included market and tender premiums, and transaction costs.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Between June 12 and July 22, 2003 subsidiaries of Schlumberger launched and concluded tender offers to acquire three series of outstanding European bonds;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$1.3 billion of principal was repurchased for a total cost of $1.5 billion, which included the premium, and issuing and tender costs. The total charge on the tenders was $168 million, of which $81 million ($0.14 per share – diluted) was recorded in the second quarter of 2003, when the first tender closed, with the balance of $86 million ($0.14 per share) recorded in the third quarter of 2003.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above pretax charges are classified in Debt extinguishment costs in the Consolidated Statement of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Charges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2003:</w:t>
      </w:r>
    </w:p>
    <w:p>
      <w:pPr>
        <w:spacing w:after="0" w:line="77" w:lineRule="exact"/>
        <w:rPr>
          <w:sz w:val="20"/>
          <w:szCs w:val="20"/>
          <w:color w:val="auto"/>
        </w:rPr>
      </w:pPr>
    </w:p>
    <w:p>
      <w:pPr>
        <w:ind w:left="800" w:right="40" w:hanging="346"/>
        <w:spacing w:after="0" w:line="25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recorded a $205 million ($0.34 per share) multiclient library impairment charge (pretax $398 million, tax benefit $106 million and minority interest credit $88 million), a $38 million ($0.06 per share) vessel impairment charge (pretax $54 million minority interest credit $16 million) and a pretax and after-tax gain of $31 million ($0.05 per share) on the sale of a rig. The pretax charges are classified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800" w:right="20" w:hanging="346"/>
        <w:spacing w:after="0" w:line="25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commercial paper program in the US. As a result, the $500 million US interest-rate swaps that were designated as cash-flow hedges became ineffective. Schlumberger recorded a pretax non-cash charge of $73 million ($46 million after-tax - $0.08 per share)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jc w:val="both"/>
        <w:ind w:left="800" w:right="220" w:hanging="346"/>
        <w:spacing w:after="0" w:line="306"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Schlumberger sold 9.6 million ordinary shares of Atos Origin SA at a price of €52.95 per share. The net proceeds for the sale were $625 million and Schlumberger recorded a pretax and after-tax loss of $14 million ($0.02 per share) on this transaction which reflects both banking fees and currency effect. The pretax charge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 w:lineRule="exact"/>
        <w:rPr>
          <w:rFonts w:ascii="Arial" w:cs="Arial" w:eastAsia="Arial" w:hAnsi="Arial"/>
          <w:sz w:val="16"/>
          <w:szCs w:val="16"/>
          <w:color w:val="auto"/>
        </w:rPr>
      </w:pPr>
    </w:p>
    <w:p>
      <w:pPr>
        <w:ind w:left="800" w:right="20" w:hanging="346"/>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Schlumberger is undertaking a restructuring program in order to reduce overhead. Consequently, a pretax charge of $20 million ($14 million after-tax - $0.02 per share) was taken in the quarter related to a voluntary early retirement program in the United States and is classified in </w:t>
      </w:r>
      <w:r>
        <w:rPr>
          <w:rFonts w:ascii="Arial" w:cs="Arial" w:eastAsia="Arial" w:hAnsi="Arial"/>
          <w:sz w:val="18"/>
          <w:szCs w:val="18"/>
          <w:i w:val="1"/>
          <w:iCs w:val="1"/>
          <w:color w:val="auto"/>
        </w:rPr>
        <w:t>Cost of goods sold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ind w:left="800" w:right="220" w:hanging="346"/>
        <w:spacing w:after="0" w:line="25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($0.01 per share)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Schlumberger does not have any ownership interest in Atos Origin SA.</w:t>
      </w:r>
    </w:p>
    <w:p>
      <w:pPr>
        <w:spacing w:after="0" w:line="48" w:lineRule="exact"/>
        <w:rPr>
          <w:rFonts w:ascii="Arial" w:cs="Arial" w:eastAsia="Arial" w:hAnsi="Arial"/>
          <w:sz w:val="18"/>
          <w:szCs w:val="18"/>
          <w:color w:val="auto"/>
        </w:rPr>
      </w:pPr>
    </w:p>
    <w:p>
      <w:pPr>
        <w:ind w:left="800" w:right="160" w:hanging="346"/>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Schlumberger is continuing a restructuring program in order to reduce overhead. Consequently, a pretax and after-tax charge of $4 million ($0.01 per share) was taken in the quarter related to employee terminations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US Interest Rate Swaps with a consequent pretax gain of $10 million ($6 million after-tax - $0.01 per share) which is classified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($0.02 per share) related to a vacated leased facility in the UK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37" w:lineRule="exact"/>
        <w:rPr>
          <w:rFonts w:ascii="Arial" w:cs="Arial" w:eastAsia="Arial" w:hAnsi="Arial"/>
          <w:sz w:val="18"/>
          <w:szCs w:val="18"/>
          <w:color w:val="auto"/>
        </w:rPr>
      </w:pPr>
    </w:p>
    <w:p>
      <w:pPr>
        <w:ind w:left="800" w:right="28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($0.01 per share) related to the release of a litigation reserve which was no longer required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quarter of 2004:</w:t>
      </w:r>
    </w:p>
    <w:p>
      <w:pPr>
        <w:spacing w:after="0" w:line="77" w:lineRule="exact"/>
        <w:rPr>
          <w:sz w:val="20"/>
          <w:szCs w:val="20"/>
          <w:color w:val="auto"/>
        </w:rPr>
      </w:pPr>
    </w:p>
    <w:p>
      <w:pPr>
        <w:ind w:left="800" w:hanging="346"/>
        <w:spacing w:after="0" w:line="325" w:lineRule="auto"/>
        <w:tabs>
          <w:tab w:leader="none" w:pos="800"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Schlumberger is continuing a restructuring program in order to reduce overhead. Consequently, a pretax and after-tax charge of $3 million was taken in the quarter related to employee severance and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00" w:right="200" w:hanging="346"/>
        <w:spacing w:after="0" w:line="268"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$11 million ($10 million after-tax - $0.02 per share) related to an Intellectual Property settlement which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Schlumberger and Smith International Inc. operate a drilling fluids joint venture of which Schlumberger owns a 40% interest and records income using the equity method of accounting. Schlumberger’s investment on September 30, 2004 was $719 million and on December 31, 2003 was $657 million. Schlumberger’s equity income from this joint venture was $17 million in the third quarter of 2004 ($13 million in 2003) and $49 million year to date 2004 ($36 million in 2003) and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 Securitization</w:t>
      </w:r>
    </w:p>
    <w:p>
      <w:pPr>
        <w:spacing w:after="0" w:line="83"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which was subsequently amended up to $250 million. The amount of receivables sold under this agreement totaled $250 million at September 30, 2004. Unless extended by amendment, the agreement expires in September 2005.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Financing</w:t>
      </w:r>
    </w:p>
    <w:p>
      <w:pPr>
        <w:spacing w:after="0" w:line="8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In June 2004, Schlumberger Technology Corporation bought back and retired $351 million of its outstanding $1 billion 6.5% Notes due 2012.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 April 2004, Schlumberger Technology Corporation settled the Interest Rate Swaps which it had written down in March 2004. See Note 4 </w:t>
      </w:r>
      <w:r>
        <w:rPr>
          <w:rFonts w:ascii="Arial" w:cs="Arial" w:eastAsia="Arial" w:hAnsi="Arial"/>
          <w:sz w:val="18"/>
          <w:szCs w:val="18"/>
          <w:i w:val="1"/>
          <w:iCs w:val="1"/>
          <w:color w:val="auto"/>
        </w:rPr>
        <w:t>Charges – 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March 2004 SPLC accepted tenders for the outstanding £175 million SPLC 6.5% Guaranteed Bonds due 2032. In addition, Schlumberger SA (SSA) bought back €25 million of the outstanding €274 million SSA 5.25% Guaranteed Bonds due 2008 and €8 million of the outstanding €259 million SSA 5.875% Guaranteed Bonds due 2011. See Note 4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2004 Schlumberger Technology Corporation paid off its commercial paper program in the US. See Note 4 </w:t>
      </w:r>
      <w:r>
        <w:rPr>
          <w:rFonts w:ascii="Arial" w:cs="Arial" w:eastAsia="Arial" w:hAnsi="Arial"/>
          <w:sz w:val="16"/>
          <w:szCs w:val="16"/>
          <w:i w:val="1"/>
          <w:iCs w:val="1"/>
          <w:color w:val="auto"/>
        </w:rPr>
        <w:t>Charges – Continuing Operations</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Sale of SchlumbergerSema to Atos Origin and Investment in Atos Origin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On September 22, 2003, Schlumberger announced the signing of an agreement with Atos Origin for the sale of the SchlumbergerSema business.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29, 2004 the sale transaction was completed. As consideration for the transaction, Schlumberger received €393 million after adjustments ($495 million) in cash, and 19.3 million shares of common stock of Atos Origin with a value of €1.02 billion ($1.275 billion), which represented approximately 29% of the outstanding common shares of Atos Origin after the transaction was completed.</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 interest in Atos Origin for the four days ending February 2, 2004 was not material. This investment was accounted for using the cost method as of February 2, 2004.</w:t>
      </w:r>
    </w:p>
    <w:p>
      <w:pPr>
        <w:spacing w:after="0" w:line="13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 April 30, 2004 Schlumberger sold its remaining holding of 9.7 million Atos Origin shares for a net consideration after expenses of €465 million ($551 million).</w:t>
      </w:r>
    </w:p>
    <w:p>
      <w:pPr>
        <w:spacing w:after="0" w:line="11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At December 31, 2003, the assets and liabilities of the SchlumbergerSema business that were subsequently eliminated from the Schlumberger’s Consolidated Balance Sheet, were aggregated and presented on the consolidated Balance Sheet as Assets held for sale ($3.24 billion) and Liabilities held for sale ($1.22 billion).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8" w:lineRule="exact"/>
        <w:rPr>
          <w:sz w:val="20"/>
          <w:szCs w:val="20"/>
          <w:color w:val="auto"/>
        </w:rPr>
      </w:pPr>
    </w:p>
    <w:p>
      <w:pPr>
        <w:ind w:left="860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Sept. 30</w:t>
            </w:r>
          </w:p>
        </w:tc>
        <w:tc>
          <w:tcPr>
            <w:tcW w:w="340" w:type="dxa"/>
            <w:vAlign w:val="bottom"/>
          </w:tcPr>
          <w:p>
            <w:pPr>
              <w:spacing w:after="0"/>
              <w:rPr>
                <w:sz w:val="14"/>
                <w:szCs w:val="14"/>
                <w:color w:val="auto"/>
              </w:rPr>
            </w:pPr>
          </w:p>
        </w:tc>
        <w:tc>
          <w:tcPr>
            <w:tcW w:w="6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89"/>
              </w:rPr>
              <w:t>61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Borders>
              <w:left w:val="single" w:sz="8" w:color="CCEEFF"/>
            </w:tcBorders>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(141)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Borders>
              <w:left w:val="single" w:sz="8" w:color="CCEEFF"/>
            </w:tcBorders>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822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Fixed Assets</w:t>
            </w:r>
          </w:p>
        </w:tc>
        <w:tc>
          <w:tcPr>
            <w:tcW w:w="2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460" w:type="dxa"/>
            <w:vAlign w:val="bottom"/>
            <w:gridSpan w:val="3"/>
            <w:vMerge w:val="continue"/>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6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8"/>
          </w:tcPr>
          <w:p>
            <w:pPr>
              <w:jc w:val="right"/>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Sept. 30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10,835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10,977</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7,215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40" w:type="dxa"/>
            <w:vAlign w:val="bottom"/>
            <w:tcBorders>
              <w:left w:val="single" w:sz="8" w:color="CCEEFF"/>
            </w:tcBorders>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132"/>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Multiclient Seismic Data</w:t>
            </w:r>
          </w:p>
        </w:tc>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460" w:type="dxa"/>
            <w:vAlign w:val="bottom"/>
            <w:gridSpan w:val="3"/>
            <w:vMerge w:val="continue"/>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460" w:type="dxa"/>
            <w:vAlign w:val="bottom"/>
            <w:gridSpan w:val="3"/>
          </w:tcPr>
          <w:p>
            <w:pPr>
              <w:spacing w:after="0"/>
              <w:rPr>
                <w:sz w:val="20"/>
                <w:szCs w:val="20"/>
                <w:color w:val="auto"/>
              </w:rPr>
            </w:pPr>
            <w:r>
              <w:rPr>
                <w:rFonts w:ascii="Arial" w:cs="Arial" w:eastAsia="Arial" w:hAnsi="Arial"/>
                <w:sz w:val="18"/>
                <w:szCs w:val="18"/>
                <w:color w:val="auto"/>
                <w:w w:val="91"/>
              </w:rPr>
              <w:t>The change in the carrying amount of multiclient seismic data is as follows:</w:t>
            </w: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8"/>
          </w:tcPr>
          <w:p>
            <w:pPr>
              <w:jc w:val="right"/>
              <w:ind w:right="60"/>
              <w:spacing w:after="0"/>
              <w:rPr>
                <w:sz w:val="20"/>
                <w:szCs w:val="20"/>
                <w:color w:val="auto"/>
              </w:rPr>
            </w:pPr>
            <w:r>
              <w:rPr>
                <w:rFonts w:ascii="Arial" w:cs="Arial" w:eastAsia="Arial" w:hAnsi="Arial"/>
                <w:sz w:val="18"/>
                <w:szCs w:val="18"/>
                <w:i w:val="1"/>
                <w:iCs w:val="1"/>
                <w:color w:val="auto"/>
                <w:w w:val="97"/>
              </w:rPr>
              <w:t>(Stated in millions)</w:t>
            </w:r>
          </w:p>
        </w:tc>
        <w:tc>
          <w:tcPr>
            <w:tcW w:w="0" w:type="dxa"/>
            <w:vAlign w:val="bottom"/>
          </w:tcPr>
          <w:p>
            <w:pPr>
              <w:spacing w:after="0"/>
              <w:rPr>
                <w:sz w:val="1"/>
                <w:szCs w:val="1"/>
                <w:color w:val="auto"/>
              </w:rPr>
            </w:pPr>
          </w:p>
        </w:tc>
      </w:tr>
      <w:tr>
        <w:trPr>
          <w:trHeight w:val="110"/>
        </w:trPr>
        <w:tc>
          <w:tcPr>
            <w:tcW w:w="116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Capitalized in period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0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900" w:type="dxa"/>
            <w:vAlign w:val="bottom"/>
            <w:vMerge w:val="restart"/>
          </w:tcPr>
          <w:p>
            <w:pPr>
              <w:jc w:val="right"/>
              <w:ind w:right="2412"/>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-3662045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-3662045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-3662045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-3662045</wp:posOffset>
            </wp:positionV>
            <wp:extent cx="41592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-1895475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-1895475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-1895475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-1895475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-1895475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-1895475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29591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ectPr>
          <w:pgSz w:w="11900" w:h="16838" w:orient="portrait"/>
          <w:cols w:equalWidth="0" w:num="1">
            <w:col w:w="10280"/>
          </w:cols>
          <w:pgMar w:left="240" w:top="274" w:right="1379" w:bottom="1440" w:gutter="0" w:footer="0" w:header="0"/>
        </w:sectPr>
      </w:pPr>
    </w:p>
    <w:bookmarkStart w:id="11" w:name="page12"/>
    <w:bookmarkEnd w:id="11"/>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12. Goodwill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months ended September 30, 2004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7"/>
          </w:tcPr>
          <w:p>
            <w:pPr>
              <w:jc w:val="right"/>
              <w:ind w:right="6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110"/>
        </w:trPr>
        <w:tc>
          <w:tcPr>
            <w:tcW w:w="116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Impact of change in exchange rates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5"/>
              </w:rPr>
              <w:t>13. Intangible Assets</w:t>
            </w:r>
          </w:p>
        </w:tc>
        <w:tc>
          <w:tcPr>
            <w:tcW w:w="4520" w:type="dxa"/>
            <w:vAlign w:val="bottom"/>
            <w:vMerge w:val="restart"/>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7"/>
        </w:trPr>
        <w:tc>
          <w:tcPr>
            <w:tcW w:w="1560" w:type="dxa"/>
            <w:vAlign w:val="bottom"/>
            <w:tcBorders>
              <w:bottom w:val="single" w:sz="8" w:color="auto"/>
            </w:tcBorders>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080" w:type="dxa"/>
            <w:vAlign w:val="bottom"/>
            <w:gridSpan w:val="3"/>
          </w:tcPr>
          <w:p>
            <w:pPr>
              <w:spacing w:after="0"/>
              <w:rPr>
                <w:sz w:val="20"/>
                <w:szCs w:val="20"/>
                <w:color w:val="auto"/>
              </w:rPr>
            </w:pPr>
            <w:r>
              <w:rPr>
                <w:rFonts w:ascii="Arial" w:cs="Arial" w:eastAsia="Arial" w:hAnsi="Arial"/>
                <w:sz w:val="18"/>
                <w:szCs w:val="18"/>
                <w:color w:val="auto"/>
              </w:rPr>
              <w:t>A summary of intangible assets follows:</w:t>
            </w: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right"/>
              <w:ind w:right="200"/>
              <w:spacing w:after="0"/>
              <w:rPr>
                <w:sz w:val="20"/>
                <w:szCs w:val="20"/>
                <w:color w:val="auto"/>
              </w:rPr>
            </w:pPr>
            <w:r>
              <w:rPr>
                <w:rFonts w:ascii="Arial" w:cs="Arial" w:eastAsia="Arial" w:hAnsi="Arial"/>
                <w:sz w:val="18"/>
                <w:szCs w:val="18"/>
                <w:i w:val="1"/>
                <w:iCs w:val="1"/>
                <w:color w:val="auto"/>
                <w:w w:val="97"/>
              </w:rPr>
              <w:t>(Stated in millions)</w:t>
            </w: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8"/>
              <w:spacing w:after="0"/>
              <w:rPr>
                <w:sz w:val="20"/>
                <w:szCs w:val="20"/>
                <w:color w:val="auto"/>
              </w:rPr>
            </w:pPr>
            <w:r>
              <w:rPr>
                <w:rFonts w:ascii="Arial" w:cs="Arial" w:eastAsia="Arial" w:hAnsi="Arial"/>
                <w:sz w:val="14"/>
                <w:szCs w:val="14"/>
                <w:b w:val="1"/>
                <w:bCs w:val="1"/>
                <w:color w:val="auto"/>
                <w:w w:val="78"/>
              </w:rPr>
              <w:t>Sept. 30</w:t>
            </w: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8"/>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-1795780</wp:posOffset>
            </wp:positionV>
            <wp:extent cx="34734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charged to income for the third quarter and nine months of 2004 was $19 million and $60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2004, the gross book value, accumulated amortization and amortization periods of intangible assets were as follows:</w:t>
      </w:r>
    </w:p>
    <w:p>
      <w:pPr>
        <w:spacing w:after="0" w:line="158"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(Stated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860" w:type="dxa"/>
            <w:vAlign w:val="bottom"/>
            <w:gridSpan w:val="3"/>
          </w:tcPr>
          <w:p>
            <w:pPr>
              <w:ind w:left="2200"/>
              <w:spacing w:after="0"/>
              <w:rPr>
                <w:sz w:val="20"/>
                <w:szCs w:val="20"/>
                <w:color w:val="auto"/>
              </w:rPr>
            </w:pPr>
            <w:r>
              <w:rPr>
                <w:rFonts w:ascii="Arial" w:cs="Arial" w:eastAsia="Arial" w:hAnsi="Arial"/>
                <w:sz w:val="14"/>
                <w:szCs w:val="14"/>
                <w:b w:val="1"/>
                <w:bCs w:val="1"/>
                <w:color w:val="auto"/>
                <w:w w:val="83"/>
              </w:rPr>
              <w:t>Book Value</w:t>
            </w:r>
          </w:p>
        </w:tc>
        <w:tc>
          <w:tcPr>
            <w:tcW w:w="60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34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9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Technology</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1 - 15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9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6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14. Stock Compensation Plans</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As of September 30, 2004, Schlumberger had two types of stock-based compensation plans which are described in Schlumberger’s 2004 Annual Report on Form 10-K. Schlumberger recorded stock options expense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under SFAS 123 commencing in the third quarter of 2003, on a prospective basis for grants after January 1, 2003. The effect of stock based compensation expense on net income in the third quarter of 2004 was $7.4 million ($0.01 per share) and $20.1 million for the nine months ended September 30, 2004 ($0.03 per share). The effect on the third quarter and nine months 2003 net income was $7.2 million ($0.01 per share). Schlumberger applied APB 25 for grants prior to January 1, 2003. Had compensation cost for the stock-based Schlumberger plans been determined based on the fair value at the grant dates for awards prior to January 1, 2003, consistent with the method of SFAS 123, Schlumberger net income and earnings per share would have been the pro forma amounts indicated below:</w:t>
      </w:r>
    </w:p>
    <w:p>
      <w:pPr>
        <w:spacing w:after="0" w:line="105" w:lineRule="exact"/>
        <w:rPr>
          <w:sz w:val="20"/>
          <w:szCs w:val="20"/>
          <w:color w:val="auto"/>
        </w:rPr>
      </w:pPr>
    </w:p>
    <w:p>
      <w:pPr>
        <w:ind w:left="8180"/>
        <w:spacing w:after="0"/>
        <w:rPr>
          <w:sz w:val="20"/>
          <w:szCs w:val="20"/>
          <w:color w:val="auto"/>
        </w:rPr>
      </w:pPr>
      <w:r>
        <w:rPr>
          <w:rFonts w:ascii="Arial" w:cs="Arial" w:eastAsia="Arial" w:hAnsi="Arial"/>
          <w:sz w:val="16"/>
          <w:szCs w:val="16"/>
          <w:i w:val="1"/>
          <w:iCs w:val="1"/>
          <w:color w:val="auto"/>
        </w:rPr>
        <w:t>(Stated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5"/>
                <w:szCs w:val="15"/>
                <w:color w:val="auto"/>
              </w:rPr>
            </w:pPr>
          </w:p>
        </w:tc>
        <w:tc>
          <w:tcPr>
            <w:tcW w:w="1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Proforma adjustments: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Cost of DSPP</w:t>
            </w:r>
          </w:p>
        </w:tc>
        <w:tc>
          <w:tcPr>
            <w:tcW w:w="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Tax benefit</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0.54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(0.09)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1.52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Proforma adjustments: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Cost of DSPP</w:t>
            </w:r>
          </w:p>
        </w:tc>
        <w:tc>
          <w:tcPr>
            <w:tcW w:w="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(0.01)</w:t>
            </w:r>
          </w:p>
        </w:tc>
        <w:tc>
          <w:tcPr>
            <w:tcW w:w="10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Cost of Stock Options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(0.01)</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(0.03)</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(0.05)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Tax benefit on Stock Options</w:t>
            </w:r>
          </w:p>
        </w:tc>
        <w:tc>
          <w:tcPr>
            <w:tcW w:w="80" w:type="dxa"/>
            <w:vAlign w:val="bottom"/>
          </w:tcPr>
          <w:p>
            <w:pPr>
              <w:spacing w:after="0"/>
              <w:rPr>
                <w:sz w:val="19"/>
                <w:szCs w:val="19"/>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0.01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-1502410</wp:posOffset>
            </wp:positionV>
            <wp:extent cx="3302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-1502410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-1502410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-1502410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-1502410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-1502410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-1502410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-1502410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-1502410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-1502410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-233045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-233045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-233045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-233045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-233045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-233045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-233045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-233045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-233045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-233045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-233045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-233045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57" w:orient="portrait"/>
          <w:cols w:equalWidth="0" w:num="1">
            <w:col w:w="11420"/>
          </w:cols>
          <w:pgMar w:left="240" w:top="274"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424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4880" w:type="dxa"/>
            <w:vAlign w:val="bottom"/>
            <w:gridSpan w:val="3"/>
          </w:tcPr>
          <w:p>
            <w:pPr>
              <w:jc w:val="right"/>
              <w:spacing w:after="0"/>
              <w:rPr>
                <w:sz w:val="20"/>
                <w:szCs w:val="20"/>
                <w:color w:val="auto"/>
              </w:rPr>
            </w:pPr>
            <w:r>
              <w:rPr>
                <w:rFonts w:ascii="Arial" w:cs="Arial" w:eastAsia="Arial" w:hAnsi="Arial"/>
                <w:sz w:val="18"/>
                <w:szCs w:val="18"/>
                <w:b w:val="1"/>
                <w:bCs w:val="1"/>
                <w:color w:val="auto"/>
              </w:rPr>
              <w:t>$ 0.53</w:t>
            </w:r>
          </w:p>
        </w:tc>
        <w:tc>
          <w:tcPr>
            <w:tcW w:w="28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80"/>
              </w:rPr>
              <w:t>$ (0.09)</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$ 1.49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Proforma adjustments: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880"/>
              <w:spacing w:after="0"/>
              <w:rPr>
                <w:sz w:val="20"/>
                <w:szCs w:val="20"/>
                <w:color w:val="auto"/>
              </w:rPr>
            </w:pPr>
            <w:r>
              <w:rPr>
                <w:rFonts w:ascii="Arial" w:cs="Arial" w:eastAsia="Arial" w:hAnsi="Arial"/>
                <w:sz w:val="18"/>
                <w:szCs w:val="18"/>
                <w:color w:val="auto"/>
              </w:rPr>
              <w:t>Cost of DSPP</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(0.04)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 of Stock Options</w:t>
            </w:r>
          </w:p>
        </w:tc>
        <w:tc>
          <w:tcPr>
            <w:tcW w:w="5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(0.01)</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(0.12)</w:t>
            </w:r>
          </w:p>
        </w:tc>
        <w:tc>
          <w:tcPr>
            <w:tcW w:w="0" w:type="dxa"/>
            <w:vAlign w:val="bottom"/>
          </w:tcPr>
          <w:p>
            <w:pPr>
              <w:spacing w:after="0"/>
              <w:rPr>
                <w:sz w:val="1"/>
                <w:szCs w:val="1"/>
                <w:color w:val="auto"/>
              </w:rPr>
            </w:pPr>
          </w:p>
        </w:tc>
      </w:tr>
      <w:tr>
        <w:trPr>
          <w:trHeight w:val="228"/>
        </w:trPr>
        <w:tc>
          <w:tcPr>
            <w:tcW w:w="4240" w:type="dxa"/>
            <w:vAlign w:val="bottom"/>
          </w:tcPr>
          <w:p>
            <w:pPr>
              <w:ind w:left="880"/>
              <w:spacing w:after="0"/>
              <w:rPr>
                <w:sz w:val="20"/>
                <w:szCs w:val="20"/>
                <w:color w:val="auto"/>
              </w:rPr>
            </w:pPr>
            <w:r>
              <w:rPr>
                <w:rFonts w:ascii="Arial" w:cs="Arial" w:eastAsia="Arial" w:hAnsi="Arial"/>
                <w:sz w:val="18"/>
                <w:szCs w:val="18"/>
                <w:color w:val="auto"/>
              </w:rPr>
              <w:t>Tax benefit on Stock Options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2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4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$ 0.52</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0"/>
              </w:rPr>
              <w:t>$ (0.13)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4420" w:type="dxa"/>
            <w:vAlign w:val="bottom"/>
            <w:vMerge w:val="restart"/>
          </w:tcPr>
          <w:p>
            <w:pPr>
              <w:jc w:val="right"/>
              <w:ind w:right="2712"/>
              <w:spacing w:after="0"/>
              <w:rPr>
                <w:sz w:val="20"/>
                <w:szCs w:val="20"/>
                <w:color w:val="auto"/>
              </w:rPr>
            </w:pPr>
            <w:r>
              <w:rPr>
                <w:rFonts w:ascii="Arial" w:cs="Arial" w:eastAsia="Arial" w:hAnsi="Arial"/>
                <w:sz w:val="18"/>
                <w:szCs w:val="18"/>
                <w:b w:val="1"/>
                <w:bCs w:val="1"/>
                <w:color w:val="auto"/>
              </w:rPr>
              <w:t>-12-</w:t>
            </w: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2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-325755</wp:posOffset>
            </wp:positionV>
            <wp:extent cx="174498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4498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 Income Tax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Third Quarter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Outside United States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282</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722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Pretax income (loss)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380</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9591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3558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Schlumberger reported charges in continuing operations in 2004 and 2003. These are more fully described in the note </w:t>
      </w:r>
      <w:r>
        <w:rPr>
          <w:rFonts w:ascii="Arial" w:cs="Arial" w:eastAsia="Arial" w:hAnsi="Arial"/>
          <w:sz w:val="16"/>
          <w:szCs w:val="16"/>
          <w:i w:val="1"/>
          <w:iCs w:val="1"/>
          <w:color w:val="auto"/>
        </w:rPr>
        <w:t>Charges – Continuing Operations</w:t>
      </w:r>
      <w:r>
        <w:rPr>
          <w:rFonts w:ascii="Arial" w:cs="Arial" w:eastAsia="Arial" w:hAnsi="Arial"/>
          <w:sz w:val="16"/>
          <w:szCs w:val="16"/>
          <w:color w:val="auto"/>
        </w:rPr>
        <w:t>. US pretax results in the third quarter of 2004 included charges of $3 million. Outside the US, charges were $11 million. The US pretax results for the first nine months of 2004 included charges of $124 million related to the US Interest Rate Swap, the restructuring program, the US bonds debt extinguishment costs and an intellectual property settlement. Outside the US pretax results included charges of $119 million related to the debt extinguishment costs, the restructuring program, the loss on sale of Atos Origin common stock, an intellectual property settlement and severance charges.</w:t>
      </w:r>
    </w:p>
    <w:p>
      <w:pPr>
        <w:spacing w:after="0" w:line="10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Schlumberger had net deferred tax assets of $601 million on September 30, 2004 and $632 million on December 31, 2003. Significant components of net deferred tax assets at September 30, 2004 included postretirement and other long-term benefits ($241 million), current employee benefits ($153 million), fixed assets, inventory and other ($181 million) and net operating losses ($26 million). At December 31, 2003, net deferred tax assets included postretirement and other long-term benefits ($213 million), current employee benefits ($183 million), fixed assets, inventory and other ($194 million) and net operating losses ($42 million).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components of consolidated income tax expense from continuing operations were as follows: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13"/>
          </w:tcPr>
          <w:p>
            <w:pPr>
              <w:jc w:val="right"/>
              <w:ind w:right="520"/>
              <w:spacing w:after="0"/>
              <w:rPr>
                <w:sz w:val="20"/>
                <w:szCs w:val="20"/>
                <w:color w:val="auto"/>
              </w:rPr>
            </w:pPr>
            <w:r>
              <w:rPr>
                <w:rFonts w:ascii="Arial" w:cs="Arial" w:eastAsia="Arial" w:hAnsi="Arial"/>
                <w:sz w:val="14"/>
                <w:szCs w:val="14"/>
                <w:b w:val="1"/>
                <w:bCs w:val="1"/>
                <w:color w:val="auto"/>
              </w:rPr>
              <w:t>Third Quarter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12"/>
          </w:tcPr>
          <w:p>
            <w:pPr>
              <w:jc w:val="right"/>
              <w:ind w:right="280"/>
              <w:spacing w:after="0"/>
              <w:rPr>
                <w:sz w:val="20"/>
                <w:szCs w:val="20"/>
                <w:color w:val="auto"/>
              </w:rPr>
            </w:pPr>
            <w:r>
              <w:rPr>
                <w:rFonts w:ascii="Arial" w:cs="Arial" w:eastAsia="Arial" w:hAnsi="Arial"/>
                <w:sz w:val="14"/>
                <w:szCs w:val="14"/>
                <w:b w:val="1"/>
                <w:bCs w:val="1"/>
                <w:color w:val="auto"/>
                <w:w w:val="99"/>
              </w:rPr>
              <w:t>Nine Months</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90"/>
              </w:rPr>
              <w:t>(107)</w:t>
            </w:r>
          </w:p>
        </w:tc>
        <w:tc>
          <w:tcPr>
            <w:tcW w:w="10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w w:val="85"/>
              </w:rPr>
              <w:t>(162)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w w:val="85"/>
              </w:rPr>
              <w:t>(119)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w w:val="79"/>
              </w:rPr>
              <w:t>167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Arial" w:cs="Arial" w:eastAsia="Arial" w:hAnsi="Arial"/>
                <w:sz w:val="18"/>
                <w:szCs w:val="18"/>
                <w:color w:val="auto"/>
                <w:w w:val="85"/>
              </w:rPr>
              <w:t>(131)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w w:val="90"/>
              </w:rPr>
              <w:t>A reconciliation of the US statutory federal tax rate (35%) to the consolidated effective tax rate follows:</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3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1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w w:val="96"/>
              </w:rPr>
              <w:t>Third Quarter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10"/>
          </w:tcPr>
          <w:p>
            <w:pPr>
              <w:jc w:val="right"/>
              <w:ind w:right="160"/>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4"/>
          </w:tcPr>
          <w:p>
            <w:pPr>
              <w:jc w:val="center"/>
              <w:ind w:left="135"/>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US state income taxes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Valuation allowance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Charges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-3519805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-3519805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-3519805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-3519805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-3519805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-3519805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-3519805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-3519805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-3519805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-3519805</wp:posOffset>
            </wp:positionV>
            <wp:extent cx="29591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-2104390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-2104390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-2104390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-2104390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-2104390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-2104390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-2104390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-2104390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-2104390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-2104390</wp:posOffset>
            </wp:positionV>
            <wp:extent cx="29591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Contingencies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Consolidated Balance sheet includes accruals for estimated future expenditures associated with business divestitures which have been completed. It is possible that the ultimate expenditures may exceed the amounts recorded. In the opinion of management, such additional expenditures are not expected to be material relative to consolidated liquidity, financial position or future results of operations.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w:t>
      </w:r>
    </w:p>
    <w:p>
      <w:pPr>
        <w:sectPr>
          <w:pgSz w:w="11900" w:h="16838" w:orient="portrait"/>
          <w:cols w:equalWidth="0" w:num="1">
            <w:col w:w="11400"/>
          </w:cols>
          <w:pgMar w:left="240" w:top="28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 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primary reportable business segments: Oilfield Services and WesternGeco.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 periods have been restated so as to be comparable with the current reporting structure.</w:t>
      </w:r>
    </w:p>
    <w:p>
      <w:pPr>
        <w:spacing w:after="0" w:line="158" w:lineRule="exact"/>
        <w:rPr>
          <w:sz w:val="20"/>
          <w:szCs w:val="20"/>
          <w:color w:val="auto"/>
        </w:rPr>
      </w:pPr>
    </w:p>
    <w:p>
      <w:pPr>
        <w:ind w:left="1000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THIRD QUARTER 2004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6"/>
              </w:rPr>
              <w:t>THIRD QUARTER 2003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6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0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&amp; MI</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5"/>
                <w:szCs w:val="15"/>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&amp; MI</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&amp; MI</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2"/>
        </w:trPr>
        <w:tc>
          <w:tcPr>
            <w:tcW w:w="3500" w:type="dxa"/>
            <w:vAlign w:val="bottom"/>
            <w:gridSpan w:val="3"/>
          </w:tcPr>
          <w:p>
            <w:pPr>
              <w:spacing w:after="0"/>
              <w:rPr>
                <w:sz w:val="20"/>
                <w:szCs w:val="20"/>
                <w:color w:val="auto"/>
              </w:rPr>
            </w:pPr>
            <w:r>
              <w:rPr>
                <w:rFonts w:ascii="Arial" w:cs="Arial" w:eastAsia="Arial" w:hAnsi="Arial"/>
                <w:sz w:val="18"/>
                <w:szCs w:val="18"/>
                <w:color w:val="auto"/>
              </w:rPr>
              <w:t>Elims &amp; Other</w:t>
            </w:r>
          </w:p>
        </w:tc>
        <w:tc>
          <w:tcPr>
            <w:tcW w:w="10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Interest Expense (1)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-1030605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-1030605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-1030605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-1030605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-1030605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-1030605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-1030605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-1030605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-1030605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-1030605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-1030605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-1030605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-1030605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-1030605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-1030605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-1030605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-1030605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-1030605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-1030605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-1030605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-1030605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-1030605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-1030605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-1030605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-172720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-172720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($3 million in 2004; $2 million in 2003).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Charges – Continuing Operations.</w:t>
      </w:r>
    </w:p>
    <w:p>
      <w:pPr>
        <w:spacing w:after="0" w:line="151" w:lineRule="exact"/>
        <w:rPr>
          <w:sz w:val="20"/>
          <w:szCs w:val="20"/>
          <w:color w:val="auto"/>
        </w:rPr>
      </w:pPr>
    </w:p>
    <w:p>
      <w:pPr>
        <w:ind w:left="10000"/>
        <w:spacing w:after="0"/>
        <w:rPr>
          <w:sz w:val="20"/>
          <w:szCs w:val="20"/>
          <w:color w:val="auto"/>
        </w:rPr>
      </w:pPr>
      <w:r>
        <w:rPr>
          <w:rFonts w:ascii="Arial" w:cs="Arial" w:eastAsia="Arial" w:hAnsi="Arial"/>
          <w:sz w:val="16"/>
          <w:szCs w:val="16"/>
          <w:i w:val="1"/>
          <w:iCs w:val="1"/>
          <w:color w:val="auto"/>
        </w:rPr>
        <w:t>(Stated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7"/>
          </w:tcPr>
          <w:p>
            <w:pPr>
              <w:ind w:left="400"/>
              <w:spacing w:after="0"/>
              <w:rPr>
                <w:sz w:val="20"/>
                <w:szCs w:val="20"/>
                <w:color w:val="auto"/>
              </w:rPr>
            </w:pPr>
            <w:r>
              <w:rPr>
                <w:rFonts w:ascii="Arial" w:cs="Arial" w:eastAsia="Arial" w:hAnsi="Arial"/>
                <w:sz w:val="14"/>
                <w:szCs w:val="14"/>
                <w:b w:val="1"/>
                <w:bCs w:val="1"/>
                <w:color w:val="auto"/>
                <w:w w:val="94"/>
              </w:rPr>
              <w:t>NINE MONTHS 2004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6"/>
          </w:tcPr>
          <w:p>
            <w:pPr>
              <w:ind w:left="420"/>
              <w:spacing w:after="0"/>
              <w:rPr>
                <w:sz w:val="20"/>
                <w:szCs w:val="20"/>
                <w:color w:val="auto"/>
              </w:rPr>
            </w:pPr>
            <w:r>
              <w:rPr>
                <w:rFonts w:ascii="Arial" w:cs="Arial" w:eastAsia="Arial" w:hAnsi="Arial"/>
                <w:sz w:val="14"/>
                <w:szCs w:val="14"/>
                <w:b w:val="1"/>
                <w:bCs w:val="1"/>
                <w:color w:val="auto"/>
                <w:w w:val="94"/>
              </w:rPr>
              <w:t>NINE MONTHS 2003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Income</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40" w:type="dxa"/>
            <w:vAlign w:val="bottom"/>
          </w:tcPr>
          <w:p>
            <w:pPr>
              <w:spacing w:after="0"/>
              <w:rPr>
                <w:sz w:val="12"/>
                <w:szCs w:val="12"/>
                <w:color w:val="auto"/>
              </w:rPr>
            </w:pPr>
          </w:p>
        </w:tc>
        <w:tc>
          <w:tcPr>
            <w:tcW w:w="6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4"/>
              </w:rPr>
              <w:t>Tax</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Tax</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&amp; MI</w:t>
            </w:r>
          </w:p>
        </w:tc>
        <w:tc>
          <w:tcPr>
            <w:tcW w:w="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&amp; MI</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&amp; MI</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$2,261</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$1,946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500" w:type="dxa"/>
            <w:vAlign w:val="bottom"/>
          </w:tcPr>
          <w:p>
            <w:pPr>
              <w:jc w:val="right"/>
              <w:spacing w:after="0"/>
              <w:rPr>
                <w:sz w:val="20"/>
                <w:szCs w:val="20"/>
                <w:color w:val="auto"/>
              </w:rPr>
            </w:pPr>
            <w:r>
              <w:rPr>
                <w:rFonts w:ascii="Arial" w:cs="Arial" w:eastAsia="Arial" w:hAnsi="Arial"/>
                <w:sz w:val="18"/>
                <w:szCs w:val="18"/>
                <w:color w:val="auto"/>
              </w:rPr>
              <w:t>2,089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2"/>
        </w:trPr>
        <w:tc>
          <w:tcPr>
            <w:tcW w:w="3580" w:type="dxa"/>
            <w:vAlign w:val="bottom"/>
            <w:gridSpan w:val="3"/>
          </w:tcPr>
          <w:p>
            <w:pPr>
              <w:spacing w:after="0"/>
              <w:rPr>
                <w:sz w:val="20"/>
                <w:szCs w:val="20"/>
                <w:color w:val="auto"/>
              </w:rPr>
            </w:pPr>
            <w:r>
              <w:rPr>
                <w:rFonts w:ascii="Arial" w:cs="Arial" w:eastAsia="Arial" w:hAnsi="Arial"/>
                <w:sz w:val="18"/>
                <w:szCs w:val="18"/>
                <w:color w:val="auto"/>
              </w:rPr>
              <w:t>Elims &amp; Other</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$8,482</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$7,475</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Interest Expense (1)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-1030605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-1030605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-1030605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-1030605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-1030605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-1030605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-1030605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-1030605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-1030605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-1030605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-1030605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-1030605</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-1030605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-1030605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-1030605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-1030605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-1030605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-1030605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-1030605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-1030605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-1030605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-1030605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-1030605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-1030605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-172720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-172720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-172720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3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Excludes interest expense included in the Segment results ($6 million in 2004 and $5 million in 2003). The nine months 2004 excludes the $64 million charge related to the US interest rate swap – see Note 4 </w:t>
      </w:r>
      <w:r>
        <w:rPr>
          <w:rFonts w:ascii="Arial" w:cs="Arial" w:eastAsia="Arial" w:hAnsi="Arial"/>
          <w:sz w:val="18"/>
          <w:szCs w:val="18"/>
          <w:i w:val="1"/>
          <w:iCs w:val="1"/>
          <w:color w:val="auto"/>
        </w:rPr>
        <w:t>Charges – Continuing Operations.</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Charges – Continuing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w:t>
      </w:r>
    </w:p>
    <w:p>
      <w:pPr>
        <w:sectPr>
          <w:pgSz w:w="11900" w:h="16838" w:orient="portrait"/>
          <w:cols w:equalWidth="0" w:num="1">
            <w:col w:w="11420"/>
          </w:cols>
          <w:pgMar w:left="240" w:top="274" w:right="239" w:bottom="167"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 Pension and Other Postretirement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US for the third quarter and nine months of 2004 and 2003 included the following components: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Third Quarter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$ 42</w:t>
            </w: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74</w:t>
            </w:r>
          </w:p>
        </w:tc>
        <w:tc>
          <w:tcPr>
            <w:tcW w:w="2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Amortization of prior service cost/other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$ 69</w:t>
            </w: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-29210</wp:posOffset>
            </wp:positionV>
            <wp:extent cx="25273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444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444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Schlumberger’s contribution during the nine months ended September 30, 2004 was $249 million. Schlumberger does not anticipate making any contribution during the fourth quarter of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in the UK plan for the third quarter and nine months of 2004 and 2003 included the following components:</w:t>
      </w:r>
    </w:p>
    <w:p>
      <w:pPr>
        <w:spacing w:after="0" w:line="158" w:lineRule="exact"/>
        <w:rPr>
          <w:sz w:val="20"/>
          <w:szCs w:val="20"/>
          <w:color w:val="auto"/>
        </w:rPr>
      </w:pPr>
    </w:p>
    <w:p>
      <w:pPr>
        <w:ind w:left="886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Third Quarter</w:t>
            </w:r>
          </w:p>
        </w:tc>
        <w:tc>
          <w:tcPr>
            <w:tcW w:w="160" w:type="dxa"/>
            <w:vAlign w:val="bottom"/>
          </w:tcPr>
          <w:p>
            <w:pPr>
              <w:spacing w:after="0"/>
              <w:rPr>
                <w:sz w:val="15"/>
                <w:szCs w:val="15"/>
                <w:color w:val="auto"/>
              </w:rPr>
            </w:pPr>
          </w:p>
        </w:tc>
        <w:tc>
          <w:tcPr>
            <w:tcW w:w="11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000" w:type="dxa"/>
            <w:vAlign w:val="bottom"/>
            <w:gridSpan w:val="3"/>
          </w:tcPr>
          <w:p>
            <w:pPr>
              <w:ind w:left="1700"/>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Amortization of unrecognized net loss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May 19, 2004, FASB Staff Position No. 106-2 (“FSP”) was issued by FASB to provide guidance relating to the prescription drug subsidy provided by the Medicare Prescription Drug, Improvement and Modernization Act of 2003 (the “Act”). Schlumberger currently provides postretirement benefits to former employees who have retired under the US pension plans. For these former employees, the prescription drug benefit provided by Schlumberger would be considered to be actuarially equivalent to the benefit provided under the Act. As permitted by the FSP, Schlumberger prospectively adopted the provisions of the FSP effective July 1, 2004. This resulted in a reduction in the accumulated postretirement benefit obligation (“APBO”) for the subsidy related to benefits attributed to past service of approximately $77 million. The subsidy will result in a reduction in net periodic post retirement costs of approximately $12 million (pretax), of which $6 million was recorded during the third quarter of 2004 with the remaining portion being recorded in the fourth quarter of 2004. The components of this approximate $12 million in pretax savings are a reduction in interest costs on APBO of $5 million, a reduction of amortization of net loss of $4 million and a reduction in current period service costs of $3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Net postretirement benefit cost in the US for the third quarter and nine months of 2004 and 2003 included the following components:</w:t>
      </w:r>
    </w:p>
    <w:p>
      <w:pPr>
        <w:spacing w:after="0" w:line="158" w:lineRule="exact"/>
        <w:rPr>
          <w:sz w:val="20"/>
          <w:szCs w:val="20"/>
          <w:color w:val="auto"/>
        </w:rPr>
      </w:pPr>
    </w:p>
    <w:p>
      <w:pPr>
        <w:ind w:left="894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3"/>
              </w:rPr>
              <w:t>Third Quarter</w:t>
            </w:r>
          </w:p>
        </w:tc>
        <w:tc>
          <w:tcPr>
            <w:tcW w:w="36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7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88"/>
              </w:rPr>
              <w:t>Interest cost on accumulated postretirement benefit obligation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loss/other</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postretirement benefit cost</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400" w:type="dxa"/>
            <w:vAlign w:val="bottom"/>
            <w:vMerge w:val="restart"/>
          </w:tcPr>
          <w:p>
            <w:pPr>
              <w:jc w:val="right"/>
              <w:ind w:right="1997"/>
              <w:spacing w:after="0"/>
              <w:rPr>
                <w:sz w:val="20"/>
                <w:szCs w:val="20"/>
                <w:color w:val="auto"/>
              </w:rPr>
            </w:pPr>
            <w:r>
              <w:rPr>
                <w:rFonts w:ascii="Arial" w:cs="Arial" w:eastAsia="Arial" w:hAnsi="Arial"/>
                <w:sz w:val="18"/>
                <w:szCs w:val="18"/>
                <w:b w:val="1"/>
                <w:bCs w:val="1"/>
                <w:color w:val="auto"/>
                <w:w w:val="93"/>
              </w:rPr>
              <w:t>-16-</w:t>
            </w: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64" w:lineRule="exact"/>
        <w:rPr>
          <w:sz w:val="20"/>
          <w:szCs w:val="20"/>
          <w:color w:val="auto"/>
        </w:rPr>
      </w:pPr>
    </w:p>
    <w:p>
      <w:pPr>
        <w:ind w:left="9860"/>
        <w:spacing w:after="0"/>
        <w:rPr>
          <w:sz w:val="20"/>
          <w:szCs w:val="20"/>
          <w:color w:val="auto"/>
        </w:rPr>
      </w:pPr>
      <w:r>
        <w:rPr>
          <w:rFonts w:ascii="Arial" w:cs="Arial" w:eastAsia="Arial" w:hAnsi="Arial"/>
          <w:sz w:val="18"/>
          <w:szCs w:val="18"/>
          <w:i w:val="1"/>
          <w:iCs w:val="1"/>
          <w:color w:val="auto"/>
        </w:rPr>
        <w:t>(Stated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8"/>
              </w:rPr>
              <w:t>Third Quarter</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0"/>
              </w:rPr>
              <w:t>Nine Months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2004</w:t>
            </w:r>
            <w:r>
              <w:rPr>
                <w:rFonts w:ascii="Arial" w:cs="Arial" w:eastAsia="Arial" w:hAnsi="Arial"/>
                <w:sz w:val="22"/>
                <w:szCs w:val="22"/>
                <w:b w:val="1"/>
                <w:bCs w:val="1"/>
                <w:color w:val="auto"/>
                <w:w w:val="89"/>
                <w:vertAlign w:val="superscript"/>
              </w:rPr>
              <w:t>(2)</w:t>
            </w:r>
          </w:p>
        </w:tc>
        <w:tc>
          <w:tcPr>
            <w:tcW w:w="160" w:type="dxa"/>
            <w:vAlign w:val="bottom"/>
          </w:tcPr>
          <w:p>
            <w:pPr>
              <w:spacing w:after="0"/>
              <w:rPr>
                <w:sz w:val="24"/>
                <w:szCs w:val="24"/>
                <w:color w:val="auto"/>
              </w:rPr>
            </w:pPr>
          </w:p>
        </w:tc>
        <w:tc>
          <w:tcPr>
            <w:tcW w:w="640" w:type="dxa"/>
            <w:vAlign w:val="bottom"/>
            <w:gridSpan w:val="3"/>
          </w:tcPr>
          <w:p>
            <w:pPr>
              <w:ind w:left="100"/>
              <w:spacing w:after="0"/>
              <w:rPr>
                <w:sz w:val="20"/>
                <w:szCs w:val="20"/>
                <w:color w:val="auto"/>
              </w:rPr>
            </w:pPr>
            <w:r>
              <w:rPr>
                <w:rFonts w:ascii="Arial" w:cs="Arial" w:eastAsia="Arial" w:hAnsi="Arial"/>
                <w:sz w:val="27"/>
                <w:szCs w:val="27"/>
                <w:b w:val="1"/>
                <w:bCs w:val="1"/>
                <w:color w:val="auto"/>
                <w:w w:val="77"/>
                <w:vertAlign w:val="subscript"/>
              </w:rPr>
              <w:t>2003</w:t>
            </w:r>
            <w:r>
              <w:rPr>
                <w:rFonts w:ascii="Arial" w:cs="Arial" w:eastAsia="Arial" w:hAnsi="Arial"/>
                <w:sz w:val="11"/>
                <w:szCs w:val="11"/>
                <w:b w:val="1"/>
                <w:bCs w:val="1"/>
                <w:color w:val="auto"/>
                <w:w w:val="77"/>
              </w:rPr>
              <w:t>(2)(5)</w:t>
            </w:r>
          </w:p>
        </w:tc>
        <w:tc>
          <w:tcPr>
            <w:tcW w:w="26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 chg</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(3)</w:t>
            </w:r>
          </w:p>
        </w:tc>
        <w:tc>
          <w:tcPr>
            <w:tcW w:w="60" w:type="dxa"/>
            <w:vAlign w:val="bottom"/>
          </w:tcPr>
          <w:p>
            <w:pPr>
              <w:spacing w:after="0"/>
              <w:rPr>
                <w:sz w:val="24"/>
                <w:szCs w:val="24"/>
                <w:color w:val="auto"/>
              </w:rPr>
            </w:pPr>
          </w:p>
        </w:tc>
        <w:tc>
          <w:tcPr>
            <w:tcW w:w="720" w:type="dxa"/>
            <w:vAlign w:val="bottom"/>
            <w:gridSpan w:val="3"/>
          </w:tcPr>
          <w:p>
            <w:pPr>
              <w:ind w:left="200"/>
              <w:spacing w:after="0"/>
              <w:rPr>
                <w:sz w:val="20"/>
                <w:szCs w:val="20"/>
                <w:color w:val="auto"/>
              </w:rPr>
            </w:pPr>
            <w:r>
              <w:rPr>
                <w:rFonts w:ascii="Arial" w:cs="Arial" w:eastAsia="Arial" w:hAnsi="Arial"/>
                <w:sz w:val="27"/>
                <w:szCs w:val="27"/>
                <w:b w:val="1"/>
                <w:bCs w:val="1"/>
                <w:color w:val="auto"/>
                <w:w w:val="74"/>
                <w:vertAlign w:val="subscript"/>
              </w:rPr>
              <w:t>2003</w:t>
            </w:r>
            <w:r>
              <w:rPr>
                <w:rFonts w:ascii="Arial" w:cs="Arial" w:eastAsia="Arial" w:hAnsi="Arial"/>
                <w:sz w:val="11"/>
                <w:szCs w:val="11"/>
                <w:b w:val="1"/>
                <w:bCs w:val="1"/>
                <w:color w:val="auto"/>
                <w:w w:val="74"/>
              </w:rPr>
              <w:t>(3)(5)</w:t>
            </w:r>
          </w:p>
        </w:tc>
        <w:tc>
          <w:tcPr>
            <w:tcW w:w="26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Oilfield Services</w:t>
            </w:r>
          </w:p>
        </w:tc>
        <w:tc>
          <w:tcPr>
            <w:tcW w:w="5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2,606</w:t>
            </w:r>
          </w:p>
        </w:tc>
        <w:tc>
          <w:tcPr>
            <w:tcW w:w="16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2,256</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7,505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6,510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1,317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1,116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4"/>
        </w:trPr>
        <w:tc>
          <w:tcPr>
            <w:tcW w:w="7000" w:type="dxa"/>
            <w:vAlign w:val="bottom"/>
            <w:gridSpan w:val="6"/>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8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34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Pretax operating income represents income before taxes and minority interest, excluding interest income, interest expense and amortization of intangibles. Pretax operating income excludes the charges and credits described in footnotes (2) and (3) below because those items are not allocated by segment.</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third quarter of 2004 excludes a pretax charge of $11 million for an Intellectual Property settlement and a pretax $3 million severance charge.</w:t>
      </w:r>
    </w:p>
    <w:p>
      <w:pPr>
        <w:spacing w:after="0" w:line="99" w:lineRule="exact"/>
        <w:rPr>
          <w:rFonts w:ascii="Arial" w:cs="Arial" w:eastAsia="Arial" w:hAnsi="Arial"/>
          <w:sz w:val="16"/>
          <w:szCs w:val="16"/>
          <w:color w:val="auto"/>
        </w:rPr>
      </w:pPr>
    </w:p>
    <w:p>
      <w:pPr>
        <w:ind w:left="460" w:right="780"/>
        <w:spacing w:after="0" w:line="325" w:lineRule="auto"/>
        <w:rPr>
          <w:rFonts w:ascii="Arial" w:cs="Arial" w:eastAsia="Arial" w:hAnsi="Arial"/>
          <w:sz w:val="16"/>
          <w:szCs w:val="16"/>
          <w:color w:val="auto"/>
        </w:rPr>
      </w:pPr>
      <w:r>
        <w:rPr>
          <w:rFonts w:ascii="Arial" w:cs="Arial" w:eastAsia="Arial" w:hAnsi="Arial"/>
          <w:sz w:val="16"/>
          <w:szCs w:val="16"/>
          <w:color w:val="auto"/>
        </w:rPr>
        <w:t>The third quarter of 2003 excludes debt extinguishment costs of $86 million pretax and a pretax charge of $421 million for impairment and other charges/credits related to the multiclient library, seismic vessels partially offset by the gain on the sale of a rig.</w:t>
      </w:r>
    </w:p>
    <w:p>
      <w:pPr>
        <w:spacing w:after="0" w:line="1"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nine months of 2004 excludes a pretax charge of $11 million for an Intellectual Property settlement and a pretax $3 million severance charge, a pretax loss of $7 million on the sale of Atos Origin shares, a pretax idle leased facility reserve of $11 million, a pretax reorganization reserve of $4 million, a pretax release of a litigation reserve of $5 million, a pretax gain of $10 million for the settlement of the US Interest Rate Swap and a pretax charge of $37 million of debt extinguishment costs, a pretax charge of $73 million for the US Interest Rate Swap write off, a pretax loss of $14 million on the sale of Atos Origin shares, a pretax charge of $77 million of debt extinguishment costs and a pretax charge of $20 million related to the restructuring program in the United States.</w:t>
      </w:r>
    </w:p>
    <w:p>
      <w:pPr>
        <w:spacing w:after="0" w:line="49" w:lineRule="exact"/>
        <w:rPr>
          <w:rFonts w:ascii="Arial" w:cs="Arial" w:eastAsia="Arial" w:hAnsi="Arial"/>
          <w:sz w:val="18"/>
          <w:szCs w:val="18"/>
          <w:color w:val="auto"/>
        </w:rPr>
      </w:pPr>
    </w:p>
    <w:p>
      <w:pPr>
        <w:ind w:left="460" w:right="700"/>
        <w:spacing w:after="0" w:line="325" w:lineRule="auto"/>
        <w:rPr>
          <w:rFonts w:ascii="Arial" w:cs="Arial" w:eastAsia="Arial" w:hAnsi="Arial"/>
          <w:sz w:val="18"/>
          <w:szCs w:val="18"/>
          <w:color w:val="auto"/>
        </w:rPr>
      </w:pPr>
      <w:r>
        <w:rPr>
          <w:rFonts w:ascii="Arial" w:cs="Arial" w:eastAsia="Arial" w:hAnsi="Arial"/>
          <w:sz w:val="16"/>
          <w:szCs w:val="16"/>
          <w:color w:val="auto"/>
        </w:rPr>
        <w:t>The nine months of 2003 excludes debt extinguishment costs of $167 million pretax and a pretax charge of $421 million for impairment and other charges/credits related to the multiclient library, seismic vessels partially offset by the gain on the sale of a rig.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Comprises the Global Tel*Link, Public Phones and Essentis activities.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2004 Compared to Third Quarter 2003</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revenue for the third quarter was $2.93 billion versus $2.54 billion in the third quarter of 2003, an increase of 15%. Income from continuing operations before charges was $310 million, or $0.52 per share-diluted versus $0.36 in the third quarter of last year. Including charges of $13 million, income from continuing operations in the third quarter was $297 million, or $0.50 per share, compared to a loss of $88 million, or $0.15 per share, last year, which included net charges of $298 million. The $13 million charges in 2004 comprised of $10 million for an intellectual property settlement and $3 million for severance. The $298 million net charges in 2003 comprised debt extinguishment costs of $86 million, multiclient library and seismic vessel impairment charges of $243 million, and a gain on the sale of a rig of $31 million.</w:t>
      </w:r>
    </w:p>
    <w:p>
      <w:pPr>
        <w:spacing w:after="0" w:line="1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Discontinued operations recorded a gain of $21 million ($0.03 per share) in the quarter. This resulted in a net income of $318 million, or $0.53 per share-diluted, compared to a net loss of $55 million, or $0.09 per share, last year.</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$2.61 billion increased 3% sequentially and 16% compared to the same quarter of last year. Pretax business segment operating income of $440 million decreased 3% sequentially but grew 10% year-on-year.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w:t>
      </w:r>
    </w:p>
    <w:p>
      <w:pPr>
        <w:sectPr>
          <w:pgSz w:w="11900" w:h="16838" w:orient="portrait"/>
          <w:cols w:equalWidth="0" w:num="1">
            <w:col w:w="11420"/>
          </w:cols>
          <w:pgMar w:left="240" w:top="274" w:right="239" w:bottom="1440" w:gutter="0" w:footer="0" w:header="0"/>
        </w:sectPr>
      </w:pPr>
    </w:p>
    <w:bookmarkStart w:id="18" w:name="page19"/>
    <w:bookmarkEnd w:id="18"/>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 revenue of $301 million increased 3% sequentially and 14% year-on-year. Pretax business segment operating income of $33 million improved $19 million sequentially and $70 million compared to the same quarter of last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Third-quarter revenue of $2.61 billion was 3% higher sequentially and increased 16% year-on-year. Pretax operating income of $440 million declined 3% sequentially but rose 10% year-on-year.</w:t>
      </w:r>
    </w:p>
    <w:p>
      <w:pPr>
        <w:spacing w:after="0" w:line="118" w:lineRule="exact"/>
        <w:rPr>
          <w:sz w:val="20"/>
          <w:szCs w:val="20"/>
          <w:color w:val="auto"/>
        </w:rPr>
      </w:pPr>
    </w:p>
    <w:p>
      <w:pPr>
        <w:jc w:val="both"/>
        <w:ind w:right="220"/>
        <w:spacing w:after="0" w:line="332" w:lineRule="auto"/>
        <w:rPr>
          <w:sz w:val="20"/>
          <w:szCs w:val="20"/>
          <w:color w:val="auto"/>
        </w:rPr>
      </w:pPr>
      <w:r>
        <w:rPr>
          <w:rFonts w:ascii="Arial" w:cs="Arial" w:eastAsia="Arial" w:hAnsi="Arial"/>
          <w:sz w:val="16"/>
          <w:szCs w:val="16"/>
          <w:color w:val="auto"/>
        </w:rPr>
        <w:t>The sequential revenue increases that were particularly strong in Nigeria, Canada and Russia were substantially offset by Norway, Indonesia, Saudi Arabia and North Africa. Wireline and Well Services technologies were the principal contributors to the sequential revenue growth.</w:t>
      </w:r>
    </w:p>
    <w:p>
      <w:pPr>
        <w:spacing w:after="0" w:line="7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Sequential operating income decline was the result of four main causes: weather-related issues in the Gulf of Mexico; performance-related issues in the Gulf of Mexico and Mexico; delays in contract renegotiations in Venezuela; and slower activity in Russia for YUKOS. In contrast the Middle East continued to deliver strong performance.</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highest year-on-year activity growth was experienced in India, Russia, Mexico and US Land GeoMarkets. By technology, Drilling &amp; Measurements, Well Services, Well Completions &amp; Productivity, Wireline and Integrated Project Management recorded double-digit gains.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$789 million increased 6% sequentially and 17% year-on-year. Pretax operating income of $119 million decreased 1% sequentially but increased 31% year-on-year.</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Sequential revenue growth was mainly due to Canada and land activity in the United States. Well Services operated near capacity throughout most of the quarter and recorded double-digit price improvement from 2003 averages. However, higher product costs are beginning to dampen the operating leverage. Pricing momentum remains positive.</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Sequentially, the decline in operating income was mainly due to suspended operations in the Gulf of Mexico as a result of multiple hurricanes and a loss on a turnkey drilling project.</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Robust year-on-year revenue growth was recorded in US Land and Canada, which benefited from the strong performance of most technology segments, coupled with pricing improvements particularly for Well Services. Stronger demand for Well Completions &amp; Productivity and Well Services contributed to the year-on-year growth in the Gulf of 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$434 million increased 2% sequentially and 14% year-on-year. Pretax operating income of $45 million declined 28% both sequentially and year-on-year.</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Demand for Integrated Project Management services in Mexico continued to fuel year-on-year growth; however, the revenue flattened sequentially due to a slowdown in drilling activity, which will likely persist through early next year</w:t>
      </w:r>
      <w:r>
        <w:rPr>
          <w:rFonts w:ascii="Arial" w:cs="Arial" w:eastAsia="Arial" w:hAnsi="Arial"/>
          <w:sz w:val="18"/>
          <w:szCs w:val="18"/>
          <w:i w:val="1"/>
          <w:iCs w:val="1"/>
          <w:color w:val="auto"/>
        </w:rPr>
        <w:t>.</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year-on-year and sequential pretax operating income drop was mainly due to an unfavorable revenue mix in Mexico; reduced level of activity for PEMEX in a project bearing a high structural cost; and losses on a low-margin project with a major E&amp;P company for which the contract has subsequently been improved. During the quarter, certain barges in West Venezuela were partially idled while contractual negotiations continued with PDVSA.</w:t>
      </w:r>
    </w:p>
    <w:p>
      <w:pPr>
        <w:spacing w:after="0" w:line="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Drilling &amp; Measurements, Well Completions &amp; Productivity and Wireline continued to experience strong growth, particularly in Latin America South, leading to record revenue in Brazil. Drilling &amp; Measurements leveraged its experience of drilling more than seven million feet in the Faja del Orinoco of Eastern Venezuela by expanding its geosteering market with new multi-well contracts in both Venezuela and Trinidad.</w:t>
      </w:r>
    </w:p>
    <w:p>
      <w:pPr>
        <w:spacing w:after="0" w:line="12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Integrated Project Management saw increased activity in Ecuador with new contracts and services on multiple exploration and development wells. The work included project management, well engineering, well site supervision and all related well construction and completion services.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Europe/CIS/West Africa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$737 million increased 5% sequentially and 12% year-on-year. Pretax operating income of $117 million was flat sequentially but declined 4% year-on-year.</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Sequential activity growth in the region was affected by union strikes in Norway and a slowdown in Russia as YUKOS started reducing its operations late in the quarter. Further declines are expected with YUKOS in the coming quarters and assets are consequently being redeployed within Russia to cover expanding activity elsewhere.</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Sequential margin deterioration was due to reduced activity for YUKOS in Russia and union strikes in Norway that were partially offset by improvements in Nigeria and Continental Europe. This resulted in a flattening of operating income in the region.</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Year-on-year revenue growth was led by Russia, Caspian and West Africa, with gains recorded in all technology Segments led by Drilling &amp; Measurements and Well Services. Nigeria also contributed to the year-on-year and sequential revenue growth with particular strength in deepwater.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Revenue of $617 million decreased 3% sequentially but grew 16% year-on-year. Pretax operating income of $166 million increased 3% sequentially and 29% year-on-year.</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Sequential activity decline was mainly due to the completion of a 90-well VDA* Viscoelastic Diverting Acid stimulation campaign in the prior quarter in Saudi Arabia and lower Integrated Project Management activities in Indonesia. This decline was partially offset by strong activity in the Thailand/Vietnam and Malaysia/Brunei/Philippines GeoMarkets.</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improved sequential operating income was the result of a better revenue mix with the completion of a low profitability contract in Asia in the quarter and the ramp up of favorable projects in the Gulf.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Third-quarter revenue of $301 million was 3% higher sequentially and 14% higher compared to the same period last year. Pretax operating income of $33 million improved $19 million sequentially and $70 million year-on-year.</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Sequentially, Marine activity increased 7% due to better vessel utilization, particularly for Q-Marine* technology. The activity growth was strongest in West Africa, Mexico and South America. Land declined 8% reflecting the completion of some projects in Malaysia and the Middle East. Multiclient sales increased 3% mainly in North America, partially offset by the completion of a long-term volume agreement awarded in December 2003. Data Processing increased 10% due to a higher level of Q* processing and robust third-party work coupled with improved operational efficiencies.</w:t>
      </w:r>
    </w:p>
    <w:p>
      <w:pPr>
        <w:spacing w:after="0" w:line="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Year-on-year revenue increased mainly from strong growth in Multiclient sales coupled with higher activity in North America. This reflected the renewed interest in the library resulting from higher oil prices and an increasing number of blocks in the Gulf of Mexico coming up for renewal. Data Processing grew 29% resulting in increased amounts of Q* processing and improved third-party backlog. Land revenue was flat year-on-year while Marine declined 9% due to lower activity in the Caspian coupled with an ocean-bottom cable crew operating on a substantially pre-funded Multiclient project in the Gulf of Mexico.</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Sequential operating income increases were mainly in Marine resulting from higher vessel utilization and sustained Q* pricing. Data Processing also contributed to this improvement due to better operating efficiency.</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year-on-year operating income increase was led by Multiclient due to lower amortization cost following the impairment of the Multiclient library in the third quarter of last year, coupled with improved sales in North America. Marine also contributed to the improved performance with better pricing on Q* contracts.</w:t>
      </w:r>
    </w:p>
    <w:p>
      <w:pPr>
        <w:spacing w:after="0" w:line="72" w:lineRule="exact"/>
        <w:rPr>
          <w:sz w:val="20"/>
          <w:szCs w:val="20"/>
          <w:color w:val="auto"/>
        </w:rPr>
      </w:pPr>
    </w:p>
    <w:p>
      <w:pPr>
        <w:jc w:val="center"/>
        <w:ind w:right="460"/>
        <w:spacing w:after="0" w:line="440" w:lineRule="auto"/>
        <w:rPr>
          <w:sz w:val="20"/>
          <w:szCs w:val="20"/>
          <w:color w:val="auto"/>
        </w:rPr>
      </w:pPr>
      <w:r>
        <w:rPr>
          <w:rFonts w:ascii="Arial" w:cs="Arial" w:eastAsia="Arial" w:hAnsi="Arial"/>
          <w:sz w:val="18"/>
          <w:szCs w:val="18"/>
          <w:color w:val="auto"/>
        </w:rPr>
        <w:t xml:space="preserve">The WesternGeco backlog at the end of the third quarter reached $602 million, increased 1% over the previous quarter and more than doubled year-on-year. </w:t>
      </w:r>
      <w:r>
        <w:rPr>
          <w:rFonts w:ascii="Arial" w:cs="Arial" w:eastAsia="Arial" w:hAnsi="Arial"/>
          <w:sz w:val="18"/>
          <w:szCs w:val="18"/>
          <w:b w:val="1"/>
          <w:bCs w:val="1"/>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Global revenue for the third quarter was $14 million with pretax income of $1 million; Essentis revenue was $3 million and pretax operating loss was $3 million; Public Phones revenue was $8 million and pretax operating income was breakeven.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Interest income of $15 million increased $3.8 million compared to the same quarter last year. The average return on investment increased from 1.7% to 2.2% year-over-year. The average investment balance of $2.6 billion was down $20 million over last year. Gross margin (excluding net charges of $14 million in 2004 and $421 million in 2003) of 21% increased 1% compared to the same period last year. As a percentage of revenue, marketing expense was 0.2% less than last year and research &amp; engineering expense decreased 0.5% from last year. General expense as a percentage of revenue decreased from 3.2% to 2.9%. Interest expense of $44 million decreased $32 million compared to same quarter last year. Average borrowing rates decreased from 4.0% to 3.6% compared to the same quarter last year. The average debt balance of $4.4 billion decreased $3 billion over the same quarter last year. The effective tax rate for the third quarter, excluding the charges of $14 million in 2004 and $507 million in 2003, was 19% for both 2004 and 2003.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Nine Months 2004 Compared to Nine Months 2003</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for the nine month period ended September 30, 2004 of $8.5 billion increased 13% over the same period last year. Income from continuing operations of $656 million includes charges aggregating $199 million. The primary components of these charges are debt extinguishment costs ($100 million), costs related to the ineffectiveness/settlement of the US Interest Rate Swaps ($40 million), loss on the sale of Atos Origin SA common stock ($21 million), an Intellectual Property settlement ($10 million), and restructuring charges ($21 million). Excluding charges, income from continuing operations was $1.43 per share, compared to $1.00 per share for the same period last year.</w:t>
      </w:r>
    </w:p>
    <w:p>
      <w:pPr>
        <w:spacing w:after="0" w:line="1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Oilfield Services revenue of $7.5 billion increased 15% versus the same period last year. Pretax operating income was $1.3 billion, an increase of 18% year-on-year.</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WesternGeco revenue of $905 million increased 3% compared to the same period last year. Pretax operating income was $81 million compared to a loss of $52 million last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recorded a gain of $238 million ($0.39 per share) in 2004 and a gain of $437,000 in 2003.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$894 million, or $1.49 per share - diluted compared to a net income of $206 million, or $0.36 per share - diluted, in the third quarter of 2003.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Nine months revenue of $7.5 billion was 15% higher versus the same period last year. Pretax operating income of $1.3 billion increased 18% year-on-year. Revenue growth year-on-year was strongest in India, Mexico, Caspian, Russia and East Africa and East Mediterranean GeoMarkets. From a technology standpoint, double-digit gains were recorded in Well Services from growth in all regions, Wireline, Drilling &amp; Measurements, Well Completions &amp; Productivity and Integrated Project Management, with all remaining technology segments also higher year-on-year.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Revenue of $2.3 billion increased 16% versus the same period last year. Pretax operating income of $362 million increased 40% year-on-year. Robust year-on-year growth was recorded in US Land and Canada, which benefited by strong performances in most technology Segments, particularly for Well Services. Alaska also posted growth mainly from increased activity for Well Completions &amp; Productivity. Turnkey operations and stronger demand for Drilling &amp; Measurements fueled year-on-year increases in the Gulf Coast. By technology, all segments, with the exception of Schlumberger Information Solutions, were higher year-on-year. Severe tropical storms and multiple hurricanes coupled with losses on a turnkey project in the Gulf Coast negatively affected growth in pretax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of $1.3 billion was 22% higher year-on-year. Pretax operating income of $169 million increased 10% versus the same period last year. Demand for integrated services continued to drive significant growth in Mexico. Latin America South grew due to market share gains for Drilling &amp; Measurements in Brazil, integrated projects in Argentina,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w:t>
      </w:r>
    </w:p>
    <w:p>
      <w:pPr>
        <w:sectPr>
          <w:pgSz w:w="11900" w:h="16838" w:orient="portrait"/>
          <w:cols w:equalWidth="0" w:num="1">
            <w:col w:w="11380"/>
          </w:cols>
          <w:pgMar w:left="240" w:top="274" w:right="279" w:bottom="1440" w:gutter="0" w:footer="0" w:header="0"/>
        </w:sectPr>
      </w:pPr>
    </w:p>
    <w:bookmarkStart w:id="21" w:name="page22"/>
    <w:bookmarkEnd w:id="21"/>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increased activity for Well Completions &amp; Productivity and Schlumberger Information Solutions. Venezuela experienced decreased activity mainly due to ongoing contractual issues with PDVSA, which also largely dampened growth in pre-tax income in the region. By technology, significant growth was recorded across most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Revenue of $2.1 billion increased 8% year-on-year. Pretax operating income of $340 million decreased 1% year-on-year. Year-on-year growth was led by Russia with increases recorded in most segments, Caspian and West Africa GeoMarkets with demand particularly strong for Well Completions &amp; Productivity, Drilling</w:t>
      </w:r>
    </w:p>
    <w:p>
      <w:pPr>
        <w:ind w:firstLine="8"/>
        <w:spacing w:after="0" w:line="295" w:lineRule="auto"/>
        <w:tabs>
          <w:tab w:leader="none" w:pos="1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Measurements and Wireline. These increases were partially offset by declines in United Kingdom due to the completion of integrated contracts in the prior year and lower activity in the North Sea. By technology, all segments, with the exception of Integrated Project Management and Schlumberger Information Solutions grew year-on-year. Year-on-year pretax income was impacted by local currency appreciation (Russian Ruble, Algerian Dinar, CFA and Euro) against the US dollar, unrest in Nigeria resulting in production shutdowns in the Western Delta and union strikes in Norway.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 of $1.8 billion was 17% higher year-on-year. Pretax operating income of $466 million was 23% higher versus the same period last year. Offshore and deepwater activity utilizing Wireline, Drilling &amp; Measurements and Well Completions &amp; Productivity technologies continued to drive year-on-year increases in India. Strong year-on-year growth was also reflected across most GeoMarkets, particularly in East Africa and East Mediterranean from increased activity in East and West Mediterranean, Indonesia from integrated projects and in the Gulf from higher demand for Wireline, Drilling &amp; Measurements and Well Services technologies.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jc w:val="both"/>
        <w:ind w:right="60"/>
        <w:spacing w:after="0" w:line="302" w:lineRule="auto"/>
        <w:rPr>
          <w:sz w:val="20"/>
          <w:szCs w:val="20"/>
          <w:color w:val="auto"/>
        </w:rPr>
      </w:pPr>
      <w:r>
        <w:rPr>
          <w:rFonts w:ascii="Arial" w:cs="Arial" w:eastAsia="Arial" w:hAnsi="Arial"/>
          <w:sz w:val="15"/>
          <w:szCs w:val="15"/>
          <w:color w:val="auto"/>
        </w:rPr>
        <w:t>Nine months revenue for WesternGeco of $905 million was 3% higher compared to the same period last year. The increase was driven by strong Multiclient sales reflecting the increased interest in the library resulting from a steady high oil price and an increasingly larger numbers of blocks in the Gulf of Mexico coming up for renewal, coupled with an increase in pre-commit revenue in North America. Land revenue declined mainly due to the shutdown of several crews active in the previous year in Alaska, Cameroon and Germany and lower activity in Mexico; partially offset by improvements in South America, Asia and the Middle East.</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Marine declined marginally on account of lower activity in Caspian, partially offset by higher vessel utilization in other regions while Data Processing improved marginally.</w:t>
      </w:r>
    </w:p>
    <w:p>
      <w:pPr>
        <w:spacing w:after="0" w:line="1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Q - Technology revenue grew 125% compared to the same period last year, with higher utilization of the Q-Marine fleet and the startup of the first Q-Seabed crew.</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Pretax income of $81 million improved by $134 million mainly in Multiclient due to the impact of higher sales coupled with lower amortization following the impairment of the Multiclient library in September last year; Marine improved on account of better pricing and utilization; Data Processing improved on account of higher third party work while Land declined marginally.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revenue for the nine months was $43 million with pretax income of $2 million; Essentis revenue was $9 million and pretax operating loss was $9 million; Public Phones revenue was $18 million and pretax operating loss was $3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Interest income of $40 million increased 3.5% compared to the same period last year. The average return on investment decreased from 2.5% to 1.8% year-over-year. The average investment balance of $2.8 billion increased by $821 million over last year due to liquidity generated by operations and business divestiture proceeds. Gross margin of 20% decreased 1.4% compared to the same period last year (excluding net charges of $44 million in 2004 and $421 million in 2003). As a percentage of revenue, marketing expense and research &amp; engineering was 0.2% less than last year. General expense as a percentage of revenue decreased from 3.3% to 2.9%. Interest expense of $228 million decreased $33.4 million compared to the same period last year and decreased $101 million excluding the $63.9 million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 related to the US Interest Rate Swap. Excluding this charge the average borrowing rates decreased from 4.8% to 3.6%. The average debt balance decreased $1.1 billion compared to the same period last year. The effective tax rate for the first nine months, excluding the charges of $243 million in 2004 and $589 million in 2003, was 22% compared to 23% for the same period last year. The main cause of the decrease from last year were reduced losses for which valuation allowances were required and the geographic mix of results in WesternGeco.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first nine months of 2004, cash provided by operations was $978 million as net income plus depreciation/amortization and charges, including the extinguishment of European and US debt and the US Interest Rate Swap, were only partially offset by increases in customer receivables and inventories. Cash provided by investing activities was $2.4 billion with proceeds from the sales of the SchlumbergerSema business ($494 million), the Infodata business ($104 million), the Telecom Billing Software business ($37 million), the Business Continuity business ($233 million), the Axalto business ($606 million) the Electricity Meters North America business ($248 million), the proceeds from the sale of the Atos Origin shares ($1.16 billion) and a net change in investments ($556 million) only partially offset by investments in fixed assets ($801 million). Cash used by financing activities was $3.42 billion as the debt repayment of $3.5 billion, the payment of dividends to shareholders ($331 million), stock repurchase plan ($237 million) and debt extinguishment costs ($111 million) were only partially offset by the proceeds from employee stock plans ($213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is gross debt less cash, short-term investments and fixed income investments held to maturity. Details of the Net Debt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7"/>
          </w:tcPr>
          <w:p>
            <w:pPr>
              <w:jc w:val="right"/>
              <w:ind w:right="6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272"/>
        </w:trPr>
        <w:tc>
          <w:tcPr>
            <w:tcW w:w="6480" w:type="dxa"/>
            <w:vAlign w:val="bottom"/>
            <w:gridSpan w:val="4"/>
          </w:tcPr>
          <w:p>
            <w:pPr>
              <w:spacing w:after="0"/>
              <w:rPr>
                <w:sz w:val="20"/>
                <w:szCs w:val="20"/>
                <w:color w:val="auto"/>
              </w:rPr>
            </w:pPr>
            <w:r>
              <w:rPr>
                <w:rFonts w:ascii="Arial" w:cs="Arial" w:eastAsia="Arial" w:hAnsi="Arial"/>
                <w:sz w:val="14"/>
                <w:szCs w:val="14"/>
                <w:b w:val="1"/>
                <w:bCs w:val="1"/>
                <w:color w:val="auto"/>
              </w:rPr>
              <w:t>Nine Months</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beginning of period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Charges, net of tax and minority interest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Dividends paid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Employee stock plans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SchlumbergerSema business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Telecom Billing Software business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Infodata business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Business Continuity business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 Axalto business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Axalto shares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Electricity Meters North America business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Telecom Messaging business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purchase program</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US pension plan payments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Settlement of US interest rate swap</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Investment in PetroAlliance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7"/>
          </w:tcPr>
          <w:p>
            <w:pPr>
              <w:jc w:val="right"/>
              <w:ind w:right="60"/>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Sept. 30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74"/>
        </w:trPr>
        <w:tc>
          <w:tcPr>
            <w:tcW w:w="6480" w:type="dxa"/>
            <w:vAlign w:val="bottom"/>
            <w:gridSpan w:val="4"/>
          </w:tcPr>
          <w:p>
            <w:pPr>
              <w:spacing w:after="0"/>
              <w:rPr>
                <w:sz w:val="20"/>
                <w:szCs w:val="20"/>
                <w:color w:val="auto"/>
              </w:rPr>
            </w:pPr>
            <w:r>
              <w:rPr>
                <w:rFonts w:ascii="Arial" w:cs="Arial" w:eastAsia="Arial" w:hAnsi="Arial"/>
                <w:sz w:val="14"/>
                <w:szCs w:val="14"/>
                <w:b w:val="1"/>
                <w:bCs w:val="1"/>
                <w:color w:val="auto"/>
              </w:rPr>
              <w:t>Components of Net Debt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auto"/>
            </w:tcBorders>
            <w:gridSpan w:val="2"/>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(3,738)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(1,658)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-1658620</wp:posOffset>
            </wp:positionV>
            <wp:extent cx="3816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41592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NON-GAAP MEASURES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document also includes the following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w:t>
      </w:r>
    </w:p>
    <w:p>
      <w:pPr>
        <w:spacing w:after="0" w:line="70" w:lineRule="exact"/>
        <w:rPr>
          <w:sz w:val="20"/>
          <w:szCs w:val="20"/>
          <w:color w:val="auto"/>
        </w:rPr>
      </w:pPr>
    </w:p>
    <w:p>
      <w:pPr>
        <w:ind w:left="800" w:hanging="346"/>
        <w:spacing w:after="0" w:line="306"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 w:lineRule="exact"/>
        <w:rPr>
          <w:rFonts w:ascii="Arial" w:cs="Arial" w:eastAsia="Arial" w:hAnsi="Arial"/>
          <w:sz w:val="16"/>
          <w:szCs w:val="16"/>
          <w:color w:val="auto"/>
        </w:rPr>
      </w:pPr>
    </w:p>
    <w:p>
      <w:pPr>
        <w:ind w:left="800" w:right="34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Income from continuing operations before charges and credits, diluted earnings per share before charges and credits and effective tax rate before charges and credits: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w:t>
      </w:r>
    </w:p>
    <w:p>
      <w:pPr>
        <w:spacing w:after="0" w:line="7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Income from continuing operations per the Consolidated Statement of Income to Income from continuing operations before charges and credits.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before charges and credits.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360"/>
          </w:cols>
          <w:pgMar w:left="240" w:top="280" w:right="299" w:bottom="1440" w:gutter="0" w:footer="0" w:header="0"/>
        </w:sectPr>
      </w:pPr>
    </w:p>
    <w:bookmarkStart w:id="24" w:name="page25"/>
    <w:bookmarkEnd w:id="24"/>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tax rate from continuing operations before charges and credits.</w:t>
      </w:r>
    </w:p>
    <w:p>
      <w:pPr>
        <w:spacing w:after="0" w:line="158" w:lineRule="exact"/>
        <w:rPr>
          <w:sz w:val="20"/>
          <w:szCs w:val="20"/>
          <w:color w:val="auto"/>
        </w:rPr>
      </w:pPr>
    </w:p>
    <w:p>
      <w:pPr>
        <w:ind w:left="9780"/>
        <w:spacing w:after="0"/>
        <w:rPr>
          <w:sz w:val="20"/>
          <w:szCs w:val="20"/>
          <w:color w:val="auto"/>
        </w:rPr>
      </w:pPr>
      <w:r>
        <w:rPr>
          <w:rFonts w:ascii="Arial" w:cs="Arial" w:eastAsia="Arial" w:hAnsi="Arial"/>
          <w:sz w:val="16"/>
          <w:szCs w:val="16"/>
          <w:i w:val="1"/>
          <w:iCs w:val="1"/>
          <w:color w:val="auto"/>
        </w:rPr>
        <w:t>(Stated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Third Quarter 2004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22"/>
                <w:szCs w:val="22"/>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100" w:type="dxa"/>
            <w:vAlign w:val="bottom"/>
          </w:tcPr>
          <w:p>
            <w:pPr>
              <w:spacing w:after="0"/>
              <w:rPr>
                <w:sz w:val="22"/>
                <w:szCs w:val="22"/>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$ 380,196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297,070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Add back Charges:</w:t>
            </w:r>
          </w:p>
        </w:tc>
        <w:tc>
          <w:tcPr>
            <w:tcW w:w="3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Intellectual Property settlement charge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3"/>
          </w:tcPr>
          <w:p>
            <w:pPr>
              <w:ind w:left="420"/>
              <w:spacing w:after="0"/>
              <w:rPr>
                <w:sz w:val="20"/>
                <w:szCs w:val="20"/>
                <w:color w:val="auto"/>
              </w:rPr>
            </w:pPr>
            <w:r>
              <w:rPr>
                <w:rFonts w:ascii="Arial" w:cs="Arial" w:eastAsia="Arial" w:hAnsi="Arial"/>
                <w:sz w:val="18"/>
                <w:szCs w:val="18"/>
                <w:color w:val="auto"/>
              </w:rPr>
              <w:t>- Severance charge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$ 394,396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310,010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charges</w:t>
            </w:r>
          </w:p>
        </w:tc>
        <w:tc>
          <w:tcPr>
            <w:tcW w:w="3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Effective tax rate</w:t>
            </w:r>
          </w:p>
        </w:tc>
        <w:tc>
          <w:tcPr>
            <w:tcW w:w="1820" w:type="dxa"/>
            <w:vAlign w:val="bottom"/>
            <w:tcBorders>
              <w:top w:val="single" w:sz="8" w:color="CCEEFF"/>
            </w:tcBorders>
            <w:gridSpan w:val="2"/>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Third Quarter 2003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22"/>
                <w:szCs w:val="22"/>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100" w:type="dxa"/>
            <w:vAlign w:val="bottom"/>
          </w:tcPr>
          <w:p>
            <w:pPr>
              <w:spacing w:after="0"/>
              <w:rPr>
                <w:sz w:val="22"/>
                <w:szCs w:val="22"/>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4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$(259,693)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(59,645)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(88,013)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3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ind w:left="420"/>
              <w:spacing w:after="0"/>
              <w:rPr>
                <w:sz w:val="20"/>
                <w:szCs w:val="20"/>
                <w:color w:val="auto"/>
              </w:rPr>
            </w:pPr>
            <w:r>
              <w:rPr>
                <w:rFonts w:ascii="Arial" w:cs="Arial" w:eastAsia="Arial" w:hAnsi="Arial"/>
                <w:sz w:val="18"/>
                <w:szCs w:val="18"/>
                <w:color w:val="auto"/>
              </w:rPr>
              <w:t>- Muticlient library impairment charge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398,365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(87,793)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204,849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Vessel impairment charge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(16,200)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3"/>
          </w:tcPr>
          <w:p>
            <w:pPr>
              <w:ind w:left="420"/>
              <w:spacing w:after="0"/>
              <w:rPr>
                <w:sz w:val="20"/>
                <w:szCs w:val="20"/>
                <w:color w:val="auto"/>
              </w:rPr>
            </w:pPr>
            <w:r>
              <w:rPr>
                <w:rFonts w:ascii="Arial" w:cs="Arial" w:eastAsia="Arial" w:hAnsi="Arial"/>
                <w:sz w:val="18"/>
                <w:szCs w:val="18"/>
                <w:color w:val="auto"/>
              </w:rPr>
              <w:t>- Gain on sale of rig</w:t>
            </w:r>
          </w:p>
        </w:tc>
        <w:tc>
          <w:tcPr>
            <w:tcW w:w="4240" w:type="dxa"/>
            <w:vAlign w:val="bottom"/>
            <w:gridSpan w:val="3"/>
          </w:tcPr>
          <w:p>
            <w:pPr>
              <w:jc w:val="right"/>
              <w:ind w:right="200"/>
              <w:spacing w:after="0"/>
              <w:rPr>
                <w:sz w:val="20"/>
                <w:szCs w:val="20"/>
                <w:color w:val="auto"/>
              </w:rPr>
            </w:pPr>
            <w:r>
              <w:rPr>
                <w:rFonts w:ascii="Arial" w:cs="Arial" w:eastAsia="Arial" w:hAnsi="Arial"/>
                <w:sz w:val="18"/>
                <w:szCs w:val="18"/>
                <w:color w:val="auto"/>
              </w:rPr>
              <w:t>(31,416)</w:t>
            </w:r>
          </w:p>
        </w:tc>
        <w:tc>
          <w:tcPr>
            <w:tcW w:w="100" w:type="dxa"/>
            <w:vAlign w:val="bottom"/>
          </w:tcPr>
          <w:p>
            <w:pPr>
              <w:spacing w:after="0"/>
              <w:rPr>
                <w:sz w:val="19"/>
                <w:szCs w:val="19"/>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(31,416)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$ 247,584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209,548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charges &amp; credits</w:t>
            </w:r>
          </w:p>
        </w:tc>
        <w:tc>
          <w:tcPr>
            <w:tcW w:w="11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3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40" w:type="dxa"/>
            <w:vAlign w:val="bottom"/>
          </w:tcPr>
          <w:p>
            <w:pPr>
              <w:jc w:val="right"/>
              <w:ind w:right="1752"/>
              <w:spacing w:after="0"/>
              <w:rPr>
                <w:sz w:val="20"/>
                <w:szCs w:val="20"/>
                <w:color w:val="auto"/>
              </w:rPr>
            </w:pPr>
            <w:r>
              <w:rPr>
                <w:rFonts w:ascii="Arial" w:cs="Arial" w:eastAsia="Arial" w:hAnsi="Arial"/>
                <w:sz w:val="18"/>
                <w:szCs w:val="18"/>
                <w:b w:val="1"/>
                <w:bCs w:val="1"/>
                <w:color w:val="auto"/>
              </w:rPr>
              <w:t>-24-</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-3035935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-3035935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-3035935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-3035935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-3035935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-3035935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-3035935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-3035935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-3035935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-3035935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-3035935</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-3035935</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-737870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-737870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-737870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-737870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-737870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-737870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-737870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-737870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-737870</wp:posOffset>
            </wp:positionV>
            <wp:extent cx="64706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5" w:name="page26"/>
    <w:bookmarkEnd w:id="25"/>
    <w:p>
      <w:pPr>
        <w:ind w:left="978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2004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22"/>
                <w:szCs w:val="22"/>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100" w:type="dxa"/>
            <w:vAlign w:val="bottom"/>
          </w:tcPr>
          <w:p>
            <w:pPr>
              <w:spacing w:after="0"/>
              <w:rPr>
                <w:sz w:val="22"/>
                <w:szCs w:val="2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870,456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$202,253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655,606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114,894</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100,865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US interest-rate swap settlement gain</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(9,620)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Atos Origin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Vacated leased facility reserve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Litigation reserve release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Loss recognized on interest-rate swaps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73,515</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Loss on sale of Atos Origin shares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Restructuring program charge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19,500</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Intellectual Property settlement charge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Severance charge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1,113,910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$246,906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854,407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charges &amp; credits</w:t>
            </w:r>
          </w:p>
        </w:tc>
        <w:tc>
          <w:tcPr>
            <w:tcW w:w="4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2003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22"/>
                <w:szCs w:val="22"/>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Min Int</w:t>
            </w:r>
          </w:p>
        </w:tc>
        <w:tc>
          <w:tcPr>
            <w:tcW w:w="100" w:type="dxa"/>
            <w:vAlign w:val="bottom"/>
          </w:tcPr>
          <w:p>
            <w:pPr>
              <w:spacing w:after="0"/>
              <w:rPr>
                <w:sz w:val="22"/>
                <w:szCs w:val="22"/>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$ 66,414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120,468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205,524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167,801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Multclient library impairment charge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398,365</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105,723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(87,793)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204,849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Vessel impairment charge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(16,200)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 Gain on sale of rig</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(31,416)</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(31,416)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740,220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$172,137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Continuing operations before charges &amp; credits</w:t>
            </w:r>
          </w:p>
        </w:tc>
        <w:tc>
          <w:tcPr>
            <w:tcW w:w="4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-2805430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-2805430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-2805430</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-2805430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-2805430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-2805430</wp:posOffset>
            </wp:positionV>
            <wp:extent cx="125603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5603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-507365</wp:posOffset>
            </wp:positionV>
            <wp:extent cx="23622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62200" cy="29845"/>
                    </a:xfrm>
                    <a:prstGeom prst="rect">
                      <a:avLst/>
                    </a:prstGeom>
                    <a:noFill/>
                  </pic:spPr>
                </pic:pic>
              </a:graphicData>
            </a:graphic>
          </wp:anchor>
        </w:drawing>
      </w:r>
    </w:p>
    <w:p>
      <w:pPr>
        <w:spacing w:after="0" w:line="12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u w:val="single" w:color="auto"/>
          <w:color w:val="auto"/>
        </w:rPr>
        <w:t>Reasons for excluding charges and credits</w:t>
      </w:r>
      <w:r>
        <w:rPr>
          <w:rFonts w:ascii="Arial" w:cs="Arial" w:eastAsia="Arial" w:hAnsi="Arial"/>
          <w:sz w:val="16"/>
          <w:szCs w:val="16"/>
          <w:color w:val="auto"/>
        </w:rPr>
        <w:t xml:space="preserve"> - Management believes that the exclusion of these items enables it to more effectively evaluate Schlumberger’s operations period over period and to identify operating trends that could otherwise be masked by the excluded items.</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foregoing non-GAAP financial measure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10-Q report, the third quarter 2004 earnings release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 does not believe it has a material exposure to financial market risk. Schlumberger manages the exposure to interest rate changes by using a mix of debt maturities and variable- and fixed-rate debt.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September 30, 2004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quarter ended September 30, 2004 that has materially affected, or is reasonably likely to materially affect, our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000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quarter ended September 30, 2004, Schlumberger issued 27 shares of its common stock upon conversion of $2,000 aggregate principal amount of its 1.500% Series A Convertible Debentures due June 1, 2023. Such shares were issued in a transaction exempt from registration under Section 3(a)(9) of the Securities Act of 1933, as amended.</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27, 2004, Schlumberger delivered from treasury 421,870 shares of its common stock as partial consideration for the acquisition of an approximately 26% equity stake in PetroAlliance Services Company Limited. Such shares were issued in transactions exempt from registration under Regulations D and S of the Securities Act of 1933, as amended.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 Repurchases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July 22, 2004, the Board of Directors of Schlumberger approved a share buyback program of up to 15 million shares to be acquired in the open market before December 2006, subject to market conditions.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-26-</w:t>
      </w:r>
    </w:p>
    <w:p>
      <w:pPr>
        <w:sectPr>
          <w:pgSz w:w="11900" w:h="16838" w:orient="portrait"/>
          <w:cols w:equalWidth="0" w:num="1">
            <w:col w:w="11400"/>
          </w:cols>
          <w:pgMar w:left="24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information on Schlumberger’s common stock repurchase program activity for the quarter ended September 30, 2004.</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8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Total Number of</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Maximum Number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Total Number</w:t>
            </w:r>
          </w:p>
        </w:tc>
        <w:tc>
          <w:tcPr>
            <w:tcW w:w="70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880" w:type="dxa"/>
            <w:vAlign w:val="bottom"/>
            <w:gridSpan w:val="3"/>
          </w:tcPr>
          <w:p>
            <w:pPr>
              <w:jc w:val="center"/>
              <w:ind w:right="720"/>
              <w:spacing w:after="0" w:line="135" w:lineRule="exact"/>
              <w:rPr>
                <w:sz w:val="20"/>
                <w:szCs w:val="20"/>
                <w:color w:val="auto"/>
              </w:rPr>
            </w:pPr>
            <w:r>
              <w:rPr>
                <w:rFonts w:ascii="Arial" w:cs="Arial" w:eastAsia="Arial" w:hAnsi="Arial"/>
                <w:sz w:val="14"/>
                <w:szCs w:val="14"/>
                <w:b w:val="1"/>
                <w:bCs w:val="1"/>
                <w:color w:val="auto"/>
                <w:w w:val="83"/>
              </w:rPr>
              <w:t>shares purchased</w:t>
            </w:r>
          </w:p>
        </w:tc>
        <w:tc>
          <w:tcPr>
            <w:tcW w:w="128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of shares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paid per</w:t>
            </w:r>
          </w:p>
        </w:tc>
        <w:tc>
          <w:tcPr>
            <w:tcW w:w="18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be purchased</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22"/>
                <w:szCs w:val="22"/>
                <w:b w:val="1"/>
                <w:bCs w:val="1"/>
                <w:color w:val="auto"/>
                <w:vertAlign w:val="superscript"/>
              </w:rPr>
              <w:t>(1)</w:t>
            </w:r>
          </w:p>
        </w:tc>
        <w:tc>
          <w:tcPr>
            <w:tcW w:w="18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announced program</w:t>
            </w: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through July 31, 2004</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8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August 1 through August 31, 2004</w:t>
            </w:r>
          </w:p>
        </w:tc>
        <w:tc>
          <w:tcPr>
            <w:tcW w:w="820" w:type="dxa"/>
            <w:vAlign w:val="bottom"/>
          </w:tcPr>
          <w:p>
            <w:pPr>
              <w:jc w:val="right"/>
              <w:spacing w:after="0"/>
              <w:rPr>
                <w:sz w:val="20"/>
                <w:szCs w:val="20"/>
                <w:color w:val="auto"/>
              </w:rPr>
            </w:pPr>
            <w:r>
              <w:rPr>
                <w:rFonts w:ascii="Arial" w:cs="Arial" w:eastAsia="Arial" w:hAnsi="Arial"/>
                <w:sz w:val="18"/>
                <w:szCs w:val="18"/>
                <w:color w:val="auto"/>
              </w:rPr>
              <w:t>3,476</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99"/>
              <w:spacing w:after="0"/>
              <w:rPr>
                <w:sz w:val="20"/>
                <w:szCs w:val="20"/>
                <w:color w:val="auto"/>
              </w:rPr>
            </w:pPr>
            <w:r>
              <w:rPr>
                <w:rFonts w:ascii="Arial" w:cs="Arial" w:eastAsia="Arial" w:hAnsi="Arial"/>
                <w:sz w:val="18"/>
                <w:szCs w:val="18"/>
                <w:color w:val="auto"/>
                <w:w w:val="88"/>
              </w:rPr>
              <w:t>61.83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3,476</w:t>
            </w: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through September 30, 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88"/>
              </w:rPr>
              <w:t>63.58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88"/>
              </w:rPr>
              <w:t>61.99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3,816</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-172720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-172720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-172720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-172720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-172720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-172720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-172720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price per share includes the related commissions. The average price paid during the quarter excluding commissions was $61.96.</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8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Exhibit 3.1 Deed of Incorporation of Schlumberger Limited as last amended on May 4, 2001, incorporated by reference to Exhibit 3 (a) to Form 10-Q for the period ended June 30, 2001.</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Exhibit 3.2 Amended and Restated Bylaws of Schlumberger Limited incorporated by reference to Exhibit 3 to Form 8-K filed April 17, 2003.</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10.1 Schlumberger Limited 2004 Stock Deferral Plan for Non-Employee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10.2 Form of Option Agreement, Incentive Stock Option.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10.3 Form of Option Agreement, Non-Qualified Stock Option.</w:t>
      </w:r>
    </w:p>
    <w:p>
      <w:pPr>
        <w:spacing w:after="0" w:line="77"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11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November 4, 2004</w:t>
      </w:r>
      <w:r>
        <w:rPr>
          <w:sz w:val="20"/>
          <w:szCs w:val="20"/>
          <w:color w:val="auto"/>
        </w:rPr>
        <w:tab/>
      </w:r>
      <w:r>
        <w:rPr>
          <w:rFonts w:ascii="Arial" w:cs="Arial" w:eastAsia="Arial" w:hAnsi="Arial"/>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80010</wp:posOffset>
            </wp:positionV>
            <wp:extent cx="33877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Accounting Officer and Duly Authorized Signatory</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-28-</w:t>
      </w:r>
    </w:p>
    <w:p>
      <w:pPr>
        <w:sectPr>
          <w:pgSz w:w="11900" w:h="16838" w:orient="portrait"/>
          <w:cols w:equalWidth="0" w:num="1">
            <w:col w:w="10540"/>
          </w:cols>
          <w:pgMar w:left="240" w:top="280" w:right="11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(As Established Effective April 14,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51"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Directors to attain and maintain the highest standards of performance, to attract and retain Directors of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 The Plan has been established effective April 14, 2004, subject to the approval of the stockholders of the Company at the April 2004 annual meeting.</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left="460" w:right="120" w:firstLine="876"/>
        <w:spacing w:after="0" w:line="268"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77" w:lineRule="exact"/>
        <w:rPr>
          <w:sz w:val="20"/>
          <w:szCs w:val="20"/>
          <w:color w:val="auto"/>
        </w:rPr>
      </w:pPr>
    </w:p>
    <w:p>
      <w:pPr>
        <w:ind w:left="460" w:firstLine="876"/>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“Company” means Schlumberger Limited, a Netherlands Antilles corporation.</w:t>
      </w:r>
    </w:p>
    <w:p>
      <w:pPr>
        <w:spacing w:after="0" w:line="77" w:lineRule="exact"/>
        <w:rPr>
          <w:sz w:val="20"/>
          <w:szCs w:val="20"/>
          <w:color w:val="auto"/>
        </w:rPr>
      </w:pPr>
    </w:p>
    <w:p>
      <w:pPr>
        <w:ind w:left="460" w:right="360" w:firstLine="876"/>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is made or commences, as determined in accordance with Section 5.1.</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“Effective Date” means April 14, 2004.</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77" w:lineRule="exact"/>
        <w:rPr>
          <w:sz w:val="20"/>
          <w:szCs w:val="20"/>
          <w:color w:val="auto"/>
        </w:rPr>
      </w:pPr>
    </w:p>
    <w:p>
      <w:pPr>
        <w:ind w:left="460" w:right="420" w:firstLine="876"/>
        <w:spacing w:after="0" w:line="268" w:lineRule="auto"/>
        <w:rPr>
          <w:sz w:val="20"/>
          <w:szCs w:val="20"/>
          <w:color w:val="auto"/>
        </w:rPr>
      </w:pPr>
      <w:r>
        <w:rPr>
          <w:rFonts w:ascii="Arial" w:cs="Arial" w:eastAsia="Arial" w:hAnsi="Arial"/>
          <w:sz w:val="18"/>
          <w:szCs w:val="18"/>
          <w:color w:val="auto"/>
        </w:rPr>
        <w:t>“Stock Account” means the bookkeeping account maintained for each Participant to record certain amounts deferred by the Participant in accordance with Article IV hereof.</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“Stock Award” means an award of shares of Common Stock, restricted Common Stock or restricted Stock Units pursuant to Article III.</w:t>
      </w:r>
    </w:p>
    <w:p>
      <w:pPr>
        <w:spacing w:after="0" w:line="100" w:lineRule="exact"/>
        <w:rPr>
          <w:sz w:val="20"/>
          <w:szCs w:val="20"/>
          <w:color w:val="auto"/>
        </w:rPr>
      </w:pPr>
    </w:p>
    <w:p>
      <w:pPr>
        <w:ind w:left="460" w:right="540" w:firstLine="876"/>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OF THE PLAN</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158"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Committee’s Powers</w:t>
      </w:r>
      <w:r>
        <w:rPr>
          <w:rFonts w:ascii="Arial" w:cs="Arial" w:eastAsia="Arial" w:hAnsi="Arial"/>
          <w:sz w:val="18"/>
          <w:szCs w:val="18"/>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w:t>
      </w:r>
    </w:p>
    <w:p>
      <w:pPr>
        <w:sectPr>
          <w:pgSz w:w="11900" w:h="16838" w:orient="portrait"/>
          <w:cols w:equalWidth="0" w:num="1">
            <w:col w:w="11420"/>
          </w:cols>
          <w:pgMar w:left="240" w:top="125" w:right="239" w:bottom="1440" w:gutter="0" w:footer="0" w:header="0"/>
        </w:sectPr>
      </w:pPr>
    </w:p>
    <w:bookmarkStart w:id="30" w:name="page31"/>
    <w:bookmarkEnd w:id="30"/>
    <w:p>
      <w:pPr>
        <w:ind w:right="1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84"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118" w:lineRule="exact"/>
        <w:rPr>
          <w:sz w:val="20"/>
          <w:szCs w:val="20"/>
          <w:color w:val="auto"/>
        </w:rPr>
      </w:pPr>
    </w:p>
    <w:p>
      <w:pPr>
        <w:jc w:val="both"/>
        <w:ind w:right="200" w:firstLine="913"/>
        <w:spacing w:after="0" w:line="25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Committee Liability</w:t>
      </w:r>
      <w:r>
        <w:rPr>
          <w:rFonts w:ascii="Arial" w:cs="Arial" w:eastAsia="Arial" w:hAnsi="Arial"/>
          <w:sz w:val="18"/>
          <w:szCs w:val="18"/>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130"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51"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shall be available for Stock Awards during the term of this Plan an aggregate of 150,000 shares of Common Stock. Shares of Common Stock will be made available from either the Company’s authorized but unissued shares or treasury shares that have been issued but reacquired by the Company.</w:t>
      </w:r>
    </w:p>
    <w:p>
      <w:pPr>
        <w:spacing w:after="0" w:line="127"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Annual Grants</w:t>
      </w:r>
      <w:r>
        <w:rPr>
          <w:rFonts w:ascii="Arial" w:cs="Arial" w:eastAsia="Arial" w:hAnsi="Arial"/>
          <w:sz w:val="18"/>
          <w:szCs w:val="18"/>
          <w:color w:val="auto"/>
        </w:rPr>
        <w:t>. On each Annual Director Award Date, each Eligible Director shall automatically be granted a Stock Award with respect to 2,000 shares of Common Stock in the form of a number of shares of Common Stock, restricted Common Stock or restricted Stock Units, with the form of such Stock Award to be determined by the Committee; provided, however, that no more than 30,000 shares of Common Stock, restricted Common Stock or restricted Stock Units may be awarded in any calendar year. The Stock Award shall be subject to such terms, conditions and restrictions (including vesting) as the Committee may determine in its discretion in connection with such award. In the event that on any Annual Director Award Date there are an insufficient number of shares reserved to make the automatic grants contemplated by this section, the number of shares subject to the Stock Awards made to each Eligible Director shall be reduced on a pro rata basis.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5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 Director, at the discretion of the Committee, may irrevocably elect to defer the receipt of all or part of a Stock Award by submitting a Deferral Election in the manner specified by the Committee. The Deferral Election (i) shall specify the number of shares of Common Stock the receipt of which the Participant elects to defer, (ii) shall designate the period of deferral among the choices provided in Section 5.1, and (iii) may not be revoked or modified without the prior written approval of the Committee.</w:t>
      </w:r>
    </w:p>
    <w:p>
      <w:pPr>
        <w:spacing w:after="0" w:line="13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For the initial grants of Stock Awards in 2004 pursuant to Section 3.2, Deferral Elections must be made no later than April 13, 2004. For annual grants of Stock Awards pursuant to Section 3.2 after 2004, Deferral Elections must be made no later than the last day of the calendar year preceding the Annual Director Award Date. For newly appointed directors, Deferral Elections must be completed no later than the date 15 days after commencement of services as a Director. The Committee shall be authorized to adopt such other rules and limitations as it shall determine are necessary or appropriate with respect to the timing of elections to defer Stock Awards under the Plan.</w:t>
      </w:r>
    </w:p>
    <w:p>
      <w:pPr>
        <w:spacing w:after="0" w:line="102"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Establishment of Accounts</w:t>
      </w:r>
      <w:r>
        <w:rPr>
          <w:rFonts w:ascii="Arial" w:cs="Arial" w:eastAsia="Arial" w:hAnsi="Arial"/>
          <w:sz w:val="18"/>
          <w:szCs w:val="18"/>
          <w:color w:val="auto"/>
        </w:rPr>
        <w:t>. The Company shall also set up an appropriate record (hereinafter called the “Stock Account”) which will from time to time reflect the name of each Participant and the number of restricted Stock Units and, if applicable, dividend equivalents credited to such Participant pursuant to Section 4.4.</w:t>
      </w:r>
    </w:p>
    <w:p>
      <w:pPr>
        <w:spacing w:after="0" w:line="12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Crediting of Deferred Stock Awards or Restricted Stock Unit Awards</w:t>
      </w:r>
      <w:r>
        <w:rPr>
          <w:rFonts w:ascii="Arial" w:cs="Arial" w:eastAsia="Arial" w:hAnsi="Arial"/>
          <w:sz w:val="16"/>
          <w:szCs w:val="16"/>
          <w:color w:val="auto"/>
        </w:rPr>
        <w:t>. Any Stock Awards deferred pursuant to a Deferral Election as described in Section 4.1 shall be credited to the Participant’s Stock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Stock Account as of such date. No interest will be credited to a Participant’s Stock Account with respect to any restricted Stock Units. In the event that a dividend is paid on Common Stock during the period that restricted Stock Units are credited to the Participant’s Stock Account, an amount equivalent to the amount of the dividend will be credited to the Participant’s Stock Account and the accumulated amount will be paid out without interest at the end of the period of deferral.</w:t>
      </w:r>
    </w:p>
    <w:p>
      <w:pPr>
        <w:sectPr>
          <w:pgSz w:w="11900" w:h="16838" w:orient="portrait"/>
          <w:cols w:equalWidth="0" w:num="1">
            <w:col w:w="11400"/>
          </w:cols>
          <w:pgMar w:left="240" w:top="280" w:right="259" w:bottom="1440" w:gutter="0" w:footer="0" w:header="0"/>
        </w:sectPr>
      </w:pPr>
    </w:p>
    <w:bookmarkStart w:id="31" w:name="page32"/>
    <w:bookmarkEnd w:id="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77" w:lineRule="exact"/>
        <w:rPr>
          <w:sz w:val="20"/>
          <w:szCs w:val="20"/>
          <w:color w:val="auto"/>
        </w:rPr>
      </w:pPr>
    </w:p>
    <w:p>
      <w:pPr>
        <w:ind w:left="460" w:firstLine="443"/>
        <w:spacing w:after="0" w:line="291" w:lineRule="auto"/>
        <w:tabs>
          <w:tab w:leader="none" w:pos="113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5" w:lineRule="exact"/>
        <w:rPr>
          <w:rFonts w:ascii="Arial" w:cs="Arial" w:eastAsia="Arial" w:hAnsi="Arial"/>
          <w:sz w:val="16"/>
          <w:szCs w:val="16"/>
          <w:color w:val="auto"/>
        </w:rPr>
      </w:pPr>
    </w:p>
    <w:p>
      <w:pPr>
        <w:ind w:left="460" w:right="20" w:firstLine="443"/>
        <w:spacing w:after="0" w:line="286" w:lineRule="auto"/>
        <w:tabs>
          <w:tab w:leader="none" w:pos="114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DEFERRED SHARES</w:t>
      </w:r>
    </w:p>
    <w:p>
      <w:pPr>
        <w:spacing w:after="0" w:line="151" w:lineRule="exact"/>
        <w:rPr>
          <w:sz w:val="20"/>
          <w:szCs w:val="20"/>
          <w:color w:val="auto"/>
        </w:rPr>
      </w:pPr>
    </w:p>
    <w:p>
      <w:pPr>
        <w:ind w:right="260" w:firstLine="913"/>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With respect to (a) Stock Awards deferred pursuant to Section 4.1, a Participant may elect that delivery of deferred Stock Awards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107"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Delivery of Deferred Stock Awards</w:t>
      </w:r>
      <w:r>
        <w:rPr>
          <w:rFonts w:ascii="Arial" w:cs="Arial" w:eastAsia="Arial" w:hAnsi="Arial"/>
          <w:sz w:val="15"/>
          <w:szCs w:val="15"/>
          <w:color w:val="auto"/>
        </w:rPr>
        <w:t>. As of the Determination Date, the aggregate number of restricted Stock Units and, if applicable, dividend equivalents credited to a Participant’s Stock Account as of such Determination Date shall be calculated. A Participant shall receive delivery of a number of shares of Common Stock equal to the aggregate number of restricted Stock Units and a cash payment equal to the amount of the aggregate dividend equivalents.</w:t>
      </w:r>
    </w:p>
    <w:p>
      <w:pPr>
        <w:spacing w:after="0" w:line="75" w:lineRule="exact"/>
        <w:rPr>
          <w:sz w:val="20"/>
          <w:szCs w:val="20"/>
          <w:color w:val="auto"/>
        </w:rPr>
      </w:pPr>
    </w:p>
    <w:p>
      <w:pPr>
        <w:ind w:right="680" w:firstLine="913"/>
        <w:spacing w:after="0" w:line="370"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Death Prior to Payment</w:t>
      </w:r>
      <w:r>
        <w:rPr>
          <w:rFonts w:ascii="Arial" w:cs="Arial" w:eastAsia="Arial" w:hAnsi="Arial"/>
          <w:sz w:val="15"/>
          <w:szCs w:val="15"/>
          <w:color w:val="auto"/>
        </w:rPr>
        <w:t>. In the event that a Participant dies prior to delivery of all shares and funds deliverable pursuant to the Plan, any remaining shares and funds shall be delivered to the Participant’s estate within 60 days following the Company’s notification of the Participant’s death.</w:t>
      </w:r>
    </w:p>
    <w:p>
      <w:pPr>
        <w:spacing w:after="0" w:line="4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Delivery to Incompetents</w:t>
      </w:r>
      <w:r>
        <w:rPr>
          <w:rFonts w:ascii="Arial" w:cs="Arial" w:eastAsia="Arial" w:hAnsi="Arial"/>
          <w:sz w:val="18"/>
          <w:szCs w:val="18"/>
          <w:color w:val="auto"/>
        </w:rPr>
        <w:t>. To the extent allowed under applicable law, should the Participant become incompetent, the Company shall be authorized to deliver shares and funds deliverable pursuant to the Plan to a guardian or legal representative of such incompetent, or directly to such incompetent, whichever manner the Committee shall determine in its sole discretion.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1"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w:t>
      </w:r>
    </w:p>
    <w:p>
      <w:pPr>
        <w:sectPr>
          <w:pgSz w:w="11900" w:h="16838" w:orient="portrait"/>
          <w:cols w:equalWidth="0" w:num="1">
            <w:col w:w="11420"/>
          </w:cols>
          <w:pgMar w:left="240" w:top="280" w:right="239" w:bottom="1440" w:gutter="0" w:footer="0" w:header="0"/>
        </w:sectPr>
      </w:pPr>
    </w:p>
    <w:bookmarkStart w:id="32" w:name="page33"/>
    <w:bookmarkEnd w:id="3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0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Stock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2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Stock Account as of a recent date designated by the Committee.</w:t>
      </w:r>
    </w:p>
    <w:p>
      <w:pPr>
        <w:spacing w:after="0" w:line="11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Assignability</w:t>
      </w:r>
      <w:r>
        <w:rPr>
          <w:rFonts w:ascii="Arial" w:cs="Arial" w:eastAsia="Arial" w:hAnsi="Arial"/>
          <w:sz w:val="18"/>
          <w:szCs w:val="18"/>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or Title I of the Employee Retirement Income Security Act of 1974, as amended, or the rules thereunder. Any attempted assignment of any benefit under this Plan in violation of this Section 6.4 shall be null and void.</w:t>
      </w:r>
    </w:p>
    <w:p>
      <w:pPr>
        <w:spacing w:after="0" w:line="130"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Amendment, Modification, Suspension or Termination</w:t>
      </w:r>
      <w:r>
        <w:rPr>
          <w:rFonts w:ascii="Arial" w:cs="Arial" w:eastAsia="Arial" w:hAnsi="Arial"/>
          <w:sz w:val="15"/>
          <w:szCs w:val="15"/>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Stock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91" w:lineRule="exact"/>
        <w:rPr>
          <w:sz w:val="20"/>
          <w:szCs w:val="20"/>
          <w:color w:val="auto"/>
        </w:rPr>
      </w:pPr>
    </w:p>
    <w:p>
      <w:pPr>
        <w:ind w:right="280" w:firstLine="913"/>
        <w:spacing w:after="0" w:line="370"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New York.</w:t>
      </w:r>
    </w:p>
    <w:p>
      <w:pPr>
        <w:spacing w:after="0" w:line="49"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30"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Effect on Prior Plan’s Term</w:t>
      </w:r>
      <w:r>
        <w:rPr>
          <w:rFonts w:ascii="Arial" w:cs="Arial" w:eastAsia="Arial" w:hAnsi="Arial"/>
          <w:sz w:val="18"/>
          <w:szCs w:val="18"/>
          <w:color w:val="auto"/>
        </w:rPr>
        <w:t>. Effective as of the date of stockholder approval of the Plan as contemplated in the last sentence of Section 1.1, the Schlumberger Limited Stock and Deferral Plan for Non-Employee Directors, as established effective April 19, 2001 (the “Prior Plan”), shall be frozen, and no additional Stock Awards shall be made under the Prior Plan.</w:t>
      </w:r>
    </w:p>
    <w:p>
      <w:pPr>
        <w:sectPr>
          <w:pgSz w:w="11900" w:h="16838" w:orient="portrait"/>
          <w:cols w:equalWidth="0" w:num="1">
            <w:col w:w="11420"/>
          </w:cols>
          <w:pgMar w:left="240" w:top="2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&lt;&lt;year&gt;&gt; STOCK OPTION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Optionee: «fn» «ln»</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SCHLUMBERGER LIMITED, a Netherlands Antilles corporation (the “Company”), hereby grants to you on &lt;&lt;date&gt;&gt; an incentive stock option to purchase a maximum amount of «shgtd» shares (the “Maximum Option Shares”) of Common Stock of the Company, par value $0.01 per share, at a price of $&lt;&lt;price&gt;&gt; (the “Exercise Price”) per share (the ”ISO”),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shares purchasable under this ISO may be less than the Maximum Option Shares, as more fully described below. Your ISO is subject to all the terms and conditions of the Schlumberger &lt;&lt;year&gt;&gt;Stock Option Plan as amended and in effect on the date hereof (the “Plan”) and this Agreement. Your ISO is intended to constitute an “incentive stock option” under Section 422 of the U.S. Internal Revenue Code of 1986 (the “Code”) and the Treasury Regulations promulgated thereunder.</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number of shares subject to this ISO is capped such that at any time, the number of shares subject to this ISO is equal to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(i) the Maximum Option Shares with respect to which the ISO is exercisable less the number of shares previously purchased pursuant to this ISO or (ii) the number of shares determined such that the total spread (as defined below) which would be realized upon an exercise with respect to such number of shares would equal the product of (A) the number of shares determined in (i) above and (B) 125% of the Exercise Price. The “spread” for this purpose is the difference between the aggregate exercise price and aggregate fair market value of the shares as to which the ISO is exercisable, with fair market value determined as of the trading day preceding the applicable date. If, pursuant to this paragraph, the number of shares subject to this ISO includes fractional shares, the number of shares subject to the ISO will be rounded down to the nearest whole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This ISO expires on &lt;&lt;date&gt;&gt;</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shares subject to this ISO shall become purchasable in installments which are cumulative. The date on which each installment will become exercisable and the maximum number of shares comprising each installment are as follows:</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540" w:type="dxa"/>
            <w:vAlign w:val="bottom"/>
            <w:gridSpan w:val="2"/>
          </w:tcPr>
          <w:p>
            <w:pPr>
              <w:jc w:val="center"/>
              <w:ind w:left="1572"/>
              <w:spacing w:after="0"/>
              <w:rPr>
                <w:sz w:val="20"/>
                <w:szCs w:val="20"/>
                <w:color w:val="auto"/>
              </w:rPr>
            </w:pPr>
            <w:r>
              <w:rPr>
                <w:rFonts w:ascii="Arial" w:cs="Arial" w:eastAsia="Arial" w:hAnsi="Arial"/>
                <w:sz w:val="14"/>
                <w:szCs w:val="14"/>
                <w:b w:val="1"/>
                <w:bCs w:val="1"/>
                <w:color w:val="auto"/>
                <w:w w:val="98"/>
              </w:rPr>
              <w:t>MAXIMUM OPTION SHARES</w:t>
            </w:r>
          </w:p>
        </w:tc>
      </w:tr>
      <w:tr>
        <w:trPr>
          <w:trHeight w:val="95"/>
        </w:trPr>
        <w:tc>
          <w:tcPr>
            <w:tcW w:w="5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r>
      <w:tr>
        <w:trPr>
          <w:trHeight w:val="316"/>
        </w:trPr>
        <w:tc>
          <w:tcPr>
            <w:tcW w:w="2180" w:type="dxa"/>
            <w:vAlign w:val="bottom"/>
            <w:gridSpan w:val="2"/>
          </w:tcPr>
          <w:p>
            <w:pPr>
              <w:spacing w:after="0"/>
              <w:rPr>
                <w:sz w:val="20"/>
                <w:szCs w:val="20"/>
                <w:color w:val="auto"/>
              </w:rPr>
            </w:pPr>
            <w:r>
              <w:rPr>
                <w:rFonts w:ascii="Arial" w:cs="Arial" w:eastAsia="Arial" w:hAnsi="Arial"/>
                <w:sz w:val="18"/>
                <w:szCs w:val="18"/>
                <w:color w:val="auto"/>
              </w:rPr>
              <w:t>«vdp1»</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«sp1»</w:t>
            </w:r>
          </w:p>
        </w:tc>
      </w:tr>
      <w:tr>
        <w:trPr>
          <w:trHeight w:val="324"/>
        </w:trPr>
        <w:tc>
          <w:tcPr>
            <w:tcW w:w="2180" w:type="dxa"/>
            <w:vAlign w:val="bottom"/>
            <w:gridSpan w:val="2"/>
          </w:tcPr>
          <w:p>
            <w:pPr>
              <w:spacing w:after="0"/>
              <w:rPr>
                <w:sz w:val="20"/>
                <w:szCs w:val="20"/>
                <w:color w:val="auto"/>
              </w:rPr>
            </w:pPr>
            <w:r>
              <w:rPr>
                <w:rFonts w:ascii="Arial" w:cs="Arial" w:eastAsia="Arial" w:hAnsi="Arial"/>
                <w:sz w:val="18"/>
                <w:szCs w:val="18"/>
                <w:color w:val="auto"/>
              </w:rPr>
              <w:t>«vdp2»</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«sp2»</w:t>
            </w:r>
          </w:p>
        </w:tc>
      </w:tr>
      <w:tr>
        <w:trPr>
          <w:trHeight w:val="324"/>
        </w:trPr>
        <w:tc>
          <w:tcPr>
            <w:tcW w:w="2180" w:type="dxa"/>
            <w:vAlign w:val="bottom"/>
            <w:gridSpan w:val="2"/>
          </w:tcPr>
          <w:p>
            <w:pPr>
              <w:spacing w:after="0"/>
              <w:rPr>
                <w:sz w:val="20"/>
                <w:szCs w:val="20"/>
                <w:color w:val="auto"/>
              </w:rPr>
            </w:pPr>
            <w:r>
              <w:rPr>
                <w:rFonts w:ascii="Arial" w:cs="Arial" w:eastAsia="Arial" w:hAnsi="Arial"/>
                <w:sz w:val="18"/>
                <w:szCs w:val="18"/>
                <w:color w:val="auto"/>
              </w:rPr>
              <w:t>«vdp3»</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«sp3»</w:t>
            </w:r>
          </w:p>
        </w:tc>
      </w:tr>
      <w:tr>
        <w:trPr>
          <w:trHeight w:val="324"/>
        </w:trPr>
        <w:tc>
          <w:tcPr>
            <w:tcW w:w="2180" w:type="dxa"/>
            <w:vAlign w:val="bottom"/>
            <w:gridSpan w:val="2"/>
          </w:tcPr>
          <w:p>
            <w:pPr>
              <w:spacing w:after="0"/>
              <w:rPr>
                <w:sz w:val="20"/>
                <w:szCs w:val="20"/>
                <w:color w:val="auto"/>
              </w:rPr>
            </w:pPr>
            <w:r>
              <w:rPr>
                <w:rFonts w:ascii="Arial" w:cs="Arial" w:eastAsia="Arial" w:hAnsi="Arial"/>
                <w:sz w:val="18"/>
                <w:szCs w:val="18"/>
                <w:color w:val="auto"/>
              </w:rPr>
              <w:t>«vdp4»</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«sp4»</w:t>
            </w:r>
          </w:p>
        </w:tc>
      </w:tr>
    </w:tbl>
    <w:p>
      <w:pPr>
        <w:spacing w:after="0" w:line="14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ISO may be exercised only by delivering to the Company a written notice specifying the number of shares you wish to purchase. The Compensation Committee, authorized by the Company to administer the Plan (the “Committee”), hereby notifies you that the ISO price may be paid, subject to such rules and procedures as the Committee may prescribe from time to time, (1) in cash or certified check, (2) by the delivery of shares of Common Stock of the Company with a fair market value at the time of exercise equal to the total ISO price or (3) by a combination of the methods described in (1) and (2).</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ISO, the Committee in its sole discretion has authorized the extension of an option financing program coordinated with Fiserv Investor Services. The terms and procedures of this program or any such program that the Committee may authorize in the future will be communicated to you.</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ISO will expire earlier than the date set forth above if you terminate employment with the Company or subsidiary (within the meaning of Code Section 424(f)). If you terminate employment with consent of the Company, any exercise of this ISO must be made within three (3) months of termination of employment (or expiration date, if earlier) and then only to the extent the ISO was exercisable upon termination, unless you “retire” within the meaning of Section 5(c)(v) of the Plan or terminate employment due to death. Section 5 of the Plan provides specific rules for exercise of this ISO on termination of employment due to retirement or death and its terms are hereby incorporated in this Agreement. If termination of your employment is because of breach of your employment contract or your misconduct, this ISO will immediately expire and terminate. Termination of your employment without consent of the Company will cause your ISO to expire immediately.</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ISO may be forfeited, and any exercise you have made of this ISO may be rescinded, as further described below, if you engage in certain ‘detrimental activity’ as defined in the Plan. Specifically, if you engage in detrimental activity within one year following termination of employment for any reason other than retirement, this ISO will immediately expire and terminate and the Committee may rescind any exercise that you made under this option within six months preceding or three months following your termination. If you engage in detrimental activity within five years following termination of employment by reason of retirement, this ISO will immediately expire and terminate and the Committee may rescind any exercise that you made under this option within six months preceding or one year following</w:t>
      </w:r>
    </w:p>
    <w:p>
      <w:pPr>
        <w:sectPr>
          <w:pgSz w:w="11900" w:h="16838" w:orient="portrait"/>
          <w:cols w:equalWidth="0" w:num="1">
            <w:col w:w="11420"/>
          </w:cols>
          <w:pgMar w:left="240" w:top="125" w:right="239" w:bottom="1440" w:gutter="0" w:footer="0" w:header="0"/>
        </w:sectPr>
      </w:pPr>
    </w:p>
    <w:bookmarkStart w:id="34" w:name="page35"/>
    <w:bookmarkEnd w:id="3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termination by retirement. In the event that any option exercise is rescinded by the Committee as described above, you will be obligated to pay the Company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3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contemplated by the Plan, you agree that you will not exercise your ISO or any portion thereof and that no obligation exists to issue or release shares of stock or accept an exercise of this ISO if the issuance or release of shares or the acceptance of the ISO exercise by the Company or a subsidiary constitutes a violation of any governmental law or regulation.</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ISO is not transferable or assignable except by will or laws of descent and distribution and then only to the extent exercisable at death. Any exercise of this ISO after your death must be made by the person or persons entitled to make such exercise under your will or by the laws of descent and distribution before expiration of the ISO.</w:t>
      </w:r>
    </w:p>
    <w:p>
      <w:pPr>
        <w:spacing w:after="0" w:line="12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By entering into this Agreement and accepting the grant of this ISO as evidenced hereby, you acknowledge and agree that subject to the terms of the Plan and this Agreement, (i) the Plan is discretionary in nature; (ii) the grant of this ISO is a one-time benefit which does not create any contractual or other right to receive future grants of options, or benefits in lieu of options; (iii)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(iv) your participation in the Plan is voluntary; (v) the value of this ISO is an extraordinary item of compensation which is outside the scope of your oral, written or implied employment contract, if any; (vi) this ISO is not part of normal or expected compensation for purposes of calculating any severance, resignation, redundancy, end of service payments, bonuses, long-service awards, pension or retirement benefits or similar payments;</w:t>
      </w: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vesting of this ISO ceases upon termination of employment for any reason except as may otherwise be explicitly provided in the Plan document; and</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By entering into this Agreement, 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u w:val="single" w:color="auto"/>
          <w:color w:val="auto"/>
        </w:rPr>
        <w:t>www.stock-options.slb.com</w:t>
      </w:r>
      <w:r>
        <w:rPr>
          <w:rFonts w:ascii="Arial" w:cs="Arial" w:eastAsia="Arial" w:hAnsi="Arial"/>
          <w:sz w:val="18"/>
          <w:szCs w:val="18"/>
          <w:color w:val="auto"/>
        </w:rPr>
        <w:t>. A paper copy of the Plan and/or prospectus may be obtained by contacting the Stock Option Department,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By executing this Agreement, you acknowledge that you have reviewed a copy of the Plan and are familiar with its terms.</w:t>
      </w:r>
    </w:p>
    <w:p>
      <w:pPr>
        <w:spacing w:after="0" w:line="144" w:lineRule="exact"/>
        <w:rPr>
          <w:sz w:val="20"/>
          <w:szCs w:val="20"/>
          <w:color w:val="auto"/>
        </w:rPr>
      </w:pPr>
    </w:p>
    <w:p>
      <w:pPr>
        <w:jc w:val="both"/>
        <w:ind w:right="200"/>
        <w:spacing w:after="0" w:line="267" w:lineRule="auto"/>
        <w:rPr>
          <w:sz w:val="20"/>
          <w:szCs w:val="20"/>
          <w:color w:val="auto"/>
        </w:rPr>
      </w:pPr>
      <w:r>
        <w:rPr>
          <w:rFonts w:ascii="Arial" w:cs="Arial" w:eastAsia="Arial" w:hAnsi="Arial"/>
          <w:sz w:val="15"/>
          <w:szCs w:val="15"/>
          <w:color w:val="auto"/>
        </w:rPr>
        <w:t>Kindly indicate your acceptance by signing both copies of this Agreement and returning one copy to the Stock Option Department, Schlumberger Limited, 153 East 53</w:t>
      </w:r>
      <w:r>
        <w:rPr>
          <w:rFonts w:ascii="Arial" w:cs="Arial" w:eastAsia="Arial" w:hAnsi="Arial"/>
          <w:sz w:val="19"/>
          <w:szCs w:val="19"/>
          <w:color w:val="auto"/>
          <w:vertAlign w:val="superscript"/>
        </w:rPr>
        <w:t>rd</w:t>
      </w:r>
      <w:r>
        <w:rPr>
          <w:rFonts w:ascii="Arial" w:cs="Arial" w:eastAsia="Arial" w:hAnsi="Arial"/>
          <w:sz w:val="15"/>
          <w:szCs w:val="15"/>
          <w:color w:val="auto"/>
        </w:rPr>
        <w:t xml:space="preserve"> Street, 57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10022, no later than &lt;&lt;date&gt;&gt;. </w:t>
      </w:r>
      <w:r>
        <w:rPr>
          <w:rFonts w:ascii="Arial" w:cs="Arial" w:eastAsia="Arial" w:hAnsi="Arial"/>
          <w:sz w:val="15"/>
          <w:szCs w:val="15"/>
          <w:b w:val="1"/>
          <w:bCs w:val="1"/>
          <w:color w:val="auto"/>
        </w:rPr>
        <w:t>If you do not return a signed copy of this Agreement to the above address</w:t>
      </w:r>
      <w:r>
        <w:rPr>
          <w:rFonts w:ascii="Arial" w:cs="Arial" w:eastAsia="Arial" w:hAnsi="Arial"/>
          <w:sz w:val="15"/>
          <w:szCs w:val="15"/>
          <w:color w:val="auto"/>
        </w:rPr>
        <w:t xml:space="preserve"> </w:t>
      </w:r>
      <w:r>
        <w:rPr>
          <w:rFonts w:ascii="Arial" w:cs="Arial" w:eastAsia="Arial" w:hAnsi="Arial"/>
          <w:sz w:val="15"/>
          <w:szCs w:val="15"/>
          <w:b w:val="1"/>
          <w:bCs w:val="1"/>
          <w:color w:val="auto"/>
        </w:rPr>
        <w:t>by &lt;&lt;date&gt;&gt;, you will be deemed to have rejected this ISO, this ISO will be immediately forfeited and you shall have no rights under this Agreement.</w:t>
      </w:r>
    </w:p>
    <w:p>
      <w:pPr>
        <w:spacing w:after="0" w:line="1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-22860</wp:posOffset>
            </wp:positionV>
            <wp:extent cx="24098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&lt;&lt;name of officer&gt;&gt;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217170</wp:posOffset>
            </wp:positionV>
            <wp:extent cx="24098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Optionee</w:t>
      </w:r>
    </w:p>
    <w:p>
      <w:pPr>
        <w:sectPr>
          <w:pgSz w:w="11900" w:h="16838" w:orient="portrait"/>
          <w:cols w:equalWidth="0" w:num="1">
            <w:col w:w="11400"/>
          </w:cols>
          <w:pgMar w:left="240" w:top="280"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&lt;&lt;year&gt;&gt; STOCK OPTION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Optionee: «fn» «ln»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LIMITED, a Netherlands Antilles corporation (the “Company”), hereby grants to you on &lt;&lt;date&gt;&gt; a non-qualified stock option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purchase a maximum amount of «shgtd» shares (the “Maximum Option Shares”) of Common Stock of the Company, par value $0.01 per share,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$&lt;&lt;price&gt;&gt; (the “Exercise Price”) per share (the ”Non-Qualified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shares purchasable under this Non-Qualified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may be less than the Maximum Option Shares, as more fully described below. Your Non-Qualified Option is subject to all the terms and conditions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Schlumberger &lt;&lt;year&gt;&gt; Stock Option Plan as amended and in effect on the date hereof (the “Plan”) and this Agreement. Your Non-Qualified Option is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intended to constitute an “incentive stock option” under Section 422 of the U.S. Internal Revenue Code of 1986 (the “Code”).</w:t>
      </w:r>
    </w:p>
    <w:p>
      <w:pPr>
        <w:spacing w:after="0" w:line="15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The number of shares subject to this Non-Qualified Option is capped such that at any time, the number of shares subject to this Non-Qualified Option is equal to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(i) the Maximum Option Shares with respect to which the Non-Qualified Option is exercisable less the number of shares previously purchased pursuant to this Non-Qualified Option or (ii) the number of shares determined such that the total spread (as defined below) which would be realized upon an exercise with respect to such number of shares would equal the product of (A) the number of shares determined in (i) above and (B) 125% of the Exercise Price. The “spread” for this purpose is the difference between the aggregate exercise price and aggregate fair market value of the shares as to which the Non-Qualified Option is exercisable, with fair market value determined as of the trading day preceding the applicable date. If, pursuant to this paragraph, the number of shares subject to this Non-Qualified Option includes fractional shares, the number of shares subject to the Non-Qualified Option will be rounded down to the nearest whole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This Non-Qualified Option expires on &lt;&lt;date&gt;&gt;.</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shares subject to this Non-Qualified Option shall become purchasable in installments which are cumulative. The date on which each installment will become exercisable and the maximum number of shares comprising each installment are as follows:</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540" w:type="dxa"/>
            <w:vAlign w:val="bottom"/>
            <w:gridSpan w:val="2"/>
          </w:tcPr>
          <w:p>
            <w:pPr>
              <w:jc w:val="center"/>
              <w:ind w:left="1572"/>
              <w:spacing w:after="0"/>
              <w:rPr>
                <w:sz w:val="20"/>
                <w:szCs w:val="20"/>
                <w:color w:val="auto"/>
              </w:rPr>
            </w:pPr>
            <w:r>
              <w:rPr>
                <w:rFonts w:ascii="Arial" w:cs="Arial" w:eastAsia="Arial" w:hAnsi="Arial"/>
                <w:sz w:val="14"/>
                <w:szCs w:val="14"/>
                <w:b w:val="1"/>
                <w:bCs w:val="1"/>
                <w:color w:val="auto"/>
                <w:w w:val="98"/>
              </w:rPr>
              <w:t>MAXIMUM OPTION SHARES</w:t>
            </w:r>
          </w:p>
        </w:tc>
      </w:tr>
      <w:tr>
        <w:trPr>
          <w:trHeight w:val="95"/>
        </w:trPr>
        <w:tc>
          <w:tcPr>
            <w:tcW w:w="5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r>
      <w:tr>
        <w:trPr>
          <w:trHeight w:val="316"/>
        </w:trPr>
        <w:tc>
          <w:tcPr>
            <w:tcW w:w="2180" w:type="dxa"/>
            <w:vAlign w:val="bottom"/>
            <w:gridSpan w:val="2"/>
          </w:tcPr>
          <w:p>
            <w:pPr>
              <w:spacing w:after="0"/>
              <w:rPr>
                <w:sz w:val="20"/>
                <w:szCs w:val="20"/>
                <w:color w:val="auto"/>
              </w:rPr>
            </w:pPr>
            <w:r>
              <w:rPr>
                <w:rFonts w:ascii="Arial" w:cs="Arial" w:eastAsia="Arial" w:hAnsi="Arial"/>
                <w:sz w:val="18"/>
                <w:szCs w:val="18"/>
                <w:color w:val="auto"/>
              </w:rPr>
              <w:t>«vdp1»</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«sp1»</w:t>
            </w:r>
          </w:p>
        </w:tc>
      </w:tr>
      <w:tr>
        <w:trPr>
          <w:trHeight w:val="324"/>
        </w:trPr>
        <w:tc>
          <w:tcPr>
            <w:tcW w:w="2180" w:type="dxa"/>
            <w:vAlign w:val="bottom"/>
            <w:gridSpan w:val="2"/>
          </w:tcPr>
          <w:p>
            <w:pPr>
              <w:spacing w:after="0"/>
              <w:rPr>
                <w:sz w:val="20"/>
                <w:szCs w:val="20"/>
                <w:color w:val="auto"/>
              </w:rPr>
            </w:pPr>
            <w:r>
              <w:rPr>
                <w:rFonts w:ascii="Arial" w:cs="Arial" w:eastAsia="Arial" w:hAnsi="Arial"/>
                <w:sz w:val="18"/>
                <w:szCs w:val="18"/>
                <w:color w:val="auto"/>
              </w:rPr>
              <w:t>«vdp2»</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«sp2»</w:t>
            </w:r>
          </w:p>
        </w:tc>
      </w:tr>
      <w:tr>
        <w:trPr>
          <w:trHeight w:val="324"/>
        </w:trPr>
        <w:tc>
          <w:tcPr>
            <w:tcW w:w="2180" w:type="dxa"/>
            <w:vAlign w:val="bottom"/>
            <w:gridSpan w:val="2"/>
          </w:tcPr>
          <w:p>
            <w:pPr>
              <w:spacing w:after="0"/>
              <w:rPr>
                <w:sz w:val="20"/>
                <w:szCs w:val="20"/>
                <w:color w:val="auto"/>
              </w:rPr>
            </w:pPr>
            <w:r>
              <w:rPr>
                <w:rFonts w:ascii="Arial" w:cs="Arial" w:eastAsia="Arial" w:hAnsi="Arial"/>
                <w:sz w:val="18"/>
                <w:szCs w:val="18"/>
                <w:color w:val="auto"/>
              </w:rPr>
              <w:t>«vdp3»</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«sp3»</w:t>
            </w:r>
          </w:p>
        </w:tc>
      </w:tr>
      <w:tr>
        <w:trPr>
          <w:trHeight w:val="324"/>
        </w:trPr>
        <w:tc>
          <w:tcPr>
            <w:tcW w:w="2180" w:type="dxa"/>
            <w:vAlign w:val="bottom"/>
            <w:gridSpan w:val="2"/>
          </w:tcPr>
          <w:p>
            <w:pPr>
              <w:spacing w:after="0"/>
              <w:rPr>
                <w:sz w:val="20"/>
                <w:szCs w:val="20"/>
                <w:color w:val="auto"/>
              </w:rPr>
            </w:pPr>
            <w:r>
              <w:rPr>
                <w:rFonts w:ascii="Arial" w:cs="Arial" w:eastAsia="Arial" w:hAnsi="Arial"/>
                <w:sz w:val="18"/>
                <w:szCs w:val="18"/>
                <w:color w:val="auto"/>
              </w:rPr>
              <w:t>«vdp4»</w:t>
            </w:r>
          </w:p>
        </w:tc>
        <w:tc>
          <w:tcPr>
            <w:tcW w:w="16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«sp4»</w:t>
            </w:r>
          </w:p>
        </w:tc>
      </w:tr>
    </w:tbl>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Non-Qualified Option may be exercised only by delivering to the Company a written notice specifying the number of shares you wish to purchase. The Compensation Committee, authorized by the Company to administer the Plan (the “Committee”), hereby notifies you that the Non-Qualified Option price may be paid, subject to such rules and procedures as the Committee may prescribe from time to time, (1) in cash or certified check, (2) by the delivery of shares of Common Stock of the Company with a fair market value at the time of exercise equal to the total Non-Qualified Option price or (3) by a combination of the methods described in (1) and (2).</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assist you in the acquisition of shares pursuant to the exercise of this Non-Qualified Option, the Committee in its sole discretion has authorized the extension of an option financing program coordinated with Fiserv Investor Services. The terms and procedures of this program or any such program that the Committee may authorize in the future will be communicated to you.</w:t>
      </w:r>
    </w:p>
    <w:p>
      <w:pPr>
        <w:spacing w:after="0" w:line="12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Non-Qualified Option will expire earlier than the date set forth above if you terminate employment with the Company or subsidiary (within the meaning of Code Section 424(f)). If you terminate employment with consent of the Company, any exercise of this Non-Qualified Option must be made within three (3) months of termination of employment (or expiration date, if earlier) and then only to the extent the Non-Qualified Option was exercisable upon termination, unless you “retire” within the meaning of Section 5(c)(v) of the Plan or terminate employment due to death. Section 5 of the Plan provides specific rules for exercise of this Non-Qualified Option on termination of employment due to retirement or death and its terms are hereby incorporated in this Agreement. If termination of your employment is because of breach of your employment contract or your misconduct, this Non-Qualified Option will immediately expire and terminate. Termination of your employment without consent of the Company will cause your Non-Qualified Option to expire immediately. This Non-Qualified Option may be forfeited, and any exercise you have made of this Non-Qualified Option may be rescinded, as further described below, if you engage in certain ‘detrimental activity’ as defined in the Plan. Specifically, if you engage in detrimental activity within one year following termination of employment for any reason other than retirement, this Non-Qualified Option will immediately expire and terminate and the Committee may rescind any exercise that you made under this option within six months preceding or three months following your termination. If you engage in detrimental activity within five years following termination of employment by reason of retirement, this Non-Qualified Option will immediately</w:t>
      </w:r>
    </w:p>
    <w:p>
      <w:pPr>
        <w:sectPr>
          <w:pgSz w:w="11900" w:h="16838" w:orient="portrait"/>
          <w:cols w:equalWidth="0" w:num="1">
            <w:col w:w="11420"/>
          </w:cols>
          <w:pgMar w:left="240" w:top="125" w:right="239" w:bottom="1440" w:gutter="0" w:footer="0" w:header="0"/>
        </w:sectPr>
      </w:pPr>
    </w:p>
    <w:bookmarkStart w:id="36" w:name="page37"/>
    <w:bookmarkEnd w:id="3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expire and terminate and the Committee may rescind any exercise that you made under this option within six months preceding or one year following your termination by retirement. In the event that any option exercise is rescinded by the Committee as described above, you will be obligated to pay the Company an amount equal to the spread on the shares with respect to which the rescinded exercise applied. (The “spread” for this purpose is the difference between the aggregate exercise price and aggregate fair market value of the shares as to which you exercised your option, with fair market value determined as of the exercise date.)</w:t>
      </w:r>
    </w:p>
    <w:p>
      <w:pPr>
        <w:spacing w:after="0" w:line="129"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As contemplated by the Plan, you agree that you will not exercise your Non-Qualified Option or any portion thereof and that no obligation exists to issue or release shares of stock or accept an exercise of this Non-Qualified Option if the issuance or release of shares or the acceptance of the Non-Qualified Option exercise by the Company or a subsidiary constitutes a violation of any governmental law or regulation.</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Non-Qualified Option is not transferable or assignable except by will or laws of descent and distribution and then only to the extent exercisable at death. Any exercise of this Non-Qualified Option after your death must be made by the person or persons entitled to make such exercise under your will or by the laws of descent and distribution before expiration of the Non-Qualified Option.</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By entering into this Agreement and accepting the grant of this Non-Qualified Option as evidenced hereby, you acknowledge and agree that subject to the terms of the Plan and this Agreement, (i) the Plan is discretionary in nature; (ii) the grant of this Non-Qualified Option is a one-time benefit which does not create any contractual or other right to receive future grants of options, or benefits in lieu of options; (iii)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Committee; (iv) your participation in the Plan is voluntary; (v) the value of this Non-Qualified Option is an extraordinary item of compensation which is outside the scope of your oral, written or implied employment contract, if any; (vi) this Non-Qualified Option is not part of normal or expected compensation for purposes of calculating any severance, resignation, redundancy, end of service payments, bonuses, long-service awards, pension or retirement benefits or similar payments; (vii) the vesting of this Non-Qualified Option ceases upon termination of employment for any reason except as may otherwise be explicitly provided in the Plan document; and (viii) the future value of the underlying shares is unknown and cannot be predicted with certainty.</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By entering into this Agreement, you (i) authorize the Committee, the Company and the employer entity, and any agent of the Committee administering the Plan or providing Plan recordkeeping services, to disclose to the Committee, the Company or any of its affiliates such information and data as the Committee or the Company shall request in order to facilitate the grant of options and the administration of the Plan; (ii) waive any data privacy rights you may have with respect to such information; and (iii) authorize the Company and any such agent to store and transmit such information in electronic form.</w:t>
      </w:r>
    </w:p>
    <w:p>
      <w:pPr>
        <w:spacing w:after="0" w:line="9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Plan and prospectus are both available on-line at </w:t>
      </w:r>
      <w:r>
        <w:rPr>
          <w:rFonts w:ascii="Arial" w:cs="Arial" w:eastAsia="Arial" w:hAnsi="Arial"/>
          <w:sz w:val="18"/>
          <w:szCs w:val="18"/>
          <w:b w:val="1"/>
          <w:bCs w:val="1"/>
          <w:u w:val="single" w:color="auto"/>
          <w:color w:val="auto"/>
        </w:rPr>
        <w:t>www.stock-options.slb.com</w:t>
      </w:r>
      <w:r>
        <w:rPr>
          <w:rFonts w:ascii="Arial" w:cs="Arial" w:eastAsia="Arial" w:hAnsi="Arial"/>
          <w:sz w:val="18"/>
          <w:szCs w:val="18"/>
          <w:color w:val="auto"/>
        </w:rPr>
        <w:t>. A paper copy of the Plan and/or prospectus may be obtained by contacting the Stock Option Department,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By executing this Agreement, you acknowledge that you have reviewed a copy of the Plan and are familiar with its terms.</w:t>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Kindly indicate your acceptance by signing both copies of this Agreement and returning one copy to the Stock Option Department,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no later than &lt;&lt;date&gt;&gt;. </w:t>
      </w:r>
      <w:r>
        <w:rPr>
          <w:rFonts w:ascii="Arial" w:cs="Arial" w:eastAsia="Arial" w:hAnsi="Arial"/>
          <w:sz w:val="18"/>
          <w:szCs w:val="18"/>
          <w:b w:val="1"/>
          <w:bCs w:val="1"/>
          <w:color w:val="auto"/>
        </w:rPr>
        <w:t>If you do not return a signed copy of this Agreement to the above address</w:t>
      </w:r>
      <w:r>
        <w:rPr>
          <w:rFonts w:ascii="Arial" w:cs="Arial" w:eastAsia="Arial" w:hAnsi="Arial"/>
          <w:sz w:val="18"/>
          <w:szCs w:val="18"/>
          <w:color w:val="auto"/>
        </w:rPr>
        <w:t xml:space="preserve"> </w:t>
      </w:r>
      <w:r>
        <w:rPr>
          <w:rFonts w:ascii="Arial" w:cs="Arial" w:eastAsia="Arial" w:hAnsi="Arial"/>
          <w:sz w:val="18"/>
          <w:szCs w:val="18"/>
          <w:b w:val="1"/>
          <w:bCs w:val="1"/>
          <w:color w:val="auto"/>
        </w:rPr>
        <w:t>by &lt;&lt;date&gt;&gt;, you will be deemed to have rejected this Non-Qualified Option, this Non-Qualified Option will be immediately forfeited and you shall have no rights under this Agreement.</w:t>
      </w:r>
    </w:p>
    <w:p>
      <w:pPr>
        <w:spacing w:after="0" w:line="14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-22860</wp:posOffset>
            </wp:positionV>
            <wp:extent cx="265874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&lt;&lt;name of officer&gt;&gt;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Optionee</w:t>
      </w:r>
    </w:p>
    <w:p>
      <w:pPr>
        <w:sectPr>
          <w:pgSz w:w="11900" w:h="16838" w:orient="portrait"/>
          <w:cols w:equalWidth="0" w:num="1">
            <w:col w:w="11400"/>
          </w:cols>
          <w:pgMar w:left="240" w:top="280"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firstLine="464"/>
        <w:spacing w:after="0" w:line="259" w:lineRule="auto"/>
        <w:tabs>
          <w:tab w:leader="none" w:pos="6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60" w:firstLine="464"/>
        <w:spacing w:after="0" w:line="268" w:lineRule="auto"/>
        <w:tabs>
          <w:tab w:leader="none" w:pos="6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3, 2004</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583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firstLine="464"/>
        <w:spacing w:after="0" w:line="259"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160" w:firstLine="464"/>
        <w:spacing w:after="0" w:line="268"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0" w:firstLine="464"/>
        <w:spacing w:after="0" w:line="259"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4, 2004</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583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September 30, 2004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3, 2004</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216979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September 30, 2004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4, 2004</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21697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3"/>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4"/>
    </w:lvl>
    <w:lvl w:ilvl="1">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amp;"/>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Roman"/>
      <w:start w:val="7"/>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2019-12-13T06:50:28Z</dcterms:created>
  <dcterms:modified xsi:type="dcterms:W3CDTF">2019-12-13T06:50:28Z</dcterms:modified>
</cp:coreProperties>
</file>