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34,398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90,446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142,946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34,345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36.64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108,601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of common stock issued to the reporting person on January 21, 2022 upon achievement of the performance criteria and vesting of performance share units granted on January 16, 2019.</w:t>
      </w:r>
    </w:p>
    <w:p>
      <w:pPr>
        <w:ind w:left="658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2022-01-25T11:29:10Z</dcterms:created>
  <dcterms:modified xsi:type="dcterms:W3CDTF">2022-01-25T11:29:10Z</dcterms:modified>
</cp:coreProperties>
</file>