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71755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108585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93345</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89535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7" w:lineRule="exact"/>
        <w:rPr>
          <w:sz w:val="24"/>
          <w:szCs w:val="24"/>
          <w:color w:val="auto"/>
        </w:rPr>
      </w:pPr>
    </w:p>
    <w:tbl>
      <w:tblPr>
        <w:tblLayout w:type="fixed"/>
        <w:tblInd w:w="1500" w:type="dxa"/>
        <w:tblCellMar>
          <w:top w:w="0" w:type="dxa"/>
          <w:left w:w="0" w:type="dxa"/>
          <w:bottom w:w="0" w:type="dxa"/>
          <w:right w:w="0" w:type="dxa"/>
        </w:tblCellMar>
      </w:tblPr>
      <w:tr>
        <w:trPr>
          <w:trHeight w:val="211"/>
        </w:trPr>
        <w:tc>
          <w:tcPr>
            <w:tcW w:w="6280" w:type="dxa"/>
            <w:vAlign w:val="bottom"/>
          </w:tcPr>
          <w:p>
            <w:pPr>
              <w:jc w:val="center"/>
              <w:ind w:right="3575"/>
              <w:spacing w:after="0"/>
              <w:rPr>
                <w:sz w:val="20"/>
                <w:szCs w:val="20"/>
                <w:color w:val="auto"/>
              </w:rPr>
            </w:pPr>
            <w:r>
              <w:rPr>
                <w:rFonts w:ascii="Arial" w:cs="Arial" w:eastAsia="Arial" w:hAnsi="Arial"/>
                <w:sz w:val="18"/>
                <w:szCs w:val="18"/>
                <w:b w:val="1"/>
                <w:bCs w:val="1"/>
                <w:color w:val="auto"/>
                <w:w w:val="97"/>
              </w:rPr>
              <w:t>CURAÇAO</w:t>
            </w:r>
          </w:p>
        </w:tc>
        <w:tc>
          <w:tcPr>
            <w:tcW w:w="1400" w:type="dxa"/>
            <w:vAlign w:val="bottom"/>
          </w:tcPr>
          <w:p>
            <w:pPr>
              <w:jc w:val="center"/>
              <w:ind w:left="21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6280" w:type="dxa"/>
            <w:vAlign w:val="bottom"/>
          </w:tcPr>
          <w:p>
            <w:pPr>
              <w:jc w:val="center"/>
              <w:ind w:right="3575"/>
              <w:spacing w:after="0" w:line="148" w:lineRule="exact"/>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97"/>
              <w:spacing w:after="0" w:line="148"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80" w:type="dxa"/>
            <w:vAlign w:val="bottom"/>
          </w:tcPr>
          <w:p>
            <w:pPr>
              <w:jc w:val="center"/>
              <w:ind w:right="3575"/>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97"/>
              <w:spacing w:after="0"/>
              <w:rPr>
                <w:sz w:val="20"/>
                <w:szCs w:val="20"/>
                <w:color w:val="auto"/>
              </w:rPr>
            </w:pPr>
            <w:r>
              <w:rPr>
                <w:rFonts w:ascii="Arial" w:cs="Arial" w:eastAsia="Arial" w:hAnsi="Arial"/>
                <w:sz w:val="14"/>
                <w:szCs w:val="14"/>
                <w:b w:val="1"/>
                <w:bCs w:val="1"/>
                <w:color w:val="auto"/>
                <w:w w:val="94"/>
              </w:rPr>
              <w:t>Identification No.)</w:t>
            </w:r>
          </w:p>
        </w:tc>
      </w:tr>
      <w:tr>
        <w:trPr>
          <w:trHeight w:val="303"/>
        </w:trPr>
        <w:tc>
          <w:tcPr>
            <w:tcW w:w="6280" w:type="dxa"/>
            <w:vAlign w:val="bottom"/>
          </w:tcPr>
          <w:p>
            <w:pPr>
              <w:jc w:val="center"/>
              <w:ind w:right="3575"/>
              <w:spacing w:after="0"/>
              <w:rPr>
                <w:sz w:val="20"/>
                <w:szCs w:val="20"/>
                <w:color w:val="auto"/>
              </w:rPr>
            </w:pPr>
            <w:r>
              <w:rPr>
                <w:rFonts w:ascii="Arial" w:cs="Arial" w:eastAsia="Arial" w:hAnsi="Arial"/>
                <w:sz w:val="18"/>
                <w:szCs w:val="18"/>
                <w:b w:val="1"/>
                <w:bCs w:val="1"/>
                <w:color w:val="auto"/>
              </w:rPr>
              <w:t>42 RUE SAINT-DOMINIQUE</w:t>
            </w:r>
          </w:p>
        </w:tc>
        <w:tc>
          <w:tcPr>
            <w:tcW w:w="1400" w:type="dxa"/>
            <w:vAlign w:val="bottom"/>
          </w:tcPr>
          <w:p>
            <w:pPr>
              <w:spacing w:after="0"/>
              <w:rPr>
                <w:sz w:val="24"/>
                <w:szCs w:val="24"/>
                <w:color w:val="auto"/>
              </w:rPr>
            </w:pPr>
          </w:p>
        </w:tc>
      </w:tr>
      <w:tr>
        <w:trPr>
          <w:trHeight w:val="234"/>
        </w:trPr>
        <w:tc>
          <w:tcPr>
            <w:tcW w:w="6280" w:type="dxa"/>
            <w:vAlign w:val="bottom"/>
          </w:tcPr>
          <w:p>
            <w:pPr>
              <w:jc w:val="center"/>
              <w:ind w:right="3555"/>
              <w:spacing w:after="0"/>
              <w:rPr>
                <w:sz w:val="20"/>
                <w:szCs w:val="20"/>
                <w:color w:val="auto"/>
              </w:rPr>
            </w:pPr>
            <w:r>
              <w:rPr>
                <w:rFonts w:ascii="Arial" w:cs="Arial" w:eastAsia="Arial" w:hAnsi="Arial"/>
                <w:sz w:val="18"/>
                <w:szCs w:val="18"/>
                <w:b w:val="1"/>
                <w:bCs w:val="1"/>
                <w:color w:val="auto"/>
                <w:w w:val="97"/>
              </w:rPr>
              <w:t>PARIS, FRANCE</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87"/>
              </w:rPr>
              <w:t>75007</w:t>
            </w:r>
          </w:p>
        </w:tc>
      </w:tr>
      <w:tr>
        <w:trPr>
          <w:trHeight w:val="317"/>
        </w:trPr>
        <w:tc>
          <w:tcPr>
            <w:tcW w:w="6280" w:type="dxa"/>
            <w:vAlign w:val="bottom"/>
          </w:tcPr>
          <w:p>
            <w:pPr>
              <w:jc w:val="center"/>
              <w:ind w:right="3575"/>
              <w:spacing w:after="0"/>
              <w:rPr>
                <w:sz w:val="20"/>
                <w:szCs w:val="20"/>
                <w:color w:val="auto"/>
              </w:rPr>
            </w:pPr>
            <w:r>
              <w:rPr>
                <w:rFonts w:ascii="Arial" w:cs="Arial" w:eastAsia="Arial" w:hAnsi="Arial"/>
                <w:sz w:val="18"/>
                <w:szCs w:val="18"/>
                <w:b w:val="1"/>
                <w:bCs w:val="1"/>
                <w:color w:val="auto"/>
                <w:w w:val="96"/>
              </w:rPr>
              <w:t>5599 SAN FELIPE, 17th FLOOR</w:t>
            </w:r>
          </w:p>
        </w:tc>
        <w:tc>
          <w:tcPr>
            <w:tcW w:w="1400" w:type="dxa"/>
            <w:vAlign w:val="bottom"/>
          </w:tcPr>
          <w:p>
            <w:pPr>
              <w:spacing w:after="0"/>
              <w:rPr>
                <w:sz w:val="24"/>
                <w:szCs w:val="24"/>
                <w:color w:val="auto"/>
              </w:rPr>
            </w:pPr>
          </w:p>
        </w:tc>
      </w:tr>
      <w:tr>
        <w:trPr>
          <w:trHeight w:val="234"/>
        </w:trPr>
        <w:tc>
          <w:tcPr>
            <w:tcW w:w="6280" w:type="dxa"/>
            <w:vAlign w:val="bottom"/>
          </w:tcPr>
          <w:p>
            <w:pPr>
              <w:jc w:val="center"/>
              <w:ind w:right="3575"/>
              <w:spacing w:after="0"/>
              <w:rPr>
                <w:sz w:val="20"/>
                <w:szCs w:val="20"/>
                <w:color w:val="auto"/>
              </w:rPr>
            </w:pPr>
            <w:r>
              <w:rPr>
                <w:rFonts w:ascii="Arial" w:cs="Arial" w:eastAsia="Arial" w:hAnsi="Arial"/>
                <w:sz w:val="18"/>
                <w:szCs w:val="18"/>
                <w:b w:val="1"/>
                <w:bCs w:val="1"/>
                <w:color w:val="auto"/>
                <w:w w:val="97"/>
              </w:rPr>
              <w:t>HOUSTON, TEXAS, U.S.A.</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87"/>
              </w:rPr>
              <w:t>77056</w:t>
            </w:r>
          </w:p>
        </w:tc>
      </w:tr>
      <w:tr>
        <w:trPr>
          <w:trHeight w:val="317"/>
        </w:trPr>
        <w:tc>
          <w:tcPr>
            <w:tcW w:w="6280" w:type="dxa"/>
            <w:vAlign w:val="bottom"/>
          </w:tcPr>
          <w:p>
            <w:pPr>
              <w:jc w:val="center"/>
              <w:ind w:right="3575"/>
              <w:spacing w:after="0"/>
              <w:rPr>
                <w:sz w:val="20"/>
                <w:szCs w:val="20"/>
                <w:color w:val="auto"/>
              </w:rPr>
            </w:pPr>
            <w:r>
              <w:rPr>
                <w:rFonts w:ascii="Arial" w:cs="Arial" w:eastAsia="Arial" w:hAnsi="Arial"/>
                <w:sz w:val="18"/>
                <w:szCs w:val="18"/>
                <w:b w:val="1"/>
                <w:bCs w:val="1"/>
                <w:color w:val="auto"/>
              </w:rPr>
              <w:t>62 BUCKINGHAM GATE</w:t>
            </w:r>
          </w:p>
        </w:tc>
        <w:tc>
          <w:tcPr>
            <w:tcW w:w="1400" w:type="dxa"/>
            <w:vAlign w:val="bottom"/>
          </w:tcPr>
          <w:p>
            <w:pPr>
              <w:spacing w:after="0"/>
              <w:rPr>
                <w:sz w:val="24"/>
                <w:szCs w:val="24"/>
                <w:color w:val="auto"/>
              </w:rPr>
            </w:pPr>
          </w:p>
        </w:tc>
      </w:tr>
      <w:tr>
        <w:trPr>
          <w:trHeight w:val="234"/>
        </w:trPr>
        <w:tc>
          <w:tcPr>
            <w:tcW w:w="6280" w:type="dxa"/>
            <w:vAlign w:val="bottom"/>
          </w:tcPr>
          <w:p>
            <w:pPr>
              <w:jc w:val="center"/>
              <w:ind w:right="3575"/>
              <w:spacing w:after="0"/>
              <w:rPr>
                <w:sz w:val="20"/>
                <w:szCs w:val="20"/>
                <w:color w:val="auto"/>
              </w:rPr>
            </w:pPr>
            <w:r>
              <w:rPr>
                <w:rFonts w:ascii="Arial" w:cs="Arial" w:eastAsia="Arial" w:hAnsi="Arial"/>
                <w:sz w:val="18"/>
                <w:szCs w:val="18"/>
                <w:b w:val="1"/>
                <w:bCs w:val="1"/>
                <w:color w:val="auto"/>
              </w:rPr>
              <w:t>LONDON, UNITED KINGDOM</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94"/>
              </w:rPr>
              <w:t>SW1E 6AJ</w:t>
            </w:r>
          </w:p>
        </w:tc>
      </w:tr>
      <w:tr>
        <w:trPr>
          <w:trHeight w:val="317"/>
        </w:trPr>
        <w:tc>
          <w:tcPr>
            <w:tcW w:w="6280" w:type="dxa"/>
            <w:vAlign w:val="bottom"/>
          </w:tcPr>
          <w:p>
            <w:pPr>
              <w:jc w:val="center"/>
              <w:ind w:right="3575"/>
              <w:spacing w:after="0"/>
              <w:rPr>
                <w:sz w:val="20"/>
                <w:szCs w:val="20"/>
                <w:color w:val="auto"/>
              </w:rPr>
            </w:pPr>
            <w:r>
              <w:rPr>
                <w:rFonts w:ascii="Arial" w:cs="Arial" w:eastAsia="Arial" w:hAnsi="Arial"/>
                <w:sz w:val="18"/>
                <w:szCs w:val="18"/>
                <w:b w:val="1"/>
                <w:bCs w:val="1"/>
                <w:color w:val="auto"/>
                <w:w w:val="98"/>
              </w:rPr>
              <w:t>PARKSTRAAT 83 THE HAGUE,</w:t>
            </w:r>
          </w:p>
        </w:tc>
        <w:tc>
          <w:tcPr>
            <w:tcW w:w="1400" w:type="dxa"/>
            <w:vAlign w:val="bottom"/>
          </w:tcPr>
          <w:p>
            <w:pPr>
              <w:spacing w:after="0"/>
              <w:rPr>
                <w:sz w:val="24"/>
                <w:szCs w:val="24"/>
                <w:color w:val="auto"/>
              </w:rPr>
            </w:pPr>
          </w:p>
        </w:tc>
      </w:tr>
      <w:tr>
        <w:trPr>
          <w:trHeight w:val="211"/>
        </w:trPr>
        <w:tc>
          <w:tcPr>
            <w:tcW w:w="6280" w:type="dxa"/>
            <w:vAlign w:val="bottom"/>
          </w:tcPr>
          <w:p>
            <w:pPr>
              <w:jc w:val="center"/>
              <w:ind w:right="3575"/>
              <w:spacing w:after="0"/>
              <w:rPr>
                <w:sz w:val="20"/>
                <w:szCs w:val="20"/>
                <w:color w:val="auto"/>
              </w:rPr>
            </w:pPr>
            <w:r>
              <w:rPr>
                <w:rFonts w:ascii="Arial" w:cs="Arial" w:eastAsia="Arial" w:hAnsi="Arial"/>
                <w:sz w:val="18"/>
                <w:szCs w:val="18"/>
                <w:b w:val="1"/>
                <w:bCs w:val="1"/>
                <w:color w:val="auto"/>
              </w:rPr>
              <w:t>THE NETHERLANDS</w:t>
            </w: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6280" w:type="dxa"/>
            <w:vAlign w:val="bottom"/>
          </w:tcPr>
          <w:p>
            <w:pPr>
              <w:jc w:val="center"/>
              <w:ind w:right="3575"/>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1400" w:type="dxa"/>
            <w:vAlign w:val="bottom"/>
          </w:tcPr>
          <w:p>
            <w:pPr>
              <w:jc w:val="center"/>
              <w:ind w:left="197"/>
              <w:spacing w:after="0"/>
              <w:rPr>
                <w:sz w:val="20"/>
                <w:szCs w:val="20"/>
                <w:color w:val="auto"/>
              </w:rPr>
            </w:pPr>
            <w:r>
              <w:rPr>
                <w:rFonts w:ascii="Arial" w:cs="Arial" w:eastAsia="Arial" w:hAnsi="Arial"/>
                <w:sz w:val="14"/>
                <w:szCs w:val="14"/>
                <w:b w:val="1"/>
                <w:bCs w:val="1"/>
                <w:color w:val="auto"/>
                <w:w w:val="93"/>
              </w:rPr>
              <w:t>(Zip Codes)</w:t>
            </w:r>
          </w:p>
        </w:tc>
      </w:tr>
      <w:tr>
        <w:trPr>
          <w:trHeight w:val="308"/>
        </w:trPr>
        <w:tc>
          <w:tcPr>
            <w:tcW w:w="6280" w:type="dxa"/>
            <w:vAlign w:val="bottom"/>
          </w:tcPr>
          <w:p>
            <w:pPr>
              <w:ind w:left="2420"/>
              <w:spacing w:after="0"/>
              <w:rPr>
                <w:sz w:val="20"/>
                <w:szCs w:val="20"/>
                <w:color w:val="auto"/>
              </w:rPr>
            </w:pPr>
            <w:r>
              <w:rPr>
                <w:rFonts w:ascii="Arial" w:cs="Arial" w:eastAsia="Arial" w:hAnsi="Arial"/>
                <w:sz w:val="18"/>
                <w:szCs w:val="18"/>
                <w:b w:val="1"/>
                <w:bCs w:val="1"/>
                <w:color w:val="auto"/>
                <w:w w:val="96"/>
              </w:rPr>
              <w:t>Registrant’s telephone number: (713) 513-2000</w:t>
            </w:r>
          </w:p>
        </w:tc>
        <w:tc>
          <w:tcPr>
            <w:tcW w:w="1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10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80"/>
        <w:spacing w:after="0" w:line="30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06" w:right="239" w:bottom="1440" w:gutter="0" w:footer="0" w:header="0"/>
        </w:sectPr>
      </w:pPr>
    </w:p>
    <w:p>
      <w:pPr>
        <w:spacing w:after="0" w:line="53"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5" w:lineRule="exact"/>
        <w:rPr>
          <w:sz w:val="24"/>
          <w:szCs w:val="24"/>
          <w:color w:val="auto"/>
        </w:rPr>
      </w:pPr>
    </w:p>
    <w:p>
      <w:pPr>
        <w:sectPr>
          <w:pgSz w:w="11900" w:h="16838" w:orient="portrait"/>
          <w:cols w:equalWidth="0" w:num="4">
            <w:col w:w="1620" w:space="500"/>
            <w:col w:w="5260" w:space="720"/>
            <w:col w:w="2320" w:space="720"/>
            <w:col w:w="280"/>
          </w:cols>
          <w:pgMar w:left="240" w:top="206" w:right="23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2" w:lineRule="exact"/>
        <w:rPr>
          <w:sz w:val="24"/>
          <w:szCs w:val="24"/>
          <w:color w:val="auto"/>
        </w:rPr>
      </w:pPr>
    </w:p>
    <w:p>
      <w:pPr>
        <w:sectPr>
          <w:pgSz w:w="11900" w:h="16838" w:orient="portrait"/>
          <w:cols w:equalWidth="0" w:num="5">
            <w:col w:w="1540" w:space="580"/>
            <w:col w:w="160" w:space="80"/>
            <w:col w:w="5020" w:space="720"/>
            <w:col w:w="2320" w:space="720"/>
            <w:col w:w="280"/>
          </w:cols>
          <w:pgMar w:left="240" w:top="206"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0" w:lineRule="exact"/>
        <w:rPr>
          <w:sz w:val="24"/>
          <w:szCs w:val="24"/>
          <w:color w:val="auto"/>
        </w:rPr>
      </w:pPr>
    </w:p>
    <w:p>
      <w:pPr>
        <w:sectPr>
          <w:pgSz w:w="11900" w:h="16838" w:orient="portrait"/>
          <w:cols w:equalWidth="0" w:num="4">
            <w:col w:w="8140" w:space="180"/>
            <w:col w:w="260" w:space="80"/>
            <w:col w:w="180" w:space="180"/>
            <w:col w:w="2400"/>
          </w:cols>
          <w:pgMar w:left="240" w:top="2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208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Outstanding at September 30, 2014</w:t>
            </w:r>
          </w:p>
        </w:tc>
        <w:tc>
          <w:tcPr>
            <w:tcW w:w="360" w:type="dxa"/>
            <w:vAlign w:val="bottom"/>
          </w:tcPr>
          <w:p>
            <w:pPr>
              <w:spacing w:after="0"/>
              <w:rPr>
                <w:sz w:val="20"/>
                <w:szCs w:val="20"/>
                <w:color w:val="auto"/>
              </w:rPr>
            </w:pPr>
          </w:p>
        </w:tc>
      </w:tr>
      <w:tr>
        <w:trPr>
          <w:trHeight w:val="242"/>
        </w:trPr>
        <w:tc>
          <w:tcPr>
            <w:tcW w:w="6280" w:type="dxa"/>
            <w:vAlign w:val="bottom"/>
            <w:gridSpan w:val="3"/>
          </w:tcPr>
          <w:p>
            <w:pPr>
              <w:spacing w:after="0"/>
              <w:rPr>
                <w:sz w:val="20"/>
                <w:szCs w:val="20"/>
                <w:color w:val="auto"/>
              </w:rPr>
            </w:pPr>
            <w:r>
              <w:rPr>
                <w:rFonts w:ascii="Arial" w:cs="Arial" w:eastAsia="Arial" w:hAnsi="Arial"/>
                <w:sz w:val="18"/>
                <w:szCs w:val="18"/>
                <w:color w:val="auto"/>
              </w:rPr>
              <w:t>COMMON STOCK, $0.01 PAR VALUE PER SHARE</w:t>
            </w:r>
          </w:p>
        </w:tc>
        <w:tc>
          <w:tcPr>
            <w:tcW w:w="5140" w:type="dxa"/>
            <w:vAlign w:val="bottom"/>
            <w:gridSpan w:val="3"/>
          </w:tcPr>
          <w:p>
            <w:pPr>
              <w:jc w:val="right"/>
              <w:spacing w:after="0"/>
              <w:rPr>
                <w:sz w:val="20"/>
                <w:szCs w:val="20"/>
                <w:color w:val="auto"/>
              </w:rPr>
            </w:pPr>
            <w:r>
              <w:rPr>
                <w:rFonts w:ascii="Arial" w:cs="Arial" w:eastAsia="Arial" w:hAnsi="Arial"/>
                <w:sz w:val="18"/>
                <w:szCs w:val="18"/>
                <w:color w:val="auto"/>
              </w:rPr>
              <w:t>1,286,793,905</w:t>
            </w:r>
          </w:p>
        </w:tc>
      </w:tr>
    </w:tbl>
    <w:p>
      <w:pPr>
        <w:sectPr>
          <w:pgSz w:w="11900" w:h="16838" w:orient="portrait"/>
          <w:cols w:equalWidth="0" w:num="1">
            <w:col w:w="11420"/>
          </w:cols>
          <w:pgMar w:left="240" w:top="2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2014 Form 10-Q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966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60" w:type="dxa"/>
            <w:vAlign w:val="bottom"/>
            <w:vMerge w:val="continue"/>
          </w:tcPr>
          <w:p>
            <w:pPr>
              <w:spacing w:after="0"/>
              <w:rPr>
                <w:sz w:val="23"/>
                <w:szCs w:val="23"/>
                <w:color w:val="auto"/>
              </w:rPr>
            </w:pPr>
          </w:p>
        </w:tc>
        <w:tc>
          <w:tcPr>
            <w:tcW w:w="64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536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66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6"/>
        </w:trPr>
        <w:tc>
          <w:tcPr>
            <w:tcW w:w="116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Other Information</w:t>
            </w:r>
          </w:p>
        </w:tc>
        <w:tc>
          <w:tcPr>
            <w:tcW w:w="79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8320" w:type="dxa"/>
            <w:vAlign w:val="bottom"/>
            <w:gridSpan w:val="7"/>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6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60" w:type="dxa"/>
            <w:vAlign w:val="bottom"/>
            <w:vMerge w:val="continue"/>
          </w:tcPr>
          <w:p>
            <w:pPr>
              <w:spacing w:after="0"/>
              <w:rPr>
                <w:sz w:val="23"/>
                <w:szCs w:val="23"/>
                <w:color w:val="auto"/>
              </w:rPr>
            </w:pP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532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Defaults Upon Senior Securities</w:t>
              </w:r>
            </w:hyperlink>
          </w:p>
        </w:tc>
        <w:tc>
          <w:tcPr>
            <w:tcW w:w="7340" w:type="dxa"/>
            <w:vAlign w:val="bottom"/>
            <w:gridSpan w:val="4"/>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66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3"/>
                <w:szCs w:val="23"/>
                <w:color w:val="auto"/>
              </w:rPr>
            </w:pPr>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16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16"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6" w:lineRule="exact"/>
        <w:rPr>
          <w:sz w:val="20"/>
          <w:szCs w:val="20"/>
          <w:color w:val="auto"/>
        </w:rPr>
      </w:pPr>
    </w:p>
    <w:p>
      <w:pPr>
        <w:ind w:left="388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10"/>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171"/>
        </w:trPr>
        <w:tc>
          <w:tcPr>
            <w:tcW w:w="5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rPr>
              <w:t>2013</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w w:val="83"/>
              </w:rPr>
              <w:t>2013</w:t>
            </w:r>
          </w:p>
        </w:tc>
        <w:tc>
          <w:tcPr>
            <w:tcW w:w="100" w:type="dxa"/>
            <w:vAlign w:val="bottom"/>
            <w:tcBorders>
              <w:bottom w:val="single" w:sz="8" w:color="CFF0FC"/>
            </w:tcBorders>
          </w:tcPr>
          <w:p>
            <w:pPr>
              <w:spacing w:after="0"/>
              <w:rPr>
                <w:sz w:val="13"/>
                <w:szCs w:val="13"/>
                <w:color w:val="auto"/>
              </w:rPr>
            </w:pPr>
          </w:p>
        </w:tc>
      </w:tr>
      <w:tr>
        <w:trPr>
          <w:trHeight w:val="222"/>
        </w:trPr>
        <w:tc>
          <w:tcPr>
            <w:tcW w:w="54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35,939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33,360</w:t>
            </w: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i w:val="1"/>
                <w:iCs w:val="1"/>
                <w:color w:val="auto"/>
              </w:rPr>
              <w:t>Interest &amp; other income</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1,028</w:t>
            </w:r>
          </w:p>
        </w:tc>
      </w:tr>
      <w:tr>
        <w:trPr>
          <w:trHeight w:val="229"/>
        </w:trPr>
        <w:tc>
          <w:tcPr>
            <w:tcW w:w="542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9,689</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27,708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26,047</w:t>
            </w: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Research &amp; engineering</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&amp; administrative</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125</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353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305</w:t>
            </w: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Impairment &amp; other</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294</w:t>
            </w:r>
          </w:p>
        </w:tc>
      </w:tr>
      <w:tr>
        <w:trPr>
          <w:trHeight w:val="222"/>
        </w:trPr>
        <w:tc>
          <w:tcPr>
            <w:tcW w:w="542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1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2,520</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Taxes on income</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556</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1,530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1,361</w:t>
            </w:r>
          </w:p>
        </w:tc>
      </w:tr>
      <w:tr>
        <w:trPr>
          <w:trHeight w:val="222"/>
        </w:trPr>
        <w:tc>
          <w:tcPr>
            <w:tcW w:w="5420" w:type="dxa"/>
            <w:vAlign w:val="bottom"/>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1,964</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r>
        <w:trPr>
          <w:trHeight w:val="222"/>
        </w:trPr>
        <w:tc>
          <w:tcPr>
            <w:tcW w:w="5420" w:type="dxa"/>
            <w:vAlign w:val="bottom"/>
          </w:tcPr>
          <w:p>
            <w:pPr>
              <w:spacing w:after="0"/>
              <w:rPr>
                <w:sz w:val="20"/>
                <w:szCs w:val="20"/>
                <w:color w:val="auto"/>
              </w:rPr>
            </w:pPr>
            <w:r>
              <w:rPr>
                <w:rFonts w:ascii="Arial" w:cs="Arial" w:eastAsia="Arial" w:hAnsi="Arial"/>
                <w:sz w:val="18"/>
                <w:szCs w:val="18"/>
                <w:i w:val="1"/>
                <w:iCs w:val="1"/>
                <w:color w:val="auto"/>
              </w:rPr>
              <w:t>Net income</w:t>
            </w:r>
          </w:p>
        </w:tc>
        <w:tc>
          <w:tcPr>
            <w:tcW w:w="1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1,964</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5,091</w:t>
            </w: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r>
      <w:tr>
        <w:trPr>
          <w:trHeight w:val="222"/>
        </w:trPr>
        <w:tc>
          <w:tcPr>
            <w:tcW w:w="5420" w:type="dxa"/>
            <w:vAlign w:val="bottom"/>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17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5,341</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5,137</w:t>
            </w: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discontinued operations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r>
        <w:trPr>
          <w:trHeight w:val="222"/>
        </w:trPr>
        <w:tc>
          <w:tcPr>
            <w:tcW w:w="54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17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4.11</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discontinued operations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(0.16)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(0.05)</w:t>
            </w:r>
          </w:p>
        </w:tc>
      </w:tr>
      <w:tr>
        <w:trPr>
          <w:trHeight w:val="222"/>
        </w:trPr>
        <w:tc>
          <w:tcPr>
            <w:tcW w:w="54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Income from continuing operations</w:t>
            </w:r>
          </w:p>
        </w:tc>
        <w:tc>
          <w:tcPr>
            <w:tcW w:w="17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4.07</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discontinued operations</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(0.16)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(0.05)</w:t>
            </w:r>
          </w:p>
        </w:tc>
      </w:tr>
      <w:tr>
        <w:trPr>
          <w:trHeight w:val="222"/>
        </w:trPr>
        <w:tc>
          <w:tcPr>
            <w:tcW w:w="54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1,326</w:t>
            </w: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Assuming dilution</w:t>
            </w: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1,310</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1,315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1,336</w:t>
            </w:r>
          </w:p>
        </w:tc>
      </w:tr>
    </w:tbl>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ind w:left="36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6" w:lineRule="exact"/>
        <w:rPr>
          <w:sz w:val="20"/>
          <w:szCs w:val="20"/>
          <w:color w:val="auto"/>
        </w:rPr>
      </w:pPr>
    </w:p>
    <w:p>
      <w:pPr>
        <w:ind w:left="306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r>
      <w:tr>
        <w:trPr>
          <w:trHeight w:val="171"/>
        </w:trPr>
        <w:tc>
          <w:tcPr>
            <w:tcW w:w="6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Third Quarter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61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w w:val="83"/>
              </w:rPr>
              <w:t>2013</w:t>
            </w: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2"/>
        </w:trPr>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5,188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(146</w:t>
            </w: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(176)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r>
      <w:tr>
        <w:trPr>
          <w:trHeight w:val="229"/>
        </w:trPr>
        <w:tc>
          <w:tcPr>
            <w:tcW w:w="612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arising during the period</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(132)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i w:val="1"/>
                <w:iCs w:val="1"/>
                <w:color w:val="auto"/>
              </w:rPr>
              <w:t>Derivatives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derivatives (loss) gain on hedge transactions (</w:t>
            </w:r>
            <w:r>
              <w:rPr>
                <w:rFonts w:ascii="Arial" w:cs="Arial" w:eastAsia="Arial" w:hAnsi="Arial"/>
                <w:sz w:val="18"/>
                <w:szCs w:val="18"/>
                <w:i w:val="1"/>
                <w:iCs w:val="1"/>
                <w:color w:val="auto"/>
              </w:rPr>
              <w:t>see Note 11</w:t>
            </w: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(138)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Reclassification to net income of net realized loss (gain) (</w:t>
            </w:r>
            <w:r>
              <w:rPr>
                <w:rFonts w:ascii="Arial" w:cs="Arial" w:eastAsia="Arial" w:hAnsi="Arial"/>
                <w:sz w:val="18"/>
                <w:szCs w:val="18"/>
                <w:i w:val="1"/>
                <w:iCs w:val="1"/>
                <w:color w:val="auto"/>
              </w:rPr>
              <w:t>see Note 11</w:t>
            </w: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Actuarial loss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loss arising during the period</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29"/>
        </w:trPr>
        <w:tc>
          <w:tcPr>
            <w:tcW w:w="6120" w:type="dxa"/>
            <w:vAlign w:val="bottom"/>
          </w:tcPr>
          <w:p>
            <w:pPr>
              <w:ind w:left="500"/>
              <w:spacing w:after="0"/>
              <w:rPr>
                <w:sz w:val="20"/>
                <w:szCs w:val="20"/>
                <w:color w:val="auto"/>
              </w:rPr>
            </w:pPr>
            <w:r>
              <w:rPr>
                <w:rFonts w:ascii="Arial" w:cs="Arial" w:eastAsia="Arial" w:hAnsi="Arial"/>
                <w:sz w:val="18"/>
                <w:szCs w:val="18"/>
                <w:color w:val="auto"/>
              </w:rPr>
              <w:t>Amortization to net income of net actuarial loss (</w:t>
            </w:r>
            <w:r>
              <w:rPr>
                <w:rFonts w:ascii="Arial" w:cs="Arial" w:eastAsia="Arial" w:hAnsi="Arial"/>
                <w:sz w:val="18"/>
                <w:szCs w:val="18"/>
                <w:i w:val="1"/>
                <w:iCs w:val="1"/>
                <w:color w:val="auto"/>
              </w:rPr>
              <w:t>see Note 15</w:t>
            </w: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132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Prior service cost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120" w:type="dxa"/>
            <w:vAlign w:val="bottom"/>
          </w:tcPr>
          <w:p>
            <w:pPr>
              <w:ind w:left="500"/>
              <w:spacing w:after="0"/>
              <w:rPr>
                <w:sz w:val="20"/>
                <w:szCs w:val="20"/>
                <w:color w:val="auto"/>
              </w:rPr>
            </w:pPr>
            <w:r>
              <w:rPr>
                <w:rFonts w:ascii="Arial" w:cs="Arial" w:eastAsia="Arial" w:hAnsi="Arial"/>
                <w:sz w:val="18"/>
                <w:szCs w:val="18"/>
                <w:color w:val="auto"/>
              </w:rPr>
              <w:t>Amortization to net income of net prior service cost (</w:t>
            </w:r>
            <w:r>
              <w:rPr>
                <w:rFonts w:ascii="Arial" w:cs="Arial" w:eastAsia="Arial" w:hAnsi="Arial"/>
                <w:sz w:val="18"/>
                <w:szCs w:val="18"/>
                <w:i w:val="1"/>
                <w:iCs w:val="1"/>
                <w:color w:val="auto"/>
              </w:rPr>
              <w:t>see Note 15</w:t>
            </w: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96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on pension and other postretirement benefit plans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(28)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r>
      <w:tr>
        <w:trPr>
          <w:trHeight w:val="222"/>
        </w:trPr>
        <w:tc>
          <w:tcPr>
            <w:tcW w:w="6120" w:type="dxa"/>
            <w:vAlign w:val="bottom"/>
          </w:tcPr>
          <w:p>
            <w:pPr>
              <w:spacing w:after="0"/>
              <w:rPr>
                <w:sz w:val="20"/>
                <w:szCs w:val="20"/>
                <w:color w:val="auto"/>
              </w:rPr>
            </w:pPr>
            <w:r>
              <w:rPr>
                <w:rFonts w:ascii="Arial" w:cs="Arial" w:eastAsia="Arial" w:hAnsi="Arial"/>
                <w:sz w:val="18"/>
                <w:szCs w:val="18"/>
                <w:i w:val="1"/>
                <w:iCs w:val="1"/>
                <w:color w:val="auto"/>
              </w:rPr>
              <w:t>Comprehensive income</w:t>
            </w:r>
          </w:p>
        </w:tc>
        <w:tc>
          <w:tcPr>
            <w:tcW w:w="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b w:val="1"/>
                <w:bCs w:val="1"/>
                <w:color w:val="auto"/>
              </w:rPr>
              <w:t>52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i w:val="1"/>
                <w:iCs w:val="1"/>
                <w:color w:val="auto"/>
              </w:rPr>
              <w:t>Comprehensive income attributable to Schlumberger</w:t>
            </w:r>
          </w:p>
        </w:tc>
        <w:tc>
          <w:tcPr>
            <w:tcW w:w="8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9260" w:type="dxa"/>
            <w:vAlign w:val="bottom"/>
          </w:tcPr>
          <w:p>
            <w:pPr>
              <w:spacing w:after="0"/>
              <w:rPr>
                <w:sz w:val="14"/>
                <w:szCs w:val="14"/>
                <w:color w:val="auto"/>
              </w:rPr>
            </w:pPr>
          </w:p>
        </w:tc>
        <w:tc>
          <w:tcPr>
            <w:tcW w:w="10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2"/>
              </w:rPr>
              <w:t>Sept. 30, 2014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9260" w:type="dxa"/>
            <w:vAlign w:val="bottom"/>
          </w:tcPr>
          <w:p>
            <w:pPr>
              <w:spacing w:after="0"/>
              <w:rPr>
                <w:sz w:val="14"/>
                <w:szCs w:val="14"/>
                <w:color w:val="auto"/>
              </w:rPr>
            </w:pPr>
          </w:p>
        </w:tc>
        <w:tc>
          <w:tcPr>
            <w:tcW w:w="10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3,118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3,641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(2014 - $282; 2013 - $384)</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12,352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4,702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287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1,373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22"/>
        </w:trPr>
        <w:tc>
          <w:tcPr>
            <w:tcW w:w="9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25,473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Fixed Income Investments, held to maturity</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Affiliated Companies</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3,223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Fixed Assets less accumulated depreciation</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15,809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15,096</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Multiclient Seismic Data</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751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15,243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4,690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2,658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2"/>
        </w:trPr>
        <w:tc>
          <w:tcPr>
            <w:tcW w:w="9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68,320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8,916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1,499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Long-term debt - current portion</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1,424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522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2"/>
        </w:trPr>
        <w:tc>
          <w:tcPr>
            <w:tcW w:w="9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12,388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11,626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606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1,280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2"/>
        </w:trPr>
        <w:tc>
          <w:tcPr>
            <w:tcW w:w="9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27,633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12,428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b w:val="1"/>
                <w:bCs w:val="1"/>
                <w:color w:val="auto"/>
              </w:rPr>
              <w:t>(10,725)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41,543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37,966</w:t>
            </w: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b w:val="1"/>
                <w:bCs w:val="1"/>
                <w:color w:val="auto"/>
              </w:rPr>
              <w:t>(2,741)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2"/>
        </w:trPr>
        <w:tc>
          <w:tcPr>
            <w:tcW w:w="9260" w:type="dxa"/>
            <w:vAlign w:val="bottom"/>
          </w:tcPr>
          <w:p>
            <w:pPr>
              <w:ind w:left="26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40,505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182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2"/>
        </w:trPr>
        <w:tc>
          <w:tcPr>
            <w:tcW w:w="9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40,687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68,320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ind w:left="36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6"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i w:val="1"/>
                <w:iCs w:val="1"/>
                <w:color w:val="auto"/>
                <w:w w:val="93"/>
              </w:rPr>
              <w:t>(Stated in millions)</w:t>
            </w:r>
          </w:p>
        </w:tc>
      </w:tr>
      <w:tr>
        <w:trPr>
          <w:trHeight w:val="17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Nine Months Ended Sept. 30,</w:t>
            </w:r>
          </w:p>
        </w:tc>
      </w:tr>
      <w:tr>
        <w:trPr>
          <w:trHeight w:val="155"/>
        </w:trPr>
        <w:tc>
          <w:tcPr>
            <w:tcW w:w="94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color w:val="auto"/>
              </w:rPr>
              <w:t>2013</w:t>
            </w:r>
          </w:p>
        </w:tc>
        <w:tc>
          <w:tcPr>
            <w:tcW w:w="20" w:type="dxa"/>
            <w:vAlign w:val="bottom"/>
            <w:tcBorders>
              <w:bottom w:val="single" w:sz="8" w:color="CFF0FC"/>
            </w:tcBorders>
          </w:tcPr>
          <w:p>
            <w:pPr>
              <w:spacing w:after="0"/>
              <w:rPr>
                <w:sz w:val="13"/>
                <w:szCs w:val="13"/>
                <w:color w:val="auto"/>
              </w:rPr>
            </w:pPr>
          </w:p>
        </w:tc>
      </w:tr>
      <w:tr>
        <w:trPr>
          <w:trHeight w:val="209"/>
        </w:trPr>
        <w:tc>
          <w:tcPr>
            <w:tcW w:w="944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5,188</w:t>
            </w:r>
          </w:p>
        </w:tc>
        <w:tc>
          <w:tcPr>
            <w:tcW w:w="240" w:type="dxa"/>
            <w:vAlign w:val="bottom"/>
            <w:gridSpan w:val="2"/>
          </w:tcPr>
          <w:p>
            <w:pPr>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5,091</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spacing w:after="0"/>
              <w:rPr>
                <w:sz w:val="20"/>
                <w:szCs w:val="20"/>
                <w:color w:val="auto"/>
              </w:rPr>
            </w:pPr>
            <w:r>
              <w:rPr>
                <w:rFonts w:ascii="Arial" w:cs="Arial" w:eastAsia="Arial" w:hAnsi="Arial"/>
                <w:sz w:val="17"/>
                <w:szCs w:val="17"/>
                <w:color w:val="auto"/>
              </w:rPr>
              <w:t>Add: Loss from discontinued operations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205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Gain on formation of OneSubsea</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(1,028</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500"/>
              <w:spacing w:after="0"/>
              <w:rPr>
                <w:sz w:val="20"/>
                <w:szCs w:val="20"/>
                <w:color w:val="auto"/>
              </w:rPr>
            </w:pPr>
            <w:r>
              <w:rPr>
                <w:rFonts w:ascii="Arial" w:cs="Arial" w:eastAsia="Arial" w:hAnsi="Arial"/>
                <w:sz w:val="17"/>
                <w:szCs w:val="17"/>
                <w:color w:val="auto"/>
              </w:rPr>
              <w:t>Impairment of equity method investments and currency devaluation loss in Venezuela</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456</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14"/>
                <w:szCs w:val="14"/>
                <w:color w:val="auto"/>
              </w:rPr>
              <w:t>(1)</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3,029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2,891</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500"/>
              <w:spacing w:after="0"/>
              <w:rPr>
                <w:sz w:val="20"/>
                <w:szCs w:val="20"/>
                <w:color w:val="auto"/>
              </w:rPr>
            </w:pPr>
            <w:r>
              <w:rPr>
                <w:rFonts w:ascii="Arial" w:cs="Arial" w:eastAsia="Arial" w:hAnsi="Arial"/>
                <w:sz w:val="17"/>
                <w:szCs w:val="17"/>
                <w:color w:val="auto"/>
              </w:rPr>
              <w:t>Pension and other postretirement benefits expense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388</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246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500"/>
              <w:spacing w:after="0"/>
              <w:rPr>
                <w:sz w:val="20"/>
                <w:szCs w:val="20"/>
                <w:color w:val="auto"/>
              </w:rPr>
            </w:pPr>
            <w:r>
              <w:rPr>
                <w:rFonts w:ascii="Arial" w:cs="Arial" w:eastAsia="Arial" w:hAnsi="Arial"/>
                <w:sz w:val="17"/>
                <w:szCs w:val="17"/>
                <w:color w:val="auto"/>
              </w:rPr>
              <w:t>Pension and other postretirement benefits funding</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Earnings of equity method investments, less dividends received</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(68)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 xml:space="preserve">Change in assets and liabilities: </w:t>
            </w: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Increase in receivables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(779)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(1,215</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500"/>
              <w:spacing w:after="0"/>
              <w:rPr>
                <w:sz w:val="20"/>
                <w:szCs w:val="20"/>
                <w:color w:val="auto"/>
              </w:rPr>
            </w:pPr>
            <w:r>
              <w:rPr>
                <w:rFonts w:ascii="Arial" w:cs="Arial" w:eastAsia="Arial" w:hAnsi="Arial"/>
                <w:sz w:val="17"/>
                <w:szCs w:val="17"/>
                <w:color w:val="auto"/>
              </w:rPr>
              <w:t>Increase in inventories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(96</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Decrease in other current assets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112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500"/>
              <w:spacing w:after="0"/>
              <w:rPr>
                <w:sz w:val="20"/>
                <w:szCs w:val="20"/>
                <w:color w:val="auto"/>
              </w:rPr>
            </w:pPr>
            <w:r>
              <w:rPr>
                <w:rFonts w:ascii="Arial" w:cs="Arial" w:eastAsia="Arial" w:hAnsi="Arial"/>
                <w:sz w:val="17"/>
                <w:szCs w:val="17"/>
                <w:color w:val="auto"/>
              </w:rPr>
              <w:t>Increase in other assets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(135</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(Decrease) increase in accounts payable and accrued liabilities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(256)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500"/>
              <w:spacing w:after="0"/>
              <w:rPr>
                <w:sz w:val="20"/>
                <w:szCs w:val="20"/>
                <w:color w:val="auto"/>
              </w:rPr>
            </w:pPr>
            <w:r>
              <w:rPr>
                <w:rFonts w:ascii="Arial" w:cs="Arial" w:eastAsia="Arial" w:hAnsi="Arial"/>
                <w:sz w:val="17"/>
                <w:szCs w:val="17"/>
                <w:color w:val="auto"/>
              </w:rPr>
              <w:t>(Decrease) increase in liability for taxes on income</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(Decrease) increase in other liabilities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(78)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5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175</w:t>
            </w:r>
          </w:p>
        </w:tc>
        <w:tc>
          <w:tcPr>
            <w:tcW w:w="20" w:type="dxa"/>
            <w:vAlign w:val="bottom"/>
          </w:tcPr>
          <w:p>
            <w:pPr>
              <w:spacing w:after="0"/>
              <w:rPr>
                <w:sz w:val="18"/>
                <w:szCs w:val="18"/>
                <w:color w:val="auto"/>
              </w:rPr>
            </w:pPr>
          </w:p>
        </w:tc>
      </w:tr>
      <w:tr>
        <w:trPr>
          <w:trHeight w:val="209"/>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7,282</w:t>
            </w: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6,571</w:t>
            </w:r>
          </w:p>
        </w:tc>
        <w:tc>
          <w:tcPr>
            <w:tcW w:w="20" w:type="dxa"/>
            <w:vAlign w:val="bottom"/>
            <w:tcBorders>
              <w:top w:val="single" w:sz="8" w:color="CFF0FC"/>
            </w:tcBorders>
            <w:shd w:val="clear" w:color="auto" w:fill="CFF0FC"/>
          </w:tcPr>
          <w:p>
            <w:pPr>
              <w:spacing w:after="0"/>
              <w:rPr>
                <w:sz w:val="18"/>
                <w:szCs w:val="18"/>
                <w:color w:val="auto"/>
              </w:rPr>
            </w:pPr>
          </w:p>
        </w:tc>
      </w:tr>
      <w:tr>
        <w:trPr>
          <w:trHeight w:val="207"/>
        </w:trPr>
        <w:tc>
          <w:tcPr>
            <w:tcW w:w="94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9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Capital expenditures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(2,766)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(2,753</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SPM investments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(633</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Multiclient seismic data capitalized</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(212)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Business acquisitions and investments, net of cash acquired</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(1,144</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 of investments, net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1,147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963</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w:t>
            </w:r>
          </w:p>
        </w:tc>
        <w:tc>
          <w:tcPr>
            <w:tcW w:w="20" w:type="dxa"/>
            <w:vAlign w:val="bottom"/>
          </w:tcPr>
          <w:p>
            <w:pPr>
              <w:spacing w:after="0"/>
              <w:rPr>
                <w:sz w:val="18"/>
                <w:szCs w:val="18"/>
                <w:color w:val="auto"/>
              </w:rPr>
            </w:pPr>
          </w:p>
        </w:tc>
      </w:tr>
      <w:tr>
        <w:trPr>
          <w:trHeight w:val="209"/>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(2,953)</w:t>
            </w: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(3,736</w:t>
            </w:r>
          </w:p>
        </w:tc>
        <w:tc>
          <w:tcPr>
            <w:tcW w:w="20" w:type="dxa"/>
            <w:vAlign w:val="bottom"/>
            <w:tcBorders>
              <w:top w:val="single" w:sz="8" w:color="CFF0FC"/>
            </w:tcBorders>
            <w:shd w:val="clear" w:color="auto" w:fill="CFF0FC"/>
          </w:tcPr>
          <w:p>
            <w:pPr>
              <w:spacing w:after="0"/>
              <w:rPr>
                <w:sz w:val="18"/>
                <w:szCs w:val="18"/>
                <w:color w:val="auto"/>
              </w:rPr>
            </w:pPr>
          </w:p>
        </w:tc>
      </w:tr>
      <w:tr>
        <w:trPr>
          <w:trHeight w:val="207"/>
        </w:trPr>
        <w:tc>
          <w:tcPr>
            <w:tcW w:w="94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9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Dividends paid</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(1,451)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(1,196</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Proceeds from employee stock purchase plan</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270</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500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Stock repurchase program</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(3,582)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(1,526</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issuance of long-term debt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2,005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2,267</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Repayment of long-term debt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(2,857)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(1,211</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increase (decrease) in short-term borrowings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455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ind w:left="26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r>
      <w:tr>
        <w:trPr>
          <w:trHeight w:val="209"/>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(4,673)</w:t>
            </w: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(1,554</w:t>
            </w:r>
          </w:p>
        </w:tc>
        <w:tc>
          <w:tcPr>
            <w:tcW w:w="20" w:type="dxa"/>
            <w:vAlign w:val="bottom"/>
            <w:tcBorders>
              <w:top w:val="single" w:sz="8" w:color="CFF0FC"/>
            </w:tcBorders>
            <w:shd w:val="clear" w:color="auto" w:fill="CFF0FC"/>
          </w:tcPr>
          <w:p>
            <w:pPr>
              <w:spacing w:after="0"/>
              <w:rPr>
                <w:sz w:val="18"/>
                <w:szCs w:val="18"/>
                <w:color w:val="auto"/>
              </w:rPr>
            </w:pPr>
          </w:p>
        </w:tc>
      </w:tr>
      <w:tr>
        <w:trPr>
          <w:trHeight w:val="209"/>
        </w:trPr>
        <w:tc>
          <w:tcPr>
            <w:tcW w:w="9440" w:type="dxa"/>
            <w:vAlign w:val="bottom"/>
          </w:tcPr>
          <w:p>
            <w:pPr>
              <w:spacing w:after="0"/>
              <w:rPr>
                <w:sz w:val="20"/>
                <w:szCs w:val="20"/>
                <w:color w:val="auto"/>
              </w:rPr>
            </w:pPr>
            <w:r>
              <w:rPr>
                <w:rFonts w:ascii="Arial" w:cs="Arial" w:eastAsia="Arial" w:hAnsi="Arial"/>
                <w:sz w:val="17"/>
                <w:szCs w:val="17"/>
                <w:color w:val="auto"/>
              </w:rPr>
              <w:t>Cash flows provided by (used in) discontinued operations - operating activities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spacing w:after="0"/>
              <w:rPr>
                <w:sz w:val="20"/>
                <w:szCs w:val="20"/>
                <w:color w:val="auto"/>
              </w:rPr>
            </w:pPr>
            <w:r>
              <w:rPr>
                <w:rFonts w:ascii="Arial" w:cs="Arial" w:eastAsia="Arial" w:hAnsi="Arial"/>
                <w:sz w:val="17"/>
                <w:szCs w:val="17"/>
                <w:color w:val="auto"/>
              </w:rPr>
              <w:t>Cash flows provided by (used in) discontinued operations - investing activities</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0" w:type="dxa"/>
            <w:vAlign w:val="bottom"/>
            <w:shd w:val="clear" w:color="auto" w:fill="CFF0FC"/>
          </w:tcPr>
          <w:p>
            <w:pPr>
              <w:spacing w:after="0"/>
              <w:rPr>
                <w:sz w:val="18"/>
                <w:szCs w:val="18"/>
                <w:color w:val="auto"/>
              </w:rPr>
            </w:pPr>
          </w:p>
        </w:tc>
      </w:tr>
      <w:tr>
        <w:trPr>
          <w:trHeight w:val="209"/>
        </w:trPr>
        <w:tc>
          <w:tcPr>
            <w:tcW w:w="9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flows provided by (used in) discontinued operations</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20" w:type="dxa"/>
            <w:vAlign w:val="bottom"/>
            <w:tcBorders>
              <w:bottom w:val="single" w:sz="8" w:color="CFF0FC"/>
            </w:tcBorders>
          </w:tcPr>
          <w:p>
            <w:pPr>
              <w:spacing w:after="0"/>
              <w:rPr>
                <w:sz w:val="18"/>
                <w:szCs w:val="18"/>
                <w:color w:val="auto"/>
              </w:rPr>
            </w:pPr>
          </w:p>
        </w:tc>
      </w:tr>
      <w:tr>
        <w:trPr>
          <w:trHeight w:val="209"/>
        </w:trPr>
        <w:tc>
          <w:tcPr>
            <w:tcW w:w="9440" w:type="dxa"/>
            <w:vAlign w:val="bottom"/>
            <w:shd w:val="clear" w:color="auto" w:fill="CFF0FC"/>
          </w:tcPr>
          <w:p>
            <w:pPr>
              <w:spacing w:after="0"/>
              <w:rPr>
                <w:sz w:val="20"/>
                <w:szCs w:val="20"/>
                <w:color w:val="auto"/>
              </w:rPr>
            </w:pPr>
            <w:r>
              <w:rPr>
                <w:rFonts w:ascii="Arial" w:cs="Arial" w:eastAsia="Arial" w:hAnsi="Arial"/>
                <w:sz w:val="17"/>
                <w:szCs w:val="17"/>
                <w:color w:val="auto"/>
              </w:rPr>
              <w:t>Net (decrease) increase in cash before translation effect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(320)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1,251</w:t>
            </w:r>
          </w:p>
        </w:tc>
        <w:tc>
          <w:tcPr>
            <w:tcW w:w="20" w:type="dxa"/>
            <w:vAlign w:val="bottom"/>
            <w:shd w:val="clear" w:color="auto" w:fill="CFF0FC"/>
          </w:tcPr>
          <w:p>
            <w:pPr>
              <w:spacing w:after="0"/>
              <w:rPr>
                <w:sz w:val="18"/>
                <w:szCs w:val="18"/>
                <w:color w:val="auto"/>
              </w:rPr>
            </w:pPr>
          </w:p>
        </w:tc>
      </w:tr>
      <w:tr>
        <w:trPr>
          <w:trHeight w:val="215"/>
        </w:trPr>
        <w:tc>
          <w:tcPr>
            <w:tcW w:w="9440" w:type="dxa"/>
            <w:vAlign w:val="bottom"/>
          </w:tcPr>
          <w:p>
            <w:pPr>
              <w:spacing w:after="0"/>
              <w:rPr>
                <w:sz w:val="20"/>
                <w:szCs w:val="20"/>
                <w:color w:val="auto"/>
              </w:rPr>
            </w:pPr>
            <w:r>
              <w:rPr>
                <w:rFonts w:ascii="Arial" w:cs="Arial" w:eastAsia="Arial" w:hAnsi="Arial"/>
                <w:sz w:val="17"/>
                <w:szCs w:val="17"/>
                <w:color w:val="auto"/>
              </w:rPr>
              <w:t>Translation effect on cash</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r>
      <w:tr>
        <w:trPr>
          <w:trHeight w:val="215"/>
        </w:trPr>
        <w:tc>
          <w:tcPr>
            <w:tcW w:w="9440" w:type="dxa"/>
            <w:vAlign w:val="bottom"/>
            <w:shd w:val="clear" w:color="auto" w:fill="CFF0FC"/>
          </w:tcPr>
          <w:p>
            <w:pPr>
              <w:spacing w:after="0"/>
              <w:rPr>
                <w:sz w:val="20"/>
                <w:szCs w:val="20"/>
                <w:color w:val="auto"/>
              </w:rPr>
            </w:pPr>
            <w:r>
              <w:rPr>
                <w:rFonts w:ascii="Arial" w:cs="Arial" w:eastAsia="Arial" w:hAnsi="Arial"/>
                <w:sz w:val="17"/>
                <w:szCs w:val="17"/>
                <w:color w:val="auto"/>
              </w:rPr>
              <w:t>Cash, beginning of period</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3,472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1,905</w:t>
            </w:r>
          </w:p>
        </w:tc>
        <w:tc>
          <w:tcPr>
            <w:tcW w:w="20" w:type="dxa"/>
            <w:vAlign w:val="bottom"/>
            <w:shd w:val="clear" w:color="auto" w:fill="CFF0FC"/>
          </w:tcPr>
          <w:p>
            <w:pPr>
              <w:spacing w:after="0"/>
              <w:rPr>
                <w:sz w:val="18"/>
                <w:szCs w:val="18"/>
                <w:color w:val="auto"/>
              </w:rPr>
            </w:pPr>
          </w:p>
        </w:tc>
      </w:tr>
      <w:tr>
        <w:trPr>
          <w:trHeight w:val="209"/>
        </w:trPr>
        <w:tc>
          <w:tcPr>
            <w:tcW w:w="9440" w:type="dxa"/>
            <w:vAlign w:val="bottom"/>
          </w:tcPr>
          <w:p>
            <w:pPr>
              <w:spacing w:after="0"/>
              <w:rPr>
                <w:sz w:val="20"/>
                <w:szCs w:val="20"/>
                <w:color w:val="auto"/>
              </w:rPr>
            </w:pPr>
            <w:r>
              <w:rPr>
                <w:rFonts w:ascii="Arial" w:cs="Arial" w:eastAsia="Arial" w:hAnsi="Arial"/>
                <w:sz w:val="17"/>
                <w:szCs w:val="17"/>
                <w:color w:val="auto"/>
              </w:rPr>
              <w:t>Cash,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3,118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3,149</w:t>
            </w:r>
          </w:p>
        </w:tc>
        <w:tc>
          <w:tcPr>
            <w:tcW w:w="20" w:type="dxa"/>
            <w:vAlign w:val="bottom"/>
            <w:tcBorders>
              <w:bottom w:val="single" w:sz="8" w:color="auto"/>
            </w:tcBorders>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9" w:lineRule="exact"/>
        <w:rPr>
          <w:rFonts w:ascii="Arial" w:cs="Arial" w:eastAsia="Arial" w:hAnsi="Arial"/>
          <w:sz w:val="26"/>
          <w:szCs w:val="26"/>
          <w:color w:val="auto"/>
          <w:vertAlign w:val="superscript"/>
        </w:rPr>
      </w:pPr>
    </w:p>
    <w:p>
      <w:pPr>
        <w:ind w:left="540" w:hanging="532"/>
        <w:spacing w:after="0" w:line="190" w:lineRule="auto"/>
        <w:tabs>
          <w:tab w:leader="none" w:pos="540" w:val="left"/>
        </w:tabs>
        <w:numPr>
          <w:ilvl w:val="0"/>
          <w:numId w:val="1"/>
        </w:numPr>
        <w:rPr>
          <w:rFonts w:ascii="Arial" w:cs="Arial" w:eastAsia="Arial" w:hAnsi="Arial"/>
          <w:sz w:val="21"/>
          <w:szCs w:val="21"/>
          <w:color w:val="auto"/>
          <w:vertAlign w:val="superscript"/>
        </w:rPr>
      </w:pPr>
      <w:r>
        <w:rPr>
          <w:rFonts w:ascii="Arial" w:cs="Arial" w:eastAsia="Arial" w:hAnsi="Arial"/>
          <w:sz w:val="14"/>
          <w:szCs w:val="14"/>
          <w:color w:val="auto"/>
        </w:rPr>
        <w:t>Net of the effect of business acquisitions and divestitures.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520"/>
          </w:cols>
          <w:pgMar w:left="240" w:top="121" w:right="139" w:bottom="1440" w:gutter="0" w:footer="0" w:header="0"/>
        </w:sectPr>
      </w:pPr>
    </w:p>
    <w:bookmarkStart w:id="6" w:name="page7"/>
    <w:bookmarkEnd w:id="6"/>
    <w:p>
      <w:pPr>
        <w:ind w:left="36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6"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January 1, 2014 - September 30, 2014</w:t>
            </w: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w w:val="99"/>
              </w:rPr>
              <w:t>Issued</w:t>
            </w:r>
          </w:p>
        </w:tc>
        <w:tc>
          <w:tcPr>
            <w:tcW w:w="2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w w:val="96"/>
              </w:rPr>
              <w:t>Earnings</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 2014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12,192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(8,135)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(2,554)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39,635</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5,188</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Changes in unrealized gain on marketable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Changes in fair value of derivatives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Pension and other postretirement benefit plans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sold to optionees, less shares exchanged</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Vesting of restricted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issued under employee stock purchase plan</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Stock repurchase program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(3,582)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(3,582)</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Dividends declared ($1.20 per share)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(1,559)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issued for acquisition</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September 30, 2014</w:t>
            </w: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(10,725)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41,543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(2,741)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40,687</w:t>
            </w: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7"/>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January 1, 2013 - September 30, 2013</w:t>
            </w: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w w:val="99"/>
              </w:rPr>
              <w:t>Issued</w:t>
            </w:r>
          </w:p>
        </w:tc>
        <w:tc>
          <w:tcPr>
            <w:tcW w:w="2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w w:val="96"/>
              </w:rPr>
              <w:t>Earnings</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 2013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(6,160)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32,887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(3,888)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34,858</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5,091</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Currency translation adjustments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Changes in unrealized gain on marketable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Changes in fair value of derivatives.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Pension and other postretirement benefit plans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sold to optionees, less shares exchanged</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Vesting of restricted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Shares issued under employee stock purchase plan</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Stock repurchase program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(1,526)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6"/>
                <w:szCs w:val="16"/>
                <w:color w:val="auto"/>
              </w:rPr>
              <w:t>Dividends declared ($0.9375 per share)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18"/>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rPr>
              <w:t>Balance, September 30, 2013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12,108</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(7,208)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36,711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(3,726)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38,031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5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r>
      <w:tr>
        <w:trPr>
          <w:trHeight w:val="171"/>
        </w:trPr>
        <w:tc>
          <w:tcPr>
            <w:tcW w:w="5860" w:type="dxa"/>
            <w:vAlign w:val="bottom"/>
          </w:tcPr>
          <w:p>
            <w:pPr>
              <w:spacing w:after="0"/>
              <w:rPr>
                <w:sz w:val="14"/>
                <w:szCs w:val="14"/>
                <w:color w:val="auto"/>
              </w:rPr>
            </w:pPr>
          </w:p>
        </w:tc>
        <w:tc>
          <w:tcPr>
            <w:tcW w:w="840" w:type="dxa"/>
            <w:vAlign w:val="bottom"/>
          </w:tcPr>
          <w:p>
            <w:pPr>
              <w:ind w:left="440"/>
              <w:spacing w:after="0"/>
              <w:rPr>
                <w:sz w:val="20"/>
                <w:szCs w:val="20"/>
                <w:color w:val="auto"/>
              </w:rPr>
            </w:pPr>
            <w:r>
              <w:rPr>
                <w:rFonts w:ascii="Arial" w:cs="Arial" w:eastAsia="Arial" w:hAnsi="Arial"/>
                <w:sz w:val="14"/>
                <w:szCs w:val="14"/>
                <w:b w:val="1"/>
                <w:bCs w:val="1"/>
                <w:color w:val="auto"/>
                <w:w w:val="85"/>
              </w:rPr>
              <w:t>Issued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Treasury</w:t>
            </w: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Outstanding</w:t>
            </w:r>
          </w:p>
        </w:tc>
      </w:tr>
      <w:tr>
        <w:trPr>
          <w:trHeight w:val="222"/>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40" w:type="dxa"/>
            <w:vAlign w:val="bottom"/>
            <w:tcBorders>
              <w:top w:val="single" w:sz="8" w:color="CFF0FC"/>
            </w:tcBorders>
            <w:shd w:val="clear" w:color="auto" w:fill="CFF0FC"/>
          </w:tcPr>
          <w:p>
            <w:pPr>
              <w:spacing w:after="0"/>
              <w:rPr>
                <w:sz w:val="19"/>
                <w:szCs w:val="19"/>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r>
      <w:tr>
        <w:trPr>
          <w:trHeight w:val="229"/>
        </w:trPr>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r>
      <w:tr>
        <w:trPr>
          <w:trHeight w:val="229"/>
        </w:trPr>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for acquisition</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22"/>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2014</w:t>
            </w: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ind w:left="36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6"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2014 are not necessarily indicative of the results that may be expected for the full year ending December 31, 2014. The December 31, 2013 balance sheet information has been derived from the Schlumberger 2013 financial statements. For further information, refer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and notes thereto included in the Schlumberger Annual Report on Form 10-K for the year ended December 31, 2013, filed with the Securities and Exchange Commission on January 31, 2014.</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Certain prior year items have been reclassified to conform to the current year presentation. Beginning in the second quarter of 2014, Schlumberger revised its </w:t>
      </w:r>
      <w:r>
        <w:rPr>
          <w:rFonts w:ascii="Arial" w:cs="Arial" w:eastAsia="Arial" w:hAnsi="Arial"/>
          <w:sz w:val="18"/>
          <w:szCs w:val="18"/>
          <w:i w:val="1"/>
          <w:iCs w:val="1"/>
          <w:color w:val="auto"/>
        </w:rPr>
        <w:t xml:space="preserve">Consolidated Statement of Cash Flows </w:t>
      </w:r>
      <w:r>
        <w:rPr>
          <w:rFonts w:ascii="Arial" w:cs="Arial" w:eastAsia="Arial" w:hAnsi="Arial"/>
          <w:sz w:val="18"/>
          <w:szCs w:val="18"/>
          <w:color w:val="auto"/>
        </w:rPr>
        <w:t>to present certain cash outflows relating to Schlumberger Production Management (“SPM”) activities as a separate line</w:t>
      </w:r>
      <w:r>
        <w:rPr>
          <w:rFonts w:ascii="Arial" w:cs="Arial" w:eastAsia="Arial" w:hAnsi="Arial"/>
          <w:sz w:val="18"/>
          <w:szCs w:val="18"/>
          <w:i w:val="1"/>
          <w:iCs w:val="1"/>
          <w:color w:val="auto"/>
        </w:rPr>
        <w:t xml:space="preserve"> </w:t>
      </w:r>
      <w:r>
        <w:rPr>
          <w:rFonts w:ascii="Arial" w:cs="Arial" w:eastAsia="Arial" w:hAnsi="Arial"/>
          <w:sz w:val="18"/>
          <w:szCs w:val="18"/>
          <w:color w:val="auto"/>
        </w:rPr>
        <w:t>item within investing activities, referred to as “</w:t>
      </w:r>
      <w:r>
        <w:rPr>
          <w:rFonts w:ascii="Arial" w:cs="Arial" w:eastAsia="Arial" w:hAnsi="Arial"/>
          <w:sz w:val="18"/>
          <w:szCs w:val="18"/>
          <w:i w:val="1"/>
          <w:iCs w:val="1"/>
          <w:color w:val="auto"/>
        </w:rPr>
        <w:t>SPM investments</w:t>
      </w:r>
      <w:r>
        <w:rPr>
          <w:rFonts w:ascii="Arial" w:cs="Arial" w:eastAsia="Arial" w:hAnsi="Arial"/>
          <w:sz w:val="18"/>
          <w:szCs w:val="18"/>
          <w:color w:val="auto"/>
        </w:rPr>
        <w:t>.” Schlumberger historically presented such cash outflows as an operating activity. This change is not considered material to prior periods.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Schlumberger is required to adopt this ASU on January 1, 2017. Schlumberger does not expect this ASU to have a material impact on its consolidated financial statements.</w:t>
      </w:r>
    </w:p>
    <w:p>
      <w:pPr>
        <w:spacing w:after="0" w:line="200" w:lineRule="exact"/>
        <w:rPr>
          <w:sz w:val="20"/>
          <w:szCs w:val="20"/>
          <w:color w:val="auto"/>
        </w:rPr>
      </w:pPr>
    </w:p>
    <w:p>
      <w:pPr>
        <w:spacing w:after="0" w:line="336"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in continuing operations during the first nine months of 2013: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2013:</w:t>
      </w:r>
    </w:p>
    <w:p>
      <w:pPr>
        <w:spacing w:after="0" w:line="116" w:lineRule="exact"/>
        <w:rPr>
          <w:sz w:val="20"/>
          <w:szCs w:val="20"/>
          <w:color w:val="auto"/>
        </w:rPr>
      </w:pPr>
    </w:p>
    <w:p>
      <w:pPr>
        <w:ind w:left="760" w:right="20" w:hanging="372"/>
        <w:spacing w:after="0" w:line="340"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Schlumberger recorded a pretax and after-tax gain of $1.028 billion as a result of the deconsolidation of its subsea business in connection with the formation of the OneSubsea joint venture with Cameron International Corporation (“Cameron”). Refer to Note 4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further details.</w:t>
      </w:r>
    </w:p>
    <w:p>
      <w:pPr>
        <w:spacing w:after="0" w:line="16" w:lineRule="exact"/>
        <w:rPr>
          <w:rFonts w:ascii="Arial" w:cs="Arial" w:eastAsia="Arial" w:hAnsi="Arial"/>
          <w:sz w:val="16"/>
          <w:szCs w:val="16"/>
          <w:color w:val="auto"/>
        </w:rPr>
      </w:pPr>
    </w:p>
    <w:p>
      <w:pPr>
        <w:jc w:val="both"/>
        <w:ind w:left="760" w:right="20" w:hanging="372"/>
        <w:spacing w:after="0" w:line="262"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recorded a $222 million pretax ($203 million after-tax) impairment charge relating to an investment in a company involved in developing drilling-related technology and a $142 million pretax and after-tax impairment charge relating to an investment in a contract drilling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2013:</w:t>
      </w:r>
    </w:p>
    <w:p>
      <w:pPr>
        <w:spacing w:after="0" w:line="116" w:lineRule="exact"/>
        <w:rPr>
          <w:sz w:val="20"/>
          <w:szCs w:val="20"/>
          <w:color w:val="auto"/>
        </w:rPr>
      </w:pPr>
    </w:p>
    <w:p>
      <w:pPr>
        <w:jc w:val="both"/>
        <w:ind w:left="760" w:right="20" w:hanging="372"/>
        <w:spacing w:after="0" w:line="25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the functional currency of Schlumberger’s operations in Venezuela is the US dollar, a portion of the transactions are denominated in local currency. In February 2013, Venezuela’s currency was devalued from the prior exchange rate of 4.3 bolivar fuertes per US dollar to 6.3 bolivar fuertes per US dollar. As a result of this devaluation, Schlumberger recorded a pretax and after-tax foreign currency loss of $92 million during the first quarter of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recorded during the first nine months of 2013: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i w:val="1"/>
                <w:iCs w:val="1"/>
                <w:color w:val="auto"/>
              </w:rPr>
              <w:t>(Stated in millions)</w:t>
            </w:r>
          </w:p>
        </w:tc>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color w:val="auto"/>
              </w:rPr>
              <w:t>Pretax</w:t>
            </w:r>
          </w:p>
        </w:tc>
        <w:tc>
          <w:tcPr>
            <w:tcW w:w="620" w:type="dxa"/>
            <w:vAlign w:val="bottom"/>
          </w:tcPr>
          <w:p>
            <w:pPr>
              <w:jc w:val="right"/>
              <w:ind w:right="44"/>
              <w:spacing w:after="0"/>
              <w:rPr>
                <w:sz w:val="20"/>
                <w:szCs w:val="20"/>
                <w:color w:val="auto"/>
              </w:rPr>
            </w:pPr>
            <w:r>
              <w:rPr>
                <w:rFonts w:ascii="Arial" w:cs="Arial" w:eastAsia="Arial" w:hAnsi="Arial"/>
                <w:sz w:val="14"/>
                <w:szCs w:val="14"/>
                <w:color w:val="auto"/>
              </w:rPr>
              <w:t>Tax</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Net</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Classification</w:t>
            </w:r>
          </w:p>
        </w:tc>
      </w:tr>
      <w:tr>
        <w:trPr>
          <w:trHeight w:val="222"/>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(1,028)</w:t>
            </w:r>
          </w:p>
        </w:tc>
        <w:tc>
          <w:tcPr>
            <w:tcW w:w="220" w:type="dxa"/>
            <w:vAlign w:val="bottom"/>
            <w:tcBorders>
              <w:top w:val="single" w:sz="8" w:color="CFF0FC"/>
            </w:tcBorders>
            <w:shd w:val="clear" w:color="auto" w:fill="CFF0FC"/>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c>
          <w:tcPr>
            <w:tcW w:w="460" w:type="dxa"/>
            <w:vAlign w:val="bottom"/>
            <w:tcBorders>
              <w:top w:val="single" w:sz="8" w:color="CFF0FC"/>
            </w:tcBorders>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Currency devaluation loss in Venezuela</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22"/>
        </w:trPr>
        <w:tc>
          <w:tcPr>
            <w:tcW w:w="4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1"/>
        </w:trPr>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324"/>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161" w:right="2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There were no charges or credits recorded in continuing operations during the first nine months of 2014.</w:t>
      </w:r>
    </w:p>
    <w:p>
      <w:pPr>
        <w:spacing w:after="0" w:line="36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 following is a reconciliation from basic earnings per share from continuing operations of Schlumberger to diluted earnings per share from continuing operations of Schlumberger: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3"/>
              </w:rPr>
              <w:t>(Stated in millions, except per share amounts)</w:t>
            </w:r>
          </w:p>
        </w:tc>
        <w:tc>
          <w:tcPr>
            <w:tcW w:w="0" w:type="dxa"/>
            <w:vAlign w:val="bottom"/>
          </w:tcPr>
          <w:p>
            <w:pPr>
              <w:spacing w:after="0"/>
              <w:rPr>
                <w:sz w:val="1"/>
                <w:szCs w:val="1"/>
                <w:color w:val="auto"/>
              </w:rPr>
            </w:pPr>
          </w:p>
        </w:tc>
      </w:tr>
      <w:tr>
        <w:trPr>
          <w:trHeight w:val="167"/>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135"/>
              <w:spacing w:after="0"/>
              <w:rPr>
                <w:sz w:val="20"/>
                <w:szCs w:val="20"/>
                <w:color w:val="auto"/>
              </w:rPr>
            </w:pPr>
            <w:r>
              <w:rPr>
                <w:rFonts w:ascii="Arial" w:cs="Arial" w:eastAsia="Arial" w:hAnsi="Arial"/>
                <w:sz w:val="14"/>
                <w:szCs w:val="14"/>
                <w:color w:val="auto"/>
                <w:w w:val="89"/>
              </w:rPr>
              <w:t>2013</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3"/>
              </w:rPr>
              <w:t>Schlumberger</w:t>
            </w: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62"/>
              <w:spacing w:after="0" w:line="132" w:lineRule="exact"/>
              <w:rPr>
                <w:sz w:val="20"/>
                <w:szCs w:val="20"/>
                <w:color w:val="auto"/>
              </w:rPr>
            </w:pPr>
            <w:r>
              <w:rPr>
                <w:rFonts w:ascii="Arial" w:cs="Arial" w:eastAsia="Arial" w:hAnsi="Arial"/>
                <w:sz w:val="14"/>
                <w:szCs w:val="14"/>
                <w:b w:val="1"/>
                <w:bCs w:val="1"/>
                <w:color w:val="auto"/>
                <w:w w:val="93"/>
              </w:rPr>
              <w:t>Earnings per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9"/>
              <w:spacing w:after="0" w:line="132" w:lineRule="exact"/>
              <w:rPr>
                <w:sz w:val="20"/>
                <w:szCs w:val="20"/>
                <w:color w:val="auto"/>
              </w:rPr>
            </w:pPr>
            <w:r>
              <w:rPr>
                <w:rFonts w:ascii="Arial" w:cs="Arial" w:eastAsia="Arial" w:hAnsi="Arial"/>
                <w:sz w:val="14"/>
                <w:szCs w:val="14"/>
                <w:color w:val="auto"/>
                <w:w w:val="91"/>
              </w:rPr>
              <w:t>Schlumberger</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5"/>
              </w:rPr>
              <w:t>Income from</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 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4"/>
              </w:rPr>
              <w:t>Share from</w:t>
            </w:r>
          </w:p>
        </w:tc>
        <w:tc>
          <w:tcPr>
            <w:tcW w:w="120" w:type="dxa"/>
            <w:vAlign w:val="bottom"/>
          </w:tcPr>
          <w:p>
            <w:pPr>
              <w:spacing w:after="0"/>
              <w:rPr>
                <w:sz w:val="12"/>
                <w:szCs w:val="12"/>
                <w:color w:val="auto"/>
              </w:rPr>
            </w:pPr>
          </w:p>
        </w:tc>
        <w:tc>
          <w:tcPr>
            <w:tcW w:w="1000" w:type="dxa"/>
            <w:vAlign w:val="bottom"/>
          </w:tcPr>
          <w:p>
            <w:pPr>
              <w:jc w:val="center"/>
              <w:ind w:right="59"/>
              <w:spacing w:after="0" w:line="148" w:lineRule="exact"/>
              <w:rPr>
                <w:sz w:val="20"/>
                <w:szCs w:val="20"/>
                <w:color w:val="auto"/>
              </w:rPr>
            </w:pPr>
            <w:r>
              <w:rPr>
                <w:rFonts w:ascii="Arial" w:cs="Arial" w:eastAsia="Arial" w:hAnsi="Arial"/>
                <w:sz w:val="14"/>
                <w:szCs w:val="14"/>
                <w:color w:val="auto"/>
                <w:w w:val="95"/>
              </w:rPr>
              <w:t>Income from</w:t>
            </w: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1"/>
              </w:rPr>
              <w:t>Average</w:t>
            </w:r>
          </w:p>
        </w:tc>
        <w:tc>
          <w:tcPr>
            <w:tcW w:w="1240" w:type="dxa"/>
            <w:vAlign w:val="bottom"/>
            <w:gridSpan w:val="3"/>
          </w:tcPr>
          <w:p>
            <w:pPr>
              <w:ind w:left="20"/>
              <w:spacing w:after="0" w:line="148" w:lineRule="exact"/>
              <w:rPr>
                <w:sz w:val="20"/>
                <w:szCs w:val="20"/>
                <w:color w:val="auto"/>
              </w:rPr>
            </w:pPr>
            <w:r>
              <w:rPr>
                <w:rFonts w:ascii="Arial" w:cs="Arial" w:eastAsia="Arial" w:hAnsi="Arial"/>
                <w:sz w:val="14"/>
                <w:szCs w:val="14"/>
                <w:color w:val="auto"/>
                <w:w w:val="99"/>
              </w:rPr>
              <w:t>Earnings per Share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1"/>
              </w:rPr>
              <w:t>Continuing</w:t>
            </w: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4"/>
              </w:rPr>
              <w:t>Continuing</w:t>
            </w:r>
          </w:p>
        </w:tc>
        <w:tc>
          <w:tcPr>
            <w:tcW w:w="120" w:type="dxa"/>
            <w:vAlign w:val="bottom"/>
          </w:tcPr>
          <w:p>
            <w:pPr>
              <w:spacing w:after="0"/>
              <w:rPr>
                <w:sz w:val="12"/>
                <w:szCs w:val="12"/>
                <w:color w:val="auto"/>
              </w:rPr>
            </w:pPr>
          </w:p>
        </w:tc>
        <w:tc>
          <w:tcPr>
            <w:tcW w:w="1000" w:type="dxa"/>
            <w:vAlign w:val="bottom"/>
          </w:tcPr>
          <w:p>
            <w:pPr>
              <w:jc w:val="center"/>
              <w:ind w:right="39"/>
              <w:spacing w:after="0" w:line="148" w:lineRule="exact"/>
              <w:rPr>
                <w:sz w:val="20"/>
                <w:szCs w:val="20"/>
                <w:color w:val="auto"/>
              </w:rPr>
            </w:pPr>
            <w:r>
              <w:rPr>
                <w:rFonts w:ascii="Arial" w:cs="Arial" w:eastAsia="Arial" w:hAnsi="Arial"/>
                <w:sz w:val="14"/>
                <w:szCs w:val="14"/>
                <w:color w:val="auto"/>
                <w:w w:val="95"/>
              </w:rPr>
              <w:t>Continuing</w:t>
            </w:r>
          </w:p>
        </w:tc>
        <w:tc>
          <w:tcPr>
            <w:tcW w:w="220" w:type="dxa"/>
            <w:vAlign w:val="bottom"/>
          </w:tcPr>
          <w:p>
            <w:pPr>
              <w:spacing w:after="0"/>
              <w:rPr>
                <w:sz w:val="12"/>
                <w:szCs w:val="12"/>
                <w:color w:val="auto"/>
              </w:rPr>
            </w:pPr>
          </w:p>
        </w:tc>
        <w:tc>
          <w:tcPr>
            <w:tcW w:w="1340" w:type="dxa"/>
            <w:vAlign w:val="bottom"/>
            <w:gridSpan w:val="2"/>
          </w:tcPr>
          <w:p>
            <w:pPr>
              <w:jc w:val="center"/>
              <w:ind w:right="240"/>
              <w:spacing w:after="0" w:line="148" w:lineRule="exact"/>
              <w:rPr>
                <w:sz w:val="20"/>
                <w:szCs w:val="20"/>
                <w:color w:val="auto"/>
              </w:rPr>
            </w:pPr>
            <w:r>
              <w:rPr>
                <w:rFonts w:ascii="Arial" w:cs="Arial" w:eastAsia="Arial" w:hAnsi="Arial"/>
                <w:sz w:val="14"/>
                <w:szCs w:val="14"/>
                <w:color w:val="auto"/>
                <w:w w:val="85"/>
              </w:rPr>
              <w:t>Shares</w:t>
            </w:r>
          </w:p>
        </w:tc>
        <w:tc>
          <w:tcPr>
            <w:tcW w:w="1240" w:type="dxa"/>
            <w:vAlign w:val="bottom"/>
            <w:gridSpan w:val="3"/>
          </w:tcPr>
          <w:p>
            <w:pPr>
              <w:jc w:val="center"/>
              <w:ind w:right="120"/>
              <w:spacing w:after="0" w:line="148" w:lineRule="exact"/>
              <w:rPr>
                <w:sz w:val="20"/>
                <w:szCs w:val="20"/>
                <w:color w:val="auto"/>
              </w:rPr>
            </w:pPr>
            <w:r>
              <w:rPr>
                <w:rFonts w:ascii="Arial" w:cs="Arial" w:eastAsia="Arial" w:hAnsi="Arial"/>
                <w:sz w:val="14"/>
                <w:szCs w:val="14"/>
                <w:color w:val="auto"/>
                <w:w w:val="97"/>
              </w:rPr>
              <w:t>from Continuing</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color w:val="auto"/>
                <w:w w:val="90"/>
              </w:rPr>
              <w:t>Operations</w:t>
            </w:r>
          </w:p>
        </w:tc>
        <w:tc>
          <w:tcPr>
            <w:tcW w:w="2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Operations</w:t>
            </w:r>
          </w:p>
        </w:tc>
        <w:tc>
          <w:tcPr>
            <w:tcW w:w="0" w:type="dxa"/>
            <w:vAlign w:val="bottom"/>
          </w:tcPr>
          <w:p>
            <w:pPr>
              <w:spacing w:after="0"/>
              <w:rPr>
                <w:sz w:val="1"/>
                <w:szCs w:val="1"/>
                <w:color w:val="auto"/>
              </w:rPr>
            </w:pPr>
          </w:p>
        </w:tc>
      </w:tr>
      <w:tr>
        <w:trPr>
          <w:trHeight w:val="202"/>
        </w:trPr>
        <w:tc>
          <w:tcPr>
            <w:tcW w:w="33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Third Quarter</w:t>
            </w: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220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1,949</w:t>
            </w:r>
          </w:p>
        </w:tc>
        <w:tc>
          <w:tcPr>
            <w:tcW w:w="240" w:type="dxa"/>
            <w:vAlign w:val="bottom"/>
            <w:tcBorders>
              <w:top w:val="single" w:sz="8" w:color="CFF0FC"/>
            </w:tcBorders>
          </w:tcPr>
          <w:p>
            <w:pPr>
              <w:spacing w:after="0"/>
              <w:rPr>
                <w:sz w:val="23"/>
                <w:szCs w:val="23"/>
                <w:color w:val="auto"/>
              </w:rPr>
            </w:pP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1,294</w:t>
            </w:r>
          </w:p>
        </w:tc>
        <w:tc>
          <w:tcPr>
            <w:tcW w:w="38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1,715</w:t>
            </w:r>
          </w:p>
        </w:tc>
        <w:tc>
          <w:tcPr>
            <w:tcW w:w="13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1,322</w:t>
            </w:r>
          </w:p>
        </w:tc>
        <w:tc>
          <w:tcPr>
            <w:tcW w:w="22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1,949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1,310</w:t>
            </w:r>
          </w:p>
        </w:tc>
        <w:tc>
          <w:tcPr>
            <w:tcW w:w="38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Schlumberger</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Earnings per</w:t>
            </w:r>
          </w:p>
        </w:tc>
        <w:tc>
          <w:tcPr>
            <w:tcW w:w="120" w:type="dxa"/>
            <w:vAlign w:val="bottom"/>
          </w:tcPr>
          <w:p>
            <w:pPr>
              <w:spacing w:after="0"/>
              <w:rPr>
                <w:sz w:val="24"/>
                <w:szCs w:val="24"/>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color w:val="auto"/>
                <w:w w:val="91"/>
              </w:rPr>
              <w:t>Schlumberger</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5"/>
              </w:rPr>
              <w:t>Income from</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 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4"/>
              </w:rPr>
              <w:t>Share from</w:t>
            </w:r>
          </w:p>
        </w:tc>
        <w:tc>
          <w:tcPr>
            <w:tcW w:w="120" w:type="dxa"/>
            <w:vAlign w:val="bottom"/>
          </w:tcPr>
          <w:p>
            <w:pPr>
              <w:spacing w:after="0"/>
              <w:rPr>
                <w:sz w:val="12"/>
                <w:szCs w:val="12"/>
                <w:color w:val="auto"/>
              </w:rPr>
            </w:pPr>
          </w:p>
        </w:tc>
        <w:tc>
          <w:tcPr>
            <w:tcW w:w="1000" w:type="dxa"/>
            <w:vAlign w:val="bottom"/>
          </w:tcPr>
          <w:p>
            <w:pPr>
              <w:jc w:val="center"/>
              <w:ind w:right="59"/>
              <w:spacing w:after="0" w:line="148" w:lineRule="exact"/>
              <w:rPr>
                <w:sz w:val="20"/>
                <w:szCs w:val="20"/>
                <w:color w:val="auto"/>
              </w:rPr>
            </w:pPr>
            <w:r>
              <w:rPr>
                <w:rFonts w:ascii="Arial" w:cs="Arial" w:eastAsia="Arial" w:hAnsi="Arial"/>
                <w:sz w:val="14"/>
                <w:szCs w:val="14"/>
                <w:color w:val="auto"/>
                <w:w w:val="95"/>
              </w:rPr>
              <w:t>Income from</w:t>
            </w: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1"/>
              </w:rPr>
              <w:t>Average</w:t>
            </w:r>
          </w:p>
        </w:tc>
        <w:tc>
          <w:tcPr>
            <w:tcW w:w="1240" w:type="dxa"/>
            <w:vAlign w:val="bottom"/>
            <w:gridSpan w:val="3"/>
          </w:tcPr>
          <w:p>
            <w:pPr>
              <w:ind w:left="20"/>
              <w:spacing w:after="0" w:line="148" w:lineRule="exact"/>
              <w:rPr>
                <w:sz w:val="20"/>
                <w:szCs w:val="20"/>
                <w:color w:val="auto"/>
              </w:rPr>
            </w:pPr>
            <w:r>
              <w:rPr>
                <w:rFonts w:ascii="Arial" w:cs="Arial" w:eastAsia="Arial" w:hAnsi="Arial"/>
                <w:sz w:val="14"/>
                <w:szCs w:val="14"/>
                <w:color w:val="auto"/>
                <w:w w:val="99"/>
              </w:rPr>
              <w:t>Earnings per Share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1"/>
              </w:rPr>
              <w:t>Continuing</w:t>
            </w: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4"/>
              </w:rPr>
              <w:t>Continuing</w:t>
            </w:r>
          </w:p>
        </w:tc>
        <w:tc>
          <w:tcPr>
            <w:tcW w:w="120" w:type="dxa"/>
            <w:vAlign w:val="bottom"/>
          </w:tcPr>
          <w:p>
            <w:pPr>
              <w:spacing w:after="0"/>
              <w:rPr>
                <w:sz w:val="12"/>
                <w:szCs w:val="12"/>
                <w:color w:val="auto"/>
              </w:rPr>
            </w:pPr>
          </w:p>
        </w:tc>
        <w:tc>
          <w:tcPr>
            <w:tcW w:w="1000" w:type="dxa"/>
            <w:vAlign w:val="bottom"/>
          </w:tcPr>
          <w:p>
            <w:pPr>
              <w:jc w:val="center"/>
              <w:ind w:right="39"/>
              <w:spacing w:after="0" w:line="148" w:lineRule="exact"/>
              <w:rPr>
                <w:sz w:val="20"/>
                <w:szCs w:val="20"/>
                <w:color w:val="auto"/>
              </w:rPr>
            </w:pPr>
            <w:r>
              <w:rPr>
                <w:rFonts w:ascii="Arial" w:cs="Arial" w:eastAsia="Arial" w:hAnsi="Arial"/>
                <w:sz w:val="14"/>
                <w:szCs w:val="14"/>
                <w:color w:val="auto"/>
                <w:w w:val="95"/>
              </w:rPr>
              <w:t>Continuing</w:t>
            </w:r>
          </w:p>
        </w:tc>
        <w:tc>
          <w:tcPr>
            <w:tcW w:w="220" w:type="dxa"/>
            <w:vAlign w:val="bottom"/>
          </w:tcPr>
          <w:p>
            <w:pPr>
              <w:spacing w:after="0"/>
              <w:rPr>
                <w:sz w:val="12"/>
                <w:szCs w:val="12"/>
                <w:color w:val="auto"/>
              </w:rPr>
            </w:pPr>
          </w:p>
        </w:tc>
        <w:tc>
          <w:tcPr>
            <w:tcW w:w="1340" w:type="dxa"/>
            <w:vAlign w:val="bottom"/>
            <w:gridSpan w:val="2"/>
          </w:tcPr>
          <w:p>
            <w:pPr>
              <w:jc w:val="center"/>
              <w:ind w:right="240"/>
              <w:spacing w:after="0" w:line="148" w:lineRule="exact"/>
              <w:rPr>
                <w:sz w:val="20"/>
                <w:szCs w:val="20"/>
                <w:color w:val="auto"/>
              </w:rPr>
            </w:pPr>
            <w:r>
              <w:rPr>
                <w:rFonts w:ascii="Arial" w:cs="Arial" w:eastAsia="Arial" w:hAnsi="Arial"/>
                <w:sz w:val="14"/>
                <w:szCs w:val="14"/>
                <w:color w:val="auto"/>
                <w:w w:val="85"/>
              </w:rPr>
              <w:t>Shares</w:t>
            </w:r>
          </w:p>
        </w:tc>
        <w:tc>
          <w:tcPr>
            <w:tcW w:w="1240" w:type="dxa"/>
            <w:vAlign w:val="bottom"/>
            <w:gridSpan w:val="3"/>
          </w:tcPr>
          <w:p>
            <w:pPr>
              <w:jc w:val="center"/>
              <w:ind w:right="120"/>
              <w:spacing w:after="0" w:line="148" w:lineRule="exact"/>
              <w:rPr>
                <w:sz w:val="20"/>
                <w:szCs w:val="20"/>
                <w:color w:val="auto"/>
              </w:rPr>
            </w:pPr>
            <w:r>
              <w:rPr>
                <w:rFonts w:ascii="Arial" w:cs="Arial" w:eastAsia="Arial" w:hAnsi="Arial"/>
                <w:sz w:val="14"/>
                <w:szCs w:val="14"/>
                <w:color w:val="auto"/>
                <w:w w:val="97"/>
              </w:rPr>
              <w:t>from Continuing</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color w:val="auto"/>
                <w:w w:val="90"/>
              </w:rPr>
              <w:t>Operations</w:t>
            </w:r>
          </w:p>
        </w:tc>
        <w:tc>
          <w:tcPr>
            <w:tcW w:w="2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Outstanding</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Operations</w:t>
            </w:r>
          </w:p>
        </w:tc>
        <w:tc>
          <w:tcPr>
            <w:tcW w:w="0" w:type="dxa"/>
            <w:vAlign w:val="bottom"/>
          </w:tcPr>
          <w:p>
            <w:pPr>
              <w:spacing w:after="0"/>
              <w:rPr>
                <w:sz w:val="1"/>
                <w:szCs w:val="1"/>
                <w:color w:val="auto"/>
              </w:rPr>
            </w:pPr>
          </w:p>
        </w:tc>
      </w:tr>
      <w:tr>
        <w:trPr>
          <w:trHeight w:val="202"/>
        </w:trPr>
        <w:tc>
          <w:tcPr>
            <w:tcW w:w="100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0"/>
              </w:rPr>
              <w:t>Nine Months</w:t>
            </w:r>
          </w:p>
        </w:tc>
        <w:tc>
          <w:tcPr>
            <w:tcW w:w="23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320" w:type="dxa"/>
            <w:vAlign w:val="bottom"/>
            <w:gridSpan w:val="3"/>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5,341</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1,300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1,326</w:t>
            </w:r>
          </w:p>
        </w:tc>
        <w:tc>
          <w:tcPr>
            <w:tcW w:w="220" w:type="dxa"/>
            <w:vAlign w:val="bottom"/>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5,341</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1,315</w:t>
            </w:r>
          </w:p>
        </w:tc>
        <w:tc>
          <w:tcPr>
            <w:tcW w:w="38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68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419"/>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Third Quarter</w:t>
            </w: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0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of OneSubsea Joint Venture</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On June 30, 2013, Schlumberger and Cameron completed the formation of OneSubsea, a joint venture to manufacture and develop products, systems and services for the subsea oil and gas market. Schlumberger and Cameron each contributed all of their respective subsea businesses to the joint venture and Schlumberger made a $600 million cash payment to Cameron. Schlumberger owns 40% of OneSubsea and accounts for this investment under the equity method. Schlumberger recognized a pretax and after-tax gain of $1.028 billion, which is classified as </w:t>
      </w:r>
      <w:r>
        <w:rPr>
          <w:rFonts w:ascii="Arial" w:cs="Arial" w:eastAsia="Arial" w:hAnsi="Arial"/>
          <w:sz w:val="16"/>
          <w:szCs w:val="16"/>
          <w:i w:val="1"/>
          <w:iCs w:val="1"/>
          <w:color w:val="auto"/>
        </w:rPr>
        <w:t>Gain on formation of OneSubsea</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of Income</w:t>
      </w:r>
      <w:r>
        <w:rPr>
          <w:rFonts w:ascii="Arial" w:cs="Arial" w:eastAsia="Arial" w:hAnsi="Arial"/>
          <w:sz w:val="16"/>
          <w:szCs w:val="16"/>
          <w:color w:val="auto"/>
        </w:rPr>
        <w:t>, as a result of the deconsolidation of its subsea business. This gain is equal to the difference between the fair value of the Schlumberger</w:t>
      </w:r>
      <w:r>
        <w:rPr>
          <w:rFonts w:ascii="Arial" w:cs="Arial" w:eastAsia="Arial" w:hAnsi="Arial"/>
          <w:sz w:val="16"/>
          <w:szCs w:val="16"/>
          <w:i w:val="1"/>
          <w:iCs w:val="1"/>
          <w:color w:val="auto"/>
        </w:rPr>
        <w:t xml:space="preserve"> </w:t>
      </w:r>
      <w:r>
        <w:rPr>
          <w:rFonts w:ascii="Arial" w:cs="Arial" w:eastAsia="Arial" w:hAnsi="Arial"/>
          <w:sz w:val="16"/>
          <w:szCs w:val="16"/>
          <w:color w:val="auto"/>
        </w:rPr>
        <w:t>subsea business, which was determined based on the present value of its estimated future cash flows, and its carrying value at the time of closing.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During the first nine months of 2014 and 2013, Schlumberger made certain other acquisitions and investments, for cash payments net of cash acquired, of $556 million and $544 million, respectively. Additionally, during the first nine months of 2014, Schlumberger issued 2.1 million shares of its common stock, valued at $213 million, in connection with an acquisition. None of these transactions were significant,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Inventories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13"/>
          </w:tcPr>
          <w:p>
            <w:pPr>
              <w:ind w:left="7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Sept.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7"/>
          </w:tcPr>
          <w:p>
            <w:pPr>
              <w:ind w:left="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18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416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89"/>
              </w:rPr>
              <w:t>2013</w:t>
            </w:r>
          </w:p>
        </w:tc>
        <w:tc>
          <w:tcPr>
            <w:tcW w:w="80" w:type="dxa"/>
            <w:vAlign w:val="bottom"/>
            <w:tcBorders>
              <w:bottom w:val="single" w:sz="8" w:color="CFF0FC"/>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2,637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8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1,769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8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30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30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Sept. 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6"/>
          </w:tcPr>
          <w:p>
            <w:pPr>
              <w:jc w:val="center"/>
              <w:ind w:right="240"/>
              <w:spacing w:after="0" w:line="157" w:lineRule="exact"/>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171"/>
        </w:trPr>
        <w:tc>
          <w:tcPr>
            <w:tcW w:w="18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416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196"/>
              <w:spacing w:after="0"/>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37,305</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35,164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21,496</w:t>
            </w: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20,068</w:t>
            </w: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1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15,809</w:t>
            </w: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15,096</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 charged to income was as follows:</w:t>
            </w: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30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7"/>
          </w:tcPr>
          <w:p>
            <w:pPr>
              <w:jc w:val="center"/>
              <w:ind w:right="1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67"/>
        </w:trPr>
        <w:tc>
          <w:tcPr>
            <w:tcW w:w="18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416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156"/>
              <w:spacing w:after="0"/>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220" w:type="dxa"/>
            <w:vAlign w:val="bottom"/>
            <w:shd w:val="clear" w:color="auto" w:fill="CFF0FC"/>
          </w:tcPr>
          <w:p>
            <w:pPr>
              <w:spacing w:after="0"/>
              <w:rPr>
                <w:sz w:val="19"/>
                <w:szCs w:val="19"/>
                <w:color w:val="auto"/>
              </w:rPr>
            </w:pPr>
          </w:p>
        </w:tc>
        <w:tc>
          <w:tcPr>
            <w:tcW w:w="2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821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788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00" w:type="dxa"/>
            <w:vAlign w:val="bottom"/>
            <w:gridSpan w:val="3"/>
          </w:tcPr>
          <w:p>
            <w:pPr>
              <w:spacing w:after="0"/>
              <w:rPr>
                <w:sz w:val="20"/>
                <w:szCs w:val="20"/>
                <w:color w:val="auto"/>
              </w:rPr>
            </w:pPr>
            <w:r>
              <w:rPr>
                <w:rFonts w:ascii="Arial" w:cs="Arial" w:eastAsia="Arial" w:hAnsi="Arial"/>
                <w:sz w:val="18"/>
                <w:szCs w:val="18"/>
                <w:color w:val="auto"/>
              </w:rPr>
              <w:t>Nine Months</w:t>
            </w:r>
          </w:p>
        </w:tc>
        <w:tc>
          <w:tcPr>
            <w:tcW w:w="1440" w:type="dxa"/>
            <w:vAlign w:val="bottom"/>
            <w:gridSpan w:val="4"/>
          </w:tcPr>
          <w:p>
            <w:pPr>
              <w:jc w:val="right"/>
              <w:ind w:right="67"/>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2,414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2,324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carrying amount of multiclient seismic data for the nine months ended September 30, 2014 was as follows:</w:t>
      </w:r>
    </w:p>
    <w:p>
      <w:pPr>
        <w:sectPr>
          <w:pgSz w:w="11900" w:h="16838" w:orient="portrait"/>
          <w:cols w:equalWidth="0" w:num="1">
            <w:col w:w="10900"/>
          </w:cols>
          <w:pgMar w:left="240" w:top="121" w:right="7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0876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7620" cy="1454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0876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87620" cy="1454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Balance at September 30, 2014</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(Stated in millions)</w:t>
      </w:r>
    </w:p>
    <w:p>
      <w:pPr>
        <w:spacing w:after="0" w:line="21" w:lineRule="exact"/>
        <w:rPr>
          <w:sz w:val="20"/>
          <w:szCs w:val="20"/>
          <w:color w:val="auto"/>
        </w:rPr>
      </w:pPr>
    </w:p>
    <w:p>
      <w:pPr>
        <w:ind w:left="1060" w:hanging="1059"/>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667</w:t>
      </w:r>
    </w:p>
    <w:p>
      <w:pPr>
        <w:spacing w:after="0" w:line="6"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212</w:t>
      </w:r>
    </w:p>
    <w:p>
      <w:pPr>
        <w:spacing w:after="0" w:line="22"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845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14" w:lineRule="exact"/>
        <w:rPr>
          <w:sz w:val="20"/>
          <w:szCs w:val="20"/>
          <w:color w:val="auto"/>
        </w:rPr>
      </w:pPr>
    </w:p>
    <w:p>
      <w:pPr>
        <w:ind w:left="1060" w:hanging="1059"/>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845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51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31115</wp:posOffset>
            </wp:positionV>
            <wp:extent cx="845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280"/>
          </w:cols>
          <w:pgMar w:left="240" w:top="121" w:right="759" w:bottom="1440" w:gutter="0" w:footer="0" w:header="0"/>
          <w:type w:val="continuous"/>
        </w:sectPr>
      </w:pPr>
    </w:p>
    <w:p>
      <w:pPr>
        <w:spacing w:after="0" w:line="20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nine months ended September 30, 2014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Reservoir</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Characterization</w:t>
            </w:r>
          </w:p>
        </w:tc>
        <w:tc>
          <w:tcPr>
            <w:tcW w:w="24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Drilling</w:t>
            </w:r>
          </w:p>
        </w:tc>
        <w:tc>
          <w:tcPr>
            <w:tcW w:w="2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Production</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2"/>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8,315</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Reallocation</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Impact of changes in exchange rates</w:t>
            </w: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2014</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15"/>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240" w:top="121" w:right="759" w:bottom="1440" w:gutter="0" w:footer="0" w:header="0"/>
          <w:type w:val="continuous"/>
        </w:sectPr>
      </w:pPr>
    </w:p>
    <w:bookmarkStart w:id="10" w:name="page11"/>
    <w:bookmarkEnd w:id="10"/>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 30, 2014</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color w:val="auto"/>
              </w:rPr>
              <w:t>Dec. 31, 2013</w:t>
            </w:r>
          </w:p>
        </w:tc>
        <w:tc>
          <w:tcPr>
            <w:tcW w:w="1340" w:type="dxa"/>
            <w:vAlign w:val="bottom"/>
            <w:gridSpan w:val="3"/>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16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2"/>
                <w:szCs w:val="12"/>
                <w:color w:val="auto"/>
              </w:rPr>
            </w:pPr>
          </w:p>
        </w:tc>
        <w:tc>
          <w:tcPr>
            <w:tcW w:w="960" w:type="dxa"/>
            <w:vAlign w:val="bottom"/>
          </w:tcPr>
          <w:p>
            <w:pPr>
              <w:jc w:val="center"/>
              <w:ind w:right="116"/>
              <w:spacing w:after="0" w:line="145" w:lineRule="exact"/>
              <w:rPr>
                <w:sz w:val="20"/>
                <w:szCs w:val="20"/>
                <w:color w:val="auto"/>
              </w:rPr>
            </w:pPr>
            <w:r>
              <w:rPr>
                <w:rFonts w:ascii="Arial" w:cs="Arial" w:eastAsia="Arial" w:hAnsi="Arial"/>
                <w:sz w:val="14"/>
                <w:szCs w:val="14"/>
                <w:b w:val="1"/>
                <w:bCs w:val="1"/>
                <w:color w:val="auto"/>
                <w:w w:val="91"/>
              </w:rPr>
              <w:t>Net Book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2"/>
                <w:szCs w:val="12"/>
                <w:color w:val="auto"/>
              </w:rPr>
            </w:pPr>
          </w:p>
        </w:tc>
        <w:tc>
          <w:tcPr>
            <w:tcW w:w="112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2"/>
                <w:szCs w:val="12"/>
                <w:color w:val="auto"/>
              </w:rPr>
            </w:pPr>
          </w:p>
        </w:tc>
        <w:tc>
          <w:tcPr>
            <w:tcW w:w="960" w:type="dxa"/>
            <w:vAlign w:val="bottom"/>
          </w:tcPr>
          <w:p>
            <w:pPr>
              <w:jc w:val="center"/>
              <w:ind w:right="116"/>
              <w:spacing w:after="0" w:line="145" w:lineRule="exact"/>
              <w:rPr>
                <w:sz w:val="20"/>
                <w:szCs w:val="20"/>
                <w:color w:val="auto"/>
              </w:rPr>
            </w:pPr>
            <w:r>
              <w:rPr>
                <w:rFonts w:ascii="Arial" w:cs="Arial" w:eastAsia="Arial" w:hAnsi="Arial"/>
                <w:sz w:val="14"/>
                <w:szCs w:val="14"/>
                <w:color w:val="auto"/>
                <w:w w:val="97"/>
              </w:rPr>
              <w:t>Net Book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Book Value</w:t>
            </w:r>
          </w:p>
        </w:tc>
        <w:tc>
          <w:tcPr>
            <w:tcW w:w="2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Book Value</w:t>
            </w: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22"/>
        </w:trPr>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Technology/Technical Know-How</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1,960</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681</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2,460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6,432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1,742</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4,690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59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Arial" w:cs="Arial" w:eastAsia="Arial" w:hAnsi="Arial"/>
                <w:sz w:val="18"/>
                <w:szCs w:val="18"/>
                <w:color w:val="auto"/>
              </w:rPr>
              <w:t>Nine Months</w:t>
            </w:r>
          </w:p>
        </w:tc>
        <w:tc>
          <w:tcPr>
            <w:tcW w:w="820" w:type="dxa"/>
            <w:vAlign w:val="bottom"/>
          </w:tcPr>
          <w:p>
            <w:pPr>
              <w:jc w:val="right"/>
              <w:ind w:right="636"/>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20 years.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2014, amortization charged to income for the subsequent five years is estimated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2014—$90 million; 2015—$358 million; 2016—$349 million; 2017—$340 million; 2018—$331 million; and 2019—$320 million.</w:t>
      </w:r>
    </w:p>
    <w:p>
      <w:pPr>
        <w:spacing w:after="0" w:line="352"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20" w:type="dxa"/>
            <w:vAlign w:val="bottom"/>
          </w:tcPr>
          <w:p>
            <w:pPr>
              <w:spacing w:after="0"/>
              <w:rPr>
                <w:sz w:val="14"/>
                <w:szCs w:val="14"/>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57"/>
        </w:trPr>
        <w:tc>
          <w:tcPr>
            <w:tcW w:w="5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ind w:left="140"/>
              <w:spacing w:after="0" w:line="157"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500" w:type="dxa"/>
            <w:vAlign w:val="bottom"/>
            <w:tcBorders>
              <w:bottom w:val="single" w:sz="8" w:color="CFF0FC"/>
            </w:tcBorders>
          </w:tcPr>
          <w:p>
            <w:pPr>
              <w:spacing w:after="0"/>
              <w:rPr>
                <w:sz w:val="14"/>
                <w:szCs w:val="14"/>
                <w:color w:val="auto"/>
              </w:rPr>
            </w:pPr>
          </w:p>
        </w:tc>
        <w:tc>
          <w:tcPr>
            <w:tcW w:w="402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2013</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3.30%</w:t>
            </w:r>
          </w:p>
        </w:tc>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402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2.75%</w:t>
            </w:r>
          </w:p>
        </w:tc>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2015</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1,273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1.95%</w:t>
            </w:r>
          </w:p>
        </w:tc>
        <w:tc>
          <w:tcPr>
            <w:tcW w:w="402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4.20%</w:t>
            </w:r>
          </w:p>
        </w:tc>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1,100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1.25%</w:t>
            </w:r>
          </w:p>
        </w:tc>
        <w:tc>
          <w:tcPr>
            <w:tcW w:w="402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999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1.50%</w:t>
            </w:r>
          </w:p>
        </w:tc>
        <w:tc>
          <w:tcPr>
            <w:tcW w:w="402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2016</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1,392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516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11,626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September 30, 2014 and December 31, 2013, based on quoted market prices, was $11.9 billion and $10.4 billion, respectively.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Borrowings under the commercial paper program at September 30, 2014 were $1.4 billion, all of which were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At December 31, 2013, borrowings under the commercial paper program were $95 million, all of which were classified within</w:t>
      </w:r>
      <w:r>
        <w:rPr>
          <w:rFonts w:ascii="Arial" w:cs="Arial" w:eastAsia="Arial" w:hAnsi="Arial"/>
          <w:sz w:val="18"/>
          <w:szCs w:val="18"/>
          <w:i w:val="1"/>
          <w:iCs w:val="1"/>
          <w:color w:val="auto"/>
        </w:rPr>
        <w:t xml:space="preserve"> Long-term debt – current portion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326"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multinational company, Schlumberger conducts business in more than 85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Schlumberger is exposed to risks on future cash flows to the extent that local currency expenses exceed revenues denominated in local currency that are other than the functional currency. In addition, Schlumberger is also exposed to risks on future cash flows relating to certain of its long-term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Loss </w:t>
      </w:r>
      <w:r>
        <w:rPr>
          <w:rFonts w:ascii="Arial" w:cs="Arial" w:eastAsia="Arial" w:hAnsi="Arial"/>
          <w:sz w:val="17"/>
          <w:szCs w:val="17"/>
          <w:color w:val="auto"/>
        </w:rPr>
        <w:t>are reclassified into earnings in the same period or periods that the hedged item is recognized in earnings. The ineffective portion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the fair value of hedging instruments, if any, is recorded directly to earnings.</w:t>
      </w:r>
    </w:p>
    <w:p>
      <w:pPr>
        <w:spacing w:after="0" w:line="176"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 xml:space="preserve">At September 30, 2014, Schlumberger recognized a cumulative net $50 million loss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2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15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At September 30, 2014, contracts were outstanding for the US dollar equivalent of $6.2 billion in various foreign currencies, of which $2.5 billion related to hedges of debt denominated in currencies other than the functional currency.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will pay interest at a floating rate of three-month LIBOR plus approximately 64 basis points on the US dollar notional amount.</w:t>
      </w:r>
    </w:p>
    <w:p>
      <w:pPr>
        <w:spacing w:after="0" w:line="185"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September 30, 2014, Schlumberger had fixed rate debt aggregating $9.1 billion and variable rate debt aggregating $4.0 billion, after taking into account the effect of the swap.</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$4.1 billion at September 30, 2014, and were comprised primarily of money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Fair Value of Derivatives</w:t>
            </w:r>
          </w:p>
        </w:tc>
        <w:tc>
          <w:tcPr>
            <w:tcW w:w="280" w:type="dxa"/>
            <w:vAlign w:val="bottom"/>
          </w:tcPr>
          <w:p>
            <w:pPr>
              <w:spacing w:after="0"/>
              <w:rPr>
                <w:sz w:val="14"/>
                <w:szCs w:val="14"/>
                <w:color w:val="auto"/>
              </w:rPr>
            </w:pPr>
          </w:p>
        </w:tc>
        <w:tc>
          <w:tcPr>
            <w:tcW w:w="3880" w:type="dxa"/>
            <w:vAlign w:val="bottom"/>
            <w:gridSpan w:val="2"/>
          </w:tcPr>
          <w:p>
            <w:pPr>
              <w:ind w:left="160"/>
              <w:spacing w:after="0"/>
              <w:rPr>
                <w:sz w:val="20"/>
                <w:szCs w:val="20"/>
                <w:color w:val="auto"/>
              </w:rPr>
            </w:pPr>
            <w:r>
              <w:rPr>
                <w:rFonts w:ascii="Arial" w:cs="Arial" w:eastAsia="Arial" w:hAnsi="Arial"/>
                <w:sz w:val="14"/>
                <w:szCs w:val="14"/>
                <w:color w:val="auto"/>
              </w:rPr>
              <w:t>Consolidated Balance Sheet Classification</w:t>
            </w: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Sept. 30,</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Dec. 31,</w:t>
            </w:r>
          </w:p>
        </w:tc>
        <w:tc>
          <w:tcPr>
            <w:tcW w:w="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940" w:type="dxa"/>
            <w:vAlign w:val="bottom"/>
            <w:gridSpan w:val="2"/>
          </w:tcPr>
          <w:p>
            <w:pPr>
              <w:jc w:val="right"/>
              <w:ind w:right="47"/>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3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1160" w:type="dxa"/>
            <w:vAlign w:val="bottom"/>
            <w:gridSpan w:val="2"/>
            <w:shd w:val="clear" w:color="auto" w:fill="CFF0FC"/>
          </w:tcPr>
          <w:p>
            <w:pPr>
              <w:jc w:val="right"/>
              <w:ind w:right="616"/>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9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880" w:type="dxa"/>
            <w:vAlign w:val="bottom"/>
            <w:gridSpan w:val="2"/>
            <w:shd w:val="clear" w:color="auto" w:fill="CFF0FC"/>
          </w:tcPr>
          <w:p>
            <w:pPr>
              <w:ind w:left="16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9"/>
        </w:trPr>
        <w:tc>
          <w:tcPr>
            <w:tcW w:w="306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3880" w:type="dxa"/>
            <w:vAlign w:val="bottom"/>
            <w:gridSpan w:val="2"/>
          </w:tcPr>
          <w:p>
            <w:pPr>
              <w:ind w:left="1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w:t>
            </w:r>
          </w:p>
        </w:tc>
        <w:tc>
          <w:tcPr>
            <w:tcW w:w="3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880" w:type="dxa"/>
            <w:vAlign w:val="bottom"/>
            <w:gridSpan w:val="2"/>
            <w:shd w:val="clear" w:color="auto" w:fill="CFF0FC"/>
          </w:tcPr>
          <w:p>
            <w:pPr>
              <w:ind w:left="1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149</w:t>
            </w:r>
          </w:p>
        </w:tc>
        <w:tc>
          <w:tcPr>
            <w:tcW w:w="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w w:val="99"/>
              </w:rPr>
              <w:t>Derivatives not designated as hedges:</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1160" w:type="dxa"/>
            <w:vAlign w:val="bottom"/>
            <w:gridSpan w:val="2"/>
          </w:tcPr>
          <w:p>
            <w:pPr>
              <w:jc w:val="right"/>
              <w:ind w:right="61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9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880" w:type="dxa"/>
            <w:vAlign w:val="bottom"/>
            <w:gridSpan w:val="2"/>
          </w:tcPr>
          <w:p>
            <w:pPr>
              <w:ind w:left="16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3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80" w:type="dxa"/>
            <w:vAlign w:val="bottom"/>
            <w:gridSpan w:val="2"/>
            <w:shd w:val="clear" w:color="auto" w:fill="CFF0FC"/>
          </w:tcPr>
          <w:p>
            <w:pPr>
              <w:ind w:left="1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2"/>
        </w:trPr>
        <w:tc>
          <w:tcPr>
            <w:tcW w:w="30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37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163</w:t>
            </w:r>
          </w:p>
        </w:tc>
        <w:tc>
          <w:tcPr>
            <w:tcW w:w="160" w:type="dxa"/>
            <w:vAlign w:val="bottom"/>
            <w:tcBorders>
              <w:bottom w:val="single" w:sz="8" w:color="CFF0FC"/>
            </w:tcBorders>
            <w:shd w:val="clear" w:color="auto" w:fill="CFF0FC"/>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hedges:</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1160" w:type="dxa"/>
            <w:vAlign w:val="bottom"/>
            <w:gridSpan w:val="2"/>
          </w:tcPr>
          <w:p>
            <w:pPr>
              <w:jc w:val="right"/>
              <w:ind w:right="61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9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880" w:type="dxa"/>
            <w:vAlign w:val="bottom"/>
            <w:gridSpan w:val="2"/>
          </w:tcPr>
          <w:p>
            <w:pPr>
              <w:ind w:left="1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80" w:type="dxa"/>
            <w:vAlign w:val="bottom"/>
            <w:gridSpan w:val="2"/>
            <w:shd w:val="clear" w:color="auto" w:fill="CFF0FC"/>
          </w:tcPr>
          <w:p>
            <w:pPr>
              <w:ind w:left="16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rate swap</w:t>
            </w:r>
          </w:p>
        </w:tc>
        <w:tc>
          <w:tcPr>
            <w:tcW w:w="3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8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22"/>
        </w:trPr>
        <w:tc>
          <w:tcPr>
            <w:tcW w:w="3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140</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w w:val="99"/>
              </w:rPr>
              <w:t>Derivatives not designated as hedges:</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1160" w:type="dxa"/>
            <w:vAlign w:val="bottom"/>
            <w:gridSpan w:val="2"/>
          </w:tcPr>
          <w:p>
            <w:pPr>
              <w:jc w:val="right"/>
              <w:ind w:right="616"/>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9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880" w:type="dxa"/>
            <w:vAlign w:val="bottom"/>
            <w:gridSpan w:val="2"/>
          </w:tcPr>
          <w:p>
            <w:pPr>
              <w:ind w:left="1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16"/>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150</w:t>
            </w:r>
          </w:p>
        </w:tc>
        <w:tc>
          <w:tcPr>
            <w:tcW w:w="94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3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7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that can be derived from or corroborated by observable data.</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 xml:space="preserve">The effect of derivative instruments designated as fair value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6"/>
          </w:tcPr>
          <w:p>
            <w:pPr>
              <w:jc w:val="right"/>
              <w:ind w:right="180"/>
              <w:spacing w:after="0"/>
              <w:rPr>
                <w:sz w:val="20"/>
                <w:szCs w:val="20"/>
                <w:color w:val="auto"/>
              </w:rPr>
            </w:pPr>
            <w:r>
              <w:rPr>
                <w:rFonts w:ascii="Arial" w:cs="Arial" w:eastAsia="Arial" w:hAnsi="Arial"/>
                <w:sz w:val="14"/>
                <w:szCs w:val="14"/>
                <w:i w:val="1"/>
                <w:iCs w:val="1"/>
                <w:color w:val="auto"/>
              </w:rPr>
              <w:t>(Stated in millions)</w:t>
            </w: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1"/>
              </w:rPr>
              <w:t>Gain (Loss) Recognized in Income</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228"/>
              <w:spacing w:after="0" w:line="155" w:lineRule="exact"/>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Nine Months</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2"/>
            <w:vMerge w:val="restart"/>
          </w:tcPr>
          <w:p>
            <w:pPr>
              <w:ind w:left="60"/>
              <w:spacing w:after="0"/>
              <w:rPr>
                <w:sz w:val="20"/>
                <w:szCs w:val="20"/>
                <w:color w:val="auto"/>
              </w:rPr>
            </w:pPr>
            <w:r>
              <w:rPr>
                <w:rFonts w:ascii="Arial" w:cs="Arial" w:eastAsia="Arial" w:hAnsi="Arial"/>
                <w:sz w:val="14"/>
                <w:szCs w:val="14"/>
                <w:color w:val="auto"/>
              </w:rPr>
              <w:t>Consolidated Statement of Income</w:t>
            </w:r>
          </w:p>
        </w:tc>
        <w:tc>
          <w:tcPr>
            <w:tcW w:w="0" w:type="dxa"/>
            <w:vAlign w:val="bottom"/>
          </w:tcPr>
          <w:p>
            <w:pPr>
              <w:spacing w:after="0"/>
              <w:rPr>
                <w:sz w:val="1"/>
                <w:szCs w:val="1"/>
                <w:color w:val="auto"/>
              </w:rPr>
            </w:pPr>
          </w:p>
        </w:tc>
      </w:tr>
      <w:tr>
        <w:trPr>
          <w:trHeight w:val="136"/>
        </w:trPr>
        <w:tc>
          <w:tcPr>
            <w:tcW w:w="358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176"/>
              <w:spacing w:after="0"/>
              <w:rPr>
                <w:sz w:val="20"/>
                <w:szCs w:val="20"/>
                <w:color w:val="auto"/>
              </w:rPr>
            </w:pPr>
            <w:r>
              <w:rPr>
                <w:rFonts w:ascii="Arial" w:cs="Arial" w:eastAsia="Arial" w:hAnsi="Arial"/>
                <w:sz w:val="14"/>
                <w:szCs w:val="14"/>
                <w:color w:val="auto"/>
                <w:w w:val="89"/>
              </w:rPr>
              <w:t>2013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2"/>
          </w:tcPr>
          <w:p>
            <w:pPr>
              <w:ind w:left="60"/>
              <w:spacing w:after="0"/>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22"/>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4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Interest rate swap</w:t>
            </w:r>
          </w:p>
        </w:tc>
        <w:tc>
          <w:tcPr>
            <w:tcW w:w="110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w w:val="99"/>
              </w:rPr>
              <w:t>(44)</w:t>
            </w:r>
          </w:p>
        </w:tc>
        <w:tc>
          <w:tcPr>
            <w:tcW w:w="620" w:type="dxa"/>
            <w:vAlign w:val="bottom"/>
          </w:tcPr>
          <w:p>
            <w:pPr>
              <w:jc w:val="right"/>
              <w:ind w:right="468"/>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2540" w:type="dxa"/>
            <w:vAlign w:val="bottom"/>
            <w:gridSpan w:val="2"/>
          </w:tcPr>
          <w:p>
            <w:pPr>
              <w:ind w:left="6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110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w w:val="99"/>
              </w:rPr>
              <w:t>(26)</w:t>
            </w:r>
          </w:p>
        </w:tc>
        <w:tc>
          <w:tcPr>
            <w:tcW w:w="620" w:type="dxa"/>
            <w:vAlign w:val="bottom"/>
          </w:tcPr>
          <w:p>
            <w:pPr>
              <w:jc w:val="right"/>
              <w:ind w:right="468"/>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79"/>
              </w:rPr>
              <w:t>31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540" w:type="dxa"/>
            <w:vAlign w:val="bottom"/>
            <w:gridSpan w:val="2"/>
          </w:tcPr>
          <w:p>
            <w:pPr>
              <w:ind w:left="6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in cash flow hedging relationships on income and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(AOCL) was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Gain (Loss) Reclassified from AOCL into Income</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Third Quarter</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228"/>
              <w:spacing w:after="0" w:line="155" w:lineRule="exact"/>
              <w:rPr>
                <w:sz w:val="20"/>
                <w:szCs w:val="20"/>
                <w:color w:val="auto"/>
              </w:rPr>
            </w:pPr>
            <w:r>
              <w:rPr>
                <w:rFonts w:ascii="Arial" w:cs="Arial" w:eastAsia="Arial" w:hAnsi="Arial"/>
                <w:sz w:val="14"/>
                <w:szCs w:val="14"/>
                <w:b w:val="1"/>
                <w:bCs w:val="1"/>
                <w:color w:val="auto"/>
              </w:rPr>
              <w:t>Nine Months</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vMerge w:val="restart"/>
          </w:tcPr>
          <w:p>
            <w:pPr>
              <w:spacing w:after="0"/>
              <w:rPr>
                <w:sz w:val="20"/>
                <w:szCs w:val="20"/>
                <w:color w:val="auto"/>
              </w:rPr>
            </w:pPr>
            <w:r>
              <w:rPr>
                <w:rFonts w:ascii="Arial" w:cs="Arial" w:eastAsia="Arial" w:hAnsi="Arial"/>
                <w:sz w:val="14"/>
                <w:szCs w:val="14"/>
                <w:color w:val="auto"/>
              </w:rPr>
              <w:t>Consolidated Statement of Income</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83"/>
              </w:rPr>
              <w:t>2013</w:t>
            </w: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22"/>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24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420" w:type="dxa"/>
            <w:vAlign w:val="bottom"/>
          </w:tcPr>
          <w:p>
            <w:pPr>
              <w:spacing w:after="0"/>
              <w:rPr>
                <w:sz w:val="20"/>
                <w:szCs w:val="20"/>
                <w:color w:val="auto"/>
              </w:rPr>
            </w:pPr>
            <w:r>
              <w:rPr>
                <w:rFonts w:ascii="Arial" w:cs="Arial" w:eastAsia="Arial" w:hAnsi="Arial"/>
                <w:sz w:val="18"/>
                <w:szCs w:val="18"/>
                <w:i w:val="1"/>
                <w:iCs w:val="1"/>
                <w:color w:val="auto"/>
              </w:rPr>
              <w:t>Research &amp; engineering</w:t>
            </w:r>
          </w:p>
        </w:tc>
        <w:tc>
          <w:tcPr>
            <w:tcW w:w="0" w:type="dxa"/>
            <w:vAlign w:val="bottom"/>
          </w:tcPr>
          <w:p>
            <w:pPr>
              <w:spacing w:after="0"/>
              <w:rPr>
                <w:sz w:val="1"/>
                <w:szCs w:val="1"/>
                <w:color w:val="auto"/>
              </w:rPr>
            </w:pPr>
          </w:p>
        </w:tc>
      </w:tr>
      <w:tr>
        <w:trPr>
          <w:trHeight w:val="222"/>
        </w:trPr>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1"/>
              </w:rPr>
              <w:t>(15)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ind w:right="174"/>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340" w:right="7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740"/>
              <w:spacing w:after="0"/>
              <w:rPr>
                <w:sz w:val="20"/>
                <w:szCs w:val="20"/>
                <w:color w:val="auto"/>
              </w:rPr>
            </w:pPr>
            <w:r>
              <w:rPr>
                <w:rFonts w:ascii="Arial" w:cs="Arial" w:eastAsia="Arial" w:hAnsi="Arial"/>
                <w:sz w:val="14"/>
                <w:szCs w:val="14"/>
                <w:i w:val="1"/>
                <w:iCs w:val="1"/>
                <w:color w:val="auto"/>
              </w:rPr>
              <w:t>(Stated in millions)</w:t>
            </w:r>
          </w:p>
        </w:tc>
      </w:tr>
      <w:tr>
        <w:trPr>
          <w:trHeight w:val="171"/>
        </w:trPr>
        <w:tc>
          <w:tcPr>
            <w:tcW w:w="3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410"/>
              <w:spacing w:after="0"/>
              <w:rPr>
                <w:sz w:val="20"/>
                <w:szCs w:val="20"/>
                <w:color w:val="auto"/>
              </w:rPr>
            </w:pPr>
            <w:r>
              <w:rPr>
                <w:rFonts w:ascii="Arial" w:cs="Arial" w:eastAsia="Arial" w:hAnsi="Arial"/>
                <w:sz w:val="14"/>
                <w:szCs w:val="14"/>
                <w:b w:val="1"/>
                <w:bCs w:val="1"/>
                <w:color w:val="auto"/>
              </w:rPr>
              <w:t>Gain (Loss) Recognized in AOCL</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Third Quarter</w:t>
            </w:r>
          </w:p>
        </w:tc>
        <w:tc>
          <w:tcPr>
            <w:tcW w:w="5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420"/>
              <w:spacing w:after="0" w:line="155" w:lineRule="exact"/>
              <w:rPr>
                <w:sz w:val="20"/>
                <w:szCs w:val="20"/>
                <w:color w:val="auto"/>
              </w:rPr>
            </w:pPr>
            <w:r>
              <w:rPr>
                <w:rFonts w:ascii="Arial" w:cs="Arial" w:eastAsia="Arial" w:hAnsi="Arial"/>
                <w:sz w:val="14"/>
                <w:szCs w:val="14"/>
                <w:b w:val="1"/>
                <w:bCs w:val="1"/>
                <w:color w:val="auto"/>
                <w:w w:val="92"/>
              </w:rPr>
              <w:t>Nine Months</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39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color w:val="auto"/>
                <w:w w:val="83"/>
              </w:rPr>
              <w:t>2013</w:t>
            </w:r>
          </w:p>
        </w:tc>
        <w:tc>
          <w:tcPr>
            <w:tcW w:w="100" w:type="dxa"/>
            <w:vAlign w:val="bottom"/>
            <w:tcBorders>
              <w:bottom w:val="single" w:sz="8" w:color="CFF0FC"/>
            </w:tcBorders>
          </w:tcPr>
          <w:p>
            <w:pPr>
              <w:spacing w:after="0"/>
              <w:rPr>
                <w:sz w:val="13"/>
                <w:szCs w:val="13"/>
                <w:color w:val="auto"/>
              </w:rPr>
            </w:pPr>
          </w:p>
        </w:tc>
      </w:tr>
      <w:tr>
        <w:trPr>
          <w:trHeight w:val="222"/>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w:t>
            </w:r>
          </w:p>
        </w:tc>
        <w:tc>
          <w:tcPr>
            <w:tcW w:w="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b w:val="1"/>
                <w:bCs w:val="1"/>
                <w:color w:val="auto"/>
                <w:w w:val="76"/>
              </w:rPr>
              <w:t>(138)</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5"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were subject to US and non-US income taxes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Nine Months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0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3"/>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3"/>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1,671</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Outside United States</w:t>
            </w:r>
          </w:p>
        </w:tc>
        <w:tc>
          <w:tcPr>
            <w:tcW w:w="1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1,998</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5,252</w:t>
            </w:r>
          </w:p>
        </w:tc>
        <w:tc>
          <w:tcPr>
            <w:tcW w:w="2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2,520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6,923</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 xml:space="preserve">Schlumberger recorded net pretax credits of $572 million during the nine months ended September 30, 2013 ($53 million of charges in the US and $625 million of net credits outside the US). 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4"/>
                <w:szCs w:val="14"/>
                <w:i w:val="1"/>
                <w:iCs w:val="1"/>
                <w:color w:val="auto"/>
                <w:w w:val="97"/>
              </w:rPr>
              <w:t>(Stated in millions)</w:t>
            </w:r>
          </w:p>
        </w:tc>
      </w:tr>
      <w:tr>
        <w:trPr>
          <w:trHeight w:val="285"/>
        </w:trPr>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color w:val="auto"/>
              </w:rPr>
              <w:t>Dec. 31,</w:t>
            </w:r>
          </w:p>
        </w:tc>
      </w:tr>
      <w:tr>
        <w:trPr>
          <w:trHeight w:val="171"/>
        </w:trPr>
        <w:tc>
          <w:tcPr>
            <w:tcW w:w="328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CFF0FC"/>
            </w:tcBorders>
          </w:tcPr>
          <w:p>
            <w:pPr>
              <w:spacing w:after="0"/>
              <w:rPr>
                <w:sz w:val="14"/>
                <w:szCs w:val="14"/>
                <w:color w:val="auto"/>
              </w:rPr>
            </w:pPr>
          </w:p>
        </w:tc>
      </w:tr>
      <w:tr>
        <w:trPr>
          <w:trHeight w:val="222"/>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FF0FC"/>
          </w:tcPr>
          <w:p>
            <w:pPr>
              <w:spacing w:after="0"/>
              <w:rPr>
                <w:sz w:val="19"/>
                <w:szCs w:val="19"/>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Intangible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(1,502)</w:t>
            </w: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(228)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(282)</w:t>
            </w:r>
          </w:p>
        </w:tc>
      </w:tr>
      <w:tr>
        <w:trPr>
          <w:trHeight w:val="229"/>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FF0FC"/>
            </w:tcBorders>
          </w:tcPr>
          <w:p>
            <w:pPr>
              <w:spacing w:after="0"/>
              <w:rPr>
                <w:sz w:val="19"/>
                <w:szCs w:val="19"/>
                <w:color w:val="auto"/>
              </w:rPr>
            </w:pPr>
          </w:p>
        </w:tc>
      </w:tr>
      <w:tr>
        <w:trPr>
          <w:trHeight w:val="222"/>
        </w:trPr>
        <w:tc>
          <w:tcPr>
            <w:tcW w:w="3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(1,446)</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32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above deferred tax balances at September 30, 2014 and December 31, 2013 were net of valuation allowances relating to net operating losses in certain countries of $234 million and $238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920" w:type="dxa"/>
            <w:vAlign w:val="bottom"/>
            <w:gridSpan w:val="4"/>
            <w:vMerge w:val="restart"/>
          </w:tcPr>
          <w:p>
            <w:pPr>
              <w:jc w:val="right"/>
              <w:ind w:right="285"/>
              <w:spacing w:after="0"/>
              <w:rPr>
                <w:sz w:val="20"/>
                <w:szCs w:val="20"/>
                <w:color w:val="auto"/>
              </w:rPr>
            </w:pPr>
            <w:r>
              <w:rPr>
                <w:rFonts w:ascii="Arial" w:cs="Arial" w:eastAsia="Arial" w:hAnsi="Arial"/>
                <w:sz w:val="14"/>
                <w:szCs w:val="14"/>
                <w:b w:val="1"/>
                <w:bCs w:val="1"/>
                <w:color w:val="auto"/>
              </w:rPr>
              <w:t>Third Quarter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60"/>
              <w:spacing w:after="0"/>
              <w:rPr>
                <w:sz w:val="20"/>
                <w:szCs w:val="20"/>
                <w:color w:val="auto"/>
              </w:rPr>
            </w:pPr>
            <w:r>
              <w:rPr>
                <w:rFonts w:ascii="Arial" w:cs="Arial" w:eastAsia="Arial" w:hAnsi="Arial"/>
                <w:sz w:val="18"/>
                <w:szCs w:val="18"/>
                <w:color w:val="auto"/>
              </w:rPr>
              <w:t>United States — Federal</w:t>
            </w:r>
          </w:p>
        </w:tc>
        <w:tc>
          <w:tcPr>
            <w:tcW w:w="720" w:type="dxa"/>
            <w:vAlign w:val="bottom"/>
          </w:tcPr>
          <w:p>
            <w:pPr>
              <w:jc w:val="right"/>
              <w:ind w:right="568"/>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202</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116</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479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 — State</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38</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100" w:type="dxa"/>
            <w:vAlign w:val="bottom"/>
          </w:tcPr>
          <w:p>
            <w:pPr>
              <w:ind w:left="260"/>
              <w:spacing w:after="0"/>
              <w:rPr>
                <w:sz w:val="20"/>
                <w:szCs w:val="20"/>
                <w:color w:val="auto"/>
              </w:rPr>
            </w:pPr>
            <w:r>
              <w:rPr>
                <w:rFonts w:ascii="Arial" w:cs="Arial" w:eastAsia="Arial" w:hAnsi="Arial"/>
                <w:sz w:val="18"/>
                <w:szCs w:val="18"/>
                <w:color w:val="auto"/>
              </w:rPr>
              <w:t>Outside United States</w:t>
            </w:r>
          </w:p>
        </w:tc>
        <w:tc>
          <w:tcPr>
            <w:tcW w:w="7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342</w:t>
            </w:r>
          </w:p>
        </w:tc>
        <w:tc>
          <w:tcPr>
            <w:tcW w:w="6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313</w:t>
            </w:r>
          </w:p>
        </w:tc>
        <w:tc>
          <w:tcPr>
            <w:tcW w:w="20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1,033</w:t>
            </w:r>
          </w:p>
        </w:tc>
        <w:tc>
          <w:tcPr>
            <w:tcW w:w="3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2"/>
        </w:trPr>
        <w:tc>
          <w:tcPr>
            <w:tcW w:w="4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563</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445</w:t>
            </w: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1,550</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Deferred:</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 — Federal</w:t>
            </w: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(38)</w:t>
            </w: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(27)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100" w:type="dxa"/>
            <w:vAlign w:val="bottom"/>
          </w:tcPr>
          <w:p>
            <w:pPr>
              <w:ind w:left="260"/>
              <w:spacing w:after="0"/>
              <w:rPr>
                <w:sz w:val="20"/>
                <w:szCs w:val="20"/>
                <w:color w:val="auto"/>
              </w:rPr>
            </w:pPr>
            <w:r>
              <w:rPr>
                <w:rFonts w:ascii="Arial" w:cs="Arial" w:eastAsia="Arial" w:hAnsi="Arial"/>
                <w:sz w:val="18"/>
                <w:szCs w:val="18"/>
                <w:color w:val="auto"/>
              </w:rPr>
              <w:t>United States — State</w:t>
            </w:r>
          </w:p>
        </w:tc>
        <w:tc>
          <w:tcPr>
            <w:tcW w:w="7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p>
        </w:tc>
        <w:tc>
          <w:tcPr>
            <w:tcW w:w="6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Outside United States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9</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1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7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w:t>
            </w: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1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556</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506</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ind w:right="145"/>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373"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5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Third Quarter</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Nine Months</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5"/>
        </w:trPr>
        <w:tc>
          <w:tcPr>
            <w:tcW w:w="4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2013</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CFF0FC"/>
            </w:tcBorders>
          </w:tcPr>
          <w:p>
            <w:pPr>
              <w:spacing w:after="0"/>
              <w:rPr>
                <w:sz w:val="13"/>
                <w:szCs w:val="13"/>
                <w:color w:val="auto"/>
              </w:rPr>
            </w:pPr>
          </w:p>
        </w:tc>
      </w:tr>
      <w:tr>
        <w:trPr>
          <w:trHeight w:val="222"/>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w:t>
            </w: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Non-US income taxed at different rates</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w:t>
            </w:r>
          </w:p>
        </w:tc>
        <w:tc>
          <w:tcPr>
            <w:tcW w:w="64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Charges and credits (See Note 2)</w:t>
            </w:r>
          </w:p>
        </w:tc>
        <w:tc>
          <w:tcPr>
            <w:tcW w:w="1580" w:type="dxa"/>
            <w:vAlign w:val="bottom"/>
            <w:gridSpan w:val="3"/>
            <w:shd w:val="clear" w:color="auto" w:fill="CFF0FC"/>
          </w:tcPr>
          <w:p>
            <w:pPr>
              <w:jc w:val="right"/>
              <w:ind w:right="5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ind w:right="86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4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22"/>
        </w:trPr>
        <w:tc>
          <w:tcPr>
            <w:tcW w:w="4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bl>
    <w:p>
      <w:pPr>
        <w:spacing w:after="0" w:line="345"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2009, United States officials began a grand jury investigation and an associated regulatory inquiry, both related to certain historical Schlumberger operations in specified countries that are subject to United States trade and economic sanctions. Governmental agencies and authorities have a broad range of civil and criminal penalties that they may seek to impose for violations of trade and economic sanction laws including, but not limited to, disgorgement, fines, penalties and modifications to business practices. In recent years, these agencies and authorities have obtained a wide range of penalties in settlements with companies arising from trade and economic sanction investigations, including in some cases fines and other penalties in the tens and hundreds of millions of dollars. Schlumberger continues to cooperate and has been discussing the resolution of this matter with the governmental authorities. During the latter part of the second quarter of 2014, these discussions progressed to a point whereby Schlumberger determined that it was appropriate to increase its liability for this contingency. Accordingly, Schlumberger recorded a $205 million charge during the second quarter of 2014 within </w:t>
      </w:r>
      <w:r>
        <w:rPr>
          <w:rFonts w:ascii="Arial" w:cs="Arial" w:eastAsia="Arial" w:hAnsi="Arial"/>
          <w:sz w:val="17"/>
          <w:szCs w:val="17"/>
          <w:i w:val="1"/>
          <w:iCs w:val="1"/>
          <w:color w:val="auto"/>
        </w:rPr>
        <w:t>Loss from discontinued operations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 However, no certainty exists that a settlement will be reached or if so, the amount of any such settlement. Therefore,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 loss could be greater or less than the amount accrued.</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Schlumberger and its subsidiaries are party to various other legal proceedings from time to time. A liability is accrued when a loss is both probable and can be reasonably estimated. Management believes that the probability of a material loss with respect to these other legal proceedings is remote. However, litigation is inherently uncertain and it is not possible to predict the ultimate disposition of any of these proceedings.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Segment Information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Third Quarter 2014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67"/>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920"/>
              <w:spacing w:after="0"/>
              <w:rPr>
                <w:sz w:val="20"/>
                <w:szCs w:val="20"/>
                <w:color w:val="auto"/>
              </w:rPr>
            </w:pPr>
            <w:r>
              <w:rPr>
                <w:rFonts w:ascii="Arial" w:cs="Arial" w:eastAsia="Arial" w:hAnsi="Arial"/>
                <w:sz w:val="14"/>
                <w:szCs w:val="14"/>
                <w:color w:val="auto"/>
              </w:rPr>
              <w:t>Third Quarter 2013</w:t>
            </w: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55"/>
              <w:spacing w:after="0" w:line="132"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56"/>
              <w:spacing w:after="0" w:line="132"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Revenue</w:t>
            </w:r>
          </w:p>
        </w:tc>
        <w:tc>
          <w:tcPr>
            <w:tcW w:w="2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3"/>
              </w:rPr>
              <w:t>before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taxes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color w:val="auto"/>
                <w:w w:val="83"/>
              </w:rPr>
              <w:t>taxes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3,184</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954</w:t>
            </w:r>
          </w:p>
        </w:tc>
        <w:tc>
          <w:tcPr>
            <w:tcW w:w="14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FF0FC"/>
          </w:tcPr>
          <w:p>
            <w:pPr>
              <w:spacing w:after="0"/>
              <w:rPr>
                <w:sz w:val="24"/>
                <w:szCs w:val="24"/>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Drilling</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2"/>
        </w:trPr>
        <w:tc>
          <w:tcPr>
            <w:tcW w:w="378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1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right="740" w:hanging="262"/>
        <w:spacing w:after="0" w:line="306" w:lineRule="auto"/>
        <w:tabs>
          <w:tab w:leader="none" w:pos="712" w:val="left"/>
        </w:tabs>
        <w:numPr>
          <w:ilvl w:val="1"/>
          <w:numId w:val="16"/>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9" w:lineRule="exact"/>
        <w:rPr>
          <w:rFonts w:ascii="Arial" w:cs="Arial" w:eastAsia="Arial" w:hAnsi="Arial"/>
          <w:sz w:val="14"/>
          <w:szCs w:val="14"/>
          <w:color w:val="auto"/>
        </w:rPr>
      </w:pPr>
    </w:p>
    <w:p>
      <w:pPr>
        <w:ind w:left="720" w:hanging="229"/>
        <w:spacing w:after="0"/>
        <w:tabs>
          <w:tab w:leader="none" w:pos="720" w:val="left"/>
        </w:tabs>
        <w:numPr>
          <w:ilvl w:val="1"/>
          <w:numId w:val="16"/>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($5 million in 2014; $3 million in 2013).</w:t>
      </w:r>
    </w:p>
    <w:p>
      <w:pPr>
        <w:spacing w:after="0" w:line="115" w:lineRule="exact"/>
        <w:rPr>
          <w:rFonts w:ascii="Arial" w:cs="Arial" w:eastAsia="Arial" w:hAnsi="Arial"/>
          <w:sz w:val="15"/>
          <w:szCs w:val="15"/>
          <w:color w:val="auto"/>
        </w:rPr>
      </w:pPr>
    </w:p>
    <w:p>
      <w:pPr>
        <w:ind w:left="700" w:hanging="215"/>
        <w:spacing w:after="0"/>
        <w:tabs>
          <w:tab w:leader="none" w:pos="70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($6 million in 2014; $6 million in 2013).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267"/>
        </w:trPr>
        <w:tc>
          <w:tcPr>
            <w:tcW w:w="37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Nine Months 2014</w:t>
            </w:r>
          </w:p>
        </w:tc>
        <w:tc>
          <w:tcPr>
            <w:tcW w:w="240" w:type="dxa"/>
            <w:vAlign w:val="bottom"/>
          </w:tcPr>
          <w:p>
            <w:pPr>
              <w:spacing w:after="0"/>
              <w:rPr>
                <w:sz w:val="23"/>
                <w:szCs w:val="23"/>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4"/>
                <w:szCs w:val="14"/>
                <w:color w:val="auto"/>
              </w:rPr>
              <w:t>Nine Months 2013</w:t>
            </w: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75"/>
              <w:spacing w:after="0" w:line="132"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36"/>
              <w:spacing w:after="0" w:line="132" w:lineRule="exact"/>
              <w:rPr>
                <w:sz w:val="20"/>
                <w:szCs w:val="20"/>
                <w:color w:val="auto"/>
              </w:rPr>
            </w:pPr>
            <w:r>
              <w:rPr>
                <w:rFonts w:ascii="Arial" w:cs="Arial" w:eastAsia="Arial" w:hAnsi="Arial"/>
                <w:sz w:val="14"/>
                <w:szCs w:val="14"/>
                <w:color w:val="auto"/>
                <w:w w:val="91"/>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Revenue</w:t>
            </w:r>
          </w:p>
        </w:tc>
        <w:tc>
          <w:tcPr>
            <w:tcW w:w="24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3"/>
              </w:rPr>
              <w:t>before</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5"/>
              </w:rPr>
              <w:t>before</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CFF0FC"/>
            </w:tcBorders>
          </w:tcPr>
          <w:p>
            <w:pPr>
              <w:spacing w:after="0"/>
              <w:rPr>
                <w:sz w:val="14"/>
                <w:szCs w:val="14"/>
                <w:color w:val="auto"/>
              </w:rPr>
            </w:pPr>
          </w:p>
        </w:tc>
        <w:tc>
          <w:tcPr>
            <w:tcW w:w="17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taxes</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Revenue</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89"/>
              </w:rPr>
              <w:t>taxes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9,131</w:t>
            </w:r>
          </w:p>
        </w:tc>
        <w:tc>
          <w:tcPr>
            <w:tcW w:w="2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2,651</w:t>
            </w: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9,157</w:t>
            </w:r>
          </w:p>
        </w:tc>
        <w:tc>
          <w:tcPr>
            <w:tcW w:w="200" w:type="dxa"/>
            <w:vAlign w:val="bottom"/>
            <w:shd w:val="clear" w:color="auto" w:fill="CFF0FC"/>
          </w:tcPr>
          <w:p>
            <w:pPr>
              <w:spacing w:after="0"/>
              <w:rPr>
                <w:sz w:val="24"/>
                <w:szCs w:val="24"/>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Drilling</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13,157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2,319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(153)</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2"/>
        </w:trPr>
        <w:tc>
          <w:tcPr>
            <w:tcW w:w="378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1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7,795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(628)</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(267)</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35,939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right="740" w:hanging="262"/>
        <w:spacing w:after="0" w:line="306" w:lineRule="auto"/>
        <w:tabs>
          <w:tab w:leader="none" w:pos="712" w:val="left"/>
        </w:tabs>
        <w:numPr>
          <w:ilvl w:val="2"/>
          <w:numId w:val="18"/>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9" w:lineRule="exact"/>
        <w:rPr>
          <w:rFonts w:ascii="Arial" w:cs="Arial" w:eastAsia="Arial" w:hAnsi="Arial"/>
          <w:sz w:val="14"/>
          <w:szCs w:val="14"/>
          <w:color w:val="auto"/>
        </w:rPr>
      </w:pPr>
    </w:p>
    <w:p>
      <w:pPr>
        <w:ind w:left="720" w:hanging="229"/>
        <w:spacing w:after="0"/>
        <w:tabs>
          <w:tab w:leader="none" w:pos="720" w:val="left"/>
        </w:tabs>
        <w:numPr>
          <w:ilvl w:val="2"/>
          <w:numId w:val="18"/>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($15 million in 2014; $6 million in 2013).</w:t>
      </w:r>
    </w:p>
    <w:p>
      <w:pPr>
        <w:spacing w:after="0" w:line="115" w:lineRule="exact"/>
        <w:rPr>
          <w:rFonts w:ascii="Arial" w:cs="Arial" w:eastAsia="Arial" w:hAnsi="Arial"/>
          <w:sz w:val="15"/>
          <w:szCs w:val="15"/>
          <w:color w:val="auto"/>
        </w:rPr>
      </w:pPr>
    </w:p>
    <w:p>
      <w:pPr>
        <w:ind w:left="700" w:hanging="215"/>
        <w:spacing w:after="0"/>
        <w:tabs>
          <w:tab w:leader="none" w:pos="700" w:val="left"/>
        </w:tabs>
        <w:numPr>
          <w:ilvl w:val="1"/>
          <w:numId w:val="19"/>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($15 million in 2014; $17 million in 2013).</w:t>
      </w:r>
    </w:p>
    <w:p>
      <w:pPr>
        <w:spacing w:after="0" w:line="115" w:lineRule="exact"/>
        <w:rPr>
          <w:rFonts w:ascii="Arial" w:cs="Arial" w:eastAsia="Arial" w:hAnsi="Arial"/>
          <w:sz w:val="15"/>
          <w:szCs w:val="15"/>
          <w:color w:val="auto"/>
        </w:rPr>
      </w:pPr>
    </w:p>
    <w:p>
      <w:pPr>
        <w:ind w:left="700" w:hanging="215"/>
        <w:spacing w:after="0"/>
        <w:tabs>
          <w:tab w:leader="none" w:pos="700" w:val="left"/>
        </w:tabs>
        <w:numPr>
          <w:ilvl w:val="1"/>
          <w:numId w:val="19"/>
        </w:numPr>
        <w:rPr>
          <w:rFonts w:ascii="Arial" w:cs="Arial" w:eastAsia="Arial" w:hAnsi="Arial"/>
          <w:sz w:val="15"/>
          <w:szCs w:val="15"/>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Charges and Credits.</w:t>
      </w:r>
    </w:p>
    <w:p>
      <w:pPr>
        <w:spacing w:after="0" w:line="367" w:lineRule="exact"/>
        <w:rPr>
          <w:rFonts w:ascii="Arial" w:cs="Arial" w:eastAsia="Arial" w:hAnsi="Arial"/>
          <w:sz w:val="15"/>
          <w:szCs w:val="15"/>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Nine Months</w:t>
            </w:r>
          </w:p>
        </w:tc>
        <w:tc>
          <w:tcPr>
            <w:tcW w:w="1500" w:type="dxa"/>
            <w:vAlign w:val="bottom"/>
            <w:gridSpan w:val="5"/>
          </w:tcPr>
          <w:p>
            <w:pPr>
              <w:jc w:val="right"/>
              <w:ind w:right="1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ind w:right="10"/>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7"/>
              <w:spacing w:after="0" w:line="155" w:lineRule="exact"/>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w w:val="96"/>
              </w:rPr>
              <w:t>2014</w:t>
            </w: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47"/>
              <w:spacing w:after="0" w:line="155" w:lineRule="exact"/>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35"/>
              <w:spacing w:after="0" w:line="155" w:lineRule="exact"/>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US</w:t>
            </w:r>
          </w:p>
        </w:tc>
        <w:tc>
          <w:tcPr>
            <w:tcW w:w="140" w:type="dxa"/>
            <w:vAlign w:val="bottom"/>
          </w:tcPr>
          <w:p>
            <w:pPr>
              <w:spacing w:after="0"/>
              <w:rPr>
                <w:sz w:val="13"/>
                <w:szCs w:val="13"/>
                <w:color w:val="auto"/>
              </w:rPr>
            </w:pPr>
          </w:p>
        </w:tc>
        <w:tc>
          <w:tcPr>
            <w:tcW w:w="520" w:type="dxa"/>
            <w:vAlign w:val="bottom"/>
          </w:tcPr>
          <w:p>
            <w:pPr>
              <w:jc w:val="right"/>
              <w:ind w:right="133"/>
              <w:spacing w:after="0" w:line="155" w:lineRule="exact"/>
              <w:rPr>
                <w:sz w:val="20"/>
                <w:szCs w:val="20"/>
                <w:color w:val="auto"/>
              </w:rPr>
            </w:pPr>
            <w:r>
              <w:rPr>
                <w:rFonts w:ascii="Arial" w:cs="Arial" w:eastAsia="Arial" w:hAnsi="Arial"/>
                <w:sz w:val="14"/>
                <w:szCs w:val="14"/>
                <w:color w:val="auto"/>
              </w:rPr>
              <w:t>Int'l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Int'l</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82"/>
              </w:rPr>
              <w:t>US</w:t>
            </w:r>
          </w:p>
        </w:tc>
        <w:tc>
          <w:tcPr>
            <w:tcW w:w="160" w:type="dxa"/>
            <w:vAlign w:val="bottom"/>
          </w:tcPr>
          <w:p>
            <w:pPr>
              <w:spacing w:after="0"/>
              <w:rPr>
                <w:sz w:val="13"/>
                <w:szCs w:val="13"/>
                <w:color w:val="auto"/>
              </w:rPr>
            </w:pPr>
          </w:p>
        </w:tc>
        <w:tc>
          <w:tcPr>
            <w:tcW w:w="520" w:type="dxa"/>
            <w:vAlign w:val="bottom"/>
          </w:tcPr>
          <w:p>
            <w:pPr>
              <w:jc w:val="right"/>
              <w:ind w:right="153"/>
              <w:spacing w:after="0" w:line="155" w:lineRule="exact"/>
              <w:rPr>
                <w:sz w:val="20"/>
                <w:szCs w:val="20"/>
                <w:color w:val="auto"/>
              </w:rPr>
            </w:pPr>
            <w:r>
              <w:rPr>
                <w:rFonts w:ascii="Arial" w:cs="Arial" w:eastAsia="Arial" w:hAnsi="Arial"/>
                <w:sz w:val="14"/>
                <w:szCs w:val="14"/>
                <w:color w:val="auto"/>
              </w:rPr>
              <w:t>Int'l</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 — benefits earned during period</w:t>
            </w:r>
          </w:p>
        </w:tc>
        <w:tc>
          <w:tcPr>
            <w:tcW w:w="5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(143)</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b w:val="1"/>
                <w:bCs w:val="1"/>
                <w:color w:val="auto"/>
              </w:rPr>
              <w:t>(156)</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(343)</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Third Quarter</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color w:val="auto"/>
                <w:w w:val="89"/>
              </w:rPr>
              <w:t>2013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color w:val="auto"/>
                <w:w w:val="96"/>
              </w:rPr>
              <w:t>2013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Service cost — benefits earned during period</w:t>
            </w:r>
          </w:p>
        </w:tc>
        <w:tc>
          <w:tcPr>
            <w:tcW w:w="13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6"/>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60" w:type="dxa"/>
            <w:vAlign w:val="bottom"/>
            <w:vMerge w:val="restart"/>
          </w:tcPr>
          <w:p>
            <w:pPr>
              <w:jc w:val="right"/>
              <w:ind w:right="510"/>
              <w:spacing w:after="0"/>
              <w:rPr>
                <w:sz w:val="20"/>
                <w:szCs w:val="20"/>
                <w:color w:val="auto"/>
              </w:rPr>
            </w:pPr>
            <w:r>
              <w:rPr>
                <w:rFonts w:ascii="Arial" w:cs="Arial" w:eastAsia="Arial" w:hAnsi="Arial"/>
                <w:sz w:val="18"/>
                <w:szCs w:val="18"/>
                <w:color w:val="auto"/>
              </w:rPr>
              <w:t>16</w:t>
            </w: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5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3" w:right="239" w:bottom="1440" w:gutter="0" w:footer="0" w:header="0"/>
        </w:sectPr>
      </w:pPr>
    </w:p>
    <w:bookmarkStart w:id="16" w:name="page17"/>
    <w:bookmarkEnd w:id="16"/>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Pension and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Gains 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Postretirement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Marketable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Benefit Plans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2"/>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2014</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tcPr>
          <w:p>
            <w:pPr>
              <w:ind w:left="50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5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42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Balance, September 30,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Pension and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Gains 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Postretirement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Marketable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Benefit Plans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2"/>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2013</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20" w:type="dxa"/>
            <w:vAlign w:val="bottom"/>
          </w:tcPr>
          <w:p>
            <w:pPr>
              <w:ind w:left="50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50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4"/>
        </w:trPr>
        <w:tc>
          <w:tcPr>
            <w:tcW w:w="4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42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Balance, September 30, 2013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12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During the second quarter of 2013, Schlumberger completed the wind down of its operations in Iran and has classified the historical results of this business as a discontinued 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this discontinued operation: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660" w:type="dxa"/>
            <w:vAlign w:val="bottom"/>
            <w:gridSpan w:val="4"/>
          </w:tcPr>
          <w:p>
            <w:pPr>
              <w:ind w:left="3400"/>
              <w:spacing w:after="0"/>
              <w:rPr>
                <w:sz w:val="20"/>
                <w:szCs w:val="20"/>
                <w:color w:val="auto"/>
              </w:rPr>
            </w:pPr>
            <w:r>
              <w:rPr>
                <w:rFonts w:ascii="Arial" w:cs="Arial" w:eastAsia="Arial" w:hAnsi="Arial"/>
                <w:sz w:val="14"/>
                <w:szCs w:val="14"/>
                <w:i w:val="1"/>
                <w:iCs w:val="1"/>
                <w:color w:val="auto"/>
              </w:rPr>
              <w:t>(Stated in millions)</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color w:val="auto"/>
              </w:rPr>
              <w:t>2013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3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60" w:type="dxa"/>
            <w:vAlign w:val="bottom"/>
          </w:tcPr>
          <w:p>
            <w:pPr>
              <w:spacing w:after="0"/>
              <w:rPr>
                <w:sz w:val="20"/>
                <w:szCs w:val="20"/>
                <w:color w:val="auto"/>
              </w:rPr>
            </w:pPr>
            <w:r>
              <w:rPr>
                <w:rFonts w:ascii="Arial" w:cs="Arial" w:eastAsia="Arial" w:hAnsi="Arial"/>
                <w:sz w:val="18"/>
                <w:szCs w:val="18"/>
                <w:color w:val="auto"/>
              </w:rPr>
              <w:t>Loss before taxes</w:t>
            </w:r>
          </w:p>
        </w:tc>
        <w:tc>
          <w:tcPr>
            <w:tcW w:w="3660" w:type="dxa"/>
            <w:vAlign w:val="bottom"/>
            <w:gridSpan w:val="2"/>
          </w:tcPr>
          <w:p>
            <w:pPr>
              <w:ind w:left="34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Tax expense</w:t>
            </w:r>
          </w:p>
        </w:tc>
        <w:tc>
          <w:tcPr>
            <w:tcW w:w="3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4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400" w:type="dxa"/>
            <w:vAlign w:val="bottom"/>
            <w:vMerge w:val="restart"/>
          </w:tcPr>
          <w:p>
            <w:pPr>
              <w:jc w:val="right"/>
              <w:ind w:right="1576"/>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0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080" w:type="dxa"/>
            <w:vAlign w:val="bottom"/>
            <w:gridSpan w:val="16"/>
          </w:tcPr>
          <w:p>
            <w:pPr>
              <w:ind w:left="40"/>
              <w:spacing w:after="0"/>
              <w:rPr>
                <w:sz w:val="20"/>
                <w:szCs w:val="20"/>
                <w:color w:val="auto"/>
              </w:rPr>
            </w:pPr>
            <w:r>
              <w:rPr>
                <w:rFonts w:ascii="Arial" w:cs="Arial" w:eastAsia="Arial" w:hAnsi="Arial"/>
                <w:sz w:val="18"/>
                <w:szCs w:val="18"/>
                <w:b w:val="1"/>
                <w:bCs w:val="1"/>
                <w:color w:val="auto"/>
                <w:w w:val="91"/>
              </w:rPr>
              <w:t>Management’s Discussion and Analysis of Financial Condition and Results of Operations.</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5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4340" w:type="dxa"/>
            <w:vAlign w:val="bottom"/>
            <w:tcBorders>
              <w:top w:val="single" w:sz="8" w:color="auto"/>
            </w:tcBorders>
            <w:gridSpan w:val="11"/>
          </w:tcPr>
          <w:p>
            <w:pPr>
              <w:jc w:val="center"/>
              <w:ind w:right="100"/>
              <w:spacing w:after="0"/>
              <w:rPr>
                <w:sz w:val="20"/>
                <w:szCs w:val="20"/>
                <w:color w:val="auto"/>
              </w:rPr>
            </w:pPr>
            <w:r>
              <w:rPr>
                <w:rFonts w:ascii="Arial" w:cs="Arial" w:eastAsia="Arial" w:hAnsi="Arial"/>
                <w:sz w:val="18"/>
                <w:szCs w:val="18"/>
                <w:b w:val="1"/>
                <w:bCs w:val="1"/>
                <w:color w:val="auto"/>
                <w:w w:val="91"/>
              </w:rPr>
              <w:t>Third Quarter 2014 Compared to Second Quarter 2014</w:t>
            </w: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5"/>
          </w:tcPr>
          <w:p>
            <w:pPr>
              <w:jc w:val="center"/>
              <w:ind w:right="627"/>
              <w:spacing w:after="0"/>
              <w:rPr>
                <w:sz w:val="20"/>
                <w:szCs w:val="20"/>
                <w:color w:val="auto"/>
              </w:rPr>
            </w:pPr>
            <w:r>
              <w:rPr>
                <w:rFonts w:ascii="Arial" w:cs="Arial" w:eastAsia="Arial" w:hAnsi="Arial"/>
                <w:sz w:val="18"/>
                <w:szCs w:val="18"/>
                <w:b w:val="1"/>
                <w:bCs w:val="1"/>
                <w:color w:val="auto"/>
                <w:w w:val="90"/>
              </w:rPr>
              <w:t>Product Groups</w:t>
            </w: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0"/>
            <w:vMerge w:val="restart"/>
          </w:tcPr>
          <w:p>
            <w:pPr>
              <w:jc w:val="right"/>
              <w:ind w:right="640"/>
              <w:spacing w:after="0"/>
              <w:rPr>
                <w:sz w:val="20"/>
                <w:szCs w:val="20"/>
                <w:color w:val="auto"/>
              </w:rPr>
            </w:pPr>
            <w:r>
              <w:rPr>
                <w:rFonts w:ascii="Arial" w:cs="Arial" w:eastAsia="Arial" w:hAnsi="Arial"/>
                <w:sz w:val="14"/>
                <w:szCs w:val="14"/>
                <w:b w:val="1"/>
                <w:bCs w:val="1"/>
                <w:color w:val="auto"/>
              </w:rPr>
              <w:t>Third Quarter 2014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7"/>
          </w:tcPr>
          <w:p>
            <w:pPr>
              <w:jc w:val="right"/>
              <w:ind w:right="1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10"/>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8"/>
          </w:tcPr>
          <w:p>
            <w:pPr>
              <w:jc w:val="right"/>
              <w:ind w:right="560"/>
              <w:spacing w:after="0"/>
              <w:rPr>
                <w:sz w:val="20"/>
                <w:szCs w:val="20"/>
                <w:color w:val="auto"/>
              </w:rPr>
            </w:pPr>
            <w:r>
              <w:rPr>
                <w:rFonts w:ascii="Arial" w:cs="Arial" w:eastAsia="Arial" w:hAnsi="Arial"/>
                <w:sz w:val="14"/>
                <w:szCs w:val="14"/>
                <w:color w:val="auto"/>
              </w:rPr>
              <w:t>Second Quarter 2014</w:t>
            </w: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Borders>
              <w:top w:val="single" w:sz="8" w:color="auto"/>
            </w:tcBorders>
            <w:gridSpan w:val="3"/>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ind w:left="20"/>
              <w:spacing w:after="0" w:line="132" w:lineRule="exact"/>
              <w:rPr>
                <w:sz w:val="20"/>
                <w:szCs w:val="20"/>
                <w:color w:val="auto"/>
              </w:rPr>
            </w:pPr>
            <w:r>
              <w:rPr>
                <w:rFonts w:ascii="Arial" w:cs="Arial" w:eastAsia="Arial" w:hAnsi="Arial"/>
                <w:sz w:val="14"/>
                <w:szCs w:val="14"/>
                <w:b w:val="1"/>
                <w:bCs w:val="1"/>
                <w:color w:val="auto"/>
                <w:w w:val="90"/>
              </w:rPr>
              <w:t>Income Before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4"/>
                <w:szCs w:val="14"/>
                <w:color w:val="auto"/>
                <w:w w:val="96"/>
              </w:rPr>
              <w:t>Income Before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14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gridSpan w:val="3"/>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Taxes</w:t>
            </w:r>
          </w:p>
        </w:tc>
        <w:tc>
          <w:tcPr>
            <w:tcW w:w="200" w:type="dxa"/>
            <w:vAlign w:val="bottom"/>
            <w:tcBorders>
              <w:bottom w:val="single" w:sz="8" w:color="CFF0FC"/>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2"/>
              </w:rPr>
              <w:t>Revenue</w:t>
            </w:r>
          </w:p>
        </w:tc>
        <w:tc>
          <w:tcPr>
            <w:tcW w:w="200" w:type="dxa"/>
            <w:vAlign w:val="bottom"/>
            <w:tcBorders>
              <w:bottom w:val="single" w:sz="8" w:color="CFF0FC"/>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Taxes</w:t>
            </w:r>
          </w:p>
        </w:tc>
        <w:tc>
          <w:tcPr>
            <w:tcW w:w="80" w:type="dxa"/>
            <w:vAlign w:val="bottom"/>
            <w:tcBorders>
              <w:bottom w:val="single" w:sz="8" w:color="CFF0FC"/>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3440" w:type="dxa"/>
            <w:vAlign w:val="bottom"/>
            <w:gridSpan w:val="7"/>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3,184</w:t>
            </w:r>
          </w:p>
        </w:tc>
        <w:tc>
          <w:tcPr>
            <w:tcW w:w="4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80" w:type="dxa"/>
            <w:vAlign w:val="bottom"/>
            <w:gridSpan w:val="3"/>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954</w:t>
            </w:r>
          </w:p>
        </w:tc>
        <w:tc>
          <w:tcPr>
            <w:tcW w:w="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80" w:type="dxa"/>
            <w:vAlign w:val="bottom"/>
            <w:tcBorders>
              <w:right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spacing w:after="0"/>
              <w:rPr>
                <w:sz w:val="20"/>
                <w:szCs w:val="20"/>
                <w:color w:val="auto"/>
              </w:rPr>
            </w:pPr>
            <w:r>
              <w:rPr>
                <w:rFonts w:ascii="Arial" w:cs="Arial" w:eastAsia="Arial" w:hAnsi="Arial"/>
                <w:sz w:val="18"/>
                <w:szCs w:val="18"/>
                <w:color w:val="auto"/>
              </w:rPr>
              <w:t>Drilling</w:t>
            </w:r>
          </w:p>
        </w:tc>
        <w:tc>
          <w:tcPr>
            <w:tcW w:w="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4,821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1,045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Production</w:t>
            </w:r>
          </w:p>
        </w:tc>
        <w:tc>
          <w:tcPr>
            <w:tcW w:w="4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4,697</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857</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8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tcPr>
          <w:p>
            <w:pPr>
              <w:spacing w:after="0"/>
              <w:rPr>
                <w:sz w:val="20"/>
                <w:szCs w:val="20"/>
                <w:color w:val="auto"/>
              </w:rPr>
            </w:pPr>
            <w:r>
              <w:rPr>
                <w:rFonts w:ascii="Arial" w:cs="Arial" w:eastAsia="Arial" w:hAnsi="Arial"/>
                <w:sz w:val="18"/>
                <w:szCs w:val="18"/>
                <w:color w:val="auto"/>
              </w:rPr>
              <w:t>Eliminations &amp; other</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68"/>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0" w:type="dxa"/>
            <w:vAlign w:val="bottom"/>
            <w:tcBorders>
              <w:top w:val="single" w:sz="8" w:color="CFF0FC"/>
            </w:tcBorders>
            <w:gridSpan w:val="4"/>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14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2,806</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12,646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2,520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40" w:type="dxa"/>
            <w:vAlign w:val="bottom"/>
            <w:gridSpan w:val="7"/>
          </w:tcPr>
          <w:p>
            <w:pPr>
              <w:jc w:val="center"/>
              <w:ind w:left="690"/>
              <w:spacing w:after="0"/>
              <w:rPr>
                <w:sz w:val="20"/>
                <w:szCs w:val="20"/>
                <w:color w:val="auto"/>
              </w:rPr>
            </w:pPr>
            <w:r>
              <w:rPr>
                <w:rFonts w:ascii="Arial" w:cs="Arial" w:eastAsia="Arial" w:hAnsi="Arial"/>
                <w:sz w:val="18"/>
                <w:szCs w:val="18"/>
                <w:b w:val="1"/>
                <w:bCs w:val="1"/>
                <w:color w:val="auto"/>
                <w:w w:val="88"/>
              </w:rPr>
              <w:t>Geographic Areas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0"/>
            <w:vMerge w:val="restart"/>
          </w:tcPr>
          <w:p>
            <w:pPr>
              <w:jc w:val="right"/>
              <w:ind w:right="580"/>
              <w:spacing w:after="0"/>
              <w:rPr>
                <w:sz w:val="20"/>
                <w:szCs w:val="20"/>
                <w:color w:val="auto"/>
              </w:rPr>
            </w:pPr>
            <w:r>
              <w:rPr>
                <w:rFonts w:ascii="Arial" w:cs="Arial" w:eastAsia="Arial" w:hAnsi="Arial"/>
                <w:sz w:val="14"/>
                <w:szCs w:val="14"/>
                <w:b w:val="1"/>
                <w:bCs w:val="1"/>
                <w:color w:val="auto"/>
              </w:rPr>
              <w:t>Third Quarter 2014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10"/>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8"/>
          </w:tcPr>
          <w:p>
            <w:pPr>
              <w:jc w:val="right"/>
              <w:ind w:right="520"/>
              <w:spacing w:after="0"/>
              <w:rPr>
                <w:sz w:val="20"/>
                <w:szCs w:val="20"/>
                <w:color w:val="auto"/>
              </w:rPr>
            </w:pPr>
            <w:r>
              <w:rPr>
                <w:rFonts w:ascii="Arial" w:cs="Arial" w:eastAsia="Arial" w:hAnsi="Arial"/>
                <w:sz w:val="14"/>
                <w:szCs w:val="14"/>
                <w:color w:val="auto"/>
              </w:rPr>
              <w:t>Second Quarter 2014</w:t>
            </w: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top w:val="single" w:sz="8" w:color="auto"/>
            </w:tcBorders>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right"/>
              <w:ind w:right="40"/>
              <w:spacing w:after="0" w:line="132" w:lineRule="exact"/>
              <w:rPr>
                <w:sz w:val="20"/>
                <w:szCs w:val="20"/>
                <w:color w:val="auto"/>
              </w:rPr>
            </w:pPr>
            <w:r>
              <w:rPr>
                <w:rFonts w:ascii="Arial" w:cs="Arial" w:eastAsia="Arial" w:hAnsi="Arial"/>
                <w:sz w:val="14"/>
                <w:szCs w:val="14"/>
                <w:b w:val="1"/>
                <w:bCs w:val="1"/>
                <w:color w:val="auto"/>
                <w:w w:val="90"/>
              </w:rPr>
              <w:t>Income Before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right"/>
              <w:ind w:right="100"/>
              <w:spacing w:after="0" w:line="132" w:lineRule="exact"/>
              <w:rPr>
                <w:sz w:val="20"/>
                <w:szCs w:val="20"/>
                <w:color w:val="auto"/>
              </w:rPr>
            </w:pPr>
            <w:r>
              <w:rPr>
                <w:rFonts w:ascii="Arial" w:cs="Arial" w:eastAsia="Arial" w:hAnsi="Arial"/>
                <w:sz w:val="14"/>
                <w:szCs w:val="14"/>
                <w:color w:val="auto"/>
                <w:w w:val="94"/>
              </w:rPr>
              <w:t>Income Before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14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Taxes</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w w:val="96"/>
              </w:rPr>
              <w:t>Revenue</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Taxes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1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North America</w:t>
            </w:r>
          </w:p>
        </w:tc>
        <w:tc>
          <w:tcPr>
            <w:tcW w:w="40" w:type="dxa"/>
            <w:vAlign w:val="bottom"/>
            <w:shd w:val="clear" w:color="auto" w:fill="CFF0FC"/>
          </w:tcPr>
          <w:p>
            <w:pPr>
              <w:spacing w:after="0"/>
              <w:rPr>
                <w:sz w:val="24"/>
                <w:szCs w:val="24"/>
                <w:color w:val="auto"/>
              </w:rPr>
            </w:pPr>
          </w:p>
        </w:tc>
        <w:tc>
          <w:tcPr>
            <w:tcW w:w="2420" w:type="dxa"/>
            <w:vAlign w:val="bottom"/>
            <w:shd w:val="clear" w:color="auto" w:fill="CFF0FC"/>
          </w:tcPr>
          <w:p>
            <w:pPr>
              <w:spacing w:after="0"/>
              <w:rPr>
                <w:sz w:val="24"/>
                <w:szCs w:val="24"/>
                <w:color w:val="auto"/>
              </w:rPr>
            </w:pPr>
          </w:p>
        </w:tc>
        <w:tc>
          <w:tcPr>
            <w:tcW w:w="3440" w:type="dxa"/>
            <w:vAlign w:val="bottom"/>
            <w:gridSpan w:val="7"/>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4,255</w:t>
            </w:r>
          </w:p>
        </w:tc>
        <w:tc>
          <w:tcPr>
            <w:tcW w:w="80" w:type="dxa"/>
            <w:vAlign w:val="bottom"/>
            <w:shd w:val="clear" w:color="auto" w:fill="CFF0FC"/>
          </w:tcPr>
          <w:p>
            <w:pPr>
              <w:spacing w:after="0"/>
              <w:rPr>
                <w:sz w:val="24"/>
                <w:szCs w:val="24"/>
                <w:color w:val="auto"/>
              </w:rPr>
            </w:pPr>
          </w:p>
        </w:tc>
        <w:tc>
          <w:tcPr>
            <w:tcW w:w="280" w:type="dxa"/>
            <w:vAlign w:val="bottom"/>
            <w:gridSpan w:val="3"/>
            <w:shd w:val="clear" w:color="auto" w:fill="CFF0FC"/>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825</w:t>
            </w:r>
          </w:p>
        </w:tc>
        <w:tc>
          <w:tcPr>
            <w:tcW w:w="160" w:type="dxa"/>
            <w:vAlign w:val="bottom"/>
            <w:shd w:val="clear" w:color="auto" w:fill="CFF0FC"/>
          </w:tcPr>
          <w:p>
            <w:pPr>
              <w:spacing w:after="0"/>
              <w:rPr>
                <w:sz w:val="24"/>
                <w:szCs w:val="24"/>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180" w:type="dxa"/>
            <w:vAlign w:val="bottom"/>
            <w:shd w:val="clear" w:color="auto" w:fill="CFF0FC"/>
          </w:tcPr>
          <w:p>
            <w:pPr>
              <w:spacing w:after="0"/>
              <w:rPr>
                <w:sz w:val="24"/>
                <w:szCs w:val="24"/>
                <w:color w:val="auto"/>
              </w:rPr>
            </w:pP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3,303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774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tcPr>
          <w:p>
            <w:pPr>
              <w:spacing w:after="0"/>
              <w:rPr>
                <w:sz w:val="20"/>
                <w:szCs w:val="20"/>
                <w:color w:val="auto"/>
              </w:rPr>
            </w:pPr>
            <w:r>
              <w:rPr>
                <w:rFonts w:ascii="Arial" w:cs="Arial" w:eastAsia="Arial" w:hAnsi="Arial"/>
                <w:sz w:val="18"/>
                <w:szCs w:val="18"/>
                <w:color w:val="auto"/>
              </w:rPr>
              <w:t>Middle East &amp; Asia</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3600" w:type="dxa"/>
            <w:vAlign w:val="bottom"/>
            <w:gridSpan w:val="4"/>
          </w:tcPr>
          <w:p>
            <w:pPr>
              <w:ind w:left="280"/>
              <w:spacing w:after="0"/>
              <w:rPr>
                <w:sz w:val="20"/>
                <w:szCs w:val="20"/>
                <w:color w:val="auto"/>
              </w:rPr>
            </w:pPr>
            <w:r>
              <w:rPr>
                <w:rFonts w:ascii="Arial" w:cs="Arial" w:eastAsia="Arial" w:hAnsi="Arial"/>
                <w:sz w:val="18"/>
                <w:szCs w:val="18"/>
                <w:color w:val="auto"/>
              </w:rPr>
              <w:t>Pretax operating income</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2,806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(210)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3600" w:type="dxa"/>
            <w:vAlign w:val="bottom"/>
            <w:gridSpan w:val="4"/>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12,646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2,520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12,054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right="740" w:hanging="257"/>
        <w:spacing w:after="0" w:line="306" w:lineRule="auto"/>
        <w:tabs>
          <w:tab w:leader="none" w:pos="716" w:val="left"/>
        </w:tabs>
        <w:numPr>
          <w:ilvl w:val="0"/>
          <w:numId w:val="23"/>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9" w:lineRule="exact"/>
        <w:rPr>
          <w:rFonts w:ascii="Arial" w:cs="Arial" w:eastAsia="Arial" w:hAnsi="Arial"/>
          <w:sz w:val="14"/>
          <w:szCs w:val="14"/>
          <w:color w:val="auto"/>
        </w:rPr>
      </w:pPr>
    </w:p>
    <w:p>
      <w:pPr>
        <w:ind w:left="760" w:right="100" w:hanging="257"/>
        <w:spacing w:after="0" w:line="275" w:lineRule="auto"/>
        <w:tabs>
          <w:tab w:leader="none" w:pos="716"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($5 million in the third quarter 2014; $5million in the second quarter in 2014).</w:t>
      </w:r>
    </w:p>
    <w:p>
      <w:pPr>
        <w:spacing w:after="0" w:line="63" w:lineRule="exact"/>
        <w:rPr>
          <w:rFonts w:ascii="Arial" w:cs="Arial" w:eastAsia="Arial" w:hAnsi="Arial"/>
          <w:sz w:val="15"/>
          <w:szCs w:val="15"/>
          <w:color w:val="auto"/>
        </w:rPr>
      </w:pPr>
    </w:p>
    <w:p>
      <w:pPr>
        <w:ind w:left="680" w:right="20" w:hanging="187"/>
        <w:spacing w:after="0" w:line="275" w:lineRule="auto"/>
        <w:tabs>
          <w:tab w:leader="none" w:pos="723"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($6 million in the third quarter 2014; $4 million in the second quarter 2014).</w:t>
      </w:r>
    </w:p>
    <w:p>
      <w:pPr>
        <w:spacing w:after="0" w:line="27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Third-quarter revenue of $12.6 billion increased 5% sequentially with International Areas revenue of $8.3 billion growing $222 million, or 3% sequentially, while North America Area revenue of $4.3 billion increased $367 million, or 9%, sequentially.</w:t>
      </w:r>
    </w:p>
    <w:p>
      <w:pPr>
        <w:spacing w:after="0" w:line="171"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Third-quarter pretax operating income of $2.8 billion increased 7% sequentially. Pretax operating margin increased by 45 basis points (bps) to 22.2%, as North America pretax operating margin increased 137 bps, to 19.4%, and International Areas pretax operating margin increased by 55 bps, to 24.6%.</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North America Area revenue of $4.3 billion increased 9% sequentially, with offshore revenue up 12% and land revenue increasing 9%. Higher offshore revenue was driven by higher summer activity in Eastern Canada and market share gains in drilling services in the US Gulf of Mexico. Land revenue increased as Western Canada land revenue rebounded strongly from the seasonal spring break-up while US land revenue continued to grow on increased stage counts and improving logistics. These sequential increases, however,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0" w:right="239" w:bottom="1440" w:gutter="0" w:footer="0" w:header="0"/>
        </w:sectPr>
      </w:pPr>
    </w:p>
    <w:bookmarkStart w:id="18" w:name="page19"/>
    <w:bookmarkEnd w:id="18"/>
    <w:p>
      <w:pPr>
        <w:jc w:val="both"/>
        <w:spacing w:after="0" w:line="275" w:lineRule="auto"/>
        <w:rPr>
          <w:sz w:val="20"/>
          <w:szCs w:val="20"/>
          <w:color w:val="auto"/>
        </w:rPr>
      </w:pPr>
      <w:r>
        <w:rPr>
          <w:rFonts w:ascii="Arial" w:cs="Arial" w:eastAsia="Arial" w:hAnsi="Arial"/>
          <w:sz w:val="18"/>
          <w:szCs w:val="18"/>
          <w:color w:val="auto"/>
        </w:rPr>
        <w:t>were slightly muted by weather-related activity disruption from flooding in some basins and from loop currents in the US Gulf of Mexico. Recent investments in the Artificial Lift business to capture market share and promote inorganic growth also contributed to the sequential increase.</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North America pretax operating margin increased 137 bps sequentially, to 19.4%, as Western Canada recovered following the previous quarter’s seasonal spring break-up and as the US land market continued to make efficiency gains, increased penetration of new technology, and improved recovery of logistical costs. North America offshore operating margin improved with market share gains and technology uptake. Margin expansion overall, however, was tempered by adverse weather and offshore loop currents.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Latin America Area led the sequential international increase with revenue of $2.0 billion, growing 10% as Mexico rebounded with robust Integrated Project Management (IPM) work and strong deepwater drilling activity, while higher revenues were posted across all Groups in Venezuela, Argentina, Colombia, and Brazil.</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Europe/CIS/Africa Area revenue of $3.3 billion grew 1% sequentially from significantly increased exploration work in Angola, the start of new projects in Congo and Equatorial Guinea, increased software sales in the UK, and peak summer drilling and exploration activity in Russia and Central Asia. Revenue growth in Russia, however, was tempered by a cautious investment climate that delayed certain projects and spending by some customers following sanctions by the European Union and the United States. Norway revenue declined as seismic and drilling activity wound down after the peak activity of the second quarter.</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Middle East &amp; Asia Area revenue of $3.0 billion was flat sequentially as strong offshore exploration activity in Saudi Arabia, increased drilling and market share gains in Oman, and higher WesternGeco marine survey work in Brunei were offset by a decrease in Iraq revenue due to a severe slowdown in operations in Kurdistan in response to growing unrest. India also declined following project completions.</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Sequentially, International Areas pretax operating margin of 24.6% increased 55 bps. Europe/CIS/Africa pretax operating margin increased by 132 bps to 23.4%, Latin America grew 72 bps, to 21.9%, while Middle East &amp; Asia margin of 27.6% was essentially flat with the previous quarter.</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expansion in International Areas pretax operating margin was due to the seasonal activity rebound in Russia and Central Asia combined with strong exploration results in Sub-Saharan Africa and in the Middle East GeoMarkets, higher-margin software sales in the North Sea GeoMarkets, and robust activity across the Latin America Area. The effect, however, was limited during the quarter by sanction-compliance-related costs in Russia, and the severe operational slowdown in Kurdistan.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$3.2 billion increased 3% sequentially. Pretax operating income of $954 million was 4% higher sequentially.</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sequential increase in revenue was driven primarily by higher use of Testing Services technologies as a result of strong exploration activity in Brazil as well as in a number of other GeoMarkets. WesternGeco revenue also increased sequentially through improved global marine vessel activity leading to higher asset utilization during the quarter. In addition, Schlumberger Information Solutions (SIS) posted higher software sales, mainly in the UK. These increases, however, were partially offset by sequentially lower PetroTechnical Services multiclient seismic sales.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Pretax operating margin of 30% was 29 bps higher sequentially reflecting higher WesternGeco vessel utilization, robust high-margin software sales, and stronger Testing Services activity.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$4.8 billion was up 4% sequentially. Pretax operating income of $1.0 billion was 7% higher sequentially.</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Sequentially, revenue increased primarily on strong Drilling &amp; Measurements deepwater activity in Mexico, Russia, and offshore North America. IPM also increased on robust project activity in Mexico. Full-quarter rig revenue from the May 2014 acquisition of Saxon Energy Services (Saxon) also contributed to sequential growth.</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Sequentially, pretax operating margin grew 60 bps, to 21.7% reflecting improved profitability in Drilling &amp; Measurements driven by stronger activity and a more favorable geographical and technology mix. Improved efficiency on IPM projects in the Latin America Area continued to contribute to the Group’s expanding margins.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Production Group</w:t>
      </w: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Third-quarter revenue of $4.7 billion increased 8% sequentially. Pretax operating income of $857 million increased 18% sequentially. The strong rebound from the seasonal spring break-up in Western Canada accounted for the majority of the sequential increase in Well Services, although a significant proportion came from increased stage count in the US land market as well as from improving logistics. Strong sales of Completions products in the Latin America and Middle East &amp; Asia Areas, and expanding Artificial Lift product sales in North America also contributed to sequential growth.</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Pretax operating margin of 18.3% increased 158 bps sequentially, reflecting improved profitability in Well Services as Western Canada recovered from the previous quarter’s seasonal spring break-up; and as the US land market continued to expand on improving efficiency, better utilization, and recovery of logistical costs.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2014 Compared to Third Quarter 2013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Third Quarter 2014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4"/>
                <w:szCs w:val="14"/>
                <w:color w:val="auto"/>
              </w:rPr>
              <w:t>Third Quarter 2013</w:t>
            </w: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tcBorders>
              <w:top w:val="single" w:sz="8" w:color="auto"/>
            </w:tcBorders>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4"/>
                <w:szCs w:val="14"/>
                <w:b w:val="1"/>
                <w:bCs w:val="1"/>
                <w:color w:val="auto"/>
                <w:w w:val="92"/>
              </w:rPr>
              <w:t>Income Before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spacing w:after="0" w:line="132" w:lineRule="exact"/>
              <w:rPr>
                <w:sz w:val="20"/>
                <w:szCs w:val="20"/>
                <w:color w:val="auto"/>
              </w:rPr>
            </w:pPr>
            <w:r>
              <w:rPr>
                <w:rFonts w:ascii="Arial" w:cs="Arial" w:eastAsia="Arial" w:hAnsi="Arial"/>
                <w:sz w:val="14"/>
                <w:szCs w:val="14"/>
                <w:color w:val="auto"/>
                <w:w w:val="94"/>
              </w:rPr>
              <w:t>Income Before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2"/>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Taxes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350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3,184</w:t>
            </w:r>
          </w:p>
        </w:tc>
        <w:tc>
          <w:tcPr>
            <w:tcW w:w="140" w:type="dxa"/>
            <w:vAlign w:val="bottom"/>
            <w:shd w:val="clear" w:color="auto" w:fill="CFF0FC"/>
          </w:tcPr>
          <w:p>
            <w:pPr>
              <w:spacing w:after="0"/>
              <w:rPr>
                <w:sz w:val="24"/>
                <w:szCs w:val="24"/>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954</w:t>
            </w:r>
          </w:p>
        </w:tc>
        <w:tc>
          <w:tcPr>
            <w:tcW w:w="14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4,821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2"/>
        </w:trPr>
        <w:tc>
          <w:tcPr>
            <w:tcW w:w="352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2,806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520" w:type="dxa"/>
            <w:vAlign w:val="bottom"/>
          </w:tcPr>
          <w:p>
            <w:pPr>
              <w:spacing w:after="0"/>
              <w:rPr>
                <w:sz w:val="24"/>
                <w:szCs w:val="24"/>
                <w:color w:val="auto"/>
              </w:rPr>
            </w:pPr>
          </w:p>
        </w:tc>
        <w:tc>
          <w:tcPr>
            <w:tcW w:w="3500" w:type="dxa"/>
            <w:vAlign w:val="bottom"/>
            <w:gridSpan w:val="4"/>
          </w:tcPr>
          <w:p>
            <w:pPr>
              <w:jc w:val="right"/>
              <w:ind w:right="547"/>
              <w:spacing w:after="0"/>
              <w:rPr>
                <w:sz w:val="20"/>
                <w:szCs w:val="20"/>
                <w:color w:val="auto"/>
              </w:rPr>
            </w:pPr>
            <w:r>
              <w:rPr>
                <w:rFonts w:ascii="Arial" w:cs="Arial" w:eastAsia="Arial" w:hAnsi="Arial"/>
                <w:sz w:val="18"/>
                <w:szCs w:val="18"/>
                <w:b w:val="1"/>
                <w:bCs w:val="1"/>
                <w:color w:val="auto"/>
              </w:rPr>
              <w:t>Geographic Areas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Third Quarter 2014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4"/>
                <w:szCs w:val="14"/>
                <w:color w:val="auto"/>
              </w:rPr>
              <w:t>Third Quarter 2013</w:t>
            </w: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94"/>
              <w:spacing w:after="0" w:line="132"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94"/>
              <w:spacing w:after="0" w:line="132" w:lineRule="exact"/>
              <w:rPr>
                <w:sz w:val="20"/>
                <w:szCs w:val="20"/>
                <w:color w:val="auto"/>
              </w:rPr>
            </w:pPr>
            <w:r>
              <w:rPr>
                <w:rFonts w:ascii="Arial" w:cs="Arial" w:eastAsia="Arial" w:hAnsi="Arial"/>
                <w:sz w:val="14"/>
                <w:szCs w:val="14"/>
                <w:color w:val="auto"/>
                <w:w w:val="91"/>
              </w:rPr>
              <w:t>Income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4"/>
              </w:rPr>
              <w:t>Before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8"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2"/>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Taxes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350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4,255</w:t>
            </w:r>
          </w:p>
        </w:tc>
        <w:tc>
          <w:tcPr>
            <w:tcW w:w="140" w:type="dxa"/>
            <w:vAlign w:val="bottom"/>
            <w:shd w:val="clear" w:color="auto" w:fill="CFF0FC"/>
          </w:tcPr>
          <w:p>
            <w:pPr>
              <w:spacing w:after="0"/>
              <w:rPr>
                <w:sz w:val="24"/>
                <w:szCs w:val="24"/>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825</w:t>
            </w:r>
          </w:p>
        </w:tc>
        <w:tc>
          <w:tcPr>
            <w:tcW w:w="14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w:t>
            </w:r>
          </w:p>
        </w:tc>
        <w:tc>
          <w:tcPr>
            <w:tcW w:w="22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2"/>
        </w:trPr>
        <w:tc>
          <w:tcPr>
            <w:tcW w:w="3520" w:type="dxa"/>
            <w:vAlign w:val="bottom"/>
          </w:tcPr>
          <w:p>
            <w:pPr>
              <w:ind w:left="28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760" w:right="740" w:hanging="257"/>
        <w:spacing w:after="0" w:line="306" w:lineRule="auto"/>
        <w:tabs>
          <w:tab w:leader="none" w:pos="716" w:val="left"/>
        </w:tabs>
        <w:numPr>
          <w:ilvl w:val="1"/>
          <w:numId w:val="24"/>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9" w:lineRule="exact"/>
        <w:rPr>
          <w:rFonts w:ascii="Arial" w:cs="Arial" w:eastAsia="Arial" w:hAnsi="Arial"/>
          <w:sz w:val="14"/>
          <w:szCs w:val="14"/>
          <w:color w:val="auto"/>
        </w:rPr>
      </w:pPr>
    </w:p>
    <w:p>
      <w:pPr>
        <w:ind w:left="720" w:hanging="217"/>
        <w:spacing w:after="0"/>
        <w:tabs>
          <w:tab w:leader="none" w:pos="720" w:val="left"/>
        </w:tabs>
        <w:numPr>
          <w:ilvl w:val="1"/>
          <w:numId w:val="24"/>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($5 million in 2014; $3 million in 2013).</w:t>
      </w:r>
    </w:p>
    <w:p>
      <w:pPr>
        <w:spacing w:after="0" w:line="115" w:lineRule="exact"/>
        <w:rPr>
          <w:rFonts w:ascii="Arial" w:cs="Arial" w:eastAsia="Arial" w:hAnsi="Arial"/>
          <w:sz w:val="15"/>
          <w:szCs w:val="15"/>
          <w:color w:val="auto"/>
        </w:rPr>
      </w:pPr>
    </w:p>
    <w:p>
      <w:pPr>
        <w:ind w:left="700" w:hanging="215"/>
        <w:spacing w:after="0"/>
        <w:tabs>
          <w:tab w:leader="none" w:pos="70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($5 million in 2014; $6 million in 2013).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Third-quarter 2014 revenue of $12.6 billion was 9% higher than the same period last year with International Areas revenue of $8.3 billion increasing 5% and North America Area revenue of $4.3 billion growing 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Internationally, higher activities in a number of GeoMarkets, both offshore and in key land markets, contributed to the increase. The increase was led by the Middle East &amp; Asia Area which increased 6%, mainly from robust results in Saudi Arabia, Australia and the United Arab Emirates. Europe/CIS/Africa Area increased 4%, led by the Sub-Saharan Africa region on strong development and exploration activities, particularly in the Central West Africa and Angola GeoMarkets. Latin America Area increased 5% mainly on strong activities in Argentina, Ecuador and Venezuela, partially offset by lower activity and pricing in Brazil.</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North America revenue increased 18% due mainly to land revenue which was up 25%, while offshore revenue was down 1%. The increase in land revenue was driven by market share gains in pressure pumping, artificial lift and drilling services. The decrease in offshore revenue resulted from lower multiclient seismic sales.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Third-quarter 2014 pretax operating income of $2.8 billion grew $310 million, or 12%, versus the same period last year with International Areas pretax operating income of $2 billion increasing 11% and North America pretax operating income of $825 million increasing 13%.</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Third-quarter 2014 pretax operating margin of 22.2% increased 68 bps as International pretax operating margin expanded 127 bps, to 24.6%, while North America pretax operating margin contracted 89 bps, to 19.4%. The expansion in International margins was due to increased high-margin exploration activities, market share gains, growth in accretive integration-related activities and premium pricing on new technology introductions. The North America margin contraction was due to higher cost inflation for labor, sand and transportation.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Third-quarter 2014 revenue of $3.2 billion was 3% lower than the same period last year due to reduced multiclient sales and lower WesternGeco marine acquisition surveys.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Year-on-year, pretax operating margin was flat at 30% with higher-margin exploration activities benefiting Wireline Technologies and Testing Services and higher margin software sales being offset by lower profitability from reduced multiclient sales by PetroTechnical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Third-quarter 2014 revenue of $4.8 billion was 11% higher than the previous year primarily due to robust demand for Drilling &amp; Measurements services and M-I SWACO technologies as activity strengthened in the North America, Latin America and Middle East &amp; Asia Areas. Rig revenue from Saxon also contributed to the year-on-year growth.</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Year-on-year, pretax operating margin increased 128 bps, to 21.7%, primarily due to the Drilling &amp; Measurements revenue growth which benefited from higher-margin drilling and exploration activities in the North America offshore and in the international markets.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Third-quarter 2014 revenue of $4.7 billion increased 17% year-on-year mostly from Well Services pressure pumping technologies driven by market share gains, improvements in operational efficiency as well as introduction of new technologies. Revenue also grew in the group from the expanding Artificial Lift business.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Year-on-year, pretax operating margin increased 67 bps, to 18.3%, mainly due to improved profitability for Well Services, and Well Intervention, particularly in the International Areas. This increase, however, was offset in part by the decrease in margins in North America due to pressure pumping commodity inflation.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Nine Months 2014 Compared to Nine Months 2013</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6"/>
          </w:tcPr>
          <w:p>
            <w:pPr>
              <w:jc w:val="right"/>
              <w:ind w:right="8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Nine Months 2014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9"/>
          </w:tcPr>
          <w:p>
            <w:pPr>
              <w:jc w:val="right"/>
              <w:ind w:right="560"/>
              <w:spacing w:after="0"/>
              <w:rPr>
                <w:sz w:val="20"/>
                <w:szCs w:val="20"/>
                <w:color w:val="auto"/>
              </w:rPr>
            </w:pPr>
            <w:r>
              <w:rPr>
                <w:rFonts w:ascii="Arial" w:cs="Arial" w:eastAsia="Arial" w:hAnsi="Arial"/>
                <w:sz w:val="14"/>
                <w:szCs w:val="14"/>
                <w:color w:val="auto"/>
              </w:rPr>
              <w:t>Nine Months 2013</w:t>
            </w: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80"/>
              <w:spacing w:after="0" w:line="132"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ind w:left="100"/>
              <w:spacing w:after="0" w:line="132" w:lineRule="exact"/>
              <w:rPr>
                <w:sz w:val="20"/>
                <w:szCs w:val="20"/>
                <w:color w:val="auto"/>
              </w:rPr>
            </w:pPr>
            <w:r>
              <w:rPr>
                <w:rFonts w:ascii="Arial" w:cs="Arial" w:eastAsia="Arial" w:hAnsi="Arial"/>
                <w:sz w:val="14"/>
                <w:szCs w:val="14"/>
                <w:color w:val="auto"/>
              </w:rPr>
              <w:t>Income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9"/>
              </w:rPr>
              <w:t>Revenue</w:t>
            </w:r>
          </w:p>
        </w:tc>
        <w:tc>
          <w:tcPr>
            <w:tcW w:w="1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rPr>
              <w:t>Before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120"/>
              <w:spacing w:after="0" w:line="148"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Taxes</w:t>
            </w: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w w:val="99"/>
              </w:rPr>
              <w:t>Revenue</w:t>
            </w: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Taxes</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3500" w:type="dxa"/>
            <w:vAlign w:val="bottom"/>
            <w:gridSpan w:val="5"/>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9,131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2,651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9,157</w:t>
            </w:r>
          </w:p>
        </w:tc>
        <w:tc>
          <w:tcPr>
            <w:tcW w:w="20" w:type="dxa"/>
            <w:vAlign w:val="bottom"/>
            <w:shd w:val="clear" w:color="auto" w:fill="CFF0FC"/>
          </w:tcPr>
          <w:p>
            <w:pPr>
              <w:spacing w:after="0"/>
              <w:rPr>
                <w:sz w:val="24"/>
                <w:szCs w:val="24"/>
                <w:color w:val="auto"/>
              </w:rPr>
            </w:pP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Drilling</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13,804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2,906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12,659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13,157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2,319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(153)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right"/>
              <w:ind w:right="16"/>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2"/>
        </w:trPr>
        <w:tc>
          <w:tcPr>
            <w:tcW w:w="352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Pretax operating income</w:t>
            </w:r>
          </w:p>
        </w:tc>
        <w:tc>
          <w:tcPr>
            <w:tcW w:w="15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7,795</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(628)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(267)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35,939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6,923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33,360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520" w:type="dxa"/>
            <w:vAlign w:val="bottom"/>
          </w:tcPr>
          <w:p>
            <w:pPr>
              <w:spacing w:after="0"/>
              <w:rPr>
                <w:sz w:val="24"/>
                <w:szCs w:val="24"/>
                <w:color w:val="auto"/>
              </w:rPr>
            </w:pPr>
          </w:p>
        </w:tc>
        <w:tc>
          <w:tcPr>
            <w:tcW w:w="3500" w:type="dxa"/>
            <w:vAlign w:val="bottom"/>
            <w:gridSpan w:val="5"/>
          </w:tcPr>
          <w:p>
            <w:pPr>
              <w:jc w:val="right"/>
              <w:ind w:right="547"/>
              <w:spacing w:after="0"/>
              <w:rPr>
                <w:sz w:val="20"/>
                <w:szCs w:val="20"/>
                <w:color w:val="auto"/>
              </w:rPr>
            </w:pPr>
            <w:r>
              <w:rPr>
                <w:rFonts w:ascii="Arial" w:cs="Arial" w:eastAsia="Arial" w:hAnsi="Arial"/>
                <w:sz w:val="18"/>
                <w:szCs w:val="18"/>
                <w:b w:val="1"/>
                <w:bCs w:val="1"/>
                <w:color w:val="auto"/>
              </w:rPr>
              <w:t>Geographic Areas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right"/>
              <w:ind w:right="414"/>
              <w:spacing w:after="0"/>
              <w:rPr>
                <w:sz w:val="20"/>
                <w:szCs w:val="20"/>
                <w:color w:val="auto"/>
              </w:rPr>
            </w:pPr>
            <w:r>
              <w:rPr>
                <w:rFonts w:ascii="Arial" w:cs="Arial" w:eastAsia="Arial" w:hAnsi="Arial"/>
                <w:sz w:val="14"/>
                <w:szCs w:val="14"/>
                <w:b w:val="1"/>
                <w:bCs w:val="1"/>
                <w:color w:val="auto"/>
              </w:rPr>
              <w:t>Nine Months 2014</w:t>
            </w:r>
          </w:p>
        </w:tc>
        <w:tc>
          <w:tcPr>
            <w:tcW w:w="1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7"/>
          </w:tcPr>
          <w:p>
            <w:pPr>
              <w:jc w:val="right"/>
              <w:ind w:right="414"/>
              <w:spacing w:after="0"/>
              <w:rPr>
                <w:sz w:val="20"/>
                <w:szCs w:val="20"/>
                <w:color w:val="auto"/>
              </w:rPr>
            </w:pPr>
            <w:r>
              <w:rPr>
                <w:rFonts w:ascii="Arial" w:cs="Arial" w:eastAsia="Arial" w:hAnsi="Arial"/>
                <w:sz w:val="14"/>
                <w:szCs w:val="14"/>
                <w:color w:val="auto"/>
              </w:rPr>
              <w:t>Nine Months 2013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Income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360"/>
              <w:spacing w:after="0" w:line="145"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Before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ind w:left="80"/>
              <w:spacing w:after="0" w:line="148"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Taxes</w:t>
            </w:r>
          </w:p>
        </w:tc>
        <w:tc>
          <w:tcPr>
            <w:tcW w:w="180" w:type="dxa"/>
            <w:vAlign w:val="bottom"/>
            <w:tcBorders>
              <w:bottom w:val="single" w:sz="8" w:color="CFF0FC"/>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2"/>
              </w:rPr>
              <w:t>Revenue</w:t>
            </w:r>
          </w:p>
        </w:tc>
        <w:tc>
          <w:tcPr>
            <w:tcW w:w="60" w:type="dxa"/>
            <w:vAlign w:val="bottom"/>
            <w:tcBorders>
              <w:bottom w:val="single" w:sz="8" w:color="CFF0FC"/>
            </w:tcBorders>
            <w:gridSpan w:val="2"/>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Taxes</w:t>
            </w:r>
          </w:p>
        </w:tc>
        <w:tc>
          <w:tcPr>
            <w:tcW w:w="100" w:type="dxa"/>
            <w:vAlign w:val="bottom"/>
            <w:tcBorders>
              <w:bottom w:val="single" w:sz="8" w:color="CFF0F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3500" w:type="dxa"/>
            <w:vAlign w:val="bottom"/>
            <w:gridSpan w:val="5"/>
            <w:shd w:val="clear" w:color="auto" w:fill="CFF0FC"/>
          </w:tcPr>
          <w:p>
            <w:pPr>
              <w:jc w:val="right"/>
              <w:ind w:right="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11,827</w:t>
            </w:r>
          </w:p>
        </w:tc>
        <w:tc>
          <w:tcPr>
            <w:tcW w:w="160" w:type="dxa"/>
            <w:vAlign w:val="bottom"/>
            <w:shd w:val="clear" w:color="auto" w:fill="CFF0FC"/>
          </w:tcPr>
          <w:p>
            <w:pPr>
              <w:spacing w:after="0"/>
              <w:rPr>
                <w:sz w:val="24"/>
                <w:szCs w:val="24"/>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2,208</w:t>
            </w:r>
          </w:p>
        </w:tc>
        <w:tc>
          <w:tcPr>
            <w:tcW w:w="14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10,249</w:t>
            </w:r>
          </w:p>
        </w:tc>
        <w:tc>
          <w:tcPr>
            <w:tcW w:w="20" w:type="dxa"/>
            <w:vAlign w:val="bottom"/>
            <w:shd w:val="clear" w:color="auto" w:fill="CFF0FC"/>
          </w:tcPr>
          <w:p>
            <w:pPr>
              <w:spacing w:after="0"/>
              <w:rPr>
                <w:sz w:val="24"/>
                <w:szCs w:val="24"/>
                <w:color w:val="auto"/>
              </w:rPr>
            </w:pPr>
          </w:p>
        </w:tc>
        <w:tc>
          <w:tcPr>
            <w:tcW w:w="32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Latin America</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5,646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9,452</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2,082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9,186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Middle East &amp; Asia</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8,781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2,396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233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2"/>
        </w:trPr>
        <w:tc>
          <w:tcPr>
            <w:tcW w:w="3520" w:type="dxa"/>
            <w:vAlign w:val="bottom"/>
          </w:tcPr>
          <w:p>
            <w:pPr>
              <w:ind w:left="280"/>
              <w:spacing w:after="0"/>
              <w:rPr>
                <w:sz w:val="20"/>
                <w:szCs w:val="20"/>
                <w:color w:val="auto"/>
              </w:rPr>
            </w:pPr>
            <w:r>
              <w:rPr>
                <w:rFonts w:ascii="Arial" w:cs="Arial" w:eastAsia="Arial" w:hAnsi="Arial"/>
                <w:sz w:val="18"/>
                <w:szCs w:val="18"/>
                <w:color w:val="auto"/>
              </w:rPr>
              <w:t>Pretax operating income</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7,795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(628)</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(267)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35,939</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6,923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33,360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right="740" w:hanging="257"/>
        <w:spacing w:after="0" w:line="306" w:lineRule="auto"/>
        <w:tabs>
          <w:tab w:leader="none" w:pos="716" w:val="left"/>
        </w:tabs>
        <w:numPr>
          <w:ilvl w:val="1"/>
          <w:numId w:val="26"/>
        </w:numPr>
        <w:rPr>
          <w:rFonts w:ascii="Arial" w:cs="Arial" w:eastAsia="Arial" w:hAnsi="Arial"/>
          <w:sz w:val="14"/>
          <w:szCs w:val="14"/>
          <w:color w:val="auto"/>
        </w:rPr>
      </w:pPr>
      <w:r>
        <w:rPr>
          <w:rFonts w:ascii="Arial" w:cs="Arial" w:eastAsia="Arial" w:hAnsi="Arial"/>
          <w:sz w:val="17"/>
          <w:szCs w:val="17"/>
          <w:color w:val="auto"/>
        </w:rPr>
        <w:t>Comprised principally of certain corporate expenses not allocated to the segments, interest on postretirement medical benefits, stock-based compensation costs, amortization expense associated with certain intangible assets and other nonoperating items.</w:t>
      </w:r>
    </w:p>
    <w:p>
      <w:pPr>
        <w:spacing w:after="0" w:line="39" w:lineRule="exact"/>
        <w:rPr>
          <w:rFonts w:ascii="Arial" w:cs="Arial" w:eastAsia="Arial" w:hAnsi="Arial"/>
          <w:sz w:val="14"/>
          <w:szCs w:val="14"/>
          <w:color w:val="auto"/>
        </w:rPr>
      </w:pPr>
    </w:p>
    <w:p>
      <w:pPr>
        <w:ind w:left="720" w:hanging="217"/>
        <w:spacing w:after="0"/>
        <w:tabs>
          <w:tab w:leader="none" w:pos="720" w:val="left"/>
        </w:tabs>
        <w:numPr>
          <w:ilvl w:val="1"/>
          <w:numId w:val="26"/>
        </w:numPr>
        <w:rPr>
          <w:rFonts w:ascii="Arial" w:cs="Arial" w:eastAsia="Arial" w:hAnsi="Arial"/>
          <w:sz w:val="15"/>
          <w:szCs w:val="15"/>
          <w:color w:val="auto"/>
        </w:rPr>
      </w:pPr>
      <w:r>
        <w:rPr>
          <w:rFonts w:ascii="Arial" w:cs="Arial" w:eastAsia="Arial" w:hAnsi="Arial"/>
          <w:sz w:val="18"/>
          <w:szCs w:val="18"/>
          <w:color w:val="auto"/>
        </w:rPr>
        <w:t>Interest income excludes amounts which are included in the segments’ income ($15 million in 2014; $6 million in 2013).</w:t>
      </w:r>
    </w:p>
    <w:p>
      <w:pPr>
        <w:spacing w:after="0" w:line="115" w:lineRule="exact"/>
        <w:rPr>
          <w:rFonts w:ascii="Arial" w:cs="Arial" w:eastAsia="Arial" w:hAnsi="Arial"/>
          <w:sz w:val="15"/>
          <w:szCs w:val="15"/>
          <w:color w:val="auto"/>
        </w:rPr>
      </w:pPr>
    </w:p>
    <w:p>
      <w:pPr>
        <w:ind w:left="700" w:hanging="215"/>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Interest expense excludes amounts which are included in the segments’ income ($15 million in 2014; $17 million in 2013).</w:t>
      </w:r>
    </w:p>
    <w:p>
      <w:pPr>
        <w:spacing w:after="0" w:line="115" w:lineRule="exact"/>
        <w:rPr>
          <w:rFonts w:ascii="Arial" w:cs="Arial" w:eastAsia="Arial" w:hAnsi="Arial"/>
          <w:sz w:val="15"/>
          <w:szCs w:val="15"/>
          <w:color w:val="auto"/>
        </w:rPr>
      </w:pPr>
    </w:p>
    <w:p>
      <w:pPr>
        <w:ind w:left="700" w:hanging="215"/>
        <w:spacing w:after="0"/>
        <w:tabs>
          <w:tab w:leader="none" w:pos="700" w:val="left"/>
        </w:tabs>
        <w:numPr>
          <w:ilvl w:val="0"/>
          <w:numId w:val="27"/>
        </w:numPr>
        <w:rPr>
          <w:rFonts w:ascii="Arial" w:cs="Arial" w:eastAsia="Arial" w:hAnsi="Arial"/>
          <w:sz w:val="15"/>
          <w:szCs w:val="15"/>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Charges and Credits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Nine-month 2014 revenue of $35.9 billion grew $2.6 billion, or 8%, versus the same period last year with International Areas revenue of $23.9 billion increasing $1.1 billion, or 5%, and North America Area revenue of $11.8 billion growing $1.6 billion, or 15%.</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Internationally, higher activities in a number of GeoMarkets, both offshore and in key land markets, contributed to the increase. The increase was led by the Middle East &amp; Asia Area which increased 12%, mainly from robust drilling and exploration results in Saudi Arabia, Australia, the United Arab Emirates and in a number of GeoMarkets in Southeast Asia. Europe/CIS/Africa Area increased 3%, led by the Sub-Saharan Africa region on strong development and exploration activities, particularly in Central West Africa, Angola and Continental Europe GeoMarkets. Norway also experienced strong growth driven by market share gains and higher rig-related services for a number of customers. The Latin America Area, however, decreased 2% primarily as a result of lower activity and pricing in Brazil and Mexico, partially offset by strong activity in Argentina and Ecuador.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4" w:right="239" w:bottom="1440" w:gutter="0" w:footer="0" w:header="0"/>
        </w:sectPr>
      </w:pPr>
    </w:p>
    <w:bookmarkStart w:id="22" w:name="page23"/>
    <w:bookmarkEnd w:id="22"/>
    <w:p>
      <w:pPr>
        <w:jc w:val="both"/>
        <w:spacing w:after="0" w:line="300" w:lineRule="auto"/>
        <w:rPr>
          <w:sz w:val="20"/>
          <w:szCs w:val="20"/>
          <w:color w:val="auto"/>
        </w:rPr>
      </w:pPr>
      <w:r>
        <w:rPr>
          <w:rFonts w:ascii="Arial" w:cs="Arial" w:eastAsia="Arial" w:hAnsi="Arial"/>
          <w:sz w:val="16"/>
          <w:szCs w:val="16"/>
          <w:color w:val="auto"/>
        </w:rPr>
        <w:t>North America revenue increased 15% due mainly to land revenue which was up 21%, while offshore revenue was down 2%. The increase in land revenue was driven by market share gains in pressure pumping, artificial lift and drilling services. The pressure pumping growth was augmented by improvements in operational efficiency and introduction of new technologies. The decrease in offshore revenue was attributable to lower drilling and exploration activities, due to a series of operational delays which impacted several product lines earlier in the year combined with lower multiclient sales.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Year-to-date 2014 pretax operating income of $7.8 billion grew $1.1 billion, or 16%, versus the same period last year with International Areas pretax operating income of $5.7 billion increasing 15% and North America pretax operating income of $2.2 billion increasing 9%.</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Year-to-date 2014 pretax operating margin of 21.7% expanded 149 bps versus the same period last year, as International Areas pretax operating margin expanded 204 bps, to 23.8%, while North America pretax operating margin contracted 104 bps, to 18.7%. The increase in International Areas margins was due to increased high-margin exploration activities, market share gains, growth in accretive integration-related activities and premium in effective pricing on new technology introductions. The North America margin contraction reflected pressure pumping commodity inflation.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Nine-month 2014 revenue of $9.1 billion was essentially flat compared to the same period last year. Testing Services revenue increased from higher offshore exploration and increased SIS software sales across all international areas were offset by lower WesternGeco marine vessel utilization and reduced multiclient seismic sales.</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Year-on-year, pretax operating margin increased 32 bps, to 29.0%, largely due to the higher-margin exploration activities that benefited Wireline Technologies and Testing Services. Higher margin software sales also contributed to the improvement. However, these increases were partially offset by lower profitability in WesternGeco due to lower vessel utilization and lower PetroTechnical Services multiclient seismic sales.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Nine-month 2014 revenue of $13.8 billion was 9% higher than the previous year, primarily due to the robust demand for Drilling &amp; Measurements services and M-I SWACO technologies as activity strengthened in the North America and Middle East &amp; Asia Areas. Rig revenue from the acquisition of Saxon also contributed to the growth.</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Year-on-year, pretax operating margin increased 199 bps, to 21.1%, primarily due to the increase in higher-margin activities of Drilling &amp; Measurements that benefited from higher-margin exploration activities in the North America offshore and international markets. Improved profitability on Integrated Project Management activities also contributed to the margin increase.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Nine-month 2014 revenue of $13.2 billion increased 12% year-on-year, mostly from Well Services pressure pumping technologies driven by market share gains, improvements in operational efficiency as well as introduction of new technologies. Schlumberger Production Management (SPM) revenue grew as projects in Latin America continued to progress ahead of work plans. Revenue from the expanding Artificial Lift business also contributed to the year-on-year growth.</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Year-on-year, pretax operating margin increased 150 bps, to 17.6%, mainly on improved profitability for Well Services, Completions and Well Intervention, particularly in the International Areas. SPM activities also contributed to the margin expansion. However, these increases were offset by the decrease in margins in North America due to pressure pumping commodity inflation.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third quarter and nine months ended September 30, 2014 and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640"/>
              <w:spacing w:after="0"/>
              <w:rPr>
                <w:sz w:val="20"/>
                <w:szCs w:val="20"/>
                <w:color w:val="auto"/>
              </w:rPr>
            </w:pPr>
            <w:r>
              <w:rPr>
                <w:rFonts w:ascii="Arial" w:cs="Arial" w:eastAsia="Arial" w:hAnsi="Arial"/>
                <w:sz w:val="14"/>
                <w:szCs w:val="14"/>
                <w:i w:val="1"/>
                <w:iCs w:val="1"/>
                <w:color w:val="auto"/>
              </w:rPr>
              <w:t>(Stated in millions)</w:t>
            </w:r>
          </w:p>
        </w:tc>
      </w:tr>
      <w:tr>
        <w:trPr>
          <w:trHeight w:val="171"/>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Third Quarter</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w:t>
            </w:r>
          </w:p>
        </w:tc>
      </w:tr>
      <w:tr>
        <w:trPr>
          <w:trHeight w:val="155"/>
        </w:trPr>
        <w:tc>
          <w:tcPr>
            <w:tcW w:w="478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color w:val="auto"/>
              </w:rPr>
              <w:t>2013</w:t>
            </w:r>
          </w:p>
        </w:tc>
        <w:tc>
          <w:tcPr>
            <w:tcW w:w="60" w:type="dxa"/>
            <w:vAlign w:val="bottom"/>
            <w:tcBorders>
              <w:bottom w:val="single" w:sz="8" w:color="CFF0FC"/>
            </w:tcBorders>
          </w:tcPr>
          <w:p>
            <w:pPr>
              <w:spacing w:after="0"/>
              <w:rPr>
                <w:sz w:val="13"/>
                <w:szCs w:val="13"/>
                <w:color w:val="auto"/>
              </w:rPr>
            </w:pPr>
          </w:p>
        </w:tc>
      </w:tr>
      <w:tr>
        <w:trPr>
          <w:trHeight w:val="222"/>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19"/>
                <w:szCs w:val="19"/>
                <w:color w:val="auto"/>
              </w:rPr>
            </w:pPr>
          </w:p>
        </w:tc>
      </w:tr>
      <w:tr>
        <w:trPr>
          <w:trHeight w:val="229"/>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5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FF0FC"/>
            </w:tcBorders>
          </w:tcPr>
          <w:p>
            <w:pPr>
              <w:spacing w:after="0"/>
              <w:rPr>
                <w:sz w:val="19"/>
                <w:szCs w:val="19"/>
                <w:color w:val="auto"/>
              </w:rPr>
            </w:pPr>
          </w:p>
        </w:tc>
      </w:tr>
      <w:tr>
        <w:trPr>
          <w:trHeight w:val="222"/>
        </w:trPr>
        <w:tc>
          <w:tcPr>
            <w:tcW w:w="47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and 2013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6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Third Quarter</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Nine Months</w:t>
            </w: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55"/>
        </w:trPr>
        <w:tc>
          <w:tcPr>
            <w:tcW w:w="58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color w:val="auto"/>
                <w:w w:val="89"/>
              </w:rPr>
              <w:t>2013</w:t>
            </w:r>
          </w:p>
        </w:tc>
        <w:tc>
          <w:tcPr>
            <w:tcW w:w="440" w:type="dxa"/>
            <w:vAlign w:val="bottom"/>
            <w:tcBorders>
              <w:bottom w:val="single" w:sz="8" w:color="CFF0FC"/>
            </w:tcBorders>
          </w:tcPr>
          <w:p>
            <w:pPr>
              <w:spacing w:after="0"/>
              <w:rPr>
                <w:sz w:val="13"/>
                <w:szCs w:val="13"/>
                <w:color w:val="auto"/>
              </w:rPr>
            </w:pPr>
          </w:p>
        </w:tc>
      </w:tr>
      <w:tr>
        <w:trPr>
          <w:trHeight w:val="222"/>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5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2.4%</w:t>
            </w:r>
          </w:p>
        </w:tc>
        <w:tc>
          <w:tcPr>
            <w:tcW w:w="6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7"/>
              </w:rPr>
              <w:t>2.5%</w:t>
            </w:r>
          </w:p>
        </w:tc>
        <w:tc>
          <w:tcPr>
            <w:tcW w:w="5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40"/>
              <w:spacing w:after="0"/>
              <w:rPr>
                <w:sz w:val="20"/>
                <w:szCs w:val="20"/>
                <w:color w:val="auto"/>
              </w:rPr>
            </w:pPr>
            <w:r>
              <w:rPr>
                <w:rFonts w:ascii="Arial" w:cs="Arial" w:eastAsia="Arial" w:hAnsi="Arial"/>
                <w:sz w:val="18"/>
                <w:szCs w:val="18"/>
                <w:b w:val="1"/>
                <w:bCs w:val="1"/>
                <w:color w:val="auto"/>
              </w:rPr>
              <w:t>2.5%</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2.6%</w:t>
            </w:r>
          </w:p>
        </w:tc>
      </w:tr>
      <w:tr>
        <w:trPr>
          <w:trHeight w:val="234"/>
        </w:trPr>
        <w:tc>
          <w:tcPr>
            <w:tcW w:w="640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60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0.9%</w:t>
            </w:r>
          </w:p>
        </w:tc>
        <w:tc>
          <w:tcPr>
            <w:tcW w:w="56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third quarter of 2014 was 22.1% compared to 22.7% for the same period of 2013.</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effective tax rate for the nine months ended September 30, 2014 was 22.1% compared to 20.9% for the same period of the prior year. The effective tax rate for the nine months ended September 30, 2013 was significantly impacted by the charges and credits described in Note 2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Excluding the impact of the charges and credits, the effective tax rate for the nine months ended September 30, 2013 was 23.2%.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excluding the impact of charges and credits, for the nine months ended September 30, 2014, as compared to the same period last year, was primarily attributable to the change in the geographic mix of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Schlumberger recorded the following charges and credits in continuing operations during the first nine months of 2013. These charges and credits,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gridSpan w:val="5"/>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3340" w:type="dxa"/>
            <w:vAlign w:val="bottom"/>
          </w:tcPr>
          <w:p>
            <w:pPr>
              <w:spacing w:after="0"/>
              <w:rPr>
                <w:sz w:val="15"/>
                <w:szCs w:val="15"/>
                <w:color w:val="auto"/>
              </w:rPr>
            </w:pPr>
          </w:p>
        </w:tc>
      </w:tr>
      <w:tr>
        <w:trPr>
          <w:trHeight w:val="213"/>
        </w:trPr>
        <w:tc>
          <w:tcPr>
            <w:tcW w:w="3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Net</w:t>
            </w:r>
          </w:p>
        </w:tc>
        <w:tc>
          <w:tcPr>
            <w:tcW w:w="3340" w:type="dxa"/>
            <w:vAlign w:val="bottom"/>
          </w:tcPr>
          <w:p>
            <w:pPr>
              <w:spacing w:after="0"/>
              <w:rPr>
                <w:sz w:val="20"/>
                <w:szCs w:val="20"/>
                <w:color w:val="auto"/>
              </w:rPr>
            </w:pPr>
            <w:r>
              <w:rPr>
                <w:rFonts w:ascii="Arial" w:cs="Arial" w:eastAsia="Arial" w:hAnsi="Arial"/>
                <w:sz w:val="14"/>
                <w:szCs w:val="14"/>
                <w:color w:val="auto"/>
              </w:rPr>
              <w:t>Classification</w:t>
            </w:r>
          </w:p>
        </w:tc>
      </w:tr>
      <w:tr>
        <w:trPr>
          <w:trHeight w:val="222"/>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formation of OneSubsea joint venture</w:t>
            </w:r>
          </w:p>
        </w:tc>
        <w:tc>
          <w:tcPr>
            <w:tcW w:w="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Borders>
              <w:top w:val="single" w:sz="8" w:color="CFF0FC"/>
            </w:tcBorders>
            <w:shd w:val="clear" w:color="auto" w:fill="CFF0FC"/>
          </w:tcPr>
          <w:p>
            <w:pPr>
              <w:spacing w:after="0"/>
              <w:rPr>
                <w:sz w:val="19"/>
                <w:szCs w:val="19"/>
                <w:color w:val="auto"/>
              </w:rPr>
            </w:pPr>
          </w:p>
        </w:tc>
        <w:tc>
          <w:tcPr>
            <w:tcW w:w="3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Gain on formation of OneSubsea</w:t>
            </w: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Impairment of equity-method investments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79"/>
              </w:rPr>
              <w:t>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Currency devaluation loss in Venezuela</w:t>
            </w:r>
          </w:p>
        </w:tc>
        <w:tc>
          <w:tcPr>
            <w:tcW w:w="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Impairment &amp; Other</w:t>
            </w:r>
          </w:p>
        </w:tc>
      </w:tr>
      <w:tr>
        <w:trPr>
          <w:trHeight w:val="222"/>
        </w:trPr>
        <w:tc>
          <w:tcPr>
            <w:tcW w:w="3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79"/>
              </w:rPr>
              <w:t>19</w:t>
            </w:r>
          </w:p>
        </w:tc>
        <w:tc>
          <w:tcPr>
            <w:tcW w:w="180" w:type="dxa"/>
            <w:vAlign w:val="bottom"/>
            <w:gridSpan w:val="2"/>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third quarter of 2013 or the first nine months of 2014.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NET DEBT</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171"/>
        </w:trPr>
        <w:tc>
          <w:tcPr>
            <w:tcW w:w="7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2"/>
              </w:rPr>
              <w:t>Nine Months ended Sept. 30,</w:t>
            </w:r>
          </w:p>
        </w:tc>
      </w:tr>
      <w:tr>
        <w:trPr>
          <w:trHeight w:val="155"/>
        </w:trPr>
        <w:tc>
          <w:tcPr>
            <w:tcW w:w="762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color w:val="auto"/>
              </w:rPr>
              <w:t>2013</w:t>
            </w:r>
          </w:p>
        </w:tc>
        <w:tc>
          <w:tcPr>
            <w:tcW w:w="80" w:type="dxa"/>
            <w:vAlign w:val="bottom"/>
            <w:tcBorders>
              <w:bottom w:val="single" w:sz="8" w:color="CFF0FC"/>
            </w:tcBorders>
          </w:tcPr>
          <w:p>
            <w:pPr>
              <w:spacing w:after="0"/>
              <w:rPr>
                <w:sz w:val="13"/>
                <w:szCs w:val="13"/>
                <w:color w:val="auto"/>
              </w:rPr>
            </w:pPr>
          </w:p>
        </w:tc>
      </w:tr>
      <w:tr>
        <w:trPr>
          <w:trHeight w:val="222"/>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5,393</w:t>
            </w: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8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Gain on formation of OneSubsea</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(1,028)</w:t>
            </w: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Impairment of equity method investments and currency devaluation loss in Venezuela</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456</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3,029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2,891</w:t>
            </w: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b w:val="1"/>
                <w:bCs w:val="1"/>
                <w:color w:val="auto"/>
              </w:rPr>
              <w:t>266</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388</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246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funding</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(318)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(468)</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Increase in working capital</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(343)</w:t>
            </w: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22"/>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Cash flow from operations</w:t>
            </w:r>
          </w:p>
        </w:tc>
        <w:tc>
          <w:tcPr>
            <w:tcW w:w="1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b w:val="1"/>
                <w:bCs w:val="1"/>
                <w:color w:val="auto"/>
              </w:rPr>
              <w:t>7,282</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6,571</w:t>
            </w:r>
          </w:p>
        </w:tc>
      </w:tr>
      <w:tr>
        <w:trPr>
          <w:trHeight w:val="222"/>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(2,766)</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(2,753)</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SPM investments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(569)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capitalized</w:t>
            </w:r>
          </w:p>
        </w:tc>
        <w:tc>
          <w:tcPr>
            <w:tcW w:w="1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(212)</w:t>
            </w: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w:t>
            </w:r>
          </w:p>
        </w:tc>
      </w:tr>
      <w:tr>
        <w:trPr>
          <w:trHeight w:val="222"/>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(2)</w:t>
            </w:r>
          </w:p>
        </w:tc>
        <w:tc>
          <w:tcPr>
            <w:tcW w:w="1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b w:val="1"/>
                <w:bCs w:val="1"/>
                <w:color w:val="auto"/>
              </w:rPr>
              <w:t>3,735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2,885</w:t>
            </w:r>
          </w:p>
        </w:tc>
      </w:tr>
      <w:tr>
        <w:trPr>
          <w:trHeight w:val="222"/>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(3,582)</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(1,526)</w:t>
            </w: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Dividends paid</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(1,196)</w:t>
            </w: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1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2"/>
              <w:spacing w:after="0"/>
              <w:rPr>
                <w:sz w:val="20"/>
                <w:szCs w:val="20"/>
                <w:color w:val="auto"/>
              </w:rPr>
            </w:pPr>
            <w:r>
              <w:rPr>
                <w:rFonts w:ascii="Arial" w:cs="Arial" w:eastAsia="Arial" w:hAnsi="Arial"/>
                <w:sz w:val="18"/>
                <w:szCs w:val="18"/>
                <w:b w:val="1"/>
                <w:bCs w:val="1"/>
                <w:color w:val="auto"/>
              </w:rPr>
              <w:t>795</w:t>
            </w:r>
          </w:p>
        </w:tc>
        <w:tc>
          <w:tcPr>
            <w:tcW w:w="6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415</w:t>
            </w:r>
          </w:p>
        </w:tc>
      </w:tr>
      <w:tr>
        <w:trPr>
          <w:trHeight w:val="222"/>
        </w:trPr>
        <w:tc>
          <w:tcPr>
            <w:tcW w:w="762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578</w:t>
            </w:r>
          </w:p>
        </w:tc>
      </w:tr>
      <w:tr>
        <w:trPr>
          <w:trHeight w:val="222"/>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and debt assumed</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(1,049)</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(1,144)</w:t>
            </w:r>
          </w:p>
        </w:tc>
      </w:tr>
      <w:tr>
        <w:trPr>
          <w:trHeight w:val="229"/>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b w:val="1"/>
                <w:bCs w:val="1"/>
                <w:color w:val="auto"/>
              </w:rPr>
              <w:t>150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61</w:t>
            </w:r>
          </w:p>
        </w:tc>
      </w:tr>
      <w:tr>
        <w:trPr>
          <w:trHeight w:val="222"/>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Net Debt</w:t>
            </w: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(1,402)</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w:t>
            </w: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Net Debt, Beginning of period</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(4,443)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(5,111)</w:t>
            </w:r>
          </w:p>
        </w:tc>
      </w:tr>
      <w:tr>
        <w:trPr>
          <w:trHeight w:val="222"/>
        </w:trPr>
        <w:tc>
          <w:tcPr>
            <w:tcW w:w="7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Debt, End of period</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(5,845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58"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08" w:lineRule="exact"/>
        <w:rPr>
          <w:rFonts w:ascii="Arial" w:cs="Arial" w:eastAsia="Arial" w:hAnsi="Arial"/>
          <w:sz w:val="23"/>
          <w:szCs w:val="23"/>
          <w:color w:val="auto"/>
          <w:vertAlign w:val="superscript"/>
        </w:rPr>
      </w:pPr>
    </w:p>
    <w:p>
      <w:pPr>
        <w:ind w:left="540" w:hanging="532"/>
        <w:spacing w:after="0" w:line="185" w:lineRule="auto"/>
        <w:tabs>
          <w:tab w:leader="none" w:pos="54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“Free cash flow” represents cash flow from operations less capital expenditures, SPM investments and multiclient seismic data</w:t>
      </w:r>
    </w:p>
    <w:p>
      <w:pPr>
        <w:spacing w:after="0" w:line="2" w:lineRule="exact"/>
        <w:rPr>
          <w:rFonts w:ascii="Arial" w:cs="Arial" w:eastAsia="Arial" w:hAnsi="Arial"/>
          <w:sz w:val="24"/>
          <w:szCs w:val="24"/>
          <w:color w:val="auto"/>
          <w:vertAlign w:val="superscript"/>
        </w:rPr>
      </w:pPr>
    </w:p>
    <w:p>
      <w:pPr>
        <w:ind w:left="540" w:right="160"/>
        <w:spacing w:after="0" w:line="319" w:lineRule="auto"/>
        <w:rPr>
          <w:rFonts w:ascii="Arial" w:cs="Arial" w:eastAsia="Arial" w:hAnsi="Arial"/>
          <w:sz w:val="24"/>
          <w:szCs w:val="24"/>
          <w:color w:val="auto"/>
          <w:vertAlign w:val="superscript"/>
        </w:rPr>
      </w:pP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jc w:val="right"/>
              <w:ind w:right="22"/>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29"/>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Debt</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3"/>
              </w:rPr>
              <w:t>Sept. 30,</w:t>
            </w:r>
          </w:p>
        </w:tc>
        <w:tc>
          <w:tcPr>
            <w:tcW w:w="120" w:type="dxa"/>
            <w:vAlign w:val="bottom"/>
          </w:tcPr>
          <w:p>
            <w:pPr>
              <w:spacing w:after="0"/>
              <w:rPr>
                <w:sz w:val="19"/>
                <w:szCs w:val="19"/>
                <w:color w:val="auto"/>
              </w:rPr>
            </w:pPr>
          </w:p>
        </w:tc>
        <w:tc>
          <w:tcPr>
            <w:tcW w:w="900" w:type="dxa"/>
            <w:vAlign w:val="bottom"/>
            <w:gridSpan w:val="2"/>
          </w:tcPr>
          <w:p>
            <w:pPr>
              <w:jc w:val="right"/>
              <w:ind w:right="262"/>
              <w:spacing w:after="0"/>
              <w:rPr>
                <w:sz w:val="20"/>
                <w:szCs w:val="20"/>
                <w:color w:val="auto"/>
              </w:rPr>
            </w:pPr>
            <w:r>
              <w:rPr>
                <w:rFonts w:ascii="Arial" w:cs="Arial" w:eastAsia="Arial" w:hAnsi="Arial"/>
                <w:sz w:val="14"/>
                <w:szCs w:val="14"/>
                <w:color w:val="auto"/>
                <w:w w:val="96"/>
              </w:rPr>
              <w:t>Sept. 30,</w:t>
            </w:r>
          </w:p>
        </w:tc>
        <w:tc>
          <w:tcPr>
            <w:tcW w:w="140" w:type="dxa"/>
            <w:vAlign w:val="bottom"/>
          </w:tcPr>
          <w:p>
            <w:pPr>
              <w:spacing w:after="0"/>
              <w:rPr>
                <w:sz w:val="19"/>
                <w:szCs w:val="19"/>
                <w:color w:val="auto"/>
              </w:rPr>
            </w:pPr>
          </w:p>
        </w:tc>
        <w:tc>
          <w:tcPr>
            <w:tcW w:w="840" w:type="dxa"/>
            <w:vAlign w:val="bottom"/>
            <w:gridSpan w:val="2"/>
          </w:tcPr>
          <w:p>
            <w:pPr>
              <w:jc w:val="right"/>
              <w:ind w:right="222"/>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CFF0FC"/>
            </w:tcBorders>
            <w:vMerge w:val="continue"/>
          </w:tcPr>
          <w:p>
            <w:pPr>
              <w:spacing w:after="0"/>
              <w:rPr>
                <w:sz w:val="18"/>
                <w:szCs w:val="18"/>
                <w:color w:val="auto"/>
              </w:rPr>
            </w:pPr>
          </w:p>
        </w:tc>
        <w:tc>
          <w:tcPr>
            <w:tcW w:w="26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6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02"/>
              <w:spacing w:after="0"/>
              <w:rPr>
                <w:sz w:val="20"/>
                <w:szCs w:val="20"/>
                <w:color w:val="auto"/>
              </w:rPr>
            </w:pPr>
            <w:r>
              <w:rPr>
                <w:rFonts w:ascii="Arial" w:cs="Arial" w:eastAsia="Arial" w:hAnsi="Arial"/>
                <w:sz w:val="18"/>
                <w:szCs w:val="18"/>
                <w:b w:val="1"/>
                <w:bCs w:val="1"/>
                <w:color w:val="auto"/>
              </w:rPr>
              <w:t>3,641</w:t>
            </w:r>
          </w:p>
        </w:tc>
        <w:tc>
          <w:tcPr>
            <w:tcW w:w="120" w:type="dxa"/>
            <w:vAlign w:val="bottom"/>
          </w:tcPr>
          <w:p>
            <w:pPr>
              <w:spacing w:after="0"/>
              <w:rPr>
                <w:sz w:val="19"/>
                <w:szCs w:val="19"/>
                <w:color w:val="auto"/>
              </w:rPr>
            </w:pPr>
          </w:p>
        </w:tc>
        <w:tc>
          <w:tcPr>
            <w:tcW w:w="900" w:type="dxa"/>
            <w:vAlign w:val="bottom"/>
            <w:gridSpan w:val="2"/>
          </w:tcPr>
          <w:p>
            <w:pPr>
              <w:jc w:val="right"/>
              <w:ind w:right="82"/>
              <w:spacing w:after="0"/>
              <w:rPr>
                <w:sz w:val="20"/>
                <w:szCs w:val="20"/>
                <w:color w:val="auto"/>
              </w:rPr>
            </w:pPr>
            <w:r>
              <w:rPr>
                <w:rFonts w:ascii="Arial" w:cs="Arial" w:eastAsia="Arial" w:hAnsi="Arial"/>
                <w:sz w:val="18"/>
                <w:szCs w:val="18"/>
                <w:color w:val="auto"/>
              </w:rPr>
              <w:t>3,286</w:t>
            </w:r>
          </w:p>
        </w:tc>
        <w:tc>
          <w:tcPr>
            <w:tcW w:w="140" w:type="dxa"/>
            <w:vAlign w:val="bottom"/>
          </w:tcPr>
          <w:p>
            <w:pPr>
              <w:spacing w:after="0"/>
              <w:rPr>
                <w:sz w:val="19"/>
                <w:szCs w:val="19"/>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2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b w:val="1"/>
                <w:bCs w:val="1"/>
                <w:color w:val="auto"/>
              </w:rPr>
              <w:t>473</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Long-term debt – current portion</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2"/>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9"/>
                <w:szCs w:val="19"/>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(1,876)</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2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b w:val="1"/>
                <w:bCs w:val="1"/>
                <w:color w:val="auto"/>
              </w:rPr>
              <w:t>(1,424)</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Long-term debt</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2"/>
              <w:spacing w:after="0"/>
              <w:rPr>
                <w:sz w:val="20"/>
                <w:szCs w:val="20"/>
                <w:color w:val="auto"/>
              </w:rPr>
            </w:pPr>
            <w:r>
              <w:rPr>
                <w:rFonts w:ascii="Arial" w:cs="Arial" w:eastAsia="Arial" w:hAnsi="Arial"/>
                <w:sz w:val="18"/>
                <w:szCs w:val="18"/>
                <w:b w:val="1"/>
                <w:bCs w:val="1"/>
                <w:color w:val="auto"/>
              </w:rPr>
              <w:t>(11,626)</w:t>
            </w:r>
          </w:p>
        </w:tc>
        <w:tc>
          <w:tcPr>
            <w:tcW w:w="120" w:type="dxa"/>
            <w:vAlign w:val="bottom"/>
          </w:tcPr>
          <w:p>
            <w:pPr>
              <w:spacing w:after="0"/>
              <w:rPr>
                <w:sz w:val="19"/>
                <w:szCs w:val="19"/>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(9,916)</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22"/>
        </w:trPr>
        <w:tc>
          <w:tcPr>
            <w:tcW w:w="5720" w:type="dxa"/>
            <w:vAlign w:val="bottom"/>
            <w:tcBorders>
              <w:top w:val="single" w:sz="8" w:color="CFF0FC"/>
              <w:bottom w:val="single" w:sz="8" w:color="CFF0FC"/>
            </w:tcBorders>
            <w:shd w:val="clear" w:color="auto" w:fill="CFF0FC"/>
          </w:tcPr>
          <w:p>
            <w:pPr>
              <w:spacing w:after="0"/>
              <w:rPr>
                <w:sz w:val="19"/>
                <w:szCs w:val="19"/>
                <w:color w:val="auto"/>
              </w:rPr>
            </w:pPr>
          </w:p>
        </w:tc>
        <w:tc>
          <w:tcPr>
            <w:tcW w:w="2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(5,845</w:t>
            </w:r>
          </w:p>
        </w:tc>
        <w:tc>
          <w:tcPr>
            <w:tcW w:w="180" w:type="dxa"/>
            <w:vAlign w:val="bottom"/>
            <w:tcBorders>
              <w:top w:val="single" w:sz="8" w:color="CFF0FC"/>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(5,616</w:t>
            </w:r>
          </w:p>
        </w:tc>
        <w:tc>
          <w:tcPr>
            <w:tcW w:w="160" w:type="dxa"/>
            <w:vAlign w:val="bottom"/>
            <w:tcBorders>
              <w:top w:val="single" w:sz="8" w:color="CFF0FC"/>
              <w:bottom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2014 and 2013 included:</w:t>
      </w:r>
    </w:p>
    <w:p>
      <w:pPr>
        <w:spacing w:after="0" w:line="116" w:lineRule="exact"/>
        <w:rPr>
          <w:sz w:val="20"/>
          <w:szCs w:val="20"/>
          <w:color w:val="auto"/>
        </w:rPr>
      </w:pPr>
    </w:p>
    <w:p>
      <w:pPr>
        <w:ind w:left="1040" w:hanging="367"/>
        <w:spacing w:after="0"/>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During the second quarter of 2013, Schlumberger paid Cameron $600 million in connection with the formation of the OneSubsea joint venture.</w:t>
      </w:r>
    </w:p>
    <w:p>
      <w:pPr>
        <w:spacing w:after="0" w:line="138" w:lineRule="exact"/>
        <w:rPr>
          <w:rFonts w:ascii="Arial" w:cs="Arial" w:eastAsia="Arial" w:hAnsi="Arial"/>
          <w:sz w:val="16"/>
          <w:szCs w:val="16"/>
          <w:color w:val="auto"/>
        </w:rPr>
      </w:pPr>
    </w:p>
    <w:p>
      <w:pPr>
        <w:ind w:left="1040" w:hanging="386"/>
        <w:spacing w:after="0" w:line="275"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April 17, 2008, the Schlumberger Board of Directors (the “Board”) approved an $8 billion share repurchase program for shares of Schlumberger common stock, to be acquired before December 31, 2011. On July 21, 2011, the Board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44" w:right="259" w:bottom="1440" w:gutter="0" w:footer="0" w:header="0"/>
        </w:sectPr>
      </w:pPr>
    </w:p>
    <w:bookmarkStart w:id="25" w:name="page26"/>
    <w:bookmarkEnd w:id="25"/>
    <w:p>
      <w:pPr>
        <w:ind w:left="1040"/>
        <w:spacing w:after="0"/>
        <w:rPr>
          <w:sz w:val="20"/>
          <w:szCs w:val="20"/>
          <w:color w:val="auto"/>
        </w:rPr>
      </w:pPr>
      <w:r>
        <w:rPr>
          <w:rFonts w:ascii="Arial" w:cs="Arial" w:eastAsia="Arial" w:hAnsi="Arial"/>
          <w:sz w:val="17"/>
          <w:szCs w:val="17"/>
          <w:color w:val="auto"/>
        </w:rPr>
        <w:t>approved an extension of this repurchase program to December 31, 2013. This program was completed during the third quarter of 2013.</w:t>
      </w:r>
    </w:p>
    <w:p>
      <w:pPr>
        <w:spacing w:after="0" w:line="127" w:lineRule="exact"/>
        <w:rPr>
          <w:sz w:val="20"/>
          <w:szCs w:val="20"/>
          <w:color w:val="auto"/>
        </w:rPr>
      </w:pPr>
    </w:p>
    <w:p>
      <w:pPr>
        <w:jc w:val="both"/>
        <w:ind w:left="1040"/>
        <w:spacing w:after="0" w:line="310" w:lineRule="auto"/>
        <w:rPr>
          <w:sz w:val="20"/>
          <w:szCs w:val="20"/>
          <w:color w:val="auto"/>
        </w:rPr>
      </w:pPr>
      <w:r>
        <w:rPr>
          <w:rFonts w:ascii="Arial" w:cs="Arial" w:eastAsia="Arial" w:hAnsi="Arial"/>
          <w:sz w:val="16"/>
          <w:szCs w:val="16"/>
          <w:color w:val="auto"/>
        </w:rPr>
        <w:t>On July 18, 2013, the Board approved a new $10 billion share repurchase program to be completed at the latest by June 30, 2018. Schlumberger had repurchased $5.3 billion of shares under this new share repurchase program as of September 30, 2014. Schlumberger has decided to accelerate this share repurchase program with the aim of completing it in 2.5 years as compared to the original target of 5 years.</w:t>
      </w:r>
    </w:p>
    <w:p>
      <w:pPr>
        <w:spacing w:after="0" w:line="40" w:lineRule="exact"/>
        <w:rPr>
          <w:sz w:val="20"/>
          <w:szCs w:val="20"/>
          <w:color w:val="auto"/>
        </w:rPr>
      </w:pPr>
    </w:p>
    <w:p>
      <w:pPr>
        <w:jc w:val="both"/>
        <w:ind w:left="1060"/>
        <w:spacing w:after="0" w:line="275" w:lineRule="auto"/>
        <w:rPr>
          <w:sz w:val="20"/>
          <w:szCs w:val="20"/>
          <w:color w:val="auto"/>
        </w:rPr>
      </w:pPr>
      <w:r>
        <w:rPr>
          <w:rFonts w:ascii="Arial" w:cs="Arial" w:eastAsia="Arial" w:hAnsi="Arial"/>
          <w:sz w:val="18"/>
          <w:szCs w:val="18"/>
          <w:color w:val="auto"/>
        </w:rPr>
        <w:t>The following table summarizes the activity, during the nine months ended September 30, under this share repurchase program during 2014 and 2013:</w:t>
      </w:r>
    </w:p>
    <w:p>
      <w:pPr>
        <w:spacing w:after="0" w:line="3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20" w:type="dxa"/>
            <w:vAlign w:val="bottom"/>
            <w:gridSpan w:val="7"/>
          </w:tcPr>
          <w:p>
            <w:pPr>
              <w:ind w:left="860"/>
              <w:spacing w:after="0"/>
              <w:rPr>
                <w:sz w:val="20"/>
                <w:szCs w:val="20"/>
                <w:color w:val="auto"/>
              </w:rPr>
            </w:pPr>
            <w:r>
              <w:rPr>
                <w:rFonts w:ascii="Arial" w:cs="Arial" w:eastAsia="Arial" w:hAnsi="Arial"/>
                <w:sz w:val="14"/>
                <w:szCs w:val="14"/>
                <w:i w:val="1"/>
                <w:iCs w:val="1"/>
                <w:color w:val="auto"/>
                <w:w w:val="96"/>
              </w:rPr>
              <w:t>(Stated in millions, except per share amounts)</w:t>
            </w:r>
          </w:p>
        </w:tc>
      </w:tr>
      <w:tr>
        <w:trPr>
          <w:trHeight w:val="161"/>
        </w:trPr>
        <w:tc>
          <w:tcPr>
            <w:tcW w:w="4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Total cost</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Total number</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Average price</w:t>
            </w:r>
          </w:p>
        </w:tc>
      </w:tr>
      <w:tr>
        <w:trPr>
          <w:trHeight w:val="161"/>
        </w:trPr>
        <w:tc>
          <w:tcPr>
            <w:tcW w:w="4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of shares</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of shares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paid per</w:t>
            </w:r>
          </w:p>
        </w:tc>
      </w:tr>
      <w:tr>
        <w:trPr>
          <w:trHeight w:val="167"/>
        </w:trPr>
        <w:tc>
          <w:tcPr>
            <w:tcW w:w="4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purchased</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purchased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share</w:t>
            </w:r>
          </w:p>
        </w:tc>
      </w:tr>
      <w:tr>
        <w:trPr>
          <w:trHeight w:val="222"/>
        </w:trPr>
        <w:tc>
          <w:tcPr>
            <w:tcW w:w="446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Nine months ended September 30, 2014</w:t>
            </w:r>
          </w:p>
        </w:tc>
        <w:tc>
          <w:tcPr>
            <w:tcW w:w="1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3,582</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Nine months ended September 30, 2013</w:t>
            </w:r>
          </w:p>
        </w:tc>
        <w:tc>
          <w:tcPr>
            <w:tcW w:w="1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78.61</w:t>
            </w:r>
          </w:p>
        </w:tc>
        <w:tc>
          <w:tcPr>
            <w:tcW w:w="120" w:type="dxa"/>
            <w:vAlign w:val="bottom"/>
          </w:tcPr>
          <w:p>
            <w:pPr>
              <w:spacing w:after="0"/>
              <w:rPr>
                <w:sz w:val="19"/>
                <w:szCs w:val="19"/>
                <w:color w:val="auto"/>
              </w:rPr>
            </w:pPr>
          </w:p>
        </w:tc>
      </w:tr>
    </w:tbl>
    <w:p>
      <w:pPr>
        <w:spacing w:after="0" w:line="92" w:lineRule="exact"/>
        <w:rPr>
          <w:sz w:val="20"/>
          <w:szCs w:val="20"/>
          <w:color w:val="auto"/>
        </w:rPr>
      </w:pPr>
    </w:p>
    <w:p>
      <w:pPr>
        <w:ind w:left="1040" w:right="20" w:hanging="386"/>
        <w:spacing w:after="0" w:line="306"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Cash flow provided from operations was $7.3 billion in the first nine months of 2014 compared to $6.6 billion in the first nine months of 2013, largely reflecting the increase in income from continuing operations, excluding the impact of non-cash charges and credits.</w:t>
      </w:r>
    </w:p>
    <w:p>
      <w:pPr>
        <w:spacing w:after="0" w:line="39" w:lineRule="exact"/>
        <w:rPr>
          <w:rFonts w:ascii="Arial" w:cs="Arial" w:eastAsia="Arial" w:hAnsi="Arial"/>
          <w:sz w:val="17"/>
          <w:szCs w:val="17"/>
          <w:color w:val="auto"/>
        </w:rPr>
      </w:pPr>
    </w:p>
    <w:p>
      <w:pPr>
        <w:ind w:left="1040" w:right="20" w:hanging="386"/>
        <w:spacing w:after="0" w:line="27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 were $2.8 billion during both the first nine months of 2014 and 2013. Capital expenditures for full-year 2014 are expected to be approximately $3.8 billion, as compared to expenditures of $3.9 billion in 2013.</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At times in recent years, Schlumberger has experienced delays in payments from its national oil company customer in Venezuela. Schlumberger operates in more than 85 countries. At September 30, 2014, only five of those countries (including Venezuela) individually accounted for greater than 5% of Schlumberger’s accounts receivable balance of which only one, the United States, represented greater than 10%.</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September 30, 2014, Schlumberger had $6.8 billion of cash and short-term investments on hand. Schlumberger had separate committed debt facility agreements aggregating $3.9 billion with commercial banks, of which $2.5 billion was available and unused as of September 30, 2014. The $3.9 billion of committed debt facility agreements included $3.5 billion of committed facilities which support a commercial paper program in Europe. Schlumberger believes that these amounts are sufficient to meet future business requirements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 at September 30, 2014 were $1.4 billion.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previously disclosed, during the second quarter of 2013, Schlumberger completed the wind down of its service operations in Iran. Prior to this, certain non-U.S. subsidiaries of Schlumberger provided oilfield services to the National Iranian Oil Company and certain of its affiliates (“NIOC”). Schlumberger has classified the results of this business as a discontinued operation. All prior periods were restated accordingly.</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Schlumberger’s residual transactions or dealings with the government of Iran in the quarter consisted of payments of taxes and other typical governmental charges. Two non-U.S. subsidiaries of Schlumberger have depository accounts at the Dubai branch of Bank Saderat Iran (“Saderat”) and at Bank Tejarat (“Tejarat”) in Tehran for the deposit by NIOC of amounts owed to non-US subsidiaries of Schlumberger for prior services rendered in Iran. One non-U.S. subsidiary also maintains an account at Tejarat for payment of local expenses such as taxes and utilities. Schlumberger anticipates that it will discontinue its dealings with Saderat and Tejarat following the receipt of all amounts owed to Schlumberger for prior services rendered in Iran.</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the functional currency of Schlumberger’s operations in Venezuela is the US dollar, a portion of the transactions are denominated in Venezuelan bolivares fuertes. For financial reporting purposes, such local currency transactions are remeasured into US dollars at the official exchange rate, which was fixed at 6.3 Venezuelan bolivares fuertes to the US dollar for most of 2013.</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2014, Venezuela enacted certain changes to its foreign exchange system such that, in addition to the official rate of 6.3 Venezuelan bolivares fuertes per US dollar, there are now two other legal exchange rates (approximately 12 and 50 Venezuelan bolivares fuertes, respectively, to the US dollar as of September 30, 2014) that may be obtained via different exchange rate mechanisms. During the first nine months of 2014, Schlumberger continued to remeasure local currency transactions and balances into US dollars at the official exchange rate of 6.3.</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September 30, 2014, Schlumberger had approximately $460 million of net monetary assets denominated in Venezuelan bolivares fuertes. In the event of a devaluation of the official exchange rate or if Schlumberger were to determine that it is more appropriate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jc w:val="both"/>
        <w:spacing w:after="0" w:line="254" w:lineRule="auto"/>
        <w:rPr>
          <w:sz w:val="20"/>
          <w:szCs w:val="20"/>
          <w:color w:val="auto"/>
        </w:rPr>
      </w:pPr>
      <w:r>
        <w:rPr>
          <w:rFonts w:ascii="Arial" w:cs="Arial" w:eastAsia="Arial" w:hAnsi="Arial"/>
          <w:sz w:val="18"/>
          <w:szCs w:val="18"/>
          <w:color w:val="auto"/>
        </w:rPr>
        <w:t>utilize one of the other legal exchange rates for financial reporting purposes, it would result in Schlumberger recording a devaluation charge in its Consolidated Statement of Income. Going forward, any devaluation in Venezuela will result in a reduction in the US dollar reported amount of local currency denominated revenues, expenses and, consequently, income before taxes. For example, if Schlumberger had applied an exchange rate of 50 Venezuelan bolivares fuertes to the US dollar throughout the first nine months of 2014, it would have reduced Schlumberger’s earnings by approximately $0.06 per share. Had Schlumberger changed to this exchange rate on September 30, 2014, it would have resulted in a one-time devaluation charge of $400 million ($0.31 per share).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third-quarter 2014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2013. Schlumberger’s exposure to market risk has not changed materially since December 31, 2013.</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13—</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0"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2013.</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18, 2013, the Schlumberger Board of Directors approved a new $10 billion share repurchase program for shares of Schlumberger common stock, to be completed at the latest by June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September 30, 2014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80" w:type="dxa"/>
            <w:vAlign w:val="bottom"/>
            <w:gridSpan w:val="6"/>
          </w:tcPr>
          <w:p>
            <w:pPr>
              <w:jc w:val="right"/>
              <w:ind w:right="80"/>
              <w:spacing w:after="0"/>
              <w:rPr>
                <w:sz w:val="20"/>
                <w:szCs w:val="20"/>
                <w:color w:val="auto"/>
              </w:rPr>
            </w:pPr>
            <w:r>
              <w:rPr>
                <w:rFonts w:ascii="Arial" w:cs="Arial" w:eastAsia="Arial" w:hAnsi="Arial"/>
                <w:sz w:val="14"/>
                <w:szCs w:val="14"/>
                <w:i w:val="1"/>
                <w:iCs w:val="1"/>
                <w:color w:val="auto"/>
                <w:w w:val="95"/>
              </w:rPr>
              <w:t>(Stated in thousands, except per share amounts)</w:t>
            </w:r>
          </w:p>
        </w:tc>
      </w:tr>
      <w:tr>
        <w:trPr>
          <w:trHeight w:val="148"/>
        </w:trPr>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4"/>
                <w:szCs w:val="14"/>
                <w:color w:val="auto"/>
                <w:w w:val="93"/>
              </w:rPr>
              <w:t>Total number of</w:t>
            </w:r>
          </w:p>
        </w:tc>
        <w:tc>
          <w:tcPr>
            <w:tcW w:w="160" w:type="dxa"/>
            <w:vAlign w:val="bottom"/>
          </w:tcPr>
          <w:p>
            <w:pPr>
              <w:spacing w:after="0"/>
              <w:rPr>
                <w:sz w:val="12"/>
                <w:szCs w:val="12"/>
                <w:color w:val="auto"/>
              </w:rPr>
            </w:pPr>
          </w:p>
        </w:tc>
        <w:tc>
          <w:tcPr>
            <w:tcW w:w="1360" w:type="dxa"/>
            <w:vAlign w:val="bottom"/>
            <w:gridSpan w:val="3"/>
          </w:tcPr>
          <w:p>
            <w:pPr>
              <w:jc w:val="center"/>
              <w:ind w:right="80"/>
              <w:spacing w:after="0" w:line="148" w:lineRule="exact"/>
              <w:rPr>
                <w:sz w:val="20"/>
                <w:szCs w:val="20"/>
                <w:color w:val="auto"/>
              </w:rPr>
            </w:pPr>
            <w:r>
              <w:rPr>
                <w:rFonts w:ascii="Arial" w:cs="Arial" w:eastAsia="Arial" w:hAnsi="Arial"/>
                <w:sz w:val="14"/>
                <w:szCs w:val="14"/>
                <w:color w:val="auto"/>
                <w:w w:val="95"/>
              </w:rPr>
              <w:t>Maximum value of</w:t>
            </w:r>
          </w:p>
        </w:tc>
      </w:tr>
      <w:tr>
        <w:trPr>
          <w:trHeight w:val="148"/>
        </w:trPr>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4"/>
                <w:szCs w:val="14"/>
                <w:color w:val="auto"/>
                <w:w w:val="86"/>
              </w:rPr>
              <w:t>shares purchased as</w:t>
            </w:r>
          </w:p>
        </w:tc>
        <w:tc>
          <w:tcPr>
            <w:tcW w:w="160" w:type="dxa"/>
            <w:vAlign w:val="bottom"/>
          </w:tcPr>
          <w:p>
            <w:pPr>
              <w:spacing w:after="0"/>
              <w:rPr>
                <w:sz w:val="12"/>
                <w:szCs w:val="12"/>
                <w:color w:val="auto"/>
              </w:rPr>
            </w:pPr>
          </w:p>
        </w:tc>
        <w:tc>
          <w:tcPr>
            <w:tcW w:w="1360" w:type="dxa"/>
            <w:vAlign w:val="bottom"/>
            <w:gridSpan w:val="3"/>
          </w:tcPr>
          <w:p>
            <w:pPr>
              <w:jc w:val="center"/>
              <w:ind w:right="80"/>
              <w:spacing w:after="0" w:line="148" w:lineRule="exact"/>
              <w:rPr>
                <w:sz w:val="20"/>
                <w:szCs w:val="20"/>
                <w:color w:val="auto"/>
              </w:rPr>
            </w:pPr>
            <w:r>
              <w:rPr>
                <w:rFonts w:ascii="Arial" w:cs="Arial" w:eastAsia="Arial" w:hAnsi="Arial"/>
                <w:sz w:val="14"/>
                <w:szCs w:val="14"/>
                <w:color w:val="auto"/>
                <w:w w:val="91"/>
              </w:rPr>
              <w:t>shares that may yet</w:t>
            </w:r>
          </w:p>
        </w:tc>
      </w:tr>
      <w:tr>
        <w:trPr>
          <w:trHeight w:val="148"/>
        </w:trPr>
        <w:tc>
          <w:tcPr>
            <w:tcW w:w="3820" w:type="dxa"/>
            <w:vAlign w:val="bottom"/>
          </w:tcPr>
          <w:p>
            <w:pPr>
              <w:spacing w:after="0"/>
              <w:rPr>
                <w:sz w:val="12"/>
                <w:szCs w:val="12"/>
                <w:color w:val="auto"/>
              </w:rPr>
            </w:pPr>
          </w:p>
        </w:tc>
        <w:tc>
          <w:tcPr>
            <w:tcW w:w="146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w w:val="93"/>
              </w:rPr>
              <w:t>Total number of</w:t>
            </w:r>
          </w:p>
        </w:tc>
        <w:tc>
          <w:tcPr>
            <w:tcW w:w="100" w:type="dxa"/>
            <w:vAlign w:val="bottom"/>
          </w:tcPr>
          <w:p>
            <w:pPr>
              <w:spacing w:after="0"/>
              <w:rPr>
                <w:sz w:val="12"/>
                <w:szCs w:val="12"/>
                <w:color w:val="auto"/>
              </w:rPr>
            </w:pPr>
          </w:p>
        </w:tc>
        <w:tc>
          <w:tcPr>
            <w:tcW w:w="1200" w:type="dxa"/>
            <w:vAlign w:val="bottom"/>
          </w:tcPr>
          <w:p>
            <w:pPr>
              <w:jc w:val="right"/>
              <w:ind w:right="36"/>
              <w:spacing w:after="0" w:line="148" w:lineRule="exact"/>
              <w:rPr>
                <w:sz w:val="20"/>
                <w:szCs w:val="20"/>
                <w:color w:val="auto"/>
              </w:rPr>
            </w:pPr>
            <w:r>
              <w:rPr>
                <w:rFonts w:ascii="Arial" w:cs="Arial" w:eastAsia="Arial" w:hAnsi="Arial"/>
                <w:sz w:val="14"/>
                <w:szCs w:val="14"/>
                <w:color w:val="auto"/>
                <w:w w:val="90"/>
              </w:rPr>
              <w:t>Average price paid</w:t>
            </w:r>
          </w:p>
        </w:tc>
        <w:tc>
          <w:tcPr>
            <w:tcW w:w="180" w:type="dxa"/>
            <w:vAlign w:val="bottom"/>
          </w:tcPr>
          <w:p>
            <w:pPr>
              <w:spacing w:after="0"/>
              <w:rPr>
                <w:sz w:val="12"/>
                <w:szCs w:val="12"/>
                <w:color w:val="auto"/>
              </w:rPr>
            </w:pPr>
          </w:p>
        </w:tc>
        <w:tc>
          <w:tcPr>
            <w:tcW w:w="1280" w:type="dxa"/>
            <w:vAlign w:val="bottom"/>
          </w:tcPr>
          <w:p>
            <w:pPr>
              <w:jc w:val="center"/>
              <w:spacing w:after="0" w:line="148" w:lineRule="exact"/>
              <w:rPr>
                <w:sz w:val="20"/>
                <w:szCs w:val="20"/>
                <w:color w:val="auto"/>
              </w:rPr>
            </w:pPr>
            <w:r>
              <w:rPr>
                <w:rFonts w:ascii="Arial" w:cs="Arial" w:eastAsia="Arial" w:hAnsi="Arial"/>
                <w:sz w:val="14"/>
                <w:szCs w:val="14"/>
                <w:color w:val="auto"/>
                <w:w w:val="97"/>
              </w:rPr>
              <w:t>part of publicly</w:t>
            </w:r>
          </w:p>
        </w:tc>
        <w:tc>
          <w:tcPr>
            <w:tcW w:w="160" w:type="dxa"/>
            <w:vAlign w:val="bottom"/>
          </w:tcPr>
          <w:p>
            <w:pPr>
              <w:spacing w:after="0"/>
              <w:rPr>
                <w:sz w:val="12"/>
                <w:szCs w:val="12"/>
                <w:color w:val="auto"/>
              </w:rPr>
            </w:pPr>
          </w:p>
        </w:tc>
        <w:tc>
          <w:tcPr>
            <w:tcW w:w="1360" w:type="dxa"/>
            <w:vAlign w:val="bottom"/>
            <w:gridSpan w:val="3"/>
          </w:tcPr>
          <w:p>
            <w:pPr>
              <w:jc w:val="center"/>
              <w:ind w:right="80"/>
              <w:spacing w:after="0" w:line="148" w:lineRule="exact"/>
              <w:rPr>
                <w:sz w:val="20"/>
                <w:szCs w:val="20"/>
                <w:color w:val="auto"/>
              </w:rPr>
            </w:pPr>
            <w:r>
              <w:rPr>
                <w:rFonts w:ascii="Arial" w:cs="Arial" w:eastAsia="Arial" w:hAnsi="Arial"/>
                <w:sz w:val="14"/>
                <w:szCs w:val="14"/>
                <w:color w:val="auto"/>
                <w:w w:val="89"/>
              </w:rPr>
              <w:t>be purchased under</w:t>
            </w:r>
          </w:p>
        </w:tc>
      </w:tr>
      <w:tr>
        <w:trPr>
          <w:trHeight w:val="167"/>
        </w:trPr>
        <w:tc>
          <w:tcPr>
            <w:tcW w:w="382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shares purchased</w:t>
            </w:r>
          </w:p>
        </w:tc>
        <w:tc>
          <w:tcPr>
            <w:tcW w:w="100" w:type="dxa"/>
            <w:vAlign w:val="bottom"/>
          </w:tcPr>
          <w:p>
            <w:pPr>
              <w:spacing w:after="0"/>
              <w:rPr>
                <w:sz w:val="14"/>
                <w:szCs w:val="14"/>
                <w:color w:val="auto"/>
              </w:rPr>
            </w:pPr>
          </w:p>
        </w:tc>
        <w:tc>
          <w:tcPr>
            <w:tcW w:w="1200" w:type="dxa"/>
            <w:vAlign w:val="bottom"/>
          </w:tcPr>
          <w:p>
            <w:pPr>
              <w:jc w:val="right"/>
              <w:ind w:right="316"/>
              <w:spacing w:after="0"/>
              <w:rPr>
                <w:sz w:val="20"/>
                <w:szCs w:val="20"/>
                <w:color w:val="auto"/>
              </w:rPr>
            </w:pPr>
            <w:r>
              <w:rPr>
                <w:rFonts w:ascii="Arial" w:cs="Arial" w:eastAsia="Arial" w:hAnsi="Arial"/>
                <w:sz w:val="14"/>
                <w:szCs w:val="14"/>
                <w:color w:val="auto"/>
              </w:rPr>
              <w:t>per share</w:t>
            </w:r>
          </w:p>
        </w:tc>
        <w:tc>
          <w:tcPr>
            <w:tcW w:w="1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0"/>
              </w:rPr>
              <w:t>announced program</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the program</w:t>
            </w:r>
          </w:p>
        </w:tc>
      </w:tr>
      <w:tr>
        <w:trPr>
          <w:trHeight w:val="222"/>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 through July 31, 2014</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110.49</w:t>
            </w:r>
          </w:p>
        </w:tc>
        <w:tc>
          <w:tcPr>
            <w:tcW w:w="1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3,477.0</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5,825,115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August 1 through August 31, 2014</w:t>
            </w:r>
          </w:p>
        </w:tc>
        <w:tc>
          <w:tcPr>
            <w:tcW w:w="1260" w:type="dxa"/>
            <w:vAlign w:val="bottom"/>
          </w:tcPr>
          <w:p>
            <w:pPr>
              <w:jc w:val="right"/>
              <w:spacing w:after="0"/>
              <w:rPr>
                <w:sz w:val="20"/>
                <w:szCs w:val="20"/>
                <w:color w:val="auto"/>
              </w:rPr>
            </w:pPr>
            <w:r>
              <w:rPr>
                <w:rFonts w:ascii="Arial" w:cs="Arial" w:eastAsia="Arial" w:hAnsi="Arial"/>
                <w:sz w:val="18"/>
                <w:szCs w:val="18"/>
                <w:color w:val="auto"/>
              </w:rPr>
              <w:t>2,502.0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108.90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2,502.0</w:t>
            </w:r>
          </w:p>
        </w:tc>
        <w:tc>
          <w:tcPr>
            <w:tcW w:w="3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5,552,655</w:t>
            </w: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September 1 through September 30, 2014</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7,936.5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107.35</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7,936.5</w:t>
            </w:r>
          </w:p>
        </w:tc>
        <w:tc>
          <w:tcPr>
            <w:tcW w:w="36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4,700,657</w:t>
            </w:r>
          </w:p>
        </w:tc>
        <w:tc>
          <w:tcPr>
            <w:tcW w:w="80" w:type="dxa"/>
            <w:vAlign w:val="bottom"/>
            <w:shd w:val="clear" w:color="auto" w:fill="CFF0FC"/>
          </w:tcPr>
          <w:p>
            <w:pPr>
              <w:spacing w:after="0"/>
              <w:rPr>
                <w:sz w:val="19"/>
                <w:szCs w:val="19"/>
                <w:color w:val="auto"/>
              </w:rPr>
            </w:pPr>
          </w:p>
        </w:tc>
      </w:tr>
      <w:tr>
        <w:trPr>
          <w:trHeight w:val="222"/>
        </w:trPr>
        <w:tc>
          <w:tcPr>
            <w:tcW w:w="38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13,915.5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108.41</w:t>
            </w:r>
          </w:p>
        </w:tc>
        <w:tc>
          <w:tcPr>
            <w:tcW w:w="1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13,915.5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0" w:lineRule="exact"/>
        <w:rPr>
          <w:sz w:val="20"/>
          <w:szCs w:val="20"/>
          <w:color w:val="auto"/>
        </w:rPr>
      </w:pPr>
    </w:p>
    <w:p>
      <w:pPr>
        <w:ind w:left="520" w:right="400"/>
        <w:spacing w:after="0" w:line="275"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 to Schlumberger’s Current Report on Form 8-K filed on April 7, 2011)</w:t>
      </w:r>
    </w:p>
    <w:p>
      <w:pPr>
        <w:spacing w:after="0" w:line="63" w:lineRule="exact"/>
        <w:rPr>
          <w:sz w:val="20"/>
          <w:szCs w:val="20"/>
          <w:color w:val="auto"/>
        </w:rPr>
      </w:pPr>
    </w:p>
    <w:p>
      <w:pPr>
        <w:ind w:left="520" w:right="1940"/>
        <w:spacing w:after="0" w:line="275"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July 20, 2012)</w:t>
      </w:r>
    </w:p>
    <w:p>
      <w:pPr>
        <w:spacing w:after="0" w:line="63" w:lineRule="exact"/>
        <w:rPr>
          <w:sz w:val="20"/>
          <w:szCs w:val="20"/>
          <w:color w:val="auto"/>
        </w:rPr>
      </w:pPr>
    </w:p>
    <w:p>
      <w:pPr>
        <w:ind w:left="520" w:right="60" w:firstLine="6"/>
        <w:spacing w:after="0" w:line="275"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63" w:lineRule="exact"/>
        <w:rPr>
          <w:rFonts w:ascii="Arial" w:cs="Arial" w:eastAsia="Arial" w:hAnsi="Arial"/>
          <w:sz w:val="18"/>
          <w:szCs w:val="18"/>
          <w:color w:val="auto"/>
        </w:rPr>
      </w:pPr>
    </w:p>
    <w:p>
      <w:pPr>
        <w:ind w:left="520" w:right="120" w:firstLine="6"/>
        <w:spacing w:after="0" w:line="275"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63" w:lineRule="exact"/>
        <w:rPr>
          <w:sz w:val="20"/>
          <w:szCs w:val="20"/>
          <w:color w:val="auto"/>
        </w:rPr>
      </w:pPr>
    </w:p>
    <w:p>
      <w:pPr>
        <w:ind w:left="520" w:right="200" w:firstLine="6"/>
        <w:spacing w:after="0" w:line="275" w:lineRule="auto"/>
        <w:tabs>
          <w:tab w:leader="none" w:pos="7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63" w:lineRule="exact"/>
        <w:rPr>
          <w:rFonts w:ascii="Arial" w:cs="Arial" w:eastAsia="Arial" w:hAnsi="Arial"/>
          <w:sz w:val="18"/>
          <w:szCs w:val="18"/>
          <w:color w:val="auto"/>
        </w:rPr>
      </w:pPr>
    </w:p>
    <w:p>
      <w:pPr>
        <w:ind w:left="520" w:right="240" w:firstLine="6"/>
        <w:spacing w:after="0" w:line="275" w:lineRule="auto"/>
        <w:tabs>
          <w:tab w:leader="none" w:pos="7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Sarbanes-Oxley Act of 2002</w:t>
      </w:r>
    </w:p>
    <w:p>
      <w:pPr>
        <w:spacing w:after="0" w:line="63" w:lineRule="exact"/>
        <w:rPr>
          <w:sz w:val="20"/>
          <w:szCs w:val="20"/>
          <w:color w:val="auto"/>
        </w:rPr>
      </w:pPr>
    </w:p>
    <w:p>
      <w:pPr>
        <w:ind w:left="660" w:hanging="13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15" w:lineRule="exact"/>
        <w:rPr>
          <w:rFonts w:ascii="Arial" w:cs="Arial" w:eastAsia="Arial" w:hAnsi="Arial"/>
          <w:sz w:val="18"/>
          <w:szCs w:val="18"/>
          <w:color w:val="auto"/>
        </w:rPr>
      </w:pPr>
    </w:p>
    <w:p>
      <w:pPr>
        <w:ind w:left="520" w:firstLine="6"/>
        <w:spacing w:after="0" w:line="258"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September 30, 2014,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77" w:lineRule="exact"/>
        <w:rPr>
          <w:rFonts w:ascii="Arial" w:cs="Arial" w:eastAsia="Arial" w:hAnsi="Arial"/>
          <w:sz w:val="18"/>
          <w:szCs w:val="18"/>
          <w:color w:val="auto"/>
        </w:rPr>
      </w:pPr>
    </w:p>
    <w:p>
      <w:pPr>
        <w:ind w:left="660" w:hanging="13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Furnished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121" w:right="399" w:bottom="1440" w:gutter="0" w:footer="0" w:header="0"/>
        </w:sectPr>
      </w:pPr>
    </w:p>
    <w:bookmarkStart w:id="29" w:name="page30"/>
    <w:bookmarkEnd w:id="29"/>
    <w:p>
      <w:pPr>
        <w:jc w:val="center"/>
        <w:ind w:right="-279"/>
        <w:spacing w:after="0"/>
        <w:rPr>
          <w:sz w:val="20"/>
          <w:szCs w:val="20"/>
          <w:color w:val="auto"/>
        </w:rPr>
      </w:pPr>
      <w:r>
        <w:rPr>
          <w:rFonts w:ascii="Arial" w:cs="Arial" w:eastAsia="Arial" w:hAnsi="Arial"/>
          <w:sz w:val="18"/>
          <w:szCs w:val="18"/>
          <w:color w:val="auto"/>
        </w:rPr>
        <w:t>SIGNATURE</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09" w:lineRule="exact"/>
        <w:rPr>
          <w:sz w:val="20"/>
          <w:szCs w:val="20"/>
          <w:color w:val="auto"/>
        </w:rPr>
      </w:pPr>
    </w:p>
    <w:p>
      <w:pPr>
        <w:spacing w:after="0"/>
        <w:tabs>
          <w:tab w:leader="none" w:pos="800" w:val="left"/>
          <w:tab w:leader="none" w:pos="6760" w:val="left"/>
          <w:tab w:leader="none" w:pos="7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22, 2014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13970</wp:posOffset>
            </wp:positionV>
            <wp:extent cx="29108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4"/>
          <w:szCs w:val="14"/>
          <w:b w:val="1"/>
          <w:bCs w:val="1"/>
          <w:color w:val="auto"/>
        </w:rPr>
        <w:t>Howard Guild</w:t>
      </w: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125" w:right="4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6" w:lineRule="exact"/>
        <w:rPr>
          <w:sz w:val="20"/>
          <w:szCs w:val="20"/>
          <w:color w:val="auto"/>
        </w:rPr>
      </w:pPr>
    </w:p>
    <w:p>
      <w:pPr>
        <w:ind w:left="560" w:hanging="17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5" w:lineRule="exact"/>
        <w:rPr>
          <w:rFonts w:ascii="Arial" w:cs="Arial" w:eastAsia="Arial" w:hAnsi="Arial"/>
          <w:sz w:val="18"/>
          <w:szCs w:val="18"/>
          <w:color w:val="auto"/>
        </w:rPr>
      </w:pPr>
    </w:p>
    <w:p>
      <w:pPr>
        <w:ind w:firstLine="388"/>
        <w:spacing w:after="0" w:line="340" w:lineRule="auto"/>
        <w:tabs>
          <w:tab w:leader="none" w:pos="5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388"/>
        <w:spacing w:after="0" w:line="275" w:lineRule="auto"/>
        <w:tabs>
          <w:tab w:leader="none" w:pos="5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8"/>
          <w:szCs w:val="18"/>
          <w:color w:val="auto"/>
        </w:rPr>
      </w:pPr>
    </w:p>
    <w:p>
      <w:pPr>
        <w:jc w:val="both"/>
        <w:ind w:firstLine="388"/>
        <w:spacing w:after="0" w:line="262" w:lineRule="auto"/>
        <w:tabs>
          <w:tab w:leader="none" w:pos="5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120" w:right="20" w:hanging="504"/>
        <w:spacing w:after="0" w:line="262"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120" w:right="20" w:hanging="504"/>
        <w:spacing w:after="0" w:line="262"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120" w:right="20" w:hanging="504"/>
        <w:spacing w:after="0" w:line="306" w:lineRule="auto"/>
        <w:tabs>
          <w:tab w:leader="none" w:pos="11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jc w:val="both"/>
        <w:ind w:left="1120" w:right="20" w:hanging="504"/>
        <w:spacing w:after="0" w:line="262"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firstLine="388"/>
        <w:spacing w:after="0" w:line="306" w:lineRule="auto"/>
        <w:tabs>
          <w:tab w:leader="none" w:pos="57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20" w:right="20" w:hanging="504"/>
        <w:spacing w:after="0" w:line="306" w:lineRule="auto"/>
        <w:tabs>
          <w:tab w:leader="none" w:pos="11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120" w:right="20" w:hanging="504"/>
        <w:spacing w:after="0" w:line="275" w:lineRule="auto"/>
        <w:tabs>
          <w:tab w:leader="none" w:pos="11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Date: October 22, 2014</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Paal Kibsgaard</w:t>
            </w:r>
          </w:p>
        </w:tc>
      </w:tr>
      <w:tr>
        <w:trPr>
          <w:trHeight w:val="194"/>
        </w:trPr>
        <w:tc>
          <w:tcPr>
            <w:tcW w:w="6840" w:type="dxa"/>
            <w:vAlign w:val="bottom"/>
          </w:tcPr>
          <w:p>
            <w:pPr>
              <w:spacing w:after="0"/>
              <w:rPr>
                <w:sz w:val="16"/>
                <w:szCs w:val="16"/>
                <w:color w:val="auto"/>
              </w:rPr>
            </w:pPr>
          </w:p>
        </w:tc>
        <w:tc>
          <w:tcPr>
            <w:tcW w:w="4580" w:type="dxa"/>
            <w:vAlign w:val="bottom"/>
          </w:tcPr>
          <w:p>
            <w:pPr>
              <w:ind w:left="6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6840" w:type="dxa"/>
            <w:vAlign w:val="bottom"/>
          </w:tcPr>
          <w:p>
            <w:pPr>
              <w:spacing w:after="0"/>
              <w:rPr>
                <w:sz w:val="19"/>
                <w:szCs w:val="19"/>
                <w:color w:val="auto"/>
              </w:rPr>
            </w:pPr>
          </w:p>
        </w:tc>
        <w:tc>
          <w:tcPr>
            <w:tcW w:w="45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6" w:lineRule="exact"/>
        <w:rPr>
          <w:sz w:val="20"/>
          <w:szCs w:val="20"/>
          <w:color w:val="auto"/>
        </w:rPr>
      </w:pPr>
    </w:p>
    <w:p>
      <w:pPr>
        <w:ind w:left="560" w:hanging="17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5" w:lineRule="exact"/>
        <w:rPr>
          <w:rFonts w:ascii="Arial" w:cs="Arial" w:eastAsia="Arial" w:hAnsi="Arial"/>
          <w:sz w:val="18"/>
          <w:szCs w:val="18"/>
          <w:color w:val="auto"/>
        </w:rPr>
      </w:pPr>
    </w:p>
    <w:p>
      <w:pPr>
        <w:ind w:firstLine="388"/>
        <w:spacing w:after="0" w:line="340" w:lineRule="auto"/>
        <w:tabs>
          <w:tab w:leader="none" w:pos="5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388"/>
        <w:spacing w:after="0" w:line="275" w:lineRule="auto"/>
        <w:tabs>
          <w:tab w:leader="none" w:pos="5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8"/>
          <w:szCs w:val="18"/>
          <w:color w:val="auto"/>
        </w:rPr>
      </w:pPr>
    </w:p>
    <w:p>
      <w:pPr>
        <w:jc w:val="both"/>
        <w:ind w:firstLine="388"/>
        <w:spacing w:after="0" w:line="262" w:lineRule="auto"/>
        <w:tabs>
          <w:tab w:leader="none" w:pos="5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120" w:right="20" w:hanging="504"/>
        <w:spacing w:after="0" w:line="262" w:lineRule="auto"/>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120" w:right="20" w:hanging="504"/>
        <w:spacing w:after="0" w:line="262" w:lineRule="auto"/>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120" w:right="20" w:hanging="504"/>
        <w:spacing w:after="0" w:line="306" w:lineRule="auto"/>
        <w:tabs>
          <w:tab w:leader="none" w:pos="11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jc w:val="both"/>
        <w:ind w:left="1120" w:right="20" w:hanging="504"/>
        <w:spacing w:after="0" w:line="262" w:lineRule="auto"/>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firstLine="388"/>
        <w:spacing w:after="0" w:line="306" w:lineRule="auto"/>
        <w:tabs>
          <w:tab w:leader="none" w:pos="57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20" w:right="20" w:hanging="504"/>
        <w:spacing w:after="0" w:line="306" w:lineRule="auto"/>
        <w:tabs>
          <w:tab w:leader="none" w:pos="11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120" w:right="20" w:hanging="504"/>
        <w:spacing w:after="0" w:line="275" w:lineRule="auto"/>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Date: October 22, 2014</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728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72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7"/>
              </w:rPr>
              <w:t>Executive Vice President and Chief Financial  Officer</w:t>
            </w:r>
          </w:p>
        </w:tc>
      </w:tr>
    </w:tbl>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September 30, 2014 as filed with the Securities and Exchange Commission on the date hereof (the “Report”), I, Paal Kibsgaard, Chief Executive Officer of the Company, certify, pursuant to 18 U.S.C. § 1350, as adopted pursuant to § 906 of the Sarbanes-Oxley Act of 2002, that:</w:t>
      </w:r>
    </w:p>
    <w:p>
      <w:pPr>
        <w:spacing w:after="0" w:line="75" w:lineRule="exact"/>
        <w:rPr>
          <w:sz w:val="20"/>
          <w:szCs w:val="20"/>
          <w:color w:val="auto"/>
        </w:rPr>
      </w:pPr>
    </w:p>
    <w:p>
      <w:pPr>
        <w:ind w:left="1020" w:right="20" w:hanging="496"/>
        <w:spacing w:after="0" w:line="275"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3" w:lineRule="exact"/>
        <w:rPr>
          <w:rFonts w:ascii="Arial" w:cs="Arial" w:eastAsia="Arial" w:hAnsi="Arial"/>
          <w:sz w:val="18"/>
          <w:szCs w:val="18"/>
          <w:color w:val="auto"/>
        </w:rPr>
      </w:pPr>
    </w:p>
    <w:p>
      <w:pPr>
        <w:ind w:left="1020" w:hanging="496"/>
        <w:spacing w:after="0" w:line="275"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Date: October 22, 2014</w:t>
            </w:r>
          </w:p>
        </w:tc>
        <w:tc>
          <w:tcPr>
            <w:tcW w:w="4840" w:type="dxa"/>
            <w:vAlign w:val="bottom"/>
            <w:gridSpan w:val="2"/>
          </w:tcPr>
          <w:p>
            <w:pPr>
              <w:ind w:left="1820"/>
              <w:spacing w:after="0"/>
              <w:rPr>
                <w:sz w:val="20"/>
                <w:szCs w:val="20"/>
                <w:color w:val="auto"/>
              </w:rPr>
            </w:pPr>
            <w:r>
              <w:rPr>
                <w:rFonts w:ascii="Arial" w:cs="Arial" w:eastAsia="Arial" w:hAnsi="Arial"/>
                <w:sz w:val="18"/>
                <w:szCs w:val="18"/>
                <w:color w:val="auto"/>
              </w:rPr>
              <w:t>/s/ Paal Kibsgaard</w:t>
            </w:r>
          </w:p>
        </w:tc>
      </w:tr>
      <w:tr>
        <w:trPr>
          <w:trHeight w:val="194"/>
        </w:trPr>
        <w:tc>
          <w:tcPr>
            <w:tcW w:w="3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3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2014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40" w:lineRule="exact"/>
        <w:rPr>
          <w:sz w:val="20"/>
          <w:szCs w:val="20"/>
          <w:color w:val="auto"/>
        </w:rPr>
      </w:pPr>
    </w:p>
    <w:p>
      <w:pPr>
        <w:ind w:left="1020" w:right="20" w:hanging="496"/>
        <w:spacing w:after="0" w:line="275"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3" w:lineRule="exact"/>
        <w:rPr>
          <w:rFonts w:ascii="Arial" w:cs="Arial" w:eastAsia="Arial" w:hAnsi="Arial"/>
          <w:sz w:val="18"/>
          <w:szCs w:val="18"/>
          <w:color w:val="auto"/>
        </w:rPr>
      </w:pPr>
    </w:p>
    <w:p>
      <w:pPr>
        <w:ind w:left="1020" w:hanging="496"/>
        <w:spacing w:after="0" w:line="275"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Date: October 22, 2014</w:t>
            </w: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5340" w:type="dxa"/>
            <w:vAlign w:val="bottom"/>
          </w:tcPr>
          <w:p>
            <w:pPr>
              <w:spacing w:after="0"/>
              <w:rPr>
                <w:sz w:val="16"/>
                <w:szCs w:val="16"/>
                <w:color w:val="auto"/>
              </w:rPr>
            </w:pPr>
          </w:p>
        </w:tc>
        <w:tc>
          <w:tcPr>
            <w:tcW w:w="302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15"/>
        </w:trPr>
        <w:tc>
          <w:tcPr>
            <w:tcW w:w="53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53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62" w:lineRule="exact"/>
        <w:rPr>
          <w:sz w:val="20"/>
          <w:szCs w:val="20"/>
          <w:color w:val="auto"/>
        </w:rPr>
      </w:pPr>
    </w:p>
    <w:p>
      <w:pPr>
        <w:ind w:right="480" w:firstLine="761"/>
        <w:spacing w:after="0" w:line="262"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2" w:lineRule="exact"/>
        <w:rPr>
          <w:sz w:val="20"/>
          <w:szCs w:val="20"/>
          <w:color w:val="auto"/>
        </w:rPr>
      </w:pPr>
    </w:p>
    <w:p>
      <w:pPr>
        <w:ind w:right="420" w:firstLine="761"/>
        <w:spacing w:after="0" w:line="310"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September 30, 2014. Due to timing and other factors, the data may not agree with the mine data retrieval system maintained by the MSHA at www.MSHA.gov.</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50"/>
        </w:trPr>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8"/>
        </w:trPr>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Received</w:t>
            </w: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7"/>
              </w:rPr>
              <w:t>Notice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7"/>
              </w:rPr>
              <w:t>Notice of</w:t>
            </w: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1"/>
              </w:rPr>
              <w:t>Potential</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Pattern of</w:t>
            </w: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5"/>
              </w:rPr>
              <w:t>to Have</w:t>
            </w:r>
          </w:p>
        </w:tc>
        <w:tc>
          <w:tcPr>
            <w:tcW w:w="780" w:type="dxa"/>
            <w:vAlign w:val="bottom"/>
            <w:gridSpan w:val="2"/>
          </w:tcPr>
          <w:p>
            <w:pPr>
              <w:jc w:val="center"/>
              <w:ind w:right="60"/>
              <w:spacing w:after="0" w:line="148" w:lineRule="exact"/>
              <w:rPr>
                <w:sz w:val="20"/>
                <w:szCs w:val="20"/>
                <w:color w:val="auto"/>
              </w:rPr>
            </w:pPr>
            <w:r>
              <w:rPr>
                <w:rFonts w:ascii="Arial" w:cs="Arial" w:eastAsia="Arial" w:hAnsi="Arial"/>
                <w:sz w:val="14"/>
                <w:szCs w:val="14"/>
                <w:color w:val="auto"/>
                <w:w w:val="93"/>
              </w:rPr>
              <w:t>Legal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5"/>
              </w:rPr>
              <w:t>Violations</w:t>
            </w: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2"/>
              </w:rPr>
              <w:t>Pattern</w:t>
            </w:r>
          </w:p>
        </w:tc>
        <w:tc>
          <w:tcPr>
            <w:tcW w:w="780" w:type="dxa"/>
            <w:vAlign w:val="bottom"/>
            <w:gridSpan w:val="2"/>
          </w:tcPr>
          <w:p>
            <w:pPr>
              <w:jc w:val="center"/>
              <w:ind w:right="60"/>
              <w:spacing w:after="0" w:line="148" w:lineRule="exact"/>
              <w:rPr>
                <w:sz w:val="20"/>
                <w:szCs w:val="20"/>
                <w:color w:val="auto"/>
              </w:rPr>
            </w:pPr>
            <w:r>
              <w:rPr>
                <w:rFonts w:ascii="Arial" w:cs="Arial" w:eastAsia="Arial" w:hAnsi="Arial"/>
                <w:sz w:val="14"/>
                <w:szCs w:val="14"/>
                <w:color w:val="auto"/>
                <w:w w:val="95"/>
              </w:rPr>
              <w:t>Actions</w:t>
            </w:r>
          </w:p>
        </w:tc>
        <w:tc>
          <w:tcPr>
            <w:tcW w:w="84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3"/>
              </w:rPr>
              <w:t>Legal</w:t>
            </w:r>
          </w:p>
        </w:tc>
        <w:tc>
          <w:tcPr>
            <w:tcW w:w="720" w:type="dxa"/>
            <w:vAlign w:val="bottom"/>
          </w:tcPr>
          <w:p>
            <w:pPr>
              <w:jc w:val="center"/>
              <w:ind w:left="14"/>
              <w:spacing w:after="0" w:line="148" w:lineRule="exact"/>
              <w:rPr>
                <w:sz w:val="20"/>
                <w:szCs w:val="20"/>
                <w:color w:val="auto"/>
              </w:rPr>
            </w:pPr>
            <w:r>
              <w:rPr>
                <w:rFonts w:ascii="Arial" w:cs="Arial" w:eastAsia="Arial" w:hAnsi="Arial"/>
                <w:sz w:val="14"/>
                <w:szCs w:val="14"/>
                <w:color w:val="auto"/>
                <w:w w:val="93"/>
              </w:rPr>
              <w:t>Legal</w:t>
            </w:r>
          </w:p>
        </w:tc>
      </w:tr>
      <w:tr>
        <w:trPr>
          <w:trHeight w:val="148"/>
        </w:trPr>
        <w:tc>
          <w:tcPr>
            <w:tcW w:w="1180" w:type="dxa"/>
            <w:vAlign w:val="bottom"/>
          </w:tcPr>
          <w:p>
            <w:pPr>
              <w:spacing w:after="0" w:line="148" w:lineRule="exact"/>
              <w:rPr>
                <w:sz w:val="20"/>
                <w:szCs w:val="20"/>
                <w:color w:val="auto"/>
              </w:rPr>
            </w:pPr>
            <w:r>
              <w:rPr>
                <w:rFonts w:ascii="Arial" w:cs="Arial" w:eastAsia="Arial" w:hAnsi="Arial"/>
                <w:sz w:val="14"/>
                <w:szCs w:val="14"/>
                <w:color w:val="auto"/>
              </w:rPr>
              <w:t>Mine or Operating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w w:val="94"/>
              </w:rPr>
              <w:t>Section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4"/>
              </w:rPr>
              <w:t>Under</w:t>
            </w: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4"/>
              </w:rPr>
              <w:t>Under</w:t>
            </w: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w w:val="94"/>
              </w:rPr>
              <w:t>Pending as</w:t>
            </w:r>
          </w:p>
        </w:tc>
        <w:tc>
          <w:tcPr>
            <w:tcW w:w="84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5"/>
              </w:rPr>
              <w:t>Actions</w:t>
            </w:r>
          </w:p>
        </w:tc>
        <w:tc>
          <w:tcPr>
            <w:tcW w:w="720" w:type="dxa"/>
            <w:vAlign w:val="bottom"/>
          </w:tcPr>
          <w:p>
            <w:pPr>
              <w:jc w:val="center"/>
              <w:ind w:left="14"/>
              <w:spacing w:after="0" w:line="148" w:lineRule="exact"/>
              <w:rPr>
                <w:sz w:val="20"/>
                <w:szCs w:val="20"/>
                <w:color w:val="auto"/>
              </w:rPr>
            </w:pPr>
            <w:r>
              <w:rPr>
                <w:rFonts w:ascii="Arial" w:cs="Arial" w:eastAsia="Arial" w:hAnsi="Arial"/>
                <w:sz w:val="14"/>
                <w:szCs w:val="14"/>
                <w:color w:val="auto"/>
                <w:w w:val="95"/>
              </w:rPr>
              <w:t>Actions</w:t>
            </w:r>
          </w:p>
        </w:tc>
      </w:tr>
      <w:tr>
        <w:trPr>
          <w:trHeight w:val="148"/>
        </w:trPr>
        <w:tc>
          <w:tcPr>
            <w:tcW w:w="1180" w:type="dxa"/>
            <w:vAlign w:val="bottom"/>
          </w:tcPr>
          <w:p>
            <w:pPr>
              <w:spacing w:after="0" w:line="148" w:lineRule="exact"/>
              <w:rPr>
                <w:sz w:val="20"/>
                <w:szCs w:val="20"/>
                <w:color w:val="auto"/>
              </w:rPr>
            </w:pPr>
            <w:r>
              <w:rPr>
                <w:rFonts w:ascii="Arial" w:cs="Arial" w:eastAsia="Arial" w:hAnsi="Arial"/>
                <w:sz w:val="14"/>
                <w:szCs w:val="14"/>
                <w:color w:val="auto"/>
              </w:rPr>
              <w:t>Name/MSHA</w:t>
            </w:r>
          </w:p>
        </w:tc>
        <w:tc>
          <w:tcPr>
            <w:tcW w:w="7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4"/>
              </w:rPr>
              <w:t>Section</w:t>
            </w:r>
          </w:p>
        </w:tc>
        <w:tc>
          <w:tcPr>
            <w:tcW w:w="90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w w:val="94"/>
              </w:rPr>
              <w:t>Section</w:t>
            </w:r>
          </w:p>
        </w:tc>
        <w:tc>
          <w:tcPr>
            <w:tcW w:w="86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w w:val="98"/>
              </w:rPr>
              <w:t>104(d)</w:t>
            </w:r>
          </w:p>
        </w:tc>
        <w:tc>
          <w:tcPr>
            <w:tcW w:w="92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4"/>
              </w:rPr>
              <w:t>Section</w:t>
            </w:r>
          </w:p>
        </w:tc>
        <w:tc>
          <w:tcPr>
            <w:tcW w:w="640" w:type="dxa"/>
            <w:vAlign w:val="bottom"/>
          </w:tcPr>
          <w:p>
            <w:pPr>
              <w:jc w:val="center"/>
              <w:ind w:left="108"/>
              <w:spacing w:after="0" w:line="148" w:lineRule="exact"/>
              <w:rPr>
                <w:sz w:val="20"/>
                <w:szCs w:val="20"/>
                <w:color w:val="auto"/>
              </w:rPr>
            </w:pPr>
            <w:r>
              <w:rPr>
                <w:rFonts w:ascii="Arial" w:cs="Arial" w:eastAsia="Arial" w:hAnsi="Arial"/>
                <w:sz w:val="14"/>
                <w:szCs w:val="14"/>
                <w:color w:val="auto"/>
                <w:w w:val="89"/>
              </w:rPr>
              <w:t>Section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w w:val="90"/>
              </w:rPr>
              <w:t>Proposed</w:t>
            </w:r>
          </w:p>
        </w:tc>
        <w:tc>
          <w:tcPr>
            <w:tcW w:w="820" w:type="dxa"/>
            <w:vAlign w:val="bottom"/>
            <w:gridSpan w:val="2"/>
          </w:tcPr>
          <w:p>
            <w:pPr>
              <w:jc w:val="center"/>
              <w:spacing w:after="0" w:line="148" w:lineRule="exact"/>
              <w:rPr>
                <w:sz w:val="20"/>
                <w:szCs w:val="20"/>
                <w:color w:val="auto"/>
              </w:rPr>
            </w:pPr>
            <w:r>
              <w:rPr>
                <w:rFonts w:ascii="Arial" w:cs="Arial" w:eastAsia="Arial" w:hAnsi="Arial"/>
                <w:sz w:val="14"/>
                <w:szCs w:val="14"/>
                <w:color w:val="auto"/>
              </w:rPr>
              <w:t>Mining</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89"/>
              </w:rPr>
              <w:t>Section</w:t>
            </w: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89"/>
              </w:rPr>
              <w:t>Section</w:t>
            </w:r>
          </w:p>
        </w:tc>
        <w:tc>
          <w:tcPr>
            <w:tcW w:w="780" w:type="dxa"/>
            <w:vAlign w:val="bottom"/>
            <w:gridSpan w:val="2"/>
          </w:tcPr>
          <w:p>
            <w:pPr>
              <w:jc w:val="center"/>
              <w:ind w:right="60"/>
              <w:spacing w:after="0" w:line="148" w:lineRule="exact"/>
              <w:rPr>
                <w:sz w:val="20"/>
                <w:szCs w:val="20"/>
                <w:color w:val="auto"/>
              </w:rPr>
            </w:pPr>
            <w:r>
              <w:rPr>
                <w:rFonts w:ascii="Arial" w:cs="Arial" w:eastAsia="Arial" w:hAnsi="Arial"/>
                <w:sz w:val="14"/>
                <w:szCs w:val="14"/>
                <w:color w:val="auto"/>
                <w:w w:val="95"/>
              </w:rPr>
              <w:t>of Last</w:t>
            </w:r>
          </w:p>
        </w:tc>
        <w:tc>
          <w:tcPr>
            <w:tcW w:w="84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7"/>
              </w:rPr>
              <w:t>Initiated</w:t>
            </w:r>
          </w:p>
        </w:tc>
        <w:tc>
          <w:tcPr>
            <w:tcW w:w="720" w:type="dxa"/>
            <w:vAlign w:val="bottom"/>
          </w:tcPr>
          <w:p>
            <w:pPr>
              <w:jc w:val="center"/>
              <w:ind w:left="34"/>
              <w:spacing w:after="0" w:line="148" w:lineRule="exact"/>
              <w:rPr>
                <w:sz w:val="20"/>
                <w:szCs w:val="20"/>
                <w:color w:val="auto"/>
              </w:rPr>
            </w:pPr>
            <w:r>
              <w:rPr>
                <w:rFonts w:ascii="Arial" w:cs="Arial" w:eastAsia="Arial" w:hAnsi="Arial"/>
                <w:sz w:val="14"/>
                <w:szCs w:val="14"/>
                <w:color w:val="auto"/>
                <w:w w:val="92"/>
              </w:rPr>
              <w:t>Resolved</w:t>
            </w:r>
          </w:p>
        </w:tc>
      </w:tr>
      <w:tr>
        <w:trPr>
          <w:trHeight w:val="148"/>
        </w:trPr>
        <w:tc>
          <w:tcPr>
            <w:tcW w:w="1180" w:type="dxa"/>
            <w:vAlign w:val="bottom"/>
          </w:tcPr>
          <w:p>
            <w:pPr>
              <w:spacing w:after="0" w:line="148" w:lineRule="exact"/>
              <w:rPr>
                <w:sz w:val="20"/>
                <w:szCs w:val="20"/>
                <w:color w:val="auto"/>
              </w:rPr>
            </w:pPr>
            <w:r>
              <w:rPr>
                <w:rFonts w:ascii="Arial" w:cs="Arial" w:eastAsia="Arial" w:hAnsi="Arial"/>
                <w:sz w:val="14"/>
                <w:szCs w:val="14"/>
                <w:color w:val="auto"/>
              </w:rPr>
              <w:t>Identification</w:t>
            </w:r>
          </w:p>
        </w:tc>
        <w:tc>
          <w:tcPr>
            <w:tcW w:w="760" w:type="dxa"/>
            <w:vAlign w:val="bottom"/>
            <w:gridSpan w:val="2"/>
          </w:tcPr>
          <w:p>
            <w:pPr>
              <w:jc w:val="center"/>
              <w:ind w:right="120"/>
              <w:spacing w:after="0" w:line="148" w:lineRule="exact"/>
              <w:rPr>
                <w:sz w:val="20"/>
                <w:szCs w:val="20"/>
                <w:color w:val="auto"/>
              </w:rPr>
            </w:pPr>
            <w:r>
              <w:rPr>
                <w:rFonts w:ascii="Arial" w:cs="Arial" w:eastAsia="Arial" w:hAnsi="Arial"/>
                <w:sz w:val="14"/>
                <w:szCs w:val="14"/>
                <w:color w:val="auto"/>
                <w:w w:val="94"/>
              </w:rPr>
              <w:t>104 S&amp;S</w:t>
            </w:r>
          </w:p>
        </w:tc>
        <w:tc>
          <w:tcPr>
            <w:tcW w:w="90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w w:val="98"/>
              </w:rPr>
              <w:t>104(b)</w:t>
            </w:r>
          </w:p>
        </w:tc>
        <w:tc>
          <w:tcPr>
            <w:tcW w:w="86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w w:val="95"/>
              </w:rPr>
              <w:t>Citations</w:t>
            </w:r>
          </w:p>
        </w:tc>
        <w:tc>
          <w:tcPr>
            <w:tcW w:w="92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7"/>
              </w:rPr>
              <w:t>110(b)(2)</w:t>
            </w:r>
          </w:p>
        </w:tc>
        <w:tc>
          <w:tcPr>
            <w:tcW w:w="640" w:type="dxa"/>
            <w:vAlign w:val="bottom"/>
          </w:tcPr>
          <w:p>
            <w:pPr>
              <w:jc w:val="center"/>
              <w:ind w:left="108"/>
              <w:spacing w:after="0" w:line="148" w:lineRule="exact"/>
              <w:rPr>
                <w:sz w:val="20"/>
                <w:szCs w:val="20"/>
                <w:color w:val="auto"/>
              </w:rPr>
            </w:pPr>
            <w:r>
              <w:rPr>
                <w:rFonts w:ascii="Arial" w:cs="Arial" w:eastAsia="Arial" w:hAnsi="Arial"/>
                <w:sz w:val="14"/>
                <w:szCs w:val="14"/>
                <w:color w:val="auto"/>
                <w:w w:val="93"/>
              </w:rPr>
              <w:t>107(a)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rPr>
              <w:t>MSHA</w:t>
            </w:r>
          </w:p>
        </w:tc>
        <w:tc>
          <w:tcPr>
            <w:tcW w:w="820" w:type="dxa"/>
            <w:vAlign w:val="bottom"/>
            <w:gridSpan w:val="2"/>
          </w:tcPr>
          <w:p>
            <w:pPr>
              <w:jc w:val="center"/>
              <w:ind w:right="20"/>
              <w:spacing w:after="0" w:line="148" w:lineRule="exact"/>
              <w:rPr>
                <w:sz w:val="20"/>
                <w:szCs w:val="20"/>
                <w:color w:val="auto"/>
              </w:rPr>
            </w:pPr>
            <w:r>
              <w:rPr>
                <w:rFonts w:ascii="Arial" w:cs="Arial" w:eastAsia="Arial" w:hAnsi="Arial"/>
                <w:sz w:val="14"/>
                <w:szCs w:val="14"/>
                <w:color w:val="auto"/>
                <w:w w:val="91"/>
              </w:rPr>
              <w:t>Related</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3"/>
              </w:rPr>
              <w:t>104(e)</w:t>
            </w: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104(e)</w:t>
            </w:r>
          </w:p>
        </w:tc>
        <w:tc>
          <w:tcPr>
            <w:tcW w:w="780" w:type="dxa"/>
            <w:vAlign w:val="bottom"/>
            <w:gridSpan w:val="2"/>
          </w:tcPr>
          <w:p>
            <w:pPr>
              <w:jc w:val="center"/>
              <w:ind w:right="60"/>
              <w:spacing w:after="0" w:line="148" w:lineRule="exact"/>
              <w:rPr>
                <w:sz w:val="20"/>
                <w:szCs w:val="20"/>
                <w:color w:val="auto"/>
              </w:rPr>
            </w:pPr>
            <w:r>
              <w:rPr>
                <w:rFonts w:ascii="Arial" w:cs="Arial" w:eastAsia="Arial" w:hAnsi="Arial"/>
                <w:sz w:val="14"/>
                <w:szCs w:val="14"/>
                <w:color w:val="auto"/>
                <w:w w:val="98"/>
              </w:rPr>
              <w:t>Day of</w:t>
            </w:r>
          </w:p>
        </w:tc>
        <w:tc>
          <w:tcPr>
            <w:tcW w:w="840" w:type="dxa"/>
            <w:vAlign w:val="bottom"/>
            <w:gridSpan w:val="2"/>
          </w:tcPr>
          <w:p>
            <w:pPr>
              <w:jc w:val="center"/>
              <w:spacing w:after="0" w:line="148" w:lineRule="exact"/>
              <w:rPr>
                <w:sz w:val="20"/>
                <w:szCs w:val="20"/>
                <w:color w:val="auto"/>
              </w:rPr>
            </w:pPr>
            <w:r>
              <w:rPr>
                <w:rFonts w:ascii="Arial" w:cs="Arial" w:eastAsia="Arial" w:hAnsi="Arial"/>
                <w:sz w:val="14"/>
                <w:szCs w:val="14"/>
                <w:color w:val="auto"/>
                <w:w w:val="96"/>
              </w:rPr>
              <w:t>During</w:t>
            </w:r>
          </w:p>
        </w:tc>
        <w:tc>
          <w:tcPr>
            <w:tcW w:w="720" w:type="dxa"/>
            <w:vAlign w:val="bottom"/>
          </w:tcPr>
          <w:p>
            <w:pPr>
              <w:jc w:val="center"/>
              <w:ind w:left="14"/>
              <w:spacing w:after="0" w:line="148" w:lineRule="exact"/>
              <w:rPr>
                <w:sz w:val="20"/>
                <w:szCs w:val="20"/>
                <w:color w:val="auto"/>
              </w:rPr>
            </w:pPr>
            <w:r>
              <w:rPr>
                <w:rFonts w:ascii="Arial" w:cs="Arial" w:eastAsia="Arial" w:hAnsi="Arial"/>
                <w:sz w:val="14"/>
                <w:szCs w:val="14"/>
                <w:color w:val="auto"/>
                <w:w w:val="96"/>
              </w:rPr>
              <w:t>During</w:t>
            </w:r>
          </w:p>
        </w:tc>
      </w:tr>
      <w:tr>
        <w:trPr>
          <w:trHeight w:val="167"/>
        </w:trPr>
        <w:tc>
          <w:tcPr>
            <w:tcW w:w="1180" w:type="dxa"/>
            <w:vAlign w:val="bottom"/>
          </w:tcPr>
          <w:p>
            <w:pPr>
              <w:spacing w:after="0"/>
              <w:rPr>
                <w:sz w:val="20"/>
                <w:szCs w:val="20"/>
                <w:color w:val="auto"/>
              </w:rPr>
            </w:pPr>
            <w:r>
              <w:rPr>
                <w:rFonts w:ascii="Arial" w:cs="Arial" w:eastAsia="Arial" w:hAnsi="Arial"/>
                <w:sz w:val="14"/>
                <w:szCs w:val="14"/>
                <w:color w:val="auto"/>
              </w:rPr>
              <w:t>Number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Citations</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Orders</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and Orders</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8"/>
              </w:rPr>
              <w:t>Violations</w:t>
            </w:r>
          </w:p>
        </w:tc>
        <w:tc>
          <w:tcPr>
            <w:tcW w:w="640" w:type="dxa"/>
            <w:vAlign w:val="bottom"/>
          </w:tcPr>
          <w:p>
            <w:pPr>
              <w:jc w:val="center"/>
              <w:ind w:left="108"/>
              <w:spacing w:after="0"/>
              <w:rPr>
                <w:sz w:val="20"/>
                <w:szCs w:val="20"/>
                <w:color w:val="auto"/>
              </w:rPr>
            </w:pPr>
            <w:r>
              <w:rPr>
                <w:rFonts w:ascii="Arial" w:cs="Arial" w:eastAsia="Arial" w:hAnsi="Arial"/>
                <w:sz w:val="14"/>
                <w:szCs w:val="14"/>
                <w:color w:val="auto"/>
                <w:w w:val="88"/>
              </w:rPr>
              <w:t>Orders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color w:val="auto"/>
                <w:w w:val="87"/>
              </w:rPr>
              <w:t>Assessments</w:t>
            </w:r>
            <w:r>
              <w:rPr>
                <w:rFonts w:ascii="Arial" w:cs="Arial" w:eastAsia="Arial" w:hAnsi="Arial"/>
                <w:sz w:val="12"/>
                <w:szCs w:val="12"/>
                <w:color w:val="auto"/>
                <w:w w:val="87"/>
              </w:rPr>
              <w:t>(1)</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Fatalities</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(yes/no)</w:t>
            </w: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(yes/no)</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Period</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w w:val="88"/>
              </w:rPr>
              <w:t>Period</w:t>
            </w:r>
          </w:p>
        </w:tc>
        <w:tc>
          <w:tcPr>
            <w:tcW w:w="720" w:type="dxa"/>
            <w:vAlign w:val="bottom"/>
          </w:tcPr>
          <w:p>
            <w:pPr>
              <w:jc w:val="center"/>
              <w:ind w:left="34"/>
              <w:spacing w:after="0"/>
              <w:rPr>
                <w:sz w:val="20"/>
                <w:szCs w:val="20"/>
                <w:color w:val="auto"/>
              </w:rPr>
            </w:pPr>
            <w:r>
              <w:rPr>
                <w:rFonts w:ascii="Arial" w:cs="Arial" w:eastAsia="Arial" w:hAnsi="Arial"/>
                <w:sz w:val="14"/>
                <w:szCs w:val="14"/>
                <w:color w:val="auto"/>
                <w:w w:val="93"/>
              </w:rPr>
              <w:t>Period</w:t>
            </w:r>
          </w:p>
        </w:tc>
      </w:tr>
      <w:tr>
        <w:trPr>
          <w:trHeight w:val="127"/>
        </w:trPr>
        <w:tc>
          <w:tcPr>
            <w:tcW w:w="11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Amelia Barite</w:t>
            </w: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r>
      <w:tr>
        <w:trPr>
          <w:trHeight w:val="149"/>
        </w:trPr>
        <w:tc>
          <w:tcPr>
            <w:tcW w:w="1180" w:type="dxa"/>
            <w:vAlign w:val="bottom"/>
            <w:shd w:val="clear" w:color="auto" w:fill="CFF0FC"/>
          </w:tcPr>
          <w:p>
            <w:pPr>
              <w:spacing w:after="0"/>
              <w:rPr>
                <w:sz w:val="20"/>
                <w:szCs w:val="20"/>
                <w:color w:val="auto"/>
              </w:rPr>
            </w:pPr>
            <w:r>
              <w:rPr>
                <w:rFonts w:ascii="Arial" w:cs="Arial" w:eastAsia="Arial" w:hAnsi="Arial"/>
                <w:sz w:val="13"/>
                <w:szCs w:val="13"/>
                <w:color w:val="auto"/>
              </w:rPr>
              <w:t>Plant/1600825</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180" w:type="dxa"/>
            <w:vAlign w:val="bottom"/>
          </w:tcPr>
          <w:p>
            <w:pPr>
              <w:spacing w:after="0" w:line="134" w:lineRule="exact"/>
              <w:rPr>
                <w:sz w:val="20"/>
                <w:szCs w:val="20"/>
                <w:color w:val="auto"/>
              </w:rPr>
            </w:pPr>
            <w:r>
              <w:rPr>
                <w:rFonts w:ascii="Arial" w:cs="Arial" w:eastAsia="Arial" w:hAnsi="Arial"/>
                <w:sz w:val="13"/>
                <w:szCs w:val="13"/>
                <w:color w:val="auto"/>
              </w:rPr>
              <w:t>Battle Mountain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4"/>
        </w:trPr>
        <w:tc>
          <w:tcPr>
            <w:tcW w:w="1180" w:type="dxa"/>
            <w:vAlign w:val="bottom"/>
          </w:tcPr>
          <w:p>
            <w:pPr>
              <w:spacing w:after="0" w:line="134" w:lineRule="exact"/>
              <w:rPr>
                <w:sz w:val="20"/>
                <w:szCs w:val="20"/>
                <w:color w:val="auto"/>
              </w:rPr>
            </w:pPr>
            <w:r>
              <w:rPr>
                <w:rFonts w:ascii="Arial" w:cs="Arial" w:eastAsia="Arial" w:hAnsi="Arial"/>
                <w:sz w:val="13"/>
                <w:szCs w:val="13"/>
                <w:color w:val="auto"/>
              </w:rPr>
              <w:t>Grinding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1180" w:type="dxa"/>
            <w:vAlign w:val="bottom"/>
          </w:tcPr>
          <w:p>
            <w:pPr>
              <w:spacing w:after="0"/>
              <w:rPr>
                <w:sz w:val="20"/>
                <w:szCs w:val="20"/>
                <w:color w:val="auto"/>
              </w:rPr>
            </w:pPr>
            <w:r>
              <w:rPr>
                <w:rFonts w:ascii="Arial" w:cs="Arial" w:eastAsia="Arial" w:hAnsi="Arial"/>
                <w:sz w:val="13"/>
                <w:szCs w:val="13"/>
                <w:color w:val="auto"/>
              </w:rPr>
              <w:t>Plant/2600828</w:t>
            </w: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60" w:type="dxa"/>
            <w:vAlign w:val="bottom"/>
          </w:tcPr>
          <w:p>
            <w:pPr>
              <w:jc w:val="center"/>
              <w:ind w:left="155"/>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60" w:type="dxa"/>
            <w:vAlign w:val="bottom"/>
          </w:tcPr>
          <w:p>
            <w:pPr>
              <w:ind w:left="700"/>
              <w:spacing w:after="0"/>
              <w:rPr>
                <w:sz w:val="20"/>
                <w:szCs w:val="20"/>
                <w:color w:val="auto"/>
              </w:rPr>
            </w:pPr>
            <w:r>
              <w:rPr>
                <w:rFonts w:ascii="Arial" w:cs="Arial" w:eastAsia="Arial" w:hAnsi="Arial"/>
                <w:sz w:val="13"/>
                <w:szCs w:val="13"/>
                <w:color w:val="auto"/>
              </w:rPr>
              <w:t>N</w:t>
            </w:r>
          </w:p>
        </w:tc>
        <w:tc>
          <w:tcPr>
            <w:tcW w:w="720" w:type="dxa"/>
            <w:vAlign w:val="bottom"/>
          </w:tcPr>
          <w:p>
            <w:pPr>
              <w:ind w:left="58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1"/>
              </w:rPr>
              <w:t>Galveston GBT Barite</w:t>
            </w: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4"/>
        </w:trPr>
        <w:tc>
          <w:tcPr>
            <w:tcW w:w="1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Grinding</w:t>
            </w: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49"/>
        </w:trPr>
        <w:tc>
          <w:tcPr>
            <w:tcW w:w="1180" w:type="dxa"/>
            <w:vAlign w:val="bottom"/>
            <w:shd w:val="clear" w:color="auto" w:fill="CFF0FC"/>
          </w:tcPr>
          <w:p>
            <w:pPr>
              <w:spacing w:after="0"/>
              <w:rPr>
                <w:sz w:val="20"/>
                <w:szCs w:val="20"/>
                <w:color w:val="auto"/>
              </w:rPr>
            </w:pPr>
            <w:r>
              <w:rPr>
                <w:rFonts w:ascii="Arial" w:cs="Arial" w:eastAsia="Arial" w:hAnsi="Arial"/>
                <w:sz w:val="13"/>
                <w:szCs w:val="13"/>
                <w:color w:val="auto"/>
              </w:rPr>
              <w:t>Plant/4104675</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180" w:type="dxa"/>
            <w:vAlign w:val="bottom"/>
          </w:tcPr>
          <w:p>
            <w:pPr>
              <w:spacing w:after="0" w:line="134" w:lineRule="exact"/>
              <w:rPr>
                <w:sz w:val="20"/>
                <w:szCs w:val="20"/>
                <w:color w:val="auto"/>
              </w:rPr>
            </w:pPr>
            <w:r>
              <w:rPr>
                <w:rFonts w:ascii="Arial" w:cs="Arial" w:eastAsia="Arial" w:hAnsi="Arial"/>
                <w:sz w:val="13"/>
                <w:szCs w:val="13"/>
                <w:color w:val="auto"/>
              </w:rPr>
              <w:t>Greybull Milling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1180" w:type="dxa"/>
            <w:vAlign w:val="bottom"/>
          </w:tcPr>
          <w:p>
            <w:pPr>
              <w:spacing w:after="0"/>
              <w:rPr>
                <w:sz w:val="20"/>
                <w:szCs w:val="20"/>
                <w:color w:val="auto"/>
              </w:rPr>
            </w:pPr>
            <w:r>
              <w:rPr>
                <w:rFonts w:ascii="Arial" w:cs="Arial" w:eastAsia="Arial" w:hAnsi="Arial"/>
                <w:sz w:val="13"/>
                <w:szCs w:val="13"/>
                <w:color w:val="auto"/>
              </w:rPr>
              <w:t>Operation/4800602</w:t>
            </w: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60" w:type="dxa"/>
            <w:vAlign w:val="bottom"/>
          </w:tcPr>
          <w:p>
            <w:pPr>
              <w:jc w:val="center"/>
              <w:ind w:left="155"/>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60" w:type="dxa"/>
            <w:vAlign w:val="bottom"/>
          </w:tcPr>
          <w:p>
            <w:pPr>
              <w:ind w:left="700"/>
              <w:spacing w:after="0"/>
              <w:rPr>
                <w:sz w:val="20"/>
                <w:szCs w:val="20"/>
                <w:color w:val="auto"/>
              </w:rPr>
            </w:pPr>
            <w:r>
              <w:rPr>
                <w:rFonts w:ascii="Arial" w:cs="Arial" w:eastAsia="Arial" w:hAnsi="Arial"/>
                <w:sz w:val="13"/>
                <w:szCs w:val="13"/>
                <w:color w:val="auto"/>
              </w:rPr>
              <w:t>N</w:t>
            </w:r>
          </w:p>
        </w:tc>
        <w:tc>
          <w:tcPr>
            <w:tcW w:w="720" w:type="dxa"/>
            <w:vAlign w:val="bottom"/>
          </w:tcPr>
          <w:p>
            <w:pPr>
              <w:ind w:left="58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Greybull Mining</w:t>
            </w: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49"/>
        </w:trPr>
        <w:tc>
          <w:tcPr>
            <w:tcW w:w="1180" w:type="dxa"/>
            <w:vAlign w:val="bottom"/>
            <w:shd w:val="clear" w:color="auto" w:fill="CFF0FC"/>
          </w:tcPr>
          <w:p>
            <w:pPr>
              <w:spacing w:after="0"/>
              <w:rPr>
                <w:sz w:val="20"/>
                <w:szCs w:val="20"/>
                <w:color w:val="auto"/>
              </w:rPr>
            </w:pPr>
            <w:r>
              <w:rPr>
                <w:rFonts w:ascii="Arial" w:cs="Arial" w:eastAsia="Arial" w:hAnsi="Arial"/>
                <w:sz w:val="13"/>
                <w:szCs w:val="13"/>
                <w:color w:val="auto"/>
              </w:rPr>
              <w:t>Operation/4800603</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82"/>
              </w:rPr>
              <w:t>$540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180" w:type="dxa"/>
            <w:vAlign w:val="bottom"/>
          </w:tcPr>
          <w:p>
            <w:pPr>
              <w:spacing w:after="0" w:line="134" w:lineRule="exact"/>
              <w:rPr>
                <w:sz w:val="20"/>
                <w:szCs w:val="20"/>
                <w:color w:val="auto"/>
              </w:rPr>
            </w:pPr>
            <w:r>
              <w:rPr>
                <w:rFonts w:ascii="Arial" w:cs="Arial" w:eastAsia="Arial" w:hAnsi="Arial"/>
                <w:sz w:val="13"/>
                <w:szCs w:val="13"/>
                <w:color w:val="auto"/>
              </w:rPr>
              <w:t>Greystone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1180" w:type="dxa"/>
            <w:vAlign w:val="bottom"/>
          </w:tcPr>
          <w:p>
            <w:pPr>
              <w:spacing w:after="0"/>
              <w:rPr>
                <w:sz w:val="20"/>
                <w:szCs w:val="20"/>
                <w:color w:val="auto"/>
              </w:rPr>
            </w:pPr>
            <w:r>
              <w:rPr>
                <w:rFonts w:ascii="Arial" w:cs="Arial" w:eastAsia="Arial" w:hAnsi="Arial"/>
                <w:sz w:val="13"/>
                <w:szCs w:val="13"/>
                <w:color w:val="auto"/>
              </w:rPr>
              <w:t>Mine/2600411</w:t>
            </w:r>
          </w:p>
        </w:tc>
        <w:tc>
          <w:tcPr>
            <w:tcW w:w="6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2"/>
                <w:szCs w:val="12"/>
                <w:color w:val="auto"/>
              </w:rPr>
            </w:pPr>
          </w:p>
        </w:tc>
        <w:tc>
          <w:tcPr>
            <w:tcW w:w="1060" w:type="dxa"/>
            <w:vAlign w:val="bottom"/>
          </w:tcPr>
          <w:p>
            <w:pPr>
              <w:jc w:val="center"/>
              <w:ind w:left="155"/>
              <w:spacing w:after="0"/>
              <w:rPr>
                <w:sz w:val="20"/>
                <w:szCs w:val="20"/>
                <w:color w:val="auto"/>
              </w:rPr>
            </w:pPr>
            <w:r>
              <w:rPr>
                <w:rFonts w:ascii="Arial" w:cs="Arial" w:eastAsia="Arial" w:hAnsi="Arial"/>
                <w:sz w:val="13"/>
                <w:szCs w:val="13"/>
                <w:color w:val="auto"/>
                <w:w w:val="82"/>
              </w:rPr>
              <w:t>$300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860" w:type="dxa"/>
            <w:vAlign w:val="bottom"/>
          </w:tcPr>
          <w:p>
            <w:pPr>
              <w:ind w:left="700"/>
              <w:spacing w:after="0"/>
              <w:rPr>
                <w:sz w:val="20"/>
                <w:szCs w:val="20"/>
                <w:color w:val="auto"/>
              </w:rPr>
            </w:pPr>
            <w:r>
              <w:rPr>
                <w:rFonts w:ascii="Arial" w:cs="Arial" w:eastAsia="Arial" w:hAnsi="Arial"/>
                <w:sz w:val="13"/>
                <w:szCs w:val="13"/>
                <w:color w:val="auto"/>
              </w:rPr>
              <w:t>N</w:t>
            </w:r>
          </w:p>
        </w:tc>
        <w:tc>
          <w:tcPr>
            <w:tcW w:w="720" w:type="dxa"/>
            <w:vAlign w:val="bottom"/>
          </w:tcPr>
          <w:p>
            <w:pPr>
              <w:ind w:left="58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 SWACO-</w:t>
            </w: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49"/>
        </w:trPr>
        <w:tc>
          <w:tcPr>
            <w:tcW w:w="1180" w:type="dxa"/>
            <w:vAlign w:val="bottom"/>
            <w:shd w:val="clear" w:color="auto" w:fill="CFF0FC"/>
          </w:tcPr>
          <w:p>
            <w:pPr>
              <w:spacing w:after="0"/>
              <w:rPr>
                <w:sz w:val="20"/>
                <w:szCs w:val="20"/>
                <w:color w:val="auto"/>
              </w:rPr>
            </w:pPr>
            <w:r>
              <w:rPr>
                <w:rFonts w:ascii="Arial" w:cs="Arial" w:eastAsia="Arial" w:hAnsi="Arial"/>
                <w:sz w:val="13"/>
                <w:szCs w:val="13"/>
                <w:color w:val="auto"/>
              </w:rPr>
              <w:t>Alpine/4104829</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center"/>
              <w:ind w:left="155"/>
              <w:spacing w:after="0"/>
              <w:rPr>
                <w:sz w:val="20"/>
                <w:szCs w:val="20"/>
                <w:color w:val="auto"/>
              </w:rPr>
            </w:pPr>
            <w:r>
              <w:rPr>
                <w:rFonts w:ascii="Arial" w:cs="Arial" w:eastAsia="Arial" w:hAnsi="Arial"/>
                <w:sz w:val="13"/>
                <w:szCs w:val="13"/>
                <w:color w:val="auto"/>
                <w:w w:val="82"/>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3"/>
                <w:szCs w:val="13"/>
                <w:color w:val="auto"/>
              </w:rPr>
              <w:t>N</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rPr>
              <w:t>N</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r>
      <w:tr>
        <w:trPr>
          <w:trHeight w:val="134"/>
        </w:trPr>
        <w:tc>
          <w:tcPr>
            <w:tcW w:w="1180" w:type="dxa"/>
            <w:vAlign w:val="bottom"/>
          </w:tcPr>
          <w:p>
            <w:pPr>
              <w:spacing w:after="0" w:line="134" w:lineRule="exact"/>
              <w:rPr>
                <w:sz w:val="20"/>
                <w:szCs w:val="20"/>
                <w:color w:val="auto"/>
              </w:rPr>
            </w:pPr>
            <w:r>
              <w:rPr>
                <w:rFonts w:ascii="Arial" w:cs="Arial" w:eastAsia="Arial" w:hAnsi="Arial"/>
                <w:sz w:val="13"/>
                <w:szCs w:val="13"/>
                <w:color w:val="auto"/>
              </w:rPr>
              <w:t>MI SWACO-</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4"/>
        </w:trPr>
        <w:tc>
          <w:tcPr>
            <w:tcW w:w="1180" w:type="dxa"/>
            <w:vAlign w:val="bottom"/>
          </w:tcPr>
          <w:p>
            <w:pPr>
              <w:spacing w:after="0" w:line="134" w:lineRule="exact"/>
              <w:rPr>
                <w:sz w:val="20"/>
                <w:szCs w:val="20"/>
                <w:color w:val="auto"/>
              </w:rPr>
            </w:pPr>
            <w:r>
              <w:rPr>
                <w:rFonts w:ascii="Arial" w:cs="Arial" w:eastAsia="Arial" w:hAnsi="Arial"/>
                <w:sz w:val="13"/>
                <w:szCs w:val="13"/>
                <w:color w:val="auto"/>
                <w:w w:val="97"/>
              </w:rPr>
              <w:t>Brownsville Grinding</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1180" w:type="dxa"/>
            <w:vAlign w:val="bottom"/>
          </w:tcPr>
          <w:p>
            <w:pPr>
              <w:spacing w:after="0"/>
              <w:rPr>
                <w:sz w:val="20"/>
                <w:szCs w:val="20"/>
                <w:color w:val="auto"/>
              </w:rPr>
            </w:pPr>
            <w:r>
              <w:rPr>
                <w:rFonts w:ascii="Arial" w:cs="Arial" w:eastAsia="Arial" w:hAnsi="Arial"/>
                <w:sz w:val="13"/>
                <w:szCs w:val="13"/>
                <w:color w:val="auto"/>
              </w:rPr>
              <w:t>Plant/4103033</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0</w:t>
            </w:r>
          </w:p>
        </w:tc>
        <w:tc>
          <w:tcPr>
            <w:tcW w:w="100" w:type="dxa"/>
            <w:vAlign w:val="bottom"/>
          </w:tcPr>
          <w:p>
            <w:pPr>
              <w:spacing w:after="0"/>
              <w:rPr>
                <w:sz w:val="13"/>
                <w:szCs w:val="13"/>
                <w:color w:val="auto"/>
              </w:rPr>
            </w:pPr>
          </w:p>
        </w:tc>
        <w:tc>
          <w:tcPr>
            <w:tcW w:w="1060" w:type="dxa"/>
            <w:vAlign w:val="bottom"/>
          </w:tcPr>
          <w:p>
            <w:pPr>
              <w:jc w:val="center"/>
              <w:ind w:left="155"/>
              <w:spacing w:after="0"/>
              <w:rPr>
                <w:sz w:val="20"/>
                <w:szCs w:val="20"/>
                <w:color w:val="auto"/>
              </w:rPr>
            </w:pPr>
            <w:r>
              <w:rPr>
                <w:rFonts w:ascii="Arial" w:cs="Arial" w:eastAsia="Arial" w:hAnsi="Arial"/>
                <w:sz w:val="13"/>
                <w:szCs w:val="13"/>
                <w:color w:val="auto"/>
                <w:w w:val="82"/>
              </w:rPr>
              <w:t>$484</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3"/>
                <w:szCs w:val="13"/>
                <w:color w:val="auto"/>
              </w:rPr>
              <w:t>N</w:t>
            </w:r>
          </w:p>
        </w:tc>
        <w:tc>
          <w:tcPr>
            <w:tcW w:w="720" w:type="dxa"/>
            <w:vAlign w:val="bottom"/>
          </w:tcPr>
          <w:p>
            <w:pPr>
              <w:ind w:left="580"/>
              <w:spacing w:after="0"/>
              <w:rPr>
                <w:sz w:val="20"/>
                <w:szCs w:val="20"/>
                <w:color w:val="auto"/>
              </w:rPr>
            </w:pPr>
            <w:r>
              <w:rPr>
                <w:rFonts w:ascii="Arial" w:cs="Arial" w:eastAsia="Arial" w:hAnsi="Arial"/>
                <w:sz w:val="13"/>
                <w:szCs w:val="13"/>
                <w:color w:val="auto"/>
              </w:rPr>
              <w:t>N</w:t>
            </w:r>
          </w:p>
        </w:tc>
        <w:tc>
          <w:tcPr>
            <w:tcW w:w="700" w:type="dxa"/>
            <w:vAlign w:val="bottom"/>
          </w:tcPr>
          <w:p>
            <w:pPr>
              <w:jc w:val="right"/>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w:t>
            </w:r>
          </w:p>
        </w:tc>
      </w:tr>
    </w:tbl>
    <w:p>
      <w:pPr>
        <w:spacing w:after="0" w:line="200" w:lineRule="exact"/>
        <w:rPr>
          <w:sz w:val="20"/>
          <w:szCs w:val="20"/>
          <w:color w:val="auto"/>
        </w:rPr>
      </w:pPr>
    </w:p>
    <w:p>
      <w:pPr>
        <w:spacing w:after="0" w:line="211" w:lineRule="exact"/>
        <w:rPr>
          <w:sz w:val="20"/>
          <w:szCs w:val="20"/>
          <w:color w:val="auto"/>
        </w:rPr>
      </w:pPr>
    </w:p>
    <w:p>
      <w:pPr>
        <w:ind w:left="940" w:right="180" w:hanging="362"/>
        <w:spacing w:after="0" w:line="272" w:lineRule="auto"/>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September 30, 2014,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7"/>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1."/>
      <w:numFmt w:val="decimal"/>
      <w:start w:val="11"/>
    </w:lvl>
  </w:abstractNum>
  <w:abstractNum w:abstractNumId="13">
    <w:nsid w:val="B03E0C6"/>
    <w:multiLevelType w:val="hybridMultilevel"/>
    <w:lvl w:ilvl="0">
      <w:lvlJc w:val="left"/>
      <w:lvlText w:val="%1."/>
      <w:numFmt w:val="decimal"/>
      <w:start w:val="12"/>
    </w:lvl>
  </w:abstractNum>
  <w:abstractNum w:abstractNumId="14">
    <w:nsid w:val="189A769B"/>
    <w:multiLevelType w:val="hybridMultilevel"/>
    <w:lvl w:ilvl="0">
      <w:lvlJc w:val="left"/>
      <w:lvlText w:val="%1."/>
      <w:numFmt w:val="decimal"/>
      <w:start w:val="13"/>
    </w:lvl>
  </w:abstractNum>
  <w:abstractNum w:abstractNumId="15">
    <w:nsid w:val="54E49EB4"/>
    <w:multiLevelType w:val="hybridMultilevel"/>
    <w:lvl w:ilvl="0">
      <w:lvlJc w:val="left"/>
      <w:lvlText w:val="%1"/>
      <w:numFmt w:val="decimal"/>
      <w:start w:val="1"/>
    </w:lvl>
    <w:lvl w:ilvl="1">
      <w:lvlJc w:val="left"/>
      <w:lvlText w:val="(%2)"/>
      <w:numFmt w:val="decimal"/>
      <w:start w:val="1"/>
    </w:lvl>
  </w:abstractNum>
  <w:abstractNum w:abstractNumId="16">
    <w:nsid w:val="71F32454"/>
    <w:multiLevelType w:val="hybridMultilevel"/>
    <w:lvl w:ilvl="0">
      <w:lvlJc w:val="left"/>
      <w:lvlText w:val="(%1)"/>
      <w:numFmt w:val="decimal"/>
      <w:start w:val="3"/>
    </w:lvl>
    <w:lvl w:ilvl="1">
      <w:lvlJc w:val="left"/>
      <w:lvlText w:val="%2"/>
      <w:numFmt w:val="decimal"/>
      <w:start w:val="1"/>
    </w:lvl>
  </w:abstractNum>
  <w:abstractNum w:abstractNumId="17">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836C40E"/>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19">
    <w:nsid w:val="2901D82"/>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abstractNum>
  <w:abstractNum w:abstractNumId="20">
    <w:nsid w:val="3A95F874"/>
    <w:multiLevelType w:val="hybridMultilevel"/>
    <w:lvl w:ilvl="0">
      <w:lvlJc w:val="left"/>
      <w:lvlText w:val="%1."/>
      <w:numFmt w:val="decimal"/>
      <w:start w:val="16"/>
    </w:lvl>
  </w:abstractNum>
  <w:abstractNum w:abstractNumId="21">
    <w:nsid w:val="8138641"/>
    <w:multiLevelType w:val="hybridMultilevel"/>
    <w:lvl w:ilvl="0">
      <w:lvlJc w:val="left"/>
      <w:lvlText w:val="%1."/>
      <w:numFmt w:val="decimal"/>
      <w:start w:val="17"/>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lvl w:ilvl="1">
      <w:lvlJc w:val="left"/>
      <w:lvlText w:val="(%2)"/>
      <w:numFmt w:val="decimal"/>
      <w:start w:val="1"/>
    </w:lvl>
  </w:abstractNum>
  <w:abstractNum w:abstractNumId="24">
    <w:nsid w:val="737B8DDC"/>
    <w:multiLevelType w:val="hybridMultilevel"/>
    <w:lvl w:ilvl="0">
      <w:lvlJc w:val="left"/>
      <w:lvlText w:val="(%1)"/>
      <w:numFmt w:val="decimal"/>
      <w:start w:val="3"/>
    </w:lvl>
    <w:lvl w:ilvl="1">
      <w:lvlJc w:val="left"/>
      <w:lvlText w:val="%2"/>
      <w:numFmt w:val="decimal"/>
      <w:start w:val="1"/>
    </w:lvl>
  </w:abstractNum>
  <w:abstractNum w:abstractNumId="25">
    <w:nsid w:val="6CEAF087"/>
    <w:multiLevelType w:val="hybridMultilevel"/>
    <w:lvl w:ilvl="0">
      <w:lvlJc w:val="left"/>
      <w:lvlText w:val="%1"/>
      <w:numFmt w:val="decimal"/>
      <w:start w:val="1"/>
    </w:lvl>
    <w:lvl w:ilvl="1">
      <w:lvlJc w:val="left"/>
      <w:lvlText w:val="(%2)"/>
      <w:numFmt w:val="decimal"/>
      <w:start w:val="1"/>
    </w:lvl>
  </w:abstractNum>
  <w:abstractNum w:abstractNumId="26">
    <w:nsid w:val="22221A70"/>
    <w:multiLevelType w:val="hybridMultilevel"/>
    <w:lvl w:ilvl="0">
      <w:lvlJc w:val="left"/>
      <w:lvlText w:val="(%1)"/>
      <w:numFmt w:val="decimal"/>
      <w:start w:val="3"/>
    </w:lvl>
    <w:lvl w:ilvl="1">
      <w:lvlJc w:val="left"/>
      <w:lvlText w:val="%2"/>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lvl w:ilvl="1">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2019-12-05T14:24:34Z</dcterms:created>
  <dcterms:modified xsi:type="dcterms:W3CDTF">2019-12-05T14:24:34Z</dcterms:modified>
</cp:coreProperties>
</file>