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24,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LIMITED)</w:t>
      </w: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44"/>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644" w:space="720"/>
            <w:col w:w="274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ind w:left="3764"/>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ind w:left="3704"/>
        <w:spacing w:after="0"/>
        <w:rPr>
          <w:sz w:val="20"/>
          <w:szCs w:val="20"/>
          <w:color w:val="auto"/>
        </w:rPr>
      </w:pPr>
      <w:r>
        <w:rPr>
          <w:rFonts w:ascii="Arial" w:cs="Arial" w:eastAsia="Arial" w:hAnsi="Arial"/>
          <w:sz w:val="18"/>
          <w:szCs w:val="18"/>
          <w:b w:val="1"/>
          <w:bCs w:val="1"/>
          <w:color w:val="auto"/>
        </w:rPr>
        <w:t xml:space="preserve">5599 San Felipe, Houston, Texas </w:t>
      </w:r>
      <w:r>
        <w:rPr>
          <w:rFonts w:ascii="Arial" w:cs="Arial" w:eastAsia="Arial" w:hAnsi="Arial"/>
          <w:sz w:val="18"/>
          <w:szCs w:val="18"/>
          <w:b w:val="1"/>
          <w:bCs w:val="1"/>
          <w:color w:val="FFFFFF"/>
        </w:rPr>
        <w:t>,</w:t>
      </w:r>
      <w:r>
        <w:rPr>
          <w:rFonts w:ascii="Arial" w:cs="Arial" w:eastAsia="Arial" w:hAnsi="Arial"/>
          <w:sz w:val="18"/>
          <w:szCs w:val="18"/>
          <w:b w:val="1"/>
          <w:bCs w:val="1"/>
          <w:color w:val="auto"/>
        </w:rPr>
        <w:t xml:space="preserve"> U.S.A. 77056</w:t>
      </w:r>
    </w:p>
    <w:p>
      <w:pPr>
        <w:spacing w:after="0" w:line="9" w:lineRule="exact"/>
        <w:rPr>
          <w:sz w:val="24"/>
          <w:szCs w:val="24"/>
          <w:color w:val="auto"/>
        </w:rPr>
      </w:pPr>
    </w:p>
    <w:p>
      <w:pPr>
        <w:ind w:left="3224"/>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46" w:lineRule="exact"/>
        <w:rPr>
          <w:sz w:val="24"/>
          <w:szCs w:val="24"/>
          <w:color w:val="auto"/>
        </w:rPr>
      </w:pPr>
    </w:p>
    <w:p>
      <w:pPr>
        <w:ind w:left="3484"/>
        <w:spacing w:after="0"/>
        <w:rPr>
          <w:sz w:val="20"/>
          <w:szCs w:val="20"/>
          <w:color w:val="auto"/>
        </w:rPr>
      </w:pPr>
      <w:r>
        <w:rPr>
          <w:rFonts w:ascii="Arial" w:cs="Arial" w:eastAsia="Arial" w:hAnsi="Arial"/>
          <w:sz w:val="17"/>
          <w:szCs w:val="17"/>
          <w:b w:val="1"/>
          <w:bCs w:val="1"/>
          <w:color w:val="auto"/>
        </w:rPr>
        <w:t>Parkstraat 83, The Hague, The Netherlands 2514 JG</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68" w:right="439" w:bottom="1440" w:gutter="0" w:footer="0" w:header="0"/>
          <w:type w:val="continuous"/>
        </w:sectPr>
      </w:pP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SLB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left="4" w:right="60" w:firstLine="440"/>
        <w:spacing w:after="0" w:line="275" w:lineRule="auto"/>
        <w:rPr>
          <w:sz w:val="20"/>
          <w:szCs w:val="20"/>
          <w:color w:val="auto"/>
        </w:rPr>
      </w:pPr>
      <w:r>
        <w:rPr>
          <w:rFonts w:ascii="Arial" w:cs="Arial" w:eastAsia="Arial" w:hAnsi="Arial"/>
          <w:sz w:val="17"/>
          <w:szCs w:val="17"/>
          <w:color w:val="auto"/>
        </w:rPr>
        <w:t>The Second-Quarter 2020 Earnings Release furnished as Exhibit 99 hereto, which is incorporated by reference into this Item 2.02, was posted on the Schlumberger internet website (</w:t>
      </w:r>
      <w:r>
        <w:rPr>
          <w:rFonts w:ascii="Arial" w:cs="Arial" w:eastAsia="Arial" w:hAnsi="Arial"/>
          <w:sz w:val="17"/>
          <w:szCs w:val="17"/>
          <w:u w:val="single" w:color="auto"/>
          <w:color w:val="auto"/>
        </w:rPr>
        <w:t>https://www.slb.com/newsroom</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https://investorcenter.slb.com/financial-information/quarterly-results</w:t>
      </w:r>
      <w:r>
        <w:rPr>
          <w:rFonts w:ascii="Arial" w:cs="Arial" w:eastAsia="Arial" w:hAnsi="Arial"/>
          <w:sz w:val="17"/>
          <w:szCs w:val="17"/>
          <w:color w:val="auto"/>
        </w:rPr>
        <w:t>) on July 24, 2020.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(the “Securities Act”), except as expressly set forth by specific reference in such a filing.</w:t>
      </w:r>
    </w:p>
    <w:p>
      <w:pPr>
        <w:spacing w:after="0" w:line="321"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On July 24, 2020, Schlumberger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70"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exhibit listed below is furnished pursuant to Item 9.01 of this Form 8-K.</w:t>
      </w:r>
    </w:p>
    <w:p>
      <w:pPr>
        <w:spacing w:after="0" w:line="252" w:lineRule="exact"/>
        <w:rPr>
          <w:sz w:val="20"/>
          <w:szCs w:val="20"/>
          <w:color w:val="auto"/>
        </w:rPr>
      </w:pPr>
    </w:p>
    <w:p>
      <w:pPr>
        <w:ind w:left="444" w:hanging="444"/>
        <w:spacing w:after="0"/>
        <w:tabs>
          <w:tab w:leader="none" w:pos="444" w:val="left"/>
        </w:tabs>
        <w:numPr>
          <w:ilvl w:val="0"/>
          <w:numId w:val="3"/>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Second-Quarter 2020 Earnings Release.</w:t>
        </w:r>
      </w:hyperlink>
    </w:p>
    <w:p>
      <w:pPr>
        <w:spacing w:after="0" w:line="117" w:lineRule="exact"/>
        <w:rPr>
          <w:sz w:val="20"/>
          <w:szCs w:val="20"/>
          <w:color w:val="auto"/>
        </w:rPr>
      </w:pPr>
    </w:p>
    <w:p>
      <w:pPr>
        <w:ind w:left="4"/>
        <w:spacing w:after="0"/>
        <w:tabs>
          <w:tab w:leader="none" w:pos="42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Cover Page Interactive Data File (embedded within the Inline XBRL document).</w:t>
      </w:r>
    </w:p>
    <w:p>
      <w:pPr>
        <w:sectPr>
          <w:pgSz w:w="11900" w:h="16838" w:orient="portrait"/>
          <w:cols w:equalWidth="0" w:num="1">
            <w:col w:w="10924"/>
          </w:cols>
          <w:pgMar w:left="436" w:top="297" w:right="5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2020</w:t>
      </w:r>
    </w:p>
    <w:p>
      <w:pPr>
        <w:sectPr>
          <w:pgSz w:w="11900" w:h="16838" w:orient="portrait"/>
          <w:cols w:equalWidth="0" w:num="1">
            <w:col w:w="10840"/>
          </w:cols>
          <w:pgMar w:left="440" w:top="297" w:right="6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628775" cy="763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2877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Schlumberger Announces Second-Quarter 2020 Results</w:t>
      </w:r>
    </w:p>
    <w:p>
      <w:pPr>
        <w:spacing w:after="0" w:line="135" w:lineRule="exact"/>
        <w:rPr>
          <w:sz w:val="20"/>
          <w:szCs w:val="20"/>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Worldwide revenue of $5.4 billion decreased 28% sequentially</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revenue of $4.1 billion decreased 19% sequentially</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North America revenue of $1.2 billion decreased 48% sequentially</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loss per share, including charges and credits of $2.52 per share, was $2.47</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EPS, excluding charges and credits, was $0.05</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flow from operations was $803 million and free cash flow was $465 million</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approved quarterly cash dividend of $0.125 per share</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HOUSTON, July 24, 2020—</w:t>
      </w:r>
      <w:r>
        <w:rPr>
          <w:rFonts w:ascii="Arial" w:cs="Arial" w:eastAsia="Arial" w:hAnsi="Arial"/>
          <w:sz w:val="18"/>
          <w:szCs w:val="18"/>
          <w:color w:val="auto"/>
        </w:rPr>
        <w:t>Schlumberger Limited (NYSE: SLB) today reported results for the second quarter of 2020.</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35"/>
        </w:trPr>
        <w:tc>
          <w:tcPr>
            <w:tcW w:w="3860" w:type="dxa"/>
            <w:vAlign w:val="bottom"/>
          </w:tcPr>
          <w:p>
            <w:pPr>
              <w:spacing w:after="0"/>
              <w:rPr>
                <w:sz w:val="20"/>
                <w:szCs w:val="20"/>
                <w:color w:val="auto"/>
              </w:rPr>
            </w:pPr>
            <w:r>
              <w:rPr>
                <w:rFonts w:ascii="Arial" w:cs="Arial" w:eastAsia="Arial" w:hAnsi="Arial"/>
                <w:sz w:val="18"/>
                <w:szCs w:val="18"/>
                <w:b w:val="1"/>
                <w:bCs w:val="1"/>
                <w:color w:val="auto"/>
              </w:rPr>
              <w:t>Second-Quarter Results</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color w:val="auto"/>
                <w:w w:val="91"/>
              </w:rPr>
              <w:t>(Stated in millions, except per share amounts)</w:t>
            </w:r>
          </w:p>
        </w:tc>
        <w:tc>
          <w:tcPr>
            <w:tcW w:w="0" w:type="dxa"/>
            <w:vAlign w:val="bottom"/>
          </w:tcPr>
          <w:p>
            <w:pPr>
              <w:spacing w:after="0"/>
              <w:rPr>
                <w:sz w:val="1"/>
                <w:szCs w:val="1"/>
                <w:color w:val="auto"/>
              </w:rPr>
            </w:pPr>
          </w:p>
        </w:tc>
      </w:tr>
      <w:tr>
        <w:trPr>
          <w:trHeight w:val="176"/>
        </w:trPr>
        <w:tc>
          <w:tcPr>
            <w:tcW w:w="3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w w:val="89"/>
              </w:rPr>
              <w:t>Change</w:t>
            </w:r>
          </w:p>
        </w:tc>
        <w:tc>
          <w:tcPr>
            <w:tcW w:w="8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Jun. 30, 2020</w:t>
            </w:r>
          </w:p>
        </w:tc>
        <w:tc>
          <w:tcPr>
            <w:tcW w:w="340" w:type="dxa"/>
            <w:vAlign w:val="bottom"/>
          </w:tcPr>
          <w:p>
            <w:pPr>
              <w:spacing w:after="0"/>
              <w:rPr>
                <w:sz w:val="12"/>
                <w:szCs w:val="12"/>
                <w:color w:val="auto"/>
              </w:rPr>
            </w:pPr>
          </w:p>
        </w:tc>
        <w:tc>
          <w:tcPr>
            <w:tcW w:w="1180" w:type="dxa"/>
            <w:vAlign w:val="bottom"/>
            <w:gridSpan w:val="3"/>
          </w:tcPr>
          <w:p>
            <w:pPr>
              <w:spacing w:after="0" w:line="142" w:lineRule="exact"/>
              <w:rPr>
                <w:sz w:val="20"/>
                <w:szCs w:val="20"/>
                <w:color w:val="auto"/>
              </w:rPr>
            </w:pPr>
            <w:r>
              <w:rPr>
                <w:rFonts w:ascii="Arial" w:cs="Arial" w:eastAsia="Arial" w:hAnsi="Arial"/>
                <w:sz w:val="14"/>
                <w:szCs w:val="14"/>
                <w:color w:val="auto"/>
              </w:rPr>
              <w:t>Mar. 31, 2020</w:t>
            </w:r>
          </w:p>
        </w:tc>
        <w:tc>
          <w:tcPr>
            <w:tcW w:w="16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color w:val="auto"/>
                <w:w w:val="89"/>
              </w:rPr>
              <w:t>Jun. 30, 2019</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right"/>
              <w:ind w:right="588"/>
              <w:spacing w:after="0" w:line="142" w:lineRule="exact"/>
              <w:rPr>
                <w:sz w:val="20"/>
                <w:szCs w:val="20"/>
                <w:color w:val="auto"/>
              </w:rPr>
            </w:pPr>
            <w:r>
              <w:rPr>
                <w:rFonts w:ascii="Arial" w:cs="Arial" w:eastAsia="Arial" w:hAnsi="Arial"/>
                <w:sz w:val="14"/>
                <w:szCs w:val="14"/>
                <w:b w:val="1"/>
                <w:bCs w:val="1"/>
                <w:color w:val="auto"/>
                <w:w w:val="90"/>
              </w:rPr>
              <w:t>Sequential</w:t>
            </w:r>
          </w:p>
        </w:tc>
        <w:tc>
          <w:tcPr>
            <w:tcW w:w="800" w:type="dxa"/>
            <w:vAlign w:val="bottom"/>
          </w:tcPr>
          <w:p>
            <w:pPr>
              <w:spacing w:after="0" w:line="142" w:lineRule="exact"/>
              <w:rPr>
                <w:sz w:val="20"/>
                <w:szCs w:val="20"/>
                <w:color w:val="auto"/>
              </w:rPr>
            </w:pPr>
            <w:r>
              <w:rPr>
                <w:rFonts w:ascii="Arial" w:cs="Arial" w:eastAsia="Arial" w:hAnsi="Arial"/>
                <w:sz w:val="14"/>
                <w:szCs w:val="14"/>
                <w:b w:val="1"/>
                <w:bCs w:val="1"/>
                <w:color w:val="auto"/>
                <w:w w:val="91"/>
              </w:rPr>
              <w:t>Year-on-year</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6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6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5,356</w:t>
            </w:r>
          </w:p>
        </w:tc>
        <w:tc>
          <w:tcPr>
            <w:tcW w:w="24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7,455</w:t>
            </w:r>
          </w:p>
        </w:tc>
        <w:tc>
          <w:tcPr>
            <w:tcW w:w="38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8,269</w:t>
            </w:r>
          </w:p>
        </w:tc>
        <w:tc>
          <w:tcPr>
            <w:tcW w:w="26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-28%</w:t>
            </w:r>
          </w:p>
        </w:tc>
        <w:tc>
          <w:tcPr>
            <w:tcW w:w="1140" w:type="dxa"/>
            <w:vAlign w:val="bottom"/>
            <w:gridSpan w:val="2"/>
            <w:shd w:val="clear" w:color="auto" w:fill="CCEEFF"/>
          </w:tcPr>
          <w:p>
            <w:pPr>
              <w:jc w:val="center"/>
              <w:ind w:left="311"/>
              <w:spacing w:after="0"/>
              <w:rPr>
                <w:sz w:val="20"/>
                <w:szCs w:val="20"/>
                <w:color w:val="auto"/>
              </w:rPr>
            </w:pPr>
            <w:r>
              <w:rPr>
                <w:rFonts w:ascii="Arial" w:cs="Arial" w:eastAsia="Arial" w:hAnsi="Arial"/>
                <w:sz w:val="18"/>
                <w:szCs w:val="18"/>
                <w:b w:val="1"/>
                <w:bCs w:val="1"/>
                <w:color w:val="auto"/>
                <w:w w:val="99"/>
              </w:rPr>
              <w:t>-35%</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Income (loss) before taxes - GAAP basis</w:t>
            </w:r>
          </w:p>
        </w:tc>
        <w:tc>
          <w:tcPr>
            <w:tcW w:w="880" w:type="dxa"/>
            <w:vAlign w:val="bottom"/>
            <w:gridSpan w:val="2"/>
          </w:tcPr>
          <w:p>
            <w:pPr>
              <w:ind w:left="66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(3,627)</w:t>
            </w:r>
          </w:p>
        </w:tc>
        <w:tc>
          <w:tcPr>
            <w:tcW w:w="5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(8,089)</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593</w:t>
            </w:r>
          </w:p>
        </w:tc>
        <w:tc>
          <w:tcPr>
            <w:tcW w:w="280" w:type="dxa"/>
            <w:vAlign w:val="bottom"/>
          </w:tcPr>
          <w:p>
            <w:pPr>
              <w:spacing w:after="0"/>
              <w:rPr>
                <w:sz w:val="18"/>
                <w:szCs w:val="18"/>
                <w:color w:val="auto"/>
              </w:rPr>
            </w:pPr>
          </w:p>
        </w:tc>
        <w:tc>
          <w:tcPr>
            <w:tcW w:w="1320" w:type="dxa"/>
            <w:vAlign w:val="bottom"/>
            <w:gridSpan w:val="2"/>
          </w:tcPr>
          <w:p>
            <w:pPr>
              <w:jc w:val="right"/>
              <w:ind w:right="588"/>
              <w:spacing w:after="0"/>
              <w:rPr>
                <w:sz w:val="20"/>
                <w:szCs w:val="20"/>
                <w:color w:val="auto"/>
              </w:rPr>
            </w:pPr>
            <w:r>
              <w:rPr>
                <w:rFonts w:ascii="Arial" w:cs="Arial" w:eastAsia="Arial" w:hAnsi="Arial"/>
                <w:sz w:val="18"/>
                <w:szCs w:val="18"/>
                <w:b w:val="1"/>
                <w:bCs w:val="1"/>
                <w:color w:val="auto"/>
              </w:rPr>
              <w:t>n/m</w:t>
            </w:r>
          </w:p>
        </w:tc>
        <w:tc>
          <w:tcPr>
            <w:tcW w:w="1140" w:type="dxa"/>
            <w:vAlign w:val="bottom"/>
            <w:gridSpan w:val="2"/>
          </w:tcPr>
          <w:p>
            <w:pPr>
              <w:ind w:left="50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Pretax segment operating income*</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396</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776</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968</w:t>
            </w:r>
          </w:p>
        </w:tc>
        <w:tc>
          <w:tcPr>
            <w:tcW w:w="1600" w:type="dxa"/>
            <w:vAlign w:val="bottom"/>
            <w:gridSpan w:val="3"/>
            <w:shd w:val="clear" w:color="auto" w:fill="CCEEFF"/>
          </w:tcPr>
          <w:p>
            <w:pPr>
              <w:jc w:val="center"/>
              <w:ind w:left="132"/>
              <w:spacing w:after="0"/>
              <w:rPr>
                <w:sz w:val="20"/>
                <w:szCs w:val="20"/>
                <w:color w:val="auto"/>
              </w:rPr>
            </w:pPr>
            <w:r>
              <w:rPr>
                <w:rFonts w:ascii="Arial" w:cs="Arial" w:eastAsia="Arial" w:hAnsi="Arial"/>
                <w:sz w:val="18"/>
                <w:szCs w:val="18"/>
                <w:b w:val="1"/>
                <w:bCs w:val="1"/>
                <w:color w:val="auto"/>
                <w:w w:val="99"/>
              </w:rPr>
              <w:t>-49%</w:t>
            </w:r>
          </w:p>
        </w:tc>
        <w:tc>
          <w:tcPr>
            <w:tcW w:w="1140" w:type="dxa"/>
            <w:vAlign w:val="bottom"/>
            <w:gridSpan w:val="2"/>
            <w:shd w:val="clear" w:color="auto" w:fill="CCEEFF"/>
          </w:tcPr>
          <w:p>
            <w:pPr>
              <w:jc w:val="center"/>
              <w:ind w:left="311"/>
              <w:spacing w:after="0"/>
              <w:rPr>
                <w:sz w:val="20"/>
                <w:szCs w:val="20"/>
                <w:color w:val="auto"/>
              </w:rPr>
            </w:pPr>
            <w:r>
              <w:rPr>
                <w:rFonts w:ascii="Arial" w:cs="Arial" w:eastAsia="Arial" w:hAnsi="Arial"/>
                <w:sz w:val="18"/>
                <w:szCs w:val="18"/>
                <w:b w:val="1"/>
                <w:bCs w:val="1"/>
                <w:color w:val="auto"/>
                <w:w w:val="99"/>
              </w:rPr>
              <w:t>-59%</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Pretax segment operating margin*</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280" w:type="dxa"/>
            <w:vAlign w:val="bottom"/>
          </w:tcPr>
          <w:p>
            <w:pPr>
              <w:spacing w:after="0"/>
              <w:rPr>
                <w:sz w:val="18"/>
                <w:szCs w:val="18"/>
                <w:color w:val="auto"/>
              </w:rPr>
            </w:pPr>
          </w:p>
        </w:tc>
        <w:tc>
          <w:tcPr>
            <w:tcW w:w="1320" w:type="dxa"/>
            <w:vAlign w:val="bottom"/>
            <w:gridSpan w:val="2"/>
          </w:tcPr>
          <w:p>
            <w:pPr>
              <w:jc w:val="center"/>
              <w:ind w:right="48"/>
              <w:spacing w:after="0"/>
              <w:rPr>
                <w:sz w:val="20"/>
                <w:szCs w:val="20"/>
                <w:color w:val="auto"/>
              </w:rPr>
            </w:pPr>
            <w:r>
              <w:rPr>
                <w:rFonts w:ascii="Arial" w:cs="Arial" w:eastAsia="Arial" w:hAnsi="Arial"/>
                <w:sz w:val="18"/>
                <w:szCs w:val="18"/>
                <w:b w:val="1"/>
                <w:bCs w:val="1"/>
                <w:color w:val="auto"/>
                <w:w w:val="87"/>
              </w:rPr>
              <w:t>-303 bps</w:t>
            </w:r>
          </w:p>
        </w:tc>
        <w:tc>
          <w:tcPr>
            <w:tcW w:w="1140" w:type="dxa"/>
            <w:vAlign w:val="bottom"/>
            <w:gridSpan w:val="2"/>
          </w:tcPr>
          <w:p>
            <w:pPr>
              <w:jc w:val="center"/>
              <w:ind w:left="291"/>
              <w:spacing w:after="0"/>
              <w:rPr>
                <w:sz w:val="20"/>
                <w:szCs w:val="20"/>
                <w:color w:val="auto"/>
              </w:rPr>
            </w:pPr>
            <w:r>
              <w:rPr>
                <w:rFonts w:ascii="Arial" w:cs="Arial" w:eastAsia="Arial" w:hAnsi="Arial"/>
                <w:sz w:val="18"/>
                <w:szCs w:val="18"/>
                <w:b w:val="1"/>
                <w:bCs w:val="1"/>
                <w:color w:val="auto"/>
                <w:w w:val="87"/>
              </w:rPr>
              <w:t>-431 bps</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 GAAP basis</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(3,434)</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(7,376)</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492</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b w:val="1"/>
                <w:bCs w:val="1"/>
                <w:color w:val="auto"/>
              </w:rPr>
              <w:t>n/m</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Net income, excluding charges &amp; credits*</w:t>
            </w:r>
          </w:p>
        </w:tc>
        <w:tc>
          <w:tcPr>
            <w:tcW w:w="880" w:type="dxa"/>
            <w:vAlign w:val="bottom"/>
            <w:gridSpan w:val="2"/>
          </w:tcPr>
          <w:p>
            <w:pPr>
              <w:ind w:left="66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69</w:t>
            </w:r>
          </w:p>
        </w:tc>
        <w:tc>
          <w:tcPr>
            <w:tcW w:w="5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351</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492</w:t>
            </w:r>
          </w:p>
        </w:tc>
        <w:tc>
          <w:tcPr>
            <w:tcW w:w="1600" w:type="dxa"/>
            <w:vAlign w:val="bottom"/>
            <w:gridSpan w:val="3"/>
          </w:tcPr>
          <w:p>
            <w:pPr>
              <w:jc w:val="center"/>
              <w:ind w:left="132"/>
              <w:spacing w:after="0"/>
              <w:rPr>
                <w:sz w:val="20"/>
                <w:szCs w:val="20"/>
                <w:color w:val="auto"/>
              </w:rPr>
            </w:pPr>
            <w:r>
              <w:rPr>
                <w:rFonts w:ascii="Arial" w:cs="Arial" w:eastAsia="Arial" w:hAnsi="Arial"/>
                <w:sz w:val="18"/>
                <w:szCs w:val="18"/>
                <w:b w:val="1"/>
                <w:bCs w:val="1"/>
                <w:color w:val="auto"/>
                <w:w w:val="99"/>
              </w:rPr>
              <w:t>-80%</w:t>
            </w:r>
          </w:p>
        </w:tc>
        <w:tc>
          <w:tcPr>
            <w:tcW w:w="1140" w:type="dxa"/>
            <w:vAlign w:val="bottom"/>
            <w:gridSpan w:val="2"/>
          </w:tcPr>
          <w:p>
            <w:pPr>
              <w:jc w:val="center"/>
              <w:ind w:left="311"/>
              <w:spacing w:after="0"/>
              <w:rPr>
                <w:sz w:val="20"/>
                <w:szCs w:val="20"/>
                <w:color w:val="auto"/>
              </w:rPr>
            </w:pPr>
            <w:r>
              <w:rPr>
                <w:rFonts w:ascii="Arial" w:cs="Arial" w:eastAsia="Arial" w:hAnsi="Arial"/>
                <w:sz w:val="18"/>
                <w:szCs w:val="18"/>
                <w:b w:val="1"/>
                <w:bCs w:val="1"/>
                <w:color w:val="auto"/>
                <w:w w:val="99"/>
              </w:rPr>
              <w:t>-86%</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Diluted EPS (loss per share) - GAAP basis</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(2.47)</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(5.32)</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0.35</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b w:val="1"/>
                <w:bCs w:val="1"/>
                <w:color w:val="auto"/>
              </w:rPr>
              <w:t>n/m</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Arial" w:cs="Arial" w:eastAsia="Arial" w:hAnsi="Arial"/>
                <w:sz w:val="18"/>
                <w:szCs w:val="18"/>
                <w:color w:val="auto"/>
              </w:rPr>
              <w:t>Diluted EPS, excluding charges &amp; credits*</w:t>
            </w:r>
          </w:p>
        </w:tc>
        <w:tc>
          <w:tcPr>
            <w:tcW w:w="880" w:type="dxa"/>
            <w:vAlign w:val="bottom"/>
            <w:gridSpan w:val="2"/>
          </w:tcPr>
          <w:p>
            <w:pPr>
              <w:ind w:left="66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0.05</w:t>
            </w:r>
          </w:p>
        </w:tc>
        <w:tc>
          <w:tcPr>
            <w:tcW w:w="5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0.25</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0.35</w:t>
            </w:r>
          </w:p>
        </w:tc>
        <w:tc>
          <w:tcPr>
            <w:tcW w:w="1600" w:type="dxa"/>
            <w:vAlign w:val="bottom"/>
            <w:gridSpan w:val="3"/>
          </w:tcPr>
          <w:p>
            <w:pPr>
              <w:jc w:val="center"/>
              <w:ind w:left="132"/>
              <w:spacing w:after="0"/>
              <w:rPr>
                <w:sz w:val="20"/>
                <w:szCs w:val="20"/>
                <w:color w:val="auto"/>
              </w:rPr>
            </w:pPr>
            <w:r>
              <w:rPr>
                <w:rFonts w:ascii="Arial" w:cs="Arial" w:eastAsia="Arial" w:hAnsi="Arial"/>
                <w:sz w:val="18"/>
                <w:szCs w:val="18"/>
                <w:b w:val="1"/>
                <w:bCs w:val="1"/>
                <w:color w:val="auto"/>
                <w:w w:val="99"/>
              </w:rPr>
              <w:t>-80%</w:t>
            </w:r>
          </w:p>
        </w:tc>
        <w:tc>
          <w:tcPr>
            <w:tcW w:w="1140" w:type="dxa"/>
            <w:vAlign w:val="bottom"/>
            <w:gridSpan w:val="2"/>
          </w:tcPr>
          <w:p>
            <w:pPr>
              <w:jc w:val="center"/>
              <w:ind w:left="311"/>
              <w:spacing w:after="0"/>
              <w:rPr>
                <w:sz w:val="20"/>
                <w:szCs w:val="20"/>
                <w:color w:val="auto"/>
              </w:rPr>
            </w:pPr>
            <w:r>
              <w:rPr>
                <w:rFonts w:ascii="Arial" w:cs="Arial" w:eastAsia="Arial" w:hAnsi="Arial"/>
                <w:sz w:val="18"/>
                <w:szCs w:val="18"/>
                <w:b w:val="1"/>
                <w:bCs w:val="1"/>
                <w:color w:val="auto"/>
                <w:w w:val="99"/>
              </w:rPr>
              <w:t>-86%</w:t>
            </w:r>
          </w:p>
        </w:tc>
        <w:tc>
          <w:tcPr>
            <w:tcW w:w="0" w:type="dxa"/>
            <w:vAlign w:val="bottom"/>
          </w:tcPr>
          <w:p>
            <w:pPr>
              <w:spacing w:after="0"/>
              <w:rPr>
                <w:sz w:val="1"/>
                <w:szCs w:val="1"/>
                <w:color w:val="auto"/>
              </w:rPr>
            </w:pPr>
          </w:p>
        </w:tc>
      </w:tr>
      <w:tr>
        <w:trPr>
          <w:trHeight w:val="90"/>
        </w:trPr>
        <w:tc>
          <w:tcPr>
            <w:tcW w:w="38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1,183</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2,279</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2,801</w:t>
            </w:r>
          </w:p>
        </w:tc>
        <w:tc>
          <w:tcPr>
            <w:tcW w:w="1600" w:type="dxa"/>
            <w:vAlign w:val="bottom"/>
            <w:gridSpan w:val="3"/>
            <w:shd w:val="clear" w:color="auto" w:fill="CCEEFF"/>
          </w:tcPr>
          <w:p>
            <w:pPr>
              <w:jc w:val="center"/>
              <w:ind w:left="132"/>
              <w:spacing w:after="0"/>
              <w:rPr>
                <w:sz w:val="20"/>
                <w:szCs w:val="20"/>
                <w:color w:val="auto"/>
              </w:rPr>
            </w:pPr>
            <w:r>
              <w:rPr>
                <w:rFonts w:ascii="Arial" w:cs="Arial" w:eastAsia="Arial" w:hAnsi="Arial"/>
                <w:sz w:val="18"/>
                <w:szCs w:val="18"/>
                <w:b w:val="1"/>
                <w:bCs w:val="1"/>
                <w:color w:val="auto"/>
                <w:w w:val="99"/>
              </w:rPr>
              <w:t>-48%</w:t>
            </w:r>
          </w:p>
        </w:tc>
        <w:tc>
          <w:tcPr>
            <w:tcW w:w="1140" w:type="dxa"/>
            <w:vAlign w:val="bottom"/>
            <w:gridSpan w:val="2"/>
            <w:shd w:val="clear" w:color="auto" w:fill="CCEEFF"/>
          </w:tcPr>
          <w:p>
            <w:pPr>
              <w:jc w:val="center"/>
              <w:ind w:left="311"/>
              <w:spacing w:after="0"/>
              <w:rPr>
                <w:sz w:val="20"/>
                <w:szCs w:val="20"/>
                <w:color w:val="auto"/>
              </w:rPr>
            </w:pPr>
            <w:r>
              <w:rPr>
                <w:rFonts w:ascii="Arial" w:cs="Arial" w:eastAsia="Arial" w:hAnsi="Arial"/>
                <w:sz w:val="18"/>
                <w:szCs w:val="18"/>
                <w:b w:val="1"/>
                <w:bCs w:val="1"/>
                <w:color w:val="auto"/>
                <w:w w:val="99"/>
              </w:rPr>
              <w:t>-58%</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Arial" w:cs="Arial" w:eastAsia="Arial" w:hAnsi="Arial"/>
                <w:sz w:val="18"/>
                <w:szCs w:val="18"/>
                <w:color w:val="auto"/>
              </w:rPr>
              <w:t>International revenue</w:t>
            </w:r>
          </w:p>
        </w:tc>
        <w:tc>
          <w:tcPr>
            <w:tcW w:w="880" w:type="dxa"/>
            <w:vAlign w:val="bottom"/>
            <w:gridSpan w:val="2"/>
          </w:tcPr>
          <w:p>
            <w:pPr>
              <w:ind w:left="66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4,138</w:t>
            </w:r>
          </w:p>
        </w:tc>
        <w:tc>
          <w:tcPr>
            <w:tcW w:w="5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5,121</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5,463</w:t>
            </w:r>
          </w:p>
        </w:tc>
        <w:tc>
          <w:tcPr>
            <w:tcW w:w="1600" w:type="dxa"/>
            <w:vAlign w:val="bottom"/>
            <w:gridSpan w:val="3"/>
          </w:tcPr>
          <w:p>
            <w:pPr>
              <w:jc w:val="center"/>
              <w:ind w:left="132"/>
              <w:spacing w:after="0"/>
              <w:rPr>
                <w:sz w:val="20"/>
                <w:szCs w:val="20"/>
                <w:color w:val="auto"/>
              </w:rPr>
            </w:pPr>
            <w:r>
              <w:rPr>
                <w:rFonts w:ascii="Arial" w:cs="Arial" w:eastAsia="Arial" w:hAnsi="Arial"/>
                <w:sz w:val="18"/>
                <w:szCs w:val="18"/>
                <w:b w:val="1"/>
                <w:bCs w:val="1"/>
                <w:color w:val="auto"/>
                <w:w w:val="99"/>
              </w:rPr>
              <w:t>-19%</w:t>
            </w:r>
          </w:p>
        </w:tc>
        <w:tc>
          <w:tcPr>
            <w:tcW w:w="1140" w:type="dxa"/>
            <w:vAlign w:val="bottom"/>
            <w:gridSpan w:val="2"/>
          </w:tcPr>
          <w:p>
            <w:pPr>
              <w:jc w:val="center"/>
              <w:ind w:left="311"/>
              <w:spacing w:after="0"/>
              <w:rPr>
                <w:sz w:val="20"/>
                <w:szCs w:val="20"/>
                <w:color w:val="auto"/>
              </w:rPr>
            </w:pPr>
            <w:r>
              <w:rPr>
                <w:rFonts w:ascii="Arial" w:cs="Arial" w:eastAsia="Arial" w:hAnsi="Arial"/>
                <w:sz w:val="18"/>
                <w:szCs w:val="18"/>
                <w:b w:val="1"/>
                <w:bCs w:val="1"/>
                <w:color w:val="auto"/>
                <w:w w:val="99"/>
              </w:rPr>
              <w:t>-24%</w:t>
            </w:r>
          </w:p>
        </w:tc>
        <w:tc>
          <w:tcPr>
            <w:tcW w:w="0" w:type="dxa"/>
            <w:vAlign w:val="bottom"/>
          </w:tcPr>
          <w:p>
            <w:pPr>
              <w:spacing w:after="0"/>
              <w:rPr>
                <w:sz w:val="1"/>
                <w:szCs w:val="1"/>
                <w:color w:val="auto"/>
              </w:rPr>
            </w:pPr>
          </w:p>
        </w:tc>
      </w:tr>
      <w:tr>
        <w:trPr>
          <w:trHeight w:val="90"/>
        </w:trPr>
        <w:tc>
          <w:tcPr>
            <w:tcW w:w="38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 excluding Cameron</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842</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1,773</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2,201</w:t>
            </w:r>
          </w:p>
        </w:tc>
        <w:tc>
          <w:tcPr>
            <w:tcW w:w="1600" w:type="dxa"/>
            <w:vAlign w:val="bottom"/>
            <w:gridSpan w:val="3"/>
            <w:shd w:val="clear" w:color="auto" w:fill="CCEEFF"/>
          </w:tcPr>
          <w:p>
            <w:pPr>
              <w:jc w:val="center"/>
              <w:ind w:left="132"/>
              <w:spacing w:after="0"/>
              <w:rPr>
                <w:sz w:val="20"/>
                <w:szCs w:val="20"/>
                <w:color w:val="auto"/>
              </w:rPr>
            </w:pPr>
            <w:r>
              <w:rPr>
                <w:rFonts w:ascii="Arial" w:cs="Arial" w:eastAsia="Arial" w:hAnsi="Arial"/>
                <w:sz w:val="18"/>
                <w:szCs w:val="18"/>
                <w:b w:val="1"/>
                <w:bCs w:val="1"/>
                <w:color w:val="auto"/>
                <w:w w:val="99"/>
              </w:rPr>
              <w:t>-53%</w:t>
            </w:r>
          </w:p>
        </w:tc>
        <w:tc>
          <w:tcPr>
            <w:tcW w:w="1140" w:type="dxa"/>
            <w:vAlign w:val="bottom"/>
            <w:gridSpan w:val="2"/>
            <w:shd w:val="clear" w:color="auto" w:fill="CCEEFF"/>
          </w:tcPr>
          <w:p>
            <w:pPr>
              <w:jc w:val="center"/>
              <w:ind w:left="311"/>
              <w:spacing w:after="0"/>
              <w:rPr>
                <w:sz w:val="20"/>
                <w:szCs w:val="20"/>
                <w:color w:val="auto"/>
              </w:rPr>
            </w:pPr>
            <w:r>
              <w:rPr>
                <w:rFonts w:ascii="Arial" w:cs="Arial" w:eastAsia="Arial" w:hAnsi="Arial"/>
                <w:sz w:val="18"/>
                <w:szCs w:val="18"/>
                <w:b w:val="1"/>
                <w:bCs w:val="1"/>
                <w:color w:val="auto"/>
                <w:w w:val="99"/>
              </w:rPr>
              <w:t>-62%</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Arial" w:cs="Arial" w:eastAsia="Arial" w:hAnsi="Arial"/>
                <w:sz w:val="18"/>
                <w:szCs w:val="18"/>
                <w:color w:val="auto"/>
              </w:rPr>
              <w:t>International revenue, excluding Cameron</w:t>
            </w:r>
          </w:p>
        </w:tc>
        <w:tc>
          <w:tcPr>
            <w:tcW w:w="880" w:type="dxa"/>
            <w:vAlign w:val="bottom"/>
            <w:gridSpan w:val="2"/>
          </w:tcPr>
          <w:p>
            <w:pPr>
              <w:ind w:left="66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3,463</w:t>
            </w:r>
          </w:p>
        </w:tc>
        <w:tc>
          <w:tcPr>
            <w:tcW w:w="5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4,395</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4,708</w:t>
            </w:r>
          </w:p>
        </w:tc>
        <w:tc>
          <w:tcPr>
            <w:tcW w:w="1600" w:type="dxa"/>
            <w:vAlign w:val="bottom"/>
            <w:gridSpan w:val="3"/>
          </w:tcPr>
          <w:p>
            <w:pPr>
              <w:jc w:val="center"/>
              <w:ind w:left="132"/>
              <w:spacing w:after="0"/>
              <w:rPr>
                <w:sz w:val="20"/>
                <w:szCs w:val="20"/>
                <w:color w:val="auto"/>
              </w:rPr>
            </w:pPr>
            <w:r>
              <w:rPr>
                <w:rFonts w:ascii="Arial" w:cs="Arial" w:eastAsia="Arial" w:hAnsi="Arial"/>
                <w:sz w:val="18"/>
                <w:szCs w:val="18"/>
                <w:b w:val="1"/>
                <w:bCs w:val="1"/>
                <w:color w:val="auto"/>
                <w:w w:val="99"/>
              </w:rPr>
              <w:t>-21%</w:t>
            </w:r>
          </w:p>
        </w:tc>
        <w:tc>
          <w:tcPr>
            <w:tcW w:w="1140" w:type="dxa"/>
            <w:vAlign w:val="bottom"/>
            <w:gridSpan w:val="2"/>
          </w:tcPr>
          <w:p>
            <w:pPr>
              <w:jc w:val="center"/>
              <w:ind w:left="311"/>
              <w:spacing w:after="0"/>
              <w:rPr>
                <w:sz w:val="20"/>
                <w:szCs w:val="20"/>
                <w:color w:val="auto"/>
              </w:rPr>
            </w:pPr>
            <w:r>
              <w:rPr>
                <w:rFonts w:ascii="Arial" w:cs="Arial" w:eastAsia="Arial" w:hAnsi="Arial"/>
                <w:sz w:val="18"/>
                <w:szCs w:val="18"/>
                <w:b w:val="1"/>
                <w:bCs w:val="1"/>
                <w:color w:val="auto"/>
                <w:w w:val="99"/>
              </w:rPr>
              <w:t>-26%</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 w:right="2700" w:hanging="4"/>
        <w:spacing w:after="0" w:line="277" w:lineRule="auto"/>
        <w:tabs>
          <w:tab w:leader="none" w:pos="43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are non-GAAP financial measures. See sections titled “Charges &amp; Credits” and “Segments” for details. n/m = not meaningful</w:t>
      </w:r>
    </w:p>
    <w:p>
      <w:pPr>
        <w:spacing w:after="0" w:line="170"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Schlumberger CEO Olivier Le Peuch commented, “Before addressing our results, I would like to pay tribute to our employees and contractors for their remarkable resilience in the face of the historic COVID-19 pandemic that confronts us all.</w:t>
      </w:r>
    </w:p>
    <w:p>
      <w:pPr>
        <w:spacing w:after="0" w:line="170" w:lineRule="exact"/>
        <w:rPr>
          <w:sz w:val="20"/>
          <w:szCs w:val="20"/>
          <w:color w:val="auto"/>
        </w:rPr>
      </w:pPr>
    </w:p>
    <w:p>
      <w:pPr>
        <w:ind w:left="4" w:right="120"/>
        <w:spacing w:after="0" w:line="275" w:lineRule="auto"/>
        <w:rPr>
          <w:sz w:val="20"/>
          <w:szCs w:val="20"/>
          <w:color w:val="auto"/>
        </w:rPr>
      </w:pPr>
      <w:r>
        <w:rPr>
          <w:rFonts w:ascii="Arial" w:cs="Arial" w:eastAsia="Arial" w:hAnsi="Arial"/>
          <w:sz w:val="17"/>
          <w:szCs w:val="17"/>
          <w:color w:val="auto"/>
        </w:rPr>
        <w:t>“Our employees and contractors have shown outstanding adaptability to the new working environment with up to 55,000 of our people working remotely to maintain business continuity. They have embraced digital remote operations, adjusted work practices to mitigate contamination risks, and delivered benchmark safety and service quality performance for our customers. I would like to extend my heartfelt appreciation for their dedication and sacrifices while working in a difficult operating environment, and for their leadership in helping the communities where we live and work. As the pandemic lingers, we will remain cautious in our global operations. The safety of our people remains paramount.</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4" w:name="page5"/>
    <w:bookmarkEnd w:id="4"/>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has probably been the most challenging quarter in past decades. Schlumberger second-quarter revenue declined 28% sequentially, caused by the unprecedented fall in North America activity, and international activity drop due to downward revisions to customer budgets accentuated by COVID-19 disruptions. This speaks volumes about an industry confronted with historic oil demand and supply imbalances caused by demand destruction from the global COVID-19 containment effort.</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“North America revenue declined 48% sequentially with land revenue falling 60% as customers dramatically cut back spending. International revenue declined 19% sequentially with Latin America and Africa experiencing the largest revenue declines due to COVID-19-related restrictions and the drop in deepwater activity. In addition, there was a production interruption in our Asset Performance Solutions (APS) projects in Ecuador caused by a major land slide that led to the rupture of the main pipeline. Revenue in the Middle East, Russia, Europe, and Asia proved more resilient as these regions, when combined, declined 10% sequentially.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80" w:type="dxa"/>
            <w:vAlign w:val="bottom"/>
          </w:tcPr>
          <w:p>
            <w:pPr>
              <w:spacing w:after="0"/>
              <w:rPr>
                <w:sz w:val="20"/>
                <w:szCs w:val="20"/>
                <w:color w:val="auto"/>
              </w:rPr>
            </w:pPr>
            <w:r>
              <w:rPr>
                <w:rFonts w:ascii="Arial" w:cs="Arial" w:eastAsia="Arial" w:hAnsi="Arial"/>
                <w:sz w:val="18"/>
                <w:szCs w:val="18"/>
                <w:b w:val="1"/>
                <w:bCs w:val="1"/>
                <w:color w:val="auto"/>
              </w:rPr>
              <w:t>Second-Quarter Revenue by Segment</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3"/>
          </w:tcPr>
          <w:p>
            <w:pPr>
              <w:jc w:val="right"/>
              <w:ind w:right="2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9"/>
              </w:rPr>
              <w:t>Three Months Ended</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6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Jun. 30, 2020</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2"/>
              </w:rPr>
              <w:t>Mar. 31, 2020</w:t>
            </w: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89"/>
              </w:rPr>
              <w:t>Jun. 30, 2019</w:t>
            </w:r>
          </w:p>
        </w:tc>
        <w:tc>
          <w:tcPr>
            <w:tcW w:w="48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168"/>
              <w:spacing w:after="0" w:line="142" w:lineRule="exact"/>
              <w:rPr>
                <w:sz w:val="20"/>
                <w:szCs w:val="20"/>
                <w:color w:val="auto"/>
              </w:rPr>
            </w:pPr>
            <w:r>
              <w:rPr>
                <w:rFonts w:ascii="Arial" w:cs="Arial" w:eastAsia="Arial" w:hAnsi="Arial"/>
                <w:sz w:val="14"/>
                <w:szCs w:val="14"/>
                <w:b w:val="1"/>
                <w:bCs w:val="1"/>
                <w:color w:val="auto"/>
                <w:w w:val="87"/>
              </w:rPr>
              <w:t>Sequential</w:t>
            </w:r>
          </w:p>
        </w:tc>
        <w:tc>
          <w:tcPr>
            <w:tcW w:w="3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Year-on-year</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1,052</w:t>
            </w:r>
          </w:p>
        </w:tc>
        <w:tc>
          <w:tcPr>
            <w:tcW w:w="120" w:type="dxa"/>
            <w:vAlign w:val="bottom"/>
            <w:tcBorders>
              <w:left w:val="single" w:sz="8" w:color="CCEEFF"/>
            </w:tcBorders>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4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4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38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Drilling</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1,731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2,289</w:t>
            </w:r>
          </w:p>
        </w:tc>
        <w:tc>
          <w:tcPr>
            <w:tcW w:w="24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2,420</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-24%</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1,615</w:t>
            </w:r>
          </w:p>
        </w:tc>
        <w:tc>
          <w:tcPr>
            <w:tcW w:w="12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2,703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3,077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Cameron</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1,015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1,254</w:t>
            </w:r>
          </w:p>
        </w:tc>
        <w:tc>
          <w:tcPr>
            <w:tcW w:w="24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1,328</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-19%</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(57)</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(114)</w:t>
            </w:r>
          </w:p>
        </w:tc>
        <w:tc>
          <w:tcPr>
            <w:tcW w:w="8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n/m</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8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5,356</w:t>
            </w:r>
          </w:p>
        </w:tc>
        <w:tc>
          <w:tcPr>
            <w:tcW w:w="1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7,455</w:t>
            </w:r>
          </w:p>
        </w:tc>
        <w:tc>
          <w:tcPr>
            <w:tcW w:w="46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8,269</w:t>
            </w:r>
          </w:p>
        </w:tc>
        <w:tc>
          <w:tcPr>
            <w:tcW w:w="480" w:type="dxa"/>
            <w:vAlign w:val="bottom"/>
            <w:vMerge w:val="continue"/>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-28%</w:t>
            </w:r>
          </w:p>
        </w:tc>
        <w:tc>
          <w:tcPr>
            <w:tcW w:w="380" w:type="dxa"/>
            <w:vAlign w:val="bottom"/>
            <w:vMerge w:val="continue"/>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22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“By business segment sequentially, second-quarter revenue for Reservoir Characterization and Drilling fell 20% and 24%, respectively. This was due to the North America land activity decline and COVID-19 disruptions in several international GeoMarkets. Production revenue declined 40% sequentially, driven by the precipitous drop in OneStim</w:t>
      </w:r>
      <w:r>
        <w:rPr>
          <w:rFonts w:ascii="Arial" w:cs="Arial" w:eastAsia="Arial" w:hAnsi="Arial"/>
          <w:sz w:val="15"/>
          <w:szCs w:val="15"/>
          <w:color w:val="auto"/>
        </w:rPr>
        <w:t>®</w:t>
      </w:r>
      <w:r>
        <w:rPr>
          <w:rFonts w:ascii="Arial" w:cs="Arial" w:eastAsia="Arial" w:hAnsi="Arial"/>
          <w:sz w:val="18"/>
          <w:szCs w:val="18"/>
          <w:color w:val="auto"/>
        </w:rPr>
        <w:t xml:space="preserve"> pressure-pumping activity. Cameron revenue declined 19% sequentially, mostly due to North America land activity decline in Surface Systems and Valves &amp; Process Systems.</w:t>
      </w:r>
    </w:p>
    <w:p>
      <w:pPr>
        <w:spacing w:after="0" w:line="18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 the face of such adversity, Schlumberger has demonstrated resilience. Through our decisive actions, we protected our liquidity and cash positions, and sustained resilient international margins while navigating the trough of this downcycle. The results of our actions and continued success with technology—particularly digital—can be seen from our decremental margins and our strong free cash flow generation.</w:t>
      </w:r>
    </w:p>
    <w:p>
      <w:pPr>
        <w:spacing w:after="0" w:line="16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“First, our cash flow from operations was $803 million and we generated $465 million of free cash flow despite significant severance payments during the quarter. We continue to be opportunistic in accessing the financial markets, systematically refinancing and spacing out future debt maturities, and taking proactive measures to enhance our liquidity position.</w:t>
      </w:r>
    </w:p>
    <w:p>
      <w:pPr>
        <w:spacing w:after="0" w:line="18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“Second, despite the severe drop in international revenue and the significant effect of the APS production interruption in Ecuador, international margin was extraordinarily resilient, as it was essentially flat compared to the previous quarter. Three out of our four business segments and more than half of our 13 international GeoMarkets either expanded or maintained their international margins on a sequential basis. This was due to our swift and decisive actions to reduce operating costs, restructure, and rationalize our asset base. We are permanently removing $1.5 billion of structural costs annually by reorganizing Schlumberger into a leaner and more responsive company that is better aligned with our customers’ workflows. We are combining our 17 product lines into four divisions, structuring our geographic organization around five key basins of activity, and streamlining our management structure.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5" w:name="page6"/>
    <w:bookmarkEnd w:id="5"/>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addition, significant progress was also made in improving the results of previously underperforming business units and digital technology adoption has increased. Overall this quarter, we posted a decremental operating margin of 18% sequentially.</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response to market conditions, we recorded $3.7 billion of pretax restructuring and asset impairment charges, including $1 billion of severance costs, as of the end of the quarter. The remaining portion of the charge largely relates to the non-cash impairment of certain assets.</w:t>
      </w:r>
    </w:p>
    <w:p>
      <w:pPr>
        <w:spacing w:after="0" w:line="14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“Altogether, I am extremely proud of our operational and financial performance during the quarter as we continue to build the foundation for our future success while we navigate the trough of this downcycle.</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“Looking at the macro view in the near-term, oil demand is slowly starting to normalize and is expected to improve as government measures support consumption. However, subsequent waves of potential COVID-19 resurgence pose a negative risk to this outlook.</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conditions are set in the third quarter for a modest frac completion activity increase in North America, though from a very low base. Internationally, markets may continue to be disrupted by the pandemic and will continue to adjust to budget levels set during the second quarter, but this would be mostly offset by the seasonal return of activity in the Northern Hemisphere and the rebound of Latin America from its second-quarter weakness. However, any further material COVID-19 disruption or significant setback in oil demand arising from a slower economic recovery could present downside risks to this outlook. Absent these risks, we anticipate flat sequential revenue on a global basis and our pretax segment operating income and margin should expand as a result of our restructuring efforts, improved activity mix, and sustained benefits from technology adoption, including digital.</w:t>
      </w:r>
    </w:p>
    <w:p>
      <w:pPr>
        <w:spacing w:after="0" w:line="19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believe the decisive and comprehensive measures we have taken to face the industry reality will continue to protect our liquidity and cash positions and allow us to expand our margins. We have taken the long-term view in restructuring our company—aligning with our customers’ workflows, empowering a lean and responsive organization, and accelerating the execution of our performance strategy, with capital stewardship, fit-for-basin, and digital as key attributes of success. I am extremely optimistic about the future of Schlumberger, building on the strength of our international franchise and positioning the company as the performance partner of choice for our customers in the new industry landscape.”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second quarter, Schlumberger issued EUR 1 billion of 1.375% Notes due 2026, $900 million of 2.650% Notes due 2030, and EUR 1 billion of 2.000% Notes due 2032.</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June, Schlumberger repurchased $1.5 billion of its outstanding notes, consisting of $935 million of its 3.300% Notes due 2021 and all $600 million of its 4.200% Notes due 2021.</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July 23, 2020, Schlumberger’s Board of Directors approved a quarterly cash dividend of $0.125 per share of outstanding common stock, payable on October 8, 2020 to stockholders of record on September 2, 2020.</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Consolidated Revenue by Area</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3"/>
          </w:tcPr>
          <w:p>
            <w:pPr>
              <w:jc w:val="right"/>
              <w:ind w:right="2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9"/>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6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Jun. 30, 2020</w:t>
            </w: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right"/>
              <w:ind w:right="340"/>
              <w:spacing w:after="0" w:line="142" w:lineRule="exact"/>
              <w:rPr>
                <w:sz w:val="20"/>
                <w:szCs w:val="20"/>
                <w:color w:val="auto"/>
              </w:rPr>
            </w:pPr>
            <w:r>
              <w:rPr>
                <w:rFonts w:ascii="Arial" w:cs="Arial" w:eastAsia="Arial" w:hAnsi="Arial"/>
                <w:sz w:val="14"/>
                <w:szCs w:val="14"/>
                <w:color w:val="auto"/>
                <w:w w:val="90"/>
              </w:rPr>
              <w:t>Mar. 31, 2020</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89"/>
              </w:rPr>
              <w:t>Jun. 30, 2019</w:t>
            </w:r>
          </w:p>
        </w:tc>
        <w:tc>
          <w:tcPr>
            <w:tcW w:w="44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168"/>
              <w:spacing w:after="0" w:line="142" w:lineRule="exact"/>
              <w:rPr>
                <w:sz w:val="20"/>
                <w:szCs w:val="20"/>
                <w:color w:val="auto"/>
              </w:rPr>
            </w:pPr>
            <w:r>
              <w:rPr>
                <w:rFonts w:ascii="Arial" w:cs="Arial" w:eastAsia="Arial" w:hAnsi="Arial"/>
                <w:sz w:val="14"/>
                <w:szCs w:val="14"/>
                <w:b w:val="1"/>
                <w:bCs w:val="1"/>
                <w:color w:val="auto"/>
                <w:w w:val="87"/>
              </w:rPr>
              <w:t>Sequential</w:t>
            </w:r>
          </w:p>
        </w:tc>
        <w:tc>
          <w:tcPr>
            <w:tcW w:w="3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Year-on-year</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1,183</w:t>
            </w:r>
          </w:p>
        </w:tc>
        <w:tc>
          <w:tcPr>
            <w:tcW w:w="8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34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44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38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Latin Americ a</w:t>
            </w:r>
          </w:p>
        </w:tc>
        <w:tc>
          <w:tcPr>
            <w:tcW w:w="2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543</w:t>
            </w:r>
          </w:p>
        </w:tc>
        <w:tc>
          <w:tcPr>
            <w:tcW w:w="6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1,115</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-42%</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1,449</w:t>
            </w:r>
          </w:p>
        </w:tc>
        <w:tc>
          <w:tcPr>
            <w:tcW w:w="6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1,896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Middle East &amp; Asia</w:t>
            </w:r>
          </w:p>
        </w:tc>
        <w:tc>
          <w:tcPr>
            <w:tcW w:w="2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2,146</w:t>
            </w:r>
          </w:p>
        </w:tc>
        <w:tc>
          <w:tcPr>
            <w:tcW w:w="6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2,426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2,452</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35</w:t>
            </w:r>
          </w:p>
        </w:tc>
        <w:tc>
          <w:tcPr>
            <w:tcW w:w="6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w:t>
            </w:r>
          </w:p>
        </w:tc>
        <w:tc>
          <w:tcPr>
            <w:tcW w:w="8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n/m</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5,356</w:t>
            </w:r>
          </w:p>
        </w:tc>
        <w:tc>
          <w:tcPr>
            <w:tcW w:w="8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7,455</w:t>
            </w:r>
          </w:p>
        </w:tc>
        <w:tc>
          <w:tcPr>
            <w:tcW w:w="3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8,269</w:t>
            </w:r>
          </w:p>
        </w:tc>
        <w:tc>
          <w:tcPr>
            <w:tcW w:w="440" w:type="dxa"/>
            <w:vAlign w:val="bottom"/>
            <w:vMerge w:val="continue"/>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-28%</w:t>
            </w:r>
          </w:p>
        </w:tc>
        <w:tc>
          <w:tcPr>
            <w:tcW w:w="380" w:type="dxa"/>
            <w:vAlign w:val="bottom"/>
            <w:vMerge w:val="continue"/>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1,183</w:t>
            </w:r>
          </w:p>
        </w:tc>
        <w:tc>
          <w:tcPr>
            <w:tcW w:w="6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2,279</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2,801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r>
              <w:rPr>
                <w:rFonts w:ascii="Arial" w:cs="Arial" w:eastAsia="Arial" w:hAnsi="Arial"/>
                <w:sz w:val="18"/>
                <w:szCs w:val="18"/>
                <w:color w:val="auto"/>
              </w:rPr>
              <w:t>International revenue</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4,138</w:t>
            </w:r>
          </w:p>
        </w:tc>
        <w:tc>
          <w:tcPr>
            <w:tcW w:w="6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5,121</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5,463</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-19%</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90"/>
        </w:trPr>
        <w:tc>
          <w:tcPr>
            <w:tcW w:w="5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 excluding Cameron</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842</w:t>
            </w:r>
          </w:p>
        </w:tc>
        <w:tc>
          <w:tcPr>
            <w:tcW w:w="6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1,773</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2,201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r>
              <w:rPr>
                <w:rFonts w:ascii="Arial" w:cs="Arial" w:eastAsia="Arial" w:hAnsi="Arial"/>
                <w:sz w:val="18"/>
                <w:szCs w:val="18"/>
                <w:color w:val="auto"/>
              </w:rPr>
              <w:t>International revenue, excluding Cameron</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3,463</w:t>
            </w:r>
          </w:p>
        </w:tc>
        <w:tc>
          <w:tcPr>
            <w:tcW w:w="6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4,395</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4,708</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21%</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1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North America </w:t>
      </w:r>
      <w:r>
        <w:rPr>
          <w:rFonts w:ascii="Arial" w:cs="Arial" w:eastAsia="Arial" w:hAnsi="Arial"/>
          <w:sz w:val="18"/>
          <w:szCs w:val="18"/>
          <w:color w:val="auto"/>
        </w:rPr>
        <w:t>area consolidated revenue of $1.2 billion was 48% lower sequentially with North America land revenue falling 60%, in line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decline in rig and hydraulic fracturing stage counts, as customers dramatically cut back spending. OneStim fracturing and land drilling activity fell as customers revised budgets downward, challenged by low oil prices, take-away constraints, and storage overflow. In addition, sales in North America land of Surface Systems, Artificial Lift Solutions, and Valves &amp; Process Systems decreased sequentially. North America offshore revenue decreased less severely, 12% sequentially.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11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 xml:space="preserve">Consolidated revenue in the </w:t>
      </w:r>
      <w:r>
        <w:rPr>
          <w:rFonts w:ascii="Arial" w:cs="Arial" w:eastAsia="Arial" w:hAnsi="Arial"/>
          <w:sz w:val="18"/>
          <w:szCs w:val="18"/>
          <w:b w:val="1"/>
          <w:bCs w:val="1"/>
          <w:color w:val="auto"/>
        </w:rPr>
        <w:t>Latin America</w:t>
      </w:r>
      <w:r>
        <w:rPr>
          <w:rFonts w:ascii="Arial" w:cs="Arial" w:eastAsia="Arial" w:hAnsi="Arial"/>
          <w:sz w:val="18"/>
          <w:szCs w:val="18"/>
          <w:color w:val="auto"/>
        </w:rPr>
        <w:t xml:space="preserve"> area of $543 million decreased 42% sequentially, primarily due to a production interruption in our APS projects in Ecuador. In addition, COVID-19 disruptions affected drilling activities in Argentina, Bolivia, Colombia, and Peru. In contrast, Mexico and Brazil declined less severely as reduced land activity was partially offset by offshore exploration operations, where work continued with COVID-19 risk-mitigation protocols.</w:t>
      </w:r>
    </w:p>
    <w:p>
      <w:pPr>
        <w:spacing w:after="0" w:line="180"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Europe/CIS/Africa </w:t>
      </w:r>
      <w:r>
        <w:rPr>
          <w:rFonts w:ascii="Arial" w:cs="Arial" w:eastAsia="Arial" w:hAnsi="Arial"/>
          <w:sz w:val="18"/>
          <w:szCs w:val="18"/>
          <w:color w:val="auto"/>
        </w:rPr>
        <w:t>area consolidated revenue of $1.4 billion decreased 17% sequentially due to a significant drop in activity in the Sub-Sahara Africa</w:t>
      </w:r>
      <w:r>
        <w:rPr>
          <w:rFonts w:ascii="Arial" w:cs="Arial" w:eastAsia="Arial" w:hAnsi="Arial"/>
          <w:sz w:val="18"/>
          <w:szCs w:val="18"/>
          <w:b w:val="1"/>
          <w:bCs w:val="1"/>
          <w:color w:val="auto"/>
        </w:rPr>
        <w:t xml:space="preserve"> </w:t>
      </w:r>
      <w:r>
        <w:rPr>
          <w:rFonts w:ascii="Arial" w:cs="Arial" w:eastAsia="Arial" w:hAnsi="Arial"/>
          <w:sz w:val="18"/>
          <w:szCs w:val="18"/>
          <w:color w:val="auto"/>
        </w:rPr>
        <w:t>and North Africa GeoMarkets from COVID-19 disruptions, project cancellations, and work stoppages. The Russia &amp; Central Asia GeoMarket was resilient as COVID-19 activity disruption was offset by the pickup of seasonal land activity in Russia, in preparation for the summer drilling campaigns. Revenue also declined less in the North Sea and Continental Europe, following the winter slowdown and as activity resumed later in the quarter after COVID-19 lockdowns were relaxed.</w:t>
      </w:r>
    </w:p>
    <w:p>
      <w:pPr>
        <w:spacing w:after="0" w:line="183"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color w:val="auto"/>
        </w:rPr>
        <w:t xml:space="preserve">Consolidated revenue in the </w:t>
      </w:r>
      <w:r>
        <w:rPr>
          <w:rFonts w:ascii="Arial" w:cs="Arial" w:eastAsia="Arial" w:hAnsi="Arial"/>
          <w:sz w:val="17"/>
          <w:szCs w:val="17"/>
          <w:b w:val="1"/>
          <w:bCs w:val="1"/>
          <w:color w:val="auto"/>
        </w:rPr>
        <w:t>Middle East &amp; Asia</w:t>
      </w:r>
      <w:r>
        <w:rPr>
          <w:rFonts w:ascii="Arial" w:cs="Arial" w:eastAsia="Arial" w:hAnsi="Arial"/>
          <w:sz w:val="17"/>
          <w:szCs w:val="17"/>
          <w:color w:val="auto"/>
        </w:rPr>
        <w:t xml:space="preserve"> area of $2.1 billion decreased 12% sequentially, primarily due to a significant drop in activity in the Eastern Middle East and South East Asia GeoMarkets from work delays, project suspensions, and completed contracts. Revenue in the North Middle East and Saudi Arabia &amp; Bahrain GeoMarkets declined less due to new projects. Revenue in the Far East Asia GeoMarket was essentially flat as project delays were offset by the seasonal rebound and resumption of activity after the lifting of COVID-19 lockdowns in China.</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Reservoir Characterization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3"/>
          </w:tcPr>
          <w:p>
            <w:pPr>
              <w:ind w:left="8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9"/>
              </w:rPr>
              <w:t>Three Months Ended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80" w:type="dxa"/>
            <w:vAlign w:val="bottom"/>
            <w:gridSpan w:val="4"/>
          </w:tcPr>
          <w:p>
            <w:pPr>
              <w:ind w:left="2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 30, 2020</w:t>
            </w:r>
          </w:p>
        </w:tc>
        <w:tc>
          <w:tcPr>
            <w:tcW w:w="3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Mar. 31, 2020</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7"/>
              </w:rPr>
              <w:t>Jun. 30, 2019</w:t>
            </w:r>
          </w:p>
        </w:tc>
        <w:tc>
          <w:tcPr>
            <w:tcW w:w="60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288"/>
              <w:spacing w:after="0" w:line="142" w:lineRule="exact"/>
              <w:rPr>
                <w:sz w:val="20"/>
                <w:szCs w:val="20"/>
                <w:color w:val="auto"/>
              </w:rPr>
            </w:pPr>
            <w:r>
              <w:rPr>
                <w:rFonts w:ascii="Arial" w:cs="Arial" w:eastAsia="Arial" w:hAnsi="Arial"/>
                <w:sz w:val="14"/>
                <w:szCs w:val="14"/>
                <w:b w:val="1"/>
                <w:bCs w:val="1"/>
                <w:color w:val="auto"/>
                <w:w w:val="87"/>
              </w:rPr>
              <w:t>Sequential</w:t>
            </w:r>
          </w:p>
        </w:tc>
        <w:tc>
          <w:tcPr>
            <w:tcW w:w="3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1"/>
              </w:rPr>
              <w:t>Year-on-year</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12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2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1,052</w:t>
            </w:r>
          </w:p>
        </w:tc>
        <w:tc>
          <w:tcPr>
            <w:tcW w:w="26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4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60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b w:val="1"/>
                <w:bCs w:val="1"/>
                <w:color w:val="auto"/>
              </w:rPr>
              <w:t>-20%</w:t>
            </w:r>
          </w:p>
        </w:tc>
        <w:tc>
          <w:tcPr>
            <w:tcW w:w="38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center"/>
              <w:ind w:left="316"/>
              <w:spacing w:after="0"/>
              <w:rPr>
                <w:sz w:val="20"/>
                <w:szCs w:val="20"/>
                <w:color w:val="auto"/>
              </w:rPr>
            </w:pPr>
            <w:r>
              <w:rPr>
                <w:rFonts w:ascii="Arial" w:cs="Arial" w:eastAsia="Arial" w:hAnsi="Arial"/>
                <w:sz w:val="18"/>
                <w:szCs w:val="18"/>
                <w:b w:val="1"/>
                <w:bCs w:val="1"/>
                <w:color w:val="auto"/>
                <w:w w:val="99"/>
              </w:rPr>
              <w:t>-32%</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500" w:type="dxa"/>
            <w:vAlign w:val="bottom"/>
            <w:gridSpan w:val="2"/>
          </w:tcPr>
          <w:p>
            <w:pPr>
              <w:ind w:left="126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185</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184</w:t>
            </w:r>
          </w:p>
        </w:tc>
        <w:tc>
          <w:tcPr>
            <w:tcW w:w="4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317</w:t>
            </w:r>
          </w:p>
        </w:tc>
        <w:tc>
          <w:tcPr>
            <w:tcW w:w="1000" w:type="dxa"/>
            <w:vAlign w:val="bottom"/>
            <w:gridSpan w:val="2"/>
          </w:tcPr>
          <w:p>
            <w:pPr>
              <w:jc w:val="right"/>
              <w:ind w:right="108"/>
              <w:spacing w:after="0"/>
              <w:rPr>
                <w:sz w:val="20"/>
                <w:szCs w:val="20"/>
                <w:color w:val="auto"/>
              </w:rPr>
            </w:pPr>
            <w:r>
              <w:rPr>
                <w:rFonts w:ascii="Arial" w:cs="Arial" w:eastAsia="Arial" w:hAnsi="Arial"/>
                <w:sz w:val="18"/>
                <w:szCs w:val="18"/>
                <w:b w:val="1"/>
                <w:bCs w:val="1"/>
                <w:color w:val="auto"/>
              </w:rPr>
              <w:t>1%</w:t>
            </w:r>
          </w:p>
        </w:tc>
        <w:tc>
          <w:tcPr>
            <w:tcW w:w="1520" w:type="dxa"/>
            <w:vAlign w:val="bottom"/>
            <w:gridSpan w:val="3"/>
          </w:tcPr>
          <w:p>
            <w:pPr>
              <w:jc w:val="center"/>
              <w:ind w:left="699"/>
              <w:spacing w:after="0"/>
              <w:rPr>
                <w:sz w:val="20"/>
                <w:szCs w:val="20"/>
                <w:color w:val="auto"/>
              </w:rPr>
            </w:pPr>
            <w:r>
              <w:rPr>
                <w:rFonts w:ascii="Arial" w:cs="Arial" w:eastAsia="Arial" w:hAnsi="Arial"/>
                <w:sz w:val="18"/>
                <w:szCs w:val="18"/>
                <w:b w:val="1"/>
                <w:bCs w:val="1"/>
                <w:color w:val="auto"/>
                <w:w w:val="99"/>
              </w:rPr>
              <w:t>-42%</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17.6%</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20.3%</w:t>
            </w:r>
          </w:p>
        </w:tc>
        <w:tc>
          <w:tcPr>
            <w:tcW w:w="10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357 bps</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296"/>
              <w:spacing w:after="0"/>
              <w:rPr>
                <w:sz w:val="20"/>
                <w:szCs w:val="20"/>
                <w:color w:val="auto"/>
              </w:rPr>
            </w:pPr>
            <w:r>
              <w:rPr>
                <w:rFonts w:ascii="Arial" w:cs="Arial" w:eastAsia="Arial" w:hAnsi="Arial"/>
                <w:sz w:val="18"/>
                <w:szCs w:val="18"/>
                <w:b w:val="1"/>
                <w:bCs w:val="1"/>
                <w:color w:val="auto"/>
                <w:w w:val="87"/>
              </w:rPr>
              <w:t>-273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Reservoir Characterization revenue of $1.1 billion, 84% of which came from the international markets, decreased</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20% sequentially. North America and international revenues declined 17% and 20%, respectively. This was mainly due to lower Wireline activity in North America land and the Eastern Middle East and Sub-Sahara Africa GeoMarkets. Testing Services revenue was also lower mainly in the Sub-Sahara Africa GeoMarket as a result of completed projects and delayed and cancelled activities due to COVID-19. WesternGeco</w:t>
      </w:r>
      <w:r>
        <w:rPr>
          <w:rFonts w:ascii="Arial" w:cs="Arial" w:eastAsia="Arial" w:hAnsi="Arial"/>
          <w:sz w:val="14"/>
          <w:szCs w:val="14"/>
          <w:color w:val="auto"/>
        </w:rPr>
        <w:t>®</w:t>
      </w:r>
      <w:r>
        <w:rPr>
          <w:rFonts w:ascii="Arial" w:cs="Arial" w:eastAsia="Arial" w:hAnsi="Arial"/>
          <w:sz w:val="17"/>
          <w:szCs w:val="17"/>
          <w:color w:val="auto"/>
        </w:rPr>
        <w:t xml:space="preserve"> revenue declined as a project was completed in the Middle East, while Software Integrated Solutions (SIS) revenue declined slightly as well.</w:t>
      </w:r>
    </w:p>
    <w:p>
      <w:pPr>
        <w:spacing w:after="0" w:line="17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Reservoir Characterization pretax operating margin of 18% rebounded 357 bps sequentially despite the significant revenue decline. This margin expansion was evident both in North America and internationally. Outperformance was delivered by prompt cost reduction measures in compensation through headcount rationalization and furloughs, particularly in SIS, WesternGeco, and Wireline.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0" w:type="dxa"/>
            <w:vAlign w:val="bottom"/>
            <w:gridSpan w:val="4"/>
          </w:tcPr>
          <w:p>
            <w:pPr>
              <w:ind w:left="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 30, 2020</w:t>
            </w:r>
          </w:p>
        </w:tc>
        <w:tc>
          <w:tcPr>
            <w:tcW w:w="3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Mar. 31, 2020</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Jun. 30, 2019</w:t>
            </w:r>
          </w:p>
        </w:tc>
        <w:tc>
          <w:tcPr>
            <w:tcW w:w="540" w:type="dxa"/>
            <w:vAlign w:val="bottom"/>
          </w:tcPr>
          <w:p>
            <w:pPr>
              <w:spacing w:after="0"/>
              <w:rPr>
                <w:sz w:val="12"/>
                <w:szCs w:val="12"/>
                <w:color w:val="auto"/>
              </w:rPr>
            </w:pPr>
          </w:p>
        </w:tc>
        <w:tc>
          <w:tcPr>
            <w:tcW w:w="9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Sequential</w:t>
            </w:r>
          </w:p>
        </w:tc>
        <w:tc>
          <w:tcPr>
            <w:tcW w:w="3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1"/>
              </w:rPr>
              <w:t>Year-on-year</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13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4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1,731</w:t>
            </w:r>
          </w:p>
        </w:tc>
        <w:tc>
          <w:tcPr>
            <w:tcW w:w="24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38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54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center"/>
              <w:ind w:left="195"/>
              <w:spacing w:after="0"/>
              <w:rPr>
                <w:sz w:val="20"/>
                <w:szCs w:val="20"/>
                <w:color w:val="auto"/>
              </w:rPr>
            </w:pPr>
            <w:r>
              <w:rPr>
                <w:rFonts w:ascii="Arial" w:cs="Arial" w:eastAsia="Arial" w:hAnsi="Arial"/>
                <w:sz w:val="18"/>
                <w:szCs w:val="18"/>
                <w:b w:val="1"/>
                <w:bCs w:val="1"/>
                <w:color w:val="auto"/>
                <w:w w:val="99"/>
              </w:rPr>
              <w:t>-24%</w:t>
            </w:r>
          </w:p>
        </w:tc>
        <w:tc>
          <w:tcPr>
            <w:tcW w:w="34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center"/>
              <w:ind w:left="316"/>
              <w:spacing w:after="0"/>
              <w:rPr>
                <w:sz w:val="20"/>
                <w:szCs w:val="20"/>
                <w:color w:val="auto"/>
              </w:rPr>
            </w:pPr>
            <w:r>
              <w:rPr>
                <w:rFonts w:ascii="Arial" w:cs="Arial" w:eastAsia="Arial" w:hAnsi="Arial"/>
                <w:sz w:val="18"/>
                <w:szCs w:val="18"/>
                <w:b w:val="1"/>
                <w:bCs w:val="1"/>
                <w:color w:val="auto"/>
                <w:w w:val="99"/>
              </w:rPr>
              <w:t>-28%</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620" w:type="dxa"/>
            <w:vAlign w:val="bottom"/>
            <w:gridSpan w:val="2"/>
          </w:tcPr>
          <w:p>
            <w:pPr>
              <w:ind w:left="13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165</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285</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301</w:t>
            </w:r>
          </w:p>
        </w:tc>
        <w:tc>
          <w:tcPr>
            <w:tcW w:w="980" w:type="dxa"/>
            <w:vAlign w:val="bottom"/>
            <w:gridSpan w:val="2"/>
          </w:tcPr>
          <w:p>
            <w:pPr>
              <w:jc w:val="center"/>
              <w:ind w:left="195"/>
              <w:spacing w:after="0"/>
              <w:rPr>
                <w:sz w:val="20"/>
                <w:szCs w:val="20"/>
                <w:color w:val="auto"/>
              </w:rPr>
            </w:pPr>
            <w:r>
              <w:rPr>
                <w:rFonts w:ascii="Arial" w:cs="Arial" w:eastAsia="Arial" w:hAnsi="Arial"/>
                <w:sz w:val="18"/>
                <w:szCs w:val="18"/>
                <w:b w:val="1"/>
                <w:bCs w:val="1"/>
                <w:color w:val="auto"/>
                <w:w w:val="99"/>
              </w:rPr>
              <w:t>-42%</w:t>
            </w:r>
          </w:p>
        </w:tc>
        <w:tc>
          <w:tcPr>
            <w:tcW w:w="1480" w:type="dxa"/>
            <w:vAlign w:val="bottom"/>
            <w:gridSpan w:val="3"/>
          </w:tcPr>
          <w:p>
            <w:pPr>
              <w:jc w:val="center"/>
              <w:ind w:left="659"/>
              <w:spacing w:after="0"/>
              <w:rPr>
                <w:sz w:val="20"/>
                <w:szCs w:val="20"/>
                <w:color w:val="auto"/>
              </w:rPr>
            </w:pPr>
            <w:r>
              <w:rPr>
                <w:rFonts w:ascii="Arial" w:cs="Arial" w:eastAsia="Arial" w:hAnsi="Arial"/>
                <w:sz w:val="18"/>
                <w:szCs w:val="18"/>
                <w:b w:val="1"/>
                <w:bCs w:val="1"/>
                <w:color w:val="auto"/>
                <w:w w:val="99"/>
              </w:rPr>
              <w:t>-45%</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9.6%</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w:t>
            </w:r>
          </w:p>
        </w:tc>
        <w:tc>
          <w:tcPr>
            <w:tcW w:w="980" w:type="dxa"/>
            <w:vAlign w:val="bottom"/>
            <w:gridSpan w:val="2"/>
            <w:shd w:val="clear" w:color="auto" w:fill="CCEEFF"/>
          </w:tcPr>
          <w:p>
            <w:pPr>
              <w:jc w:val="center"/>
              <w:ind w:left="135"/>
              <w:spacing w:after="0"/>
              <w:rPr>
                <w:sz w:val="20"/>
                <w:szCs w:val="20"/>
                <w:color w:val="auto"/>
              </w:rPr>
            </w:pPr>
            <w:r>
              <w:rPr>
                <w:rFonts w:ascii="Arial" w:cs="Arial" w:eastAsia="Arial" w:hAnsi="Arial"/>
                <w:sz w:val="18"/>
                <w:szCs w:val="18"/>
                <w:b w:val="1"/>
                <w:bCs w:val="1"/>
                <w:color w:val="auto"/>
                <w:w w:val="87"/>
              </w:rPr>
              <w:t>-289 bps</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296"/>
              <w:spacing w:after="0"/>
              <w:rPr>
                <w:sz w:val="20"/>
                <w:szCs w:val="20"/>
                <w:color w:val="auto"/>
              </w:rPr>
            </w:pPr>
            <w:r>
              <w:rPr>
                <w:rFonts w:ascii="Arial" w:cs="Arial" w:eastAsia="Arial" w:hAnsi="Arial"/>
                <w:sz w:val="18"/>
                <w:szCs w:val="18"/>
                <w:b w:val="1"/>
                <w:bCs w:val="1"/>
                <w:color w:val="auto"/>
                <w:w w:val="87"/>
              </w:rPr>
              <w:t>-288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Drilling revenue of $1.7 billion, 82% of which came from the international markets, decreased 24% sequentially. North America and international revenues declined 48% and 18%, respectively. This was primarily due to the activity decline in US land as rig count dropped more than 50% while COVID-19 disruptions caused drilling activities to be cancelled or suspended in several international GeoMarkets. Drilling activity in Russia &amp; Central Asia, however, was resilient as COVID-19 disruption was offset by seasonal pickup in Russia land activity in preparation for the summer drilling campaigns.</w:t>
      </w:r>
    </w:p>
    <w:p>
      <w:pPr>
        <w:spacing w:after="0" w:line="188"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Drilling pretax operating margin of 10% contracted by 289 bps sequentially, posting a 21% decremental operating margin. The margin contraction was primarily in North America, while international margin was resilient and flat sequentially. Drilling &amp; Measurements and M-I SWACO accounted for most of the margin decline and experienced the largest drop in activity due to their sizeable footprint in North America land.</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0" w:type="dxa"/>
            <w:vAlign w:val="bottom"/>
            <w:gridSpan w:val="4"/>
          </w:tcPr>
          <w:p>
            <w:pPr>
              <w:ind w:left="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 30, 2020</w:t>
            </w:r>
          </w:p>
        </w:tc>
        <w:tc>
          <w:tcPr>
            <w:tcW w:w="3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Mar. 31, 2020</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Jun. 30, 2019</w:t>
            </w:r>
          </w:p>
        </w:tc>
        <w:tc>
          <w:tcPr>
            <w:tcW w:w="540" w:type="dxa"/>
            <w:vAlign w:val="bottom"/>
          </w:tcPr>
          <w:p>
            <w:pPr>
              <w:spacing w:after="0"/>
              <w:rPr>
                <w:sz w:val="12"/>
                <w:szCs w:val="12"/>
                <w:color w:val="auto"/>
              </w:rPr>
            </w:pPr>
          </w:p>
        </w:tc>
        <w:tc>
          <w:tcPr>
            <w:tcW w:w="9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Sequential</w:t>
            </w:r>
          </w:p>
        </w:tc>
        <w:tc>
          <w:tcPr>
            <w:tcW w:w="3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1"/>
              </w:rPr>
              <w:t>Year-on-year</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13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4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1,615</w:t>
            </w:r>
          </w:p>
        </w:tc>
        <w:tc>
          <w:tcPr>
            <w:tcW w:w="26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38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54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center"/>
              <w:ind w:left="195"/>
              <w:spacing w:after="0"/>
              <w:rPr>
                <w:sz w:val="20"/>
                <w:szCs w:val="20"/>
                <w:color w:val="auto"/>
              </w:rPr>
            </w:pPr>
            <w:r>
              <w:rPr>
                <w:rFonts w:ascii="Arial" w:cs="Arial" w:eastAsia="Arial" w:hAnsi="Arial"/>
                <w:sz w:val="18"/>
                <w:szCs w:val="18"/>
                <w:b w:val="1"/>
                <w:bCs w:val="1"/>
                <w:color w:val="auto"/>
                <w:w w:val="99"/>
              </w:rPr>
              <w:t>-40%</w:t>
            </w:r>
          </w:p>
        </w:tc>
        <w:tc>
          <w:tcPr>
            <w:tcW w:w="34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center"/>
              <w:ind w:left="316"/>
              <w:spacing w:after="0"/>
              <w:rPr>
                <w:sz w:val="20"/>
                <w:szCs w:val="20"/>
                <w:color w:val="auto"/>
              </w:rPr>
            </w:pPr>
            <w:r>
              <w:rPr>
                <w:rFonts w:ascii="Arial" w:cs="Arial" w:eastAsia="Arial" w:hAnsi="Arial"/>
                <w:sz w:val="18"/>
                <w:szCs w:val="18"/>
                <w:b w:val="1"/>
                <w:bCs w:val="1"/>
                <w:color w:val="auto"/>
                <w:w w:val="99"/>
              </w:rPr>
              <w:t>-48%</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620" w:type="dxa"/>
            <w:vAlign w:val="bottom"/>
            <w:gridSpan w:val="2"/>
          </w:tcPr>
          <w:p>
            <w:pPr>
              <w:ind w:left="13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25</w:t>
            </w: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212</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235</w:t>
            </w:r>
          </w:p>
        </w:tc>
        <w:tc>
          <w:tcPr>
            <w:tcW w:w="980" w:type="dxa"/>
            <w:vAlign w:val="bottom"/>
            <w:gridSpan w:val="2"/>
          </w:tcPr>
          <w:p>
            <w:pPr>
              <w:jc w:val="center"/>
              <w:ind w:left="195"/>
              <w:spacing w:after="0"/>
              <w:rPr>
                <w:sz w:val="20"/>
                <w:szCs w:val="20"/>
                <w:color w:val="auto"/>
              </w:rPr>
            </w:pPr>
            <w:r>
              <w:rPr>
                <w:rFonts w:ascii="Arial" w:cs="Arial" w:eastAsia="Arial" w:hAnsi="Arial"/>
                <w:sz w:val="18"/>
                <w:szCs w:val="18"/>
                <w:b w:val="1"/>
                <w:bCs w:val="1"/>
                <w:color w:val="auto"/>
                <w:w w:val="99"/>
              </w:rPr>
              <w:t>-88%</w:t>
            </w:r>
          </w:p>
        </w:tc>
        <w:tc>
          <w:tcPr>
            <w:tcW w:w="1480" w:type="dxa"/>
            <w:vAlign w:val="bottom"/>
            <w:gridSpan w:val="3"/>
          </w:tcPr>
          <w:p>
            <w:pPr>
              <w:jc w:val="center"/>
              <w:ind w:left="659"/>
              <w:spacing w:after="0"/>
              <w:rPr>
                <w:sz w:val="20"/>
                <w:szCs w:val="20"/>
                <w:color w:val="auto"/>
              </w:rPr>
            </w:pPr>
            <w:r>
              <w:rPr>
                <w:rFonts w:ascii="Arial" w:cs="Arial" w:eastAsia="Arial" w:hAnsi="Arial"/>
                <w:sz w:val="18"/>
                <w:szCs w:val="18"/>
                <w:b w:val="1"/>
                <w:bCs w:val="1"/>
                <w:color w:val="auto"/>
                <w:w w:val="99"/>
              </w:rPr>
              <w:t>-89%</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w:t>
            </w:r>
          </w:p>
        </w:tc>
        <w:tc>
          <w:tcPr>
            <w:tcW w:w="980" w:type="dxa"/>
            <w:vAlign w:val="bottom"/>
            <w:gridSpan w:val="2"/>
            <w:shd w:val="clear" w:color="auto" w:fill="CCEEFF"/>
          </w:tcPr>
          <w:p>
            <w:pPr>
              <w:jc w:val="center"/>
              <w:ind w:left="135"/>
              <w:spacing w:after="0"/>
              <w:rPr>
                <w:sz w:val="20"/>
                <w:szCs w:val="20"/>
                <w:color w:val="auto"/>
              </w:rPr>
            </w:pPr>
            <w:r>
              <w:rPr>
                <w:rFonts w:ascii="Arial" w:cs="Arial" w:eastAsia="Arial" w:hAnsi="Arial"/>
                <w:sz w:val="18"/>
                <w:szCs w:val="18"/>
                <w:b w:val="1"/>
                <w:bCs w:val="1"/>
                <w:color w:val="auto"/>
                <w:w w:val="87"/>
              </w:rPr>
              <w:t>-630 bps</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296"/>
              <w:spacing w:after="0"/>
              <w:rPr>
                <w:sz w:val="20"/>
                <w:szCs w:val="20"/>
                <w:color w:val="auto"/>
              </w:rPr>
            </w:pPr>
            <w:r>
              <w:rPr>
                <w:rFonts w:ascii="Arial" w:cs="Arial" w:eastAsia="Arial" w:hAnsi="Arial"/>
                <w:sz w:val="18"/>
                <w:szCs w:val="18"/>
                <w:b w:val="1"/>
                <w:bCs w:val="1"/>
                <w:color w:val="auto"/>
                <w:w w:val="87"/>
              </w:rPr>
              <w:t>-612 bps</w:t>
            </w:r>
          </w:p>
        </w:tc>
        <w:tc>
          <w:tcPr>
            <w:tcW w:w="0" w:type="dxa"/>
            <w:vAlign w:val="bottom"/>
          </w:tcPr>
          <w:p>
            <w:pPr>
              <w:spacing w:after="0"/>
              <w:rPr>
                <w:sz w:val="1"/>
                <w:szCs w:val="1"/>
                <w:color w:val="auto"/>
              </w:rPr>
            </w:pPr>
          </w:p>
        </w:tc>
      </w:tr>
      <w:tr>
        <w:trPr>
          <w:trHeight w:val="365"/>
        </w:trPr>
        <w:tc>
          <w:tcPr>
            <w:tcW w:w="3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8" w:name="page9"/>
    <w:bookmarkEnd w:id="8"/>
    <w:p>
      <w:pPr>
        <w:ind w:right="2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Production revenue of $1.6 billion, 75% of which came from the international markets, declined 40% sequentially. North America and international revenues declined 62% and 26%, respectively. This was driven by the precipitous drop in OneStim pressure-pumping activity in North America land. APS revenue was also down by nearly 50% due primarily to a significant production interruption in Ecuador. International revenue decreased due mostly to COVID-19 disruptions—mainly in the Latin America South, Sub-Sahara Africa, Saudi Arabia &amp; Bahrain, and Eastern Middle East GeoMarkets.</w:t>
      </w:r>
    </w:p>
    <w:p>
      <w:pPr>
        <w:spacing w:after="0" w:line="18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Production pretax operating margin of 2% contracted by 630 bps sequentially, posting a 17% decremental operating margin. The margin decline was due to reduced profitability in North America land from the dramatic fall in activity, which mostly impacted the OneStim margin. International margin declined also, albeit less severely, driven by the drop in APS revenue in Ecuador and the reduction of Well Services activity.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0" w:type="dxa"/>
            <w:vAlign w:val="bottom"/>
            <w:gridSpan w:val="4"/>
          </w:tcPr>
          <w:p>
            <w:pPr>
              <w:ind w:left="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 30, 2020</w:t>
            </w:r>
          </w:p>
        </w:tc>
        <w:tc>
          <w:tcPr>
            <w:tcW w:w="3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Mar. 31, 2020</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Jun. 30, 2019</w:t>
            </w:r>
          </w:p>
        </w:tc>
        <w:tc>
          <w:tcPr>
            <w:tcW w:w="540" w:type="dxa"/>
            <w:vAlign w:val="bottom"/>
          </w:tcPr>
          <w:p>
            <w:pPr>
              <w:spacing w:after="0"/>
              <w:rPr>
                <w:sz w:val="12"/>
                <w:szCs w:val="12"/>
                <w:color w:val="auto"/>
              </w:rPr>
            </w:pPr>
          </w:p>
        </w:tc>
        <w:tc>
          <w:tcPr>
            <w:tcW w:w="9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Sequential</w:t>
            </w:r>
          </w:p>
        </w:tc>
        <w:tc>
          <w:tcPr>
            <w:tcW w:w="3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1"/>
              </w:rPr>
              <w:t>Year-on-year</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13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6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1,015</w:t>
            </w:r>
          </w:p>
        </w:tc>
        <w:tc>
          <w:tcPr>
            <w:tcW w:w="24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38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54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center"/>
              <w:ind w:left="195"/>
              <w:spacing w:after="0"/>
              <w:rPr>
                <w:sz w:val="20"/>
                <w:szCs w:val="20"/>
                <w:color w:val="auto"/>
              </w:rPr>
            </w:pPr>
            <w:r>
              <w:rPr>
                <w:rFonts w:ascii="Arial" w:cs="Arial" w:eastAsia="Arial" w:hAnsi="Arial"/>
                <w:sz w:val="18"/>
                <w:szCs w:val="18"/>
                <w:b w:val="1"/>
                <w:bCs w:val="1"/>
                <w:color w:val="auto"/>
                <w:w w:val="99"/>
              </w:rPr>
              <w:t>-19%</w:t>
            </w:r>
          </w:p>
        </w:tc>
        <w:tc>
          <w:tcPr>
            <w:tcW w:w="34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center"/>
              <w:ind w:left="316"/>
              <w:spacing w:after="0"/>
              <w:rPr>
                <w:sz w:val="20"/>
                <w:szCs w:val="20"/>
                <w:color w:val="auto"/>
              </w:rPr>
            </w:pPr>
            <w:r>
              <w:rPr>
                <w:rFonts w:ascii="Arial" w:cs="Arial" w:eastAsia="Arial" w:hAnsi="Arial"/>
                <w:sz w:val="18"/>
                <w:szCs w:val="18"/>
                <w:b w:val="1"/>
                <w:bCs w:val="1"/>
                <w:color w:val="auto"/>
                <w:w w:val="99"/>
              </w:rPr>
              <w:t>-24%</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Pretax operating inc ome</w:t>
            </w:r>
          </w:p>
        </w:tc>
        <w:tc>
          <w:tcPr>
            <w:tcW w:w="1600" w:type="dxa"/>
            <w:vAlign w:val="bottom"/>
            <w:gridSpan w:val="2"/>
          </w:tcPr>
          <w:p>
            <w:pPr>
              <w:ind w:left="136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80</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121</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165</w:t>
            </w:r>
          </w:p>
        </w:tc>
        <w:tc>
          <w:tcPr>
            <w:tcW w:w="980" w:type="dxa"/>
            <w:vAlign w:val="bottom"/>
            <w:gridSpan w:val="2"/>
          </w:tcPr>
          <w:p>
            <w:pPr>
              <w:jc w:val="center"/>
              <w:ind w:left="195"/>
              <w:spacing w:after="0"/>
              <w:rPr>
                <w:sz w:val="20"/>
                <w:szCs w:val="20"/>
                <w:color w:val="auto"/>
              </w:rPr>
            </w:pPr>
            <w:r>
              <w:rPr>
                <w:rFonts w:ascii="Arial" w:cs="Arial" w:eastAsia="Arial" w:hAnsi="Arial"/>
                <w:sz w:val="18"/>
                <w:szCs w:val="18"/>
                <w:b w:val="1"/>
                <w:bCs w:val="1"/>
                <w:color w:val="auto"/>
                <w:w w:val="99"/>
              </w:rPr>
              <w:t>-34%</w:t>
            </w:r>
          </w:p>
        </w:tc>
        <w:tc>
          <w:tcPr>
            <w:tcW w:w="1480" w:type="dxa"/>
            <w:vAlign w:val="bottom"/>
            <w:gridSpan w:val="3"/>
          </w:tcPr>
          <w:p>
            <w:pPr>
              <w:jc w:val="center"/>
              <w:ind w:left="659"/>
              <w:spacing w:after="0"/>
              <w:rPr>
                <w:sz w:val="20"/>
                <w:szCs w:val="20"/>
                <w:color w:val="auto"/>
              </w:rPr>
            </w:pPr>
            <w:r>
              <w:rPr>
                <w:rFonts w:ascii="Arial" w:cs="Arial" w:eastAsia="Arial" w:hAnsi="Arial"/>
                <w:sz w:val="18"/>
                <w:szCs w:val="18"/>
                <w:b w:val="1"/>
                <w:bCs w:val="1"/>
                <w:color w:val="auto"/>
                <w:w w:val="99"/>
              </w:rPr>
              <w:t>-51%</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7.9%</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w:t>
            </w:r>
          </w:p>
        </w:tc>
        <w:tc>
          <w:tcPr>
            <w:tcW w:w="980" w:type="dxa"/>
            <w:vAlign w:val="bottom"/>
            <w:gridSpan w:val="2"/>
            <w:shd w:val="clear" w:color="auto" w:fill="CCEEFF"/>
          </w:tcPr>
          <w:p>
            <w:pPr>
              <w:jc w:val="center"/>
              <w:ind w:left="135"/>
              <w:spacing w:after="0"/>
              <w:rPr>
                <w:sz w:val="20"/>
                <w:szCs w:val="20"/>
                <w:color w:val="auto"/>
              </w:rPr>
            </w:pPr>
            <w:r>
              <w:rPr>
                <w:rFonts w:ascii="Arial" w:cs="Arial" w:eastAsia="Arial" w:hAnsi="Arial"/>
                <w:sz w:val="18"/>
                <w:szCs w:val="18"/>
                <w:b w:val="1"/>
                <w:bCs w:val="1"/>
                <w:color w:val="auto"/>
                <w:w w:val="87"/>
              </w:rPr>
              <w:t>-180 bps</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296"/>
              <w:spacing w:after="0"/>
              <w:rPr>
                <w:sz w:val="20"/>
                <w:szCs w:val="20"/>
                <w:color w:val="auto"/>
              </w:rPr>
            </w:pPr>
            <w:r>
              <w:rPr>
                <w:rFonts w:ascii="Arial" w:cs="Arial" w:eastAsia="Arial" w:hAnsi="Arial"/>
                <w:sz w:val="18"/>
                <w:szCs w:val="18"/>
                <w:b w:val="1"/>
                <w:bCs w:val="1"/>
                <w:color w:val="auto"/>
                <w:w w:val="87"/>
              </w:rPr>
              <w:t>-453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Cameron revenue of $1.0 billion, 67% of which came from the international markets, decreased 19% sequentially. North America and international revenues declined 33% and 7%, respectively. The North America decline was driven by lower Surface Systems and Valves &amp; Process Systems revenues while international activity decline was mainly due to lower Drilling Systems sales. Meanwhile, OneSubsea</w:t>
      </w:r>
      <w:r>
        <w:rPr>
          <w:rFonts w:ascii="Arial" w:cs="Arial" w:eastAsia="Arial" w:hAnsi="Arial"/>
          <w:sz w:val="14"/>
          <w:szCs w:val="14"/>
          <w:color w:val="auto"/>
        </w:rPr>
        <w:t>®</w:t>
      </w:r>
      <w:r>
        <w:rPr>
          <w:rFonts w:ascii="Arial" w:cs="Arial" w:eastAsia="Arial" w:hAnsi="Arial"/>
          <w:sz w:val="17"/>
          <w:szCs w:val="17"/>
          <w:color w:val="auto"/>
        </w:rPr>
        <w:t xml:space="preserve"> revenue was resilient, only declining slightly with international revenue growing sequentially, but offset by a decline in North America.</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Cameron pretax operating margin of 8% declined by 180 bps sequentially, posting a 17% decremental operating margin. The margin contraction was primarily due to reduced profitability in North America, impacting Surface Systems and Valves &amp; Process Systems margins, while international margin expanded sequentially due to OneSubsea and Drilling Systems. Prompt cost reduction measures through headcount rationalization, furloughs, and lower manufacturing costs contributed to the international margin expansion.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Highlights</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Schlumberger is leading the industry in the development of Digital solutions to increase performance in drilling and reservoir characterization. Deploying these solutions in the current challenging industry environment can help customers maintain business continuity and improve their teams’ performance worldwide. Examples of this during the quarter included:</w:t>
      </w:r>
    </w:p>
    <w:p>
      <w:pPr>
        <w:spacing w:after="0" w:line="89" w:lineRule="exact"/>
        <w:rPr>
          <w:sz w:val="20"/>
          <w:szCs w:val="20"/>
          <w:color w:val="auto"/>
        </w:rPr>
      </w:pPr>
    </w:p>
    <w:p>
      <w:pPr>
        <w:ind w:left="420" w:right="20" w:hanging="316"/>
        <w:spacing w:after="0" w:line="257"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announced last quarter, Schlumberger and ExxonMobil are jointly working on the deployment of digital drilling solutions around planning, execution, and continuous improvement through learning. As a next step, ExxonMobil and Schlumberger have finalized an enabling agreement for the deployment of DrillOps* on-target well delivery solution in ExxonMobil’s unconventional operations. The technology is expected to enable faster, lower-cost wells through drilling automation and orchestration of the digital well plan generated by DrillPlan* coherent well construction planning solution.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9" w:name="page10"/>
    <w:bookmarkEnd w:id="9"/>
    <w:p>
      <w:pPr>
        <w:ind w:left="420" w:right="200" w:hanging="316"/>
        <w:spacing w:after="0" w:line="259"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Schlumberger and Honghua Electric Co., Ltd. entered into a memorandum of understanding (MOU) for the seamless integration of the DrillOps on-target well delivery solution with all new Honghua rigs. Under the MOU, Honghua will manufacture and sell rigs that have plug-and-play capability with the DrillOps solution, which integrates planning and operations while automating well construction tasks in order for the rig to operate at peak performance throughout the execution of the drilling plan.</w:t>
      </w:r>
    </w:p>
    <w:p>
      <w:pPr>
        <w:spacing w:after="0" w:line="92" w:lineRule="exact"/>
        <w:rPr>
          <w:rFonts w:ascii="Arial" w:cs="Arial" w:eastAsia="Arial" w:hAnsi="Arial"/>
          <w:sz w:val="18"/>
          <w:szCs w:val="18"/>
          <w:color w:val="auto"/>
        </w:rPr>
      </w:pPr>
    </w:p>
    <w:p>
      <w:pPr>
        <w:ind w:left="420" w:hanging="316"/>
        <w:spacing w:after="0" w:line="257"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United Arab Emirates, Dragon Oil plc awarded Schlumberger a contract for deployment of agile reservoir modeling through the DELFI* cognitive E&amp;P environment, the first implementation of this kind in the Middle East and North Africa region. A joint Dragon Oil and Schlumberger team will use this approach to enhance productivity of Dragon Oil’s Lam Main and Lam West Fields in Turkmenistan. The approach will use a combination of automated, traditional domain workflows and workflows driven by machine learning and AI to rapidly provide insights into development strategies for optimizing production across the life cycle of the assets.</w:t>
      </w:r>
    </w:p>
    <w:p>
      <w:pPr>
        <w:spacing w:after="0" w:line="93" w:lineRule="exact"/>
        <w:rPr>
          <w:rFonts w:ascii="Arial" w:cs="Arial" w:eastAsia="Arial" w:hAnsi="Arial"/>
          <w:sz w:val="18"/>
          <w:szCs w:val="18"/>
          <w:color w:val="auto"/>
        </w:rPr>
      </w:pPr>
    </w:p>
    <w:p>
      <w:pPr>
        <w:ind w:left="420" w:right="60" w:hanging="316"/>
        <w:spacing w:after="0" w:line="275" w:lineRule="auto"/>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Nigerian Department of Petroleum Resources (DPR) signed an agreement for the provision of a Schlumberger virtual data room in support of the first-ever virtual marginal fields bid round to be held this year. DPR is adopting Schlumberger digital technologies in alignment with its commitment to promoting Nigeria’s oil and gas assets online to a global audience in a secure digital environment. The agreement includes an online digital solution to support the bid round delivered by Schlumberger via software as a service (SaaS). The solution uses the Petrel* E&amp;P software platform to improve subsurface insight and to identify bypassed reserves.</w:t>
      </w:r>
    </w:p>
    <w:p>
      <w:pPr>
        <w:spacing w:after="0" w:line="81" w:lineRule="exact"/>
        <w:rPr>
          <w:rFonts w:ascii="Arial" w:cs="Arial" w:eastAsia="Arial" w:hAnsi="Arial"/>
          <w:sz w:val="17"/>
          <w:szCs w:val="17"/>
          <w:color w:val="auto"/>
        </w:rPr>
      </w:pPr>
    </w:p>
    <w:p>
      <w:pPr>
        <w:ind w:left="420" w:right="20" w:hanging="316"/>
        <w:spacing w:after="0" w:line="257"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GAIA Xchange* data marketplace, the world’s first digital E&amp;P data marketplace, was launched in the first Schlumberger Online Conference. GAIA Xchange marketplace brings together global content providers and consumers on a single, open platform. The GAIA* digital subsurface platform enables customers to securely and instantly access multidomain, evergreen E&amp;P data as a subscription from a growing number of content providers. GAIA Xchange marketplace has multiple E&amp;P content providers who can showcase, manage, and deliver their data immediately to prospective buyers.</w:t>
      </w:r>
    </w:p>
    <w:p>
      <w:pPr>
        <w:spacing w:after="0" w:line="93" w:lineRule="exact"/>
        <w:rPr>
          <w:rFonts w:ascii="Arial" w:cs="Arial" w:eastAsia="Arial" w:hAnsi="Arial"/>
          <w:sz w:val="18"/>
          <w:szCs w:val="18"/>
          <w:color w:val="auto"/>
        </w:rPr>
      </w:pPr>
    </w:p>
    <w:p>
      <w:pPr>
        <w:ind w:left="420" w:hanging="316"/>
        <w:spacing w:after="0" w:line="275" w:lineRule="auto"/>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the Gulf of Mexico, Schlumberger used the Ora* intelligent wireline formation testing platform to characterize a complex reservoir in a deepwater exploration well for Repsol. Remote collaboration between the Repsol and Schlumberger teams in town and at the wellsite enabled the efficient deployment of the Ora platform, which secured pure fluid samples at multiple depths in the unconsolidated formation. The Ora platform’s technology helped the operator investigate reservoir fluid viscosity variations and conduct a high-quality deep transient testing on wireline— without flaring—to prove economic producibility. Repsol announced a significant discovery just days after the survey.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deployment of evolving, differentiated business models, fit-for-basin technologies, and technology access with regional partners further differentiate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Schlumberger within the industry. A few examples of this included:</w:t>
      </w:r>
    </w:p>
    <w:p>
      <w:pPr>
        <w:spacing w:after="0" w:line="116" w:lineRule="exact"/>
        <w:rPr>
          <w:sz w:val="20"/>
          <w:szCs w:val="20"/>
          <w:color w:val="auto"/>
        </w:rPr>
      </w:pPr>
    </w:p>
    <w:p>
      <w:pPr>
        <w:ind w:left="420" w:right="140" w:hanging="316"/>
        <w:spacing w:after="0" w:line="301" w:lineRule="auto"/>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Gulf of Mexico, secure remote capabilities delivered by OneSubsea helped BP keep the Mad Dog 2 project on schedule. Using a suite of remote solutions, including remote customer-witness factory integration testing (FIT), a remote master control station, and integrated control and safety systems, OneSubsea was able to provide overviews of system functionality without requiring onsite witnessing. BP is now considering conducting all future FITs remotely, which would result in significant cost savings related to travel and further reduce operational risk.</w:t>
      </w:r>
    </w:p>
    <w:p>
      <w:pPr>
        <w:spacing w:after="0" w:line="62" w:lineRule="exact"/>
        <w:rPr>
          <w:rFonts w:ascii="Arial" w:cs="Arial" w:eastAsia="Arial" w:hAnsi="Arial"/>
          <w:sz w:val="16"/>
          <w:szCs w:val="16"/>
          <w:color w:val="auto"/>
        </w:rPr>
      </w:pPr>
    </w:p>
    <w:p>
      <w:pPr>
        <w:ind w:left="420" w:right="40" w:hanging="316"/>
        <w:spacing w:after="0" w:line="255"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West Texas, OneStim deployed fit-for-basin fracturing technology services to protect production from parent- child well interference effects for MDC Texas Energy. The service—comprised of BroadBand Shield* fracture- geometry control technology and the equipment required—was deployed in conjunction with a pumping and wellsite equipment services provider. After 60 days, the infill well treated with BroadBand Shield technology, located closest to the parent well, achieved approximately 10% higher production performance compared to an adjacent infill well farther from the parent well. The parent well experienced no detrimental production impact following the infill well’s stimulation treatments, indicating no negative fracture interference.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0" w:name="page11"/>
    <w:bookmarkEnd w:id="10"/>
    <w:p>
      <w:pPr>
        <w:ind w:left="420" w:hanging="316"/>
        <w:spacing w:after="0" w:line="254"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Schlumberger entered into a collaboration agreement with China Petroleum Logging Co., Ltd (CPL), a subsidiary of China National Petroleum Corporation (CNPC), to jointly manufacture fit-for-basin wireline downhole technology in China. As part of this technology access agreement, Schlumberger will support CPL on the manufacturing and sustaining activities for ThruBit* through-the-bit logging services technology at the CPL technology center in Xi’an, Shaanxi province. The increasing number of horizontal wells undertaken by CNPC each year has made the differentiated technology of the ThruBit services platform essential to their reservoir evaluation strategy. This technology collaboration will enable CPL to significantly improve their logging capabilities in horizontal and vertical wells across China while increasing Schlumberger’s participation in this market.</w:t>
      </w:r>
    </w:p>
    <w:p>
      <w:pPr>
        <w:spacing w:after="0" w:line="100" w:lineRule="exact"/>
        <w:rPr>
          <w:rFonts w:ascii="Arial" w:cs="Arial" w:eastAsia="Arial" w:hAnsi="Arial"/>
          <w:sz w:val="18"/>
          <w:szCs w:val="18"/>
          <w:color w:val="auto"/>
        </w:rPr>
      </w:pPr>
    </w:p>
    <w:p>
      <w:pPr>
        <w:ind w:left="420" w:right="40" w:hanging="316"/>
        <w:spacing w:after="0" w:line="293" w:lineRule="auto"/>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Malaysia, the SpectraSphere* fluid mapping-while-drilling technology has helped add value to PETRONAS brownfield assets. The technology developed by Schlumberger Drilling &amp; Measurements eliminated fluid uncertainty in untapped fault blocks while mitigating operational risks. SpectraSphere technology was successfully deployed in two field rejuvenation campaigns in the Temana and Dulang Fields, offshore Malaysia. It involved wellbores with up to 80° of inclination and large overbalance, resulting in approximately USD 2 million in operating cost savings. Fluid identification was performed in real-time, in multiple reservoir horizons. The data provided by SpectraSphere assisted PETRONAS petrotechnical experts to firm up and accelerate perforation and completion design, in addition to understanding the reservoir and improving reserve estimation.</w:t>
      </w:r>
    </w:p>
    <w:p>
      <w:pPr>
        <w:spacing w:after="0" w:line="16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This quarter’s contract awards reflect the diversity of our business models in different basins around the globe, including alignment with in-country value, offshore processing, and subsea integration.</w:t>
      </w:r>
    </w:p>
    <w:p>
      <w:pPr>
        <w:spacing w:after="0" w:line="76" w:lineRule="exact"/>
        <w:rPr>
          <w:sz w:val="20"/>
          <w:szCs w:val="20"/>
          <w:color w:val="auto"/>
        </w:rPr>
      </w:pPr>
    </w:p>
    <w:p>
      <w:pPr>
        <w:jc w:val="both"/>
        <w:ind w:left="420" w:hanging="316"/>
        <w:spacing w:after="0" w:line="263"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Kuwait Oil Company awarded Schlumberger a five-year contract with an optional one-year extension valued at USD 320 million for the provision of coiled tubing and stimulation services. Some of the technologies include ACTive* real-time downhole coiled tubing services, OpenPath Reach* extended-contact stimulation service, and OpenPath Sequence* diversion stimulation service.</w:t>
      </w:r>
    </w:p>
    <w:p>
      <w:pPr>
        <w:spacing w:after="0" w:line="89" w:lineRule="exact"/>
        <w:rPr>
          <w:rFonts w:ascii="Arial" w:cs="Arial" w:eastAsia="Arial" w:hAnsi="Arial"/>
          <w:sz w:val="18"/>
          <w:szCs w:val="18"/>
          <w:color w:val="auto"/>
        </w:rPr>
      </w:pPr>
    </w:p>
    <w:p>
      <w:pPr>
        <w:ind w:left="420" w:right="40" w:hanging="316"/>
        <w:spacing w:after="0" w:line="311" w:lineRule="auto"/>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Oman, OQ—the company regrouping Oman Oil and Orpic Group’s nine business units—awarded Schlumberger a contract valued at more than USD 125 million for the design, engineering, procurement, and construction of a production facility in the Bisat Field. The contract includes four years of operations and maintenance support with an optional one-year extension. First oil is scheduled for delivery in late 2021.</w:t>
      </w:r>
    </w:p>
    <w:p>
      <w:pPr>
        <w:spacing w:after="0" w:line="54" w:lineRule="exact"/>
        <w:rPr>
          <w:rFonts w:ascii="Arial" w:cs="Arial" w:eastAsia="Arial" w:hAnsi="Arial"/>
          <w:sz w:val="16"/>
          <w:szCs w:val="16"/>
          <w:color w:val="auto"/>
        </w:rPr>
      </w:pPr>
    </w:p>
    <w:p>
      <w:pPr>
        <w:ind w:left="420" w:right="40" w:hanging="316"/>
        <w:spacing w:after="0" w:line="259"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SBM Offshore awarded Schlumberger five contracts for the provision of a comprehensive portfolio of processing technologies to be used on a floating production, storage, and offloading (FPSO) vessel. The packages will be delivered in 2022 and include NATCO DUAL FREQUENCY* electrostatic treaters, CYNARA* acid gas removal membrane systems, VORTOIL* deoiling hydrocyclones, and EPCON Dual* compact flotation units.</w:t>
      </w:r>
    </w:p>
    <w:p>
      <w:pPr>
        <w:spacing w:after="0" w:line="92" w:lineRule="exact"/>
        <w:rPr>
          <w:rFonts w:ascii="Arial" w:cs="Arial" w:eastAsia="Arial" w:hAnsi="Arial"/>
          <w:sz w:val="18"/>
          <w:szCs w:val="18"/>
          <w:color w:val="auto"/>
        </w:rPr>
      </w:pPr>
    </w:p>
    <w:p>
      <w:pPr>
        <w:ind w:left="420" w:hanging="316"/>
        <w:spacing w:after="0" w:line="296" w:lineRule="auto"/>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China National Offshore Oil Corporation (CNOOC) awarded OneSubsea an engineering, procurement, and construction (EPC) contract for the supply of an integrated subsea production and processing system for the Lufeng 22-1 oil field in the South China Sea. The contract, valued at USD 143 million, includes subsea trees, an integrated boosting and manifold system, a unified control system, an integrated power-control umbilical, a virtual flow metering solution, and estimated services. The project consists of four deepwater wells and a 19-km tieback system to a newly built platform—the Lufeng 15-1—which will act as a central production and processing facility for the Lufeng development project.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1" w:name="page12"/>
    <w:bookmarkEnd w:id="1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Financial Tables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Condensed Consolidated Statement of Income (Loss)</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75"/>
        </w:trPr>
        <w:tc>
          <w:tcPr>
            <w:tcW w:w="13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80" w:type="dxa"/>
            <w:vAlign w:val="bottom"/>
            <w:gridSpan w:val="8"/>
          </w:tcPr>
          <w:p>
            <w:pPr>
              <w:ind w:left="580"/>
              <w:spacing w:after="0"/>
              <w:rPr>
                <w:sz w:val="20"/>
                <w:szCs w:val="20"/>
                <w:color w:val="auto"/>
              </w:rPr>
            </w:pPr>
            <w:r>
              <w:rPr>
                <w:rFonts w:ascii="Arial" w:cs="Arial" w:eastAsia="Arial" w:hAnsi="Arial"/>
                <w:sz w:val="14"/>
                <w:szCs w:val="14"/>
                <w:color w:val="auto"/>
                <w:w w:val="94"/>
              </w:rPr>
              <w:t>(Stated in millions, except per share amounts)</w:t>
            </w:r>
          </w:p>
        </w:tc>
        <w:tc>
          <w:tcPr>
            <w:tcW w:w="0" w:type="dxa"/>
            <w:vAlign w:val="bottom"/>
          </w:tcPr>
          <w:p>
            <w:pPr>
              <w:spacing w:after="0"/>
              <w:rPr>
                <w:sz w:val="1"/>
                <w:szCs w:val="1"/>
                <w:color w:val="auto"/>
              </w:rPr>
            </w:pPr>
          </w:p>
        </w:tc>
      </w:tr>
      <w:tr>
        <w:trPr>
          <w:trHeight w:val="167"/>
        </w:trPr>
        <w:tc>
          <w:tcPr>
            <w:tcW w:w="1360" w:type="dxa"/>
            <w:vAlign w:val="bottom"/>
            <w:vMerge w:val="restart"/>
          </w:tcPr>
          <w:p>
            <w:pPr>
              <w:spacing w:after="0"/>
              <w:rPr>
                <w:sz w:val="20"/>
                <w:szCs w:val="20"/>
                <w:color w:val="auto"/>
              </w:rPr>
            </w:pPr>
            <w:r>
              <w:rPr>
                <w:rFonts w:ascii="Arial" w:cs="Arial" w:eastAsia="Arial" w:hAnsi="Arial"/>
                <w:sz w:val="14"/>
                <w:szCs w:val="14"/>
                <w:color w:val="auto"/>
                <w:w w:val="89"/>
              </w:rPr>
              <w:t>Periods Ended June 30,</w:t>
            </w:r>
          </w:p>
        </w:tc>
        <w:tc>
          <w:tcPr>
            <w:tcW w:w="3640" w:type="dxa"/>
            <w:vAlign w:val="bottom"/>
            <w:vMerge w:val="restart"/>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Second Quarter</w:t>
            </w:r>
          </w:p>
        </w:tc>
        <w:tc>
          <w:tcPr>
            <w:tcW w:w="6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color w:val="auto"/>
              </w:rPr>
              <w:t>Six Months</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60" w:type="dxa"/>
            <w:vAlign w:val="bottom"/>
            <w:tcBorders>
              <w:bottom w:val="single" w:sz="8" w:color="auto"/>
            </w:tcBorders>
            <w:vMerge w:val="continue"/>
          </w:tcPr>
          <w:p>
            <w:pPr>
              <w:spacing w:after="0"/>
              <w:rPr>
                <w:sz w:val="12"/>
                <w:szCs w:val="12"/>
                <w:color w:val="auto"/>
              </w:rPr>
            </w:pPr>
          </w:p>
        </w:tc>
        <w:tc>
          <w:tcPr>
            <w:tcW w:w="364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192"/>
              <w:spacing w:after="0" w:line="129"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ind w:right="212"/>
              <w:spacing w:after="0" w:line="129" w:lineRule="exact"/>
              <w:rPr>
                <w:sz w:val="20"/>
                <w:szCs w:val="20"/>
                <w:color w:val="auto"/>
              </w:rPr>
            </w:pPr>
            <w:r>
              <w:rPr>
                <w:rFonts w:ascii="Arial" w:cs="Arial" w:eastAsia="Arial" w:hAnsi="Arial"/>
                <w:sz w:val="14"/>
                <w:szCs w:val="14"/>
                <w:color w:val="auto"/>
                <w:w w:val="96"/>
              </w:rPr>
              <w:t>2019</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12"/>
              <w:spacing w:after="0" w:line="129"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11"/>
              <w:spacing w:after="0" w:line="129" w:lineRule="exact"/>
              <w:rPr>
                <w:sz w:val="20"/>
                <w:szCs w:val="20"/>
                <w:color w:val="auto"/>
              </w:rPr>
            </w:pPr>
            <w:r>
              <w:rPr>
                <w:rFonts w:ascii="Arial" w:cs="Arial" w:eastAsia="Arial" w:hAnsi="Arial"/>
                <w:sz w:val="14"/>
                <w:szCs w:val="14"/>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1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5,356</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8,269</w:t>
            </w: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12,811</w:t>
            </w:r>
          </w:p>
        </w:tc>
        <w:tc>
          <w:tcPr>
            <w:tcW w:w="4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16,149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72</w:t>
            </w:r>
          </w:p>
        </w:tc>
        <w:tc>
          <w:tcPr>
            <w:tcW w:w="2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360"/>
              <w:spacing w:after="0"/>
              <w:rPr>
                <w:sz w:val="20"/>
                <w:szCs w:val="20"/>
                <w:color w:val="auto"/>
              </w:rPr>
            </w:pPr>
            <w:r>
              <w:rPr>
                <w:rFonts w:ascii="Arial" w:cs="Arial" w:eastAsia="Arial" w:hAnsi="Arial"/>
                <w:sz w:val="18"/>
                <w:szCs w:val="18"/>
                <w:color w:val="auto"/>
              </w:rPr>
              <w:t>Cost of revenue</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4,925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7,252</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11,548</w:t>
            </w:r>
          </w:p>
        </w:tc>
        <w:tc>
          <w:tcPr>
            <w:tcW w:w="2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14,209</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&amp; engineering</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142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315</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5000" w:type="dxa"/>
            <w:vAlign w:val="bottom"/>
            <w:gridSpan w:val="2"/>
          </w:tcPr>
          <w:p>
            <w:pPr>
              <w:ind w:left="360"/>
              <w:spacing w:after="0"/>
              <w:rPr>
                <w:sz w:val="20"/>
                <w:szCs w:val="20"/>
                <w:color w:val="auto"/>
              </w:rPr>
            </w:pPr>
            <w:r>
              <w:rPr>
                <w:rFonts w:ascii="Arial" w:cs="Arial" w:eastAsia="Arial" w:hAnsi="Arial"/>
                <w:sz w:val="18"/>
                <w:szCs w:val="18"/>
                <w:color w:val="auto"/>
              </w:rPr>
              <w:t>General &amp; administrative</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208</w:t>
            </w:r>
          </w:p>
        </w:tc>
        <w:tc>
          <w:tcPr>
            <w:tcW w:w="2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Impairments &amp; other </w:t>
            </w:r>
            <w:r>
              <w:rPr>
                <w:rFonts w:ascii="Arial" w:cs="Arial" w:eastAsia="Arial" w:hAnsi="Arial"/>
                <w:sz w:val="15"/>
                <w:szCs w:val="15"/>
                <w:color w:val="auto"/>
              </w:rPr>
              <w:t>(1)</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3,724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12,247</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tcPr>
          <w:p>
            <w:pPr>
              <w:ind w:left="360"/>
              <w:spacing w:after="0"/>
              <w:rPr>
                <w:sz w:val="20"/>
                <w:szCs w:val="20"/>
                <w:color w:val="auto"/>
              </w:rPr>
            </w:pPr>
            <w:r>
              <w:rPr>
                <w:rFonts w:ascii="Arial" w:cs="Arial" w:eastAsia="Arial" w:hAnsi="Arial"/>
                <w:sz w:val="18"/>
                <w:szCs w:val="18"/>
                <w:color w:val="auto"/>
              </w:rPr>
              <w:t>Interest</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281</w:t>
            </w:r>
          </w:p>
        </w:tc>
        <w:tc>
          <w:tcPr>
            <w:tcW w:w="2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Income (loss) before taxes </w:t>
            </w:r>
            <w:r>
              <w:rPr>
                <w:rFonts w:ascii="Arial" w:cs="Arial" w:eastAsia="Arial" w:hAnsi="Arial"/>
                <w:sz w:val="15"/>
                <w:szCs w:val="15"/>
                <w:color w:val="auto"/>
              </w:rPr>
              <w:t>(1)</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(3,627)</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(11,716)</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 xml:space="preserve">T ax (benefit) expense </w:t>
            </w:r>
            <w:r>
              <w:rPr>
                <w:rFonts w:ascii="Arial" w:cs="Arial" w:eastAsia="Arial" w:hAnsi="Arial"/>
                <w:sz w:val="15"/>
                <w:szCs w:val="15"/>
                <w:color w:val="auto"/>
              </w:rPr>
              <w:t>(1)</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(920)</w:t>
            </w:r>
          </w:p>
        </w:tc>
        <w:tc>
          <w:tcPr>
            <w:tcW w:w="2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 income (loss) </w:t>
            </w:r>
            <w:r>
              <w:rPr>
                <w:rFonts w:ascii="Arial" w:cs="Arial" w:eastAsia="Arial" w:hAnsi="Arial"/>
                <w:sz w:val="15"/>
                <w:szCs w:val="15"/>
                <w:color w:val="auto"/>
              </w:rPr>
              <w:t>(1)</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(3,428)</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(10,796)</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14</w:t>
            </w:r>
          </w:p>
        </w:tc>
        <w:tc>
          <w:tcPr>
            <w:tcW w:w="2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 income (loss) attributable to Schlumberger </w:t>
            </w:r>
            <w:r>
              <w:rPr>
                <w:rFonts w:ascii="Arial" w:cs="Arial" w:eastAsia="Arial" w:hAnsi="Arial"/>
                <w:sz w:val="15"/>
                <w:szCs w:val="15"/>
                <w:color w:val="auto"/>
              </w:rPr>
              <w:t>(1)</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(3,434)</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(10,810)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Diluted earnings (loss) per share of Schlumberger </w:t>
            </w:r>
            <w:r>
              <w:rPr>
                <w:rFonts w:ascii="Arial" w:cs="Arial" w:eastAsia="Arial" w:hAnsi="Arial"/>
                <w:sz w:val="15"/>
                <w:szCs w:val="15"/>
                <w:color w:val="auto"/>
              </w:rPr>
              <w:t>(1)</w:t>
            </w:r>
          </w:p>
        </w:tc>
        <w:tc>
          <w:tcPr>
            <w:tcW w:w="1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2"/>
            <w:vMerge w:val="continue"/>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42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(7.79)</w:t>
            </w:r>
          </w:p>
        </w:tc>
        <w:tc>
          <w:tcPr>
            <w:tcW w:w="4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1,388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1,384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1,388</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Average shares outstanding assuming dilution</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1,388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1,395</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1,388</w:t>
            </w:r>
          </w:p>
        </w:tc>
        <w:tc>
          <w:tcPr>
            <w:tcW w:w="2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15"/>
                <w:szCs w:val="15"/>
                <w:color w:val="auto"/>
              </w:rPr>
              <w:t>(2)</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604</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938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1,396</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hanging="424"/>
        <w:spacing w:after="0"/>
        <w:tabs>
          <w:tab w:leader="none" w:pos="424" w:val="left"/>
        </w:tabs>
        <w:numPr>
          <w:ilvl w:val="0"/>
          <w:numId w:val="11"/>
        </w:numPr>
        <w:rPr>
          <w:rFonts w:ascii="Arial" w:cs="Arial" w:eastAsia="Arial" w:hAnsi="Arial"/>
          <w:sz w:val="15"/>
          <w:szCs w:val="15"/>
          <w:color w:val="auto"/>
        </w:rPr>
      </w:pPr>
      <w:r>
        <w:rPr>
          <w:rFonts w:ascii="Arial" w:cs="Arial" w:eastAsia="Arial" w:hAnsi="Arial"/>
          <w:sz w:val="18"/>
          <w:szCs w:val="18"/>
          <w:color w:val="auto"/>
        </w:rPr>
        <w:t>See section entitled “Charges &amp; Credits” for details.</w:t>
      </w:r>
    </w:p>
    <w:p>
      <w:pPr>
        <w:spacing w:after="0" w:line="23" w:lineRule="exact"/>
        <w:rPr>
          <w:rFonts w:ascii="Arial" w:cs="Arial" w:eastAsia="Arial" w:hAnsi="Arial"/>
          <w:sz w:val="15"/>
          <w:szCs w:val="15"/>
          <w:color w:val="auto"/>
        </w:rPr>
      </w:pPr>
    </w:p>
    <w:p>
      <w:pPr>
        <w:ind w:left="424" w:hanging="424"/>
        <w:spacing w:after="0"/>
        <w:tabs>
          <w:tab w:leader="none" w:pos="424" w:val="left"/>
        </w:tabs>
        <w:numPr>
          <w:ilvl w:val="0"/>
          <w:numId w:val="11"/>
        </w:numPr>
        <w:rPr>
          <w:rFonts w:ascii="Arial" w:cs="Arial" w:eastAsia="Arial" w:hAnsi="Arial"/>
          <w:sz w:val="13"/>
          <w:szCs w:val="13"/>
          <w:color w:val="auto"/>
        </w:rPr>
      </w:pPr>
      <w:r>
        <w:rPr>
          <w:rFonts w:ascii="Arial" w:cs="Arial" w:eastAsia="Arial" w:hAnsi="Arial"/>
          <w:sz w:val="16"/>
          <w:szCs w:val="16"/>
          <w:color w:val="auto"/>
        </w:rPr>
        <w:t>Includes depreciation of property, plant and equipment and amortization of intangible assets, multiclient seismic data costs, and APS investments.</w:t>
      </w:r>
    </w:p>
    <w:p>
      <w:pPr>
        <w:spacing w:after="0" w:line="16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4"/>
          </w:cols>
          <w:pgMar w:left="436" w:top="270" w:right="4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Condensed Consolidated Balance Sheet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203"/>
        </w:trPr>
        <w:tc>
          <w:tcPr>
            <w:tcW w:w="508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3700" w:type="dxa"/>
            <w:vAlign w:val="bottom"/>
          </w:tcPr>
          <w:p>
            <w:pPr>
              <w:spacing w:after="0"/>
              <w:rPr>
                <w:sz w:val="17"/>
                <w:szCs w:val="17"/>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Jun. 30,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201"/>
        </w:trPr>
        <w:tc>
          <w:tcPr>
            <w:tcW w:w="5080" w:type="dxa"/>
            <w:vAlign w:val="bottom"/>
            <w:gridSpan w:val="3"/>
            <w:vMerge w:val="continue"/>
          </w:tcPr>
          <w:p>
            <w:pPr>
              <w:spacing w:after="0"/>
              <w:rPr>
                <w:sz w:val="17"/>
                <w:szCs w:val="17"/>
                <w:color w:val="auto"/>
              </w:rPr>
            </w:pPr>
          </w:p>
        </w:tc>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7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32"/>
              <w:spacing w:after="0"/>
              <w:rPr>
                <w:sz w:val="20"/>
                <w:szCs w:val="20"/>
                <w:color w:val="auto"/>
              </w:rPr>
            </w:pPr>
            <w:r>
              <w:rPr>
                <w:rFonts w:ascii="Arial" w:cs="Arial" w:eastAsia="Arial" w:hAnsi="Arial"/>
                <w:sz w:val="14"/>
                <w:szCs w:val="14"/>
                <w:color w:val="auto"/>
              </w:rPr>
              <w:t>2019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Borders>
              <w:bottom w:val="single" w:sz="8" w:color="CCEEFF"/>
            </w:tcBorders>
            <w:shd w:val="clear" w:color="auto" w:fill="000000"/>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Current Assets</w:t>
            </w:r>
          </w:p>
        </w:tc>
        <w:tc>
          <w:tcPr>
            <w:tcW w:w="3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5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Cash and short-term investments</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3,589</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16"/>
        </w:trPr>
        <w:tc>
          <w:tcPr>
            <w:tcW w:w="5080" w:type="dxa"/>
            <w:vAlign w:val="bottom"/>
            <w:gridSpan w:val="3"/>
          </w:tcPr>
          <w:p>
            <w:pPr>
              <w:ind w:left="360"/>
              <w:spacing w:after="0"/>
              <w:rPr>
                <w:sz w:val="20"/>
                <w:szCs w:val="20"/>
                <w:color w:val="auto"/>
              </w:rPr>
            </w:pPr>
            <w:r>
              <w:rPr>
                <w:rFonts w:ascii="Arial" w:cs="Arial" w:eastAsia="Arial" w:hAnsi="Arial"/>
                <w:sz w:val="18"/>
                <w:szCs w:val="18"/>
                <w:color w:val="auto"/>
              </w:rPr>
              <w:t>Receivables</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5,808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7,747</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4,982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5,616</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14,379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assets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7,729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9,270</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Multiclient seismic data</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12,954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16,042</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Intangible assets</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3,622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7,089</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5,627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7,813</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44,667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5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w w:val="93"/>
              </w:rPr>
              <w:t>Liabilities and Equity</w:t>
            </w:r>
          </w:p>
        </w:tc>
        <w:tc>
          <w:tcPr>
            <w:tcW w:w="3520" w:type="dxa"/>
            <w:vAlign w:val="bottom"/>
            <w:tcBorders>
              <w:bottom w:val="single" w:sz="8" w:color="CCEEFF"/>
            </w:tcBorders>
            <w:shd w:val="clear" w:color="auto" w:fill="CCEEFF"/>
          </w:tcPr>
          <w:p>
            <w:pPr>
              <w:spacing w:after="0"/>
              <w:rPr>
                <w:sz w:val="16"/>
                <w:szCs w:val="16"/>
                <w:color w:val="auto"/>
              </w:rPr>
            </w:pPr>
          </w:p>
        </w:tc>
        <w:tc>
          <w:tcPr>
            <w:tcW w:w="3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9,824</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10,663</w:t>
            </w:r>
          </w:p>
        </w:tc>
        <w:tc>
          <w:tcPr>
            <w:tcW w:w="0" w:type="dxa"/>
            <w:vAlign w:val="bottom"/>
          </w:tcPr>
          <w:p>
            <w:pPr>
              <w:spacing w:after="0"/>
              <w:rPr>
                <w:sz w:val="1"/>
                <w:szCs w:val="1"/>
                <w:color w:val="auto"/>
              </w:rPr>
            </w:pPr>
          </w:p>
        </w:tc>
      </w:tr>
      <w:tr>
        <w:trPr>
          <w:trHeight w:val="216"/>
        </w:trPr>
        <w:tc>
          <w:tcPr>
            <w:tcW w:w="5080" w:type="dxa"/>
            <w:vAlign w:val="bottom"/>
            <w:gridSpan w:val="3"/>
          </w:tcPr>
          <w:p>
            <w:pPr>
              <w:ind w:left="360"/>
              <w:spacing w:after="0"/>
              <w:rPr>
                <w:sz w:val="20"/>
                <w:szCs w:val="20"/>
                <w:color w:val="auto"/>
              </w:rPr>
            </w:pPr>
            <w:r>
              <w:rPr>
                <w:rFonts w:ascii="Arial" w:cs="Arial" w:eastAsia="Arial" w:hAnsi="Arial"/>
                <w:sz w:val="18"/>
                <w:szCs w:val="18"/>
                <w:color w:val="auto"/>
              </w:rPr>
              <w:t>Estimated liability for taxes on income</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1,054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8"/>
              </w:rPr>
              <w:t>Short-term borrowings and current portion of long-term debt</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603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23"/>
        </w:trPr>
        <w:tc>
          <w:tcPr>
            <w:tcW w:w="5080" w:type="dxa"/>
            <w:vAlign w:val="bottom"/>
            <w:gridSpan w:val="3"/>
          </w:tcPr>
          <w:p>
            <w:pPr>
              <w:ind w:left="360"/>
              <w:spacing w:after="0"/>
              <w:rPr>
                <w:sz w:val="20"/>
                <w:szCs w:val="20"/>
                <w:color w:val="auto"/>
              </w:rPr>
            </w:pPr>
            <w:r>
              <w:rPr>
                <w:rFonts w:ascii="Arial" w:cs="Arial" w:eastAsia="Arial" w:hAnsi="Arial"/>
                <w:sz w:val="18"/>
                <w:szCs w:val="18"/>
                <w:color w:val="auto"/>
              </w:rPr>
              <w:t>Dividends payable</w:t>
            </w:r>
          </w:p>
        </w:tc>
        <w:tc>
          <w:tcPr>
            <w:tcW w:w="3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11,665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13,098</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16,763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14,770</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Postretirement benefits</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905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2,836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32,211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12,456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24,176</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44,667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700" w:type="dxa"/>
            <w:vAlign w:val="bottom"/>
            <w:vMerge w:val="restart"/>
          </w:tcPr>
          <w:p>
            <w:pPr>
              <w:jc w:val="right"/>
              <w:ind w:right="309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3" w:name="page14"/>
    <w:bookmarkEnd w:id="1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Liquidity</w:t>
      </w:r>
    </w:p>
    <w:p>
      <w:pPr>
        <w:spacing w:after="0" w:line="200" w:lineRule="exact"/>
        <w:rPr>
          <w:sz w:val="20"/>
          <w:szCs w:val="20"/>
          <w:color w:val="auto"/>
        </w:rPr>
      </w:pPr>
    </w:p>
    <w:p>
      <w:pPr>
        <w:spacing w:after="0" w:line="295" w:lineRule="exact"/>
        <w:rPr>
          <w:sz w:val="20"/>
          <w:szCs w:val="20"/>
          <w:color w:val="auto"/>
        </w:rPr>
      </w:pPr>
    </w:p>
    <w:tbl>
      <w:tblPr>
        <w:tblLayout w:type="fixed"/>
        <w:tblInd w:w="4" w:type="dxa"/>
        <w:tblCellMar>
          <w:top w:w="0" w:type="dxa"/>
          <w:left w:w="0" w:type="dxa"/>
          <w:bottom w:w="0" w:type="dxa"/>
          <w:right w:w="0" w:type="dxa"/>
        </w:tblCellMar>
      </w:tblPr>
      <w:tr>
        <w:trPr>
          <w:trHeight w:val="175"/>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6"/>
          </w:tcPr>
          <w:p>
            <w:pPr>
              <w:jc w:val="right"/>
              <w:ind w:right="41"/>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9"/>
        </w:trPr>
        <w:tc>
          <w:tcPr>
            <w:tcW w:w="1460" w:type="dxa"/>
            <w:vAlign w:val="bottom"/>
            <w:gridSpan w:val="2"/>
            <w:vMerge w:val="restart"/>
          </w:tcPr>
          <w:p>
            <w:pPr>
              <w:spacing w:after="0"/>
              <w:rPr>
                <w:sz w:val="20"/>
                <w:szCs w:val="20"/>
                <w:color w:val="auto"/>
              </w:rPr>
            </w:pPr>
            <w:r>
              <w:rPr>
                <w:rFonts w:ascii="Arial" w:cs="Arial" w:eastAsia="Arial" w:hAnsi="Arial"/>
                <w:sz w:val="14"/>
                <w:szCs w:val="14"/>
                <w:color w:val="auto"/>
                <w:w w:val="95"/>
              </w:rPr>
              <w:t>Components of Liquidity</w:t>
            </w:r>
          </w:p>
        </w:tc>
        <w:tc>
          <w:tcPr>
            <w:tcW w:w="61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41"/>
              <w:spacing w:after="0" w:line="149" w:lineRule="exact"/>
              <w:rPr>
                <w:sz w:val="20"/>
                <w:szCs w:val="20"/>
                <w:color w:val="auto"/>
              </w:rPr>
            </w:pPr>
            <w:r>
              <w:rPr>
                <w:rFonts w:ascii="Arial" w:cs="Arial" w:eastAsia="Arial" w:hAnsi="Arial"/>
                <w:sz w:val="14"/>
                <w:szCs w:val="14"/>
                <w:color w:val="auto"/>
                <w:w w:val="88"/>
              </w:rPr>
              <w:t>Jun. 30,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3"/>
              </w:rPr>
              <w:t>Mar. 31,</w:t>
            </w:r>
          </w:p>
        </w:tc>
        <w:tc>
          <w:tcPr>
            <w:tcW w:w="100" w:type="dxa"/>
            <w:vAlign w:val="bottom"/>
          </w:tcPr>
          <w:p>
            <w:pPr>
              <w:spacing w:after="0"/>
              <w:rPr>
                <w:sz w:val="12"/>
                <w:szCs w:val="12"/>
                <w:color w:val="auto"/>
              </w:rPr>
            </w:pPr>
          </w:p>
        </w:tc>
        <w:tc>
          <w:tcPr>
            <w:tcW w:w="700" w:type="dxa"/>
            <w:vAlign w:val="bottom"/>
            <w:gridSpan w:val="2"/>
          </w:tcPr>
          <w:p>
            <w:pPr>
              <w:jc w:val="center"/>
              <w:ind w:right="141"/>
              <w:spacing w:after="0" w:line="149" w:lineRule="exact"/>
              <w:rPr>
                <w:sz w:val="20"/>
                <w:szCs w:val="20"/>
                <w:color w:val="auto"/>
              </w:rPr>
            </w:pPr>
            <w:r>
              <w:rPr>
                <w:rFonts w:ascii="Arial" w:cs="Arial" w:eastAsia="Arial" w:hAnsi="Arial"/>
                <w:sz w:val="14"/>
                <w:szCs w:val="14"/>
                <w:color w:val="auto"/>
                <w:w w:val="91"/>
              </w:rPr>
              <w:t>Dec.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1"/>
              <w:spacing w:after="0" w:line="149" w:lineRule="exact"/>
              <w:rPr>
                <w:sz w:val="20"/>
                <w:szCs w:val="20"/>
                <w:color w:val="auto"/>
              </w:rPr>
            </w:pPr>
            <w:r>
              <w:rPr>
                <w:rFonts w:ascii="Arial" w:cs="Arial" w:eastAsia="Arial" w:hAnsi="Arial"/>
                <w:sz w:val="14"/>
                <w:szCs w:val="14"/>
                <w:color w:val="auto"/>
                <w:w w:val="92"/>
              </w:rPr>
              <w:t>Jun. 30,</w:t>
            </w:r>
          </w:p>
        </w:tc>
        <w:tc>
          <w:tcPr>
            <w:tcW w:w="0" w:type="dxa"/>
            <w:vAlign w:val="bottom"/>
          </w:tcPr>
          <w:p>
            <w:pPr>
              <w:spacing w:after="0"/>
              <w:rPr>
                <w:sz w:val="1"/>
                <w:szCs w:val="1"/>
                <w:color w:val="auto"/>
              </w:rPr>
            </w:pPr>
          </w:p>
        </w:tc>
      </w:tr>
      <w:tr>
        <w:trPr>
          <w:trHeight w:val="174"/>
        </w:trPr>
        <w:tc>
          <w:tcPr>
            <w:tcW w:w="1460" w:type="dxa"/>
            <w:vAlign w:val="bottom"/>
            <w:tcBorders>
              <w:bottom w:val="single" w:sz="8" w:color="auto"/>
            </w:tcBorders>
            <w:gridSpan w:val="2"/>
            <w:vMerge w:val="continue"/>
          </w:tcPr>
          <w:p>
            <w:pPr>
              <w:spacing w:after="0"/>
              <w:rPr>
                <w:sz w:val="15"/>
                <w:szCs w:val="15"/>
                <w:color w:val="auto"/>
              </w:rPr>
            </w:pPr>
          </w:p>
        </w:tc>
        <w:tc>
          <w:tcPr>
            <w:tcW w:w="6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6"/>
              <w:spacing w:after="0" w:line="154" w:lineRule="exact"/>
              <w:rPr>
                <w:sz w:val="20"/>
                <w:szCs w:val="20"/>
                <w:color w:val="auto"/>
              </w:rPr>
            </w:pPr>
            <w:r>
              <w:rPr>
                <w:rFonts w:ascii="Arial" w:cs="Arial" w:eastAsia="Arial" w:hAnsi="Arial"/>
                <w:sz w:val="14"/>
                <w:szCs w:val="14"/>
                <w:color w:val="auto"/>
              </w:rPr>
              <w:t>2020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center"/>
              <w:spacing w:after="0" w:line="154" w:lineRule="exact"/>
              <w:rPr>
                <w:sz w:val="20"/>
                <w:szCs w:val="20"/>
                <w:color w:val="auto"/>
              </w:rPr>
            </w:pPr>
            <w:r>
              <w:rPr>
                <w:rFonts w:ascii="Arial" w:cs="Arial" w:eastAsia="Arial" w:hAnsi="Arial"/>
                <w:sz w:val="14"/>
                <w:szCs w:val="14"/>
                <w:color w:val="auto"/>
                <w:w w:val="89"/>
              </w:rPr>
              <w:t>2020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spacing w:after="0" w:line="154" w:lineRule="exact"/>
              <w:rPr>
                <w:sz w:val="20"/>
                <w:szCs w:val="20"/>
                <w:color w:val="auto"/>
              </w:rPr>
            </w:pPr>
            <w:r>
              <w:rPr>
                <w:rFonts w:ascii="Arial" w:cs="Arial" w:eastAsia="Arial" w:hAnsi="Arial"/>
                <w:sz w:val="14"/>
                <w:szCs w:val="14"/>
                <w:color w:val="auto"/>
                <w:w w:val="89"/>
              </w:rPr>
              <w:t>2019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13"/>
              <w:spacing w:after="0" w:line="154" w:lineRule="exact"/>
              <w:rPr>
                <w:sz w:val="20"/>
                <w:szCs w:val="20"/>
                <w:color w:val="auto"/>
              </w:rPr>
            </w:pPr>
            <w:r>
              <w:rPr>
                <w:rFonts w:ascii="Arial" w:cs="Arial" w:eastAsia="Arial" w:hAnsi="Arial"/>
                <w:sz w:val="14"/>
                <w:szCs w:val="14"/>
                <w:color w:val="auto"/>
                <w:w w:val="96"/>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3,589</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3,344</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2,167</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2,348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(603)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Arial" w:cs="Arial" w:eastAsia="Arial" w:hAnsi="Arial"/>
                <w:sz w:val="18"/>
                <w:szCs w:val="18"/>
                <w:color w:val="auto"/>
              </w:rPr>
              <w:t>(524)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2"/>
              </w:rPr>
              <w:t>(16,763)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9"/>
              </w:rPr>
              <w:t>(15,409)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9"/>
              </w:rPr>
              <w:t>(14,770)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(16,978)</w:t>
            </w:r>
          </w:p>
        </w:tc>
        <w:tc>
          <w:tcPr>
            <w:tcW w:w="0" w:type="dxa"/>
            <w:vAlign w:val="bottom"/>
          </w:tcPr>
          <w:p>
            <w:pPr>
              <w:spacing w:after="0"/>
              <w:rPr>
                <w:sz w:val="1"/>
                <w:szCs w:val="1"/>
                <w:color w:val="auto"/>
              </w:rPr>
            </w:pPr>
          </w:p>
        </w:tc>
      </w:tr>
      <w:tr>
        <w:trPr>
          <w:trHeight w:val="223"/>
        </w:trPr>
        <w:tc>
          <w:tcPr>
            <w:tcW w:w="7600" w:type="dxa"/>
            <w:vAlign w:val="bottom"/>
            <w:gridSpan w:val="3"/>
          </w:tcPr>
          <w:p>
            <w:pPr>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15"/>
                <w:szCs w:val="15"/>
                <w:color w:val="auto"/>
              </w:rPr>
              <w:t>(1)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(13,777</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(13,298</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(13,127</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(14,728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7600" w:type="dxa"/>
            <w:vAlign w:val="bottom"/>
            <w:gridSpan w:val="3"/>
          </w:tcPr>
          <w:p>
            <w:pPr>
              <w:spacing w:after="0"/>
              <w:rPr>
                <w:sz w:val="20"/>
                <w:szCs w:val="20"/>
                <w:color w:val="auto"/>
              </w:rPr>
            </w:pPr>
            <w:r>
              <w:rPr>
                <w:rFonts w:ascii="Arial" w:cs="Arial" w:eastAsia="Arial" w:hAnsi="Arial"/>
                <w:sz w:val="18"/>
                <w:szCs w:val="18"/>
                <w:color w:val="auto"/>
              </w:rPr>
              <w:t>Details of changes in liquidity follow:</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4"/>
              </w:rPr>
              <w:t>Six</w:t>
            </w:r>
          </w:p>
        </w:tc>
        <w:tc>
          <w:tcPr>
            <w:tcW w:w="100" w:type="dxa"/>
            <w:vAlign w:val="bottom"/>
          </w:tcPr>
          <w:p>
            <w:pPr>
              <w:spacing w:after="0"/>
              <w:rPr>
                <w:sz w:val="19"/>
                <w:szCs w:val="19"/>
                <w:color w:val="auto"/>
              </w:rPr>
            </w:pPr>
          </w:p>
        </w:tc>
        <w:tc>
          <w:tcPr>
            <w:tcW w:w="700" w:type="dxa"/>
            <w:vAlign w:val="bottom"/>
            <w:gridSpan w:val="2"/>
            <w:vMerge w:val="restart"/>
          </w:tcPr>
          <w:p>
            <w:pPr>
              <w:jc w:val="center"/>
              <w:ind w:right="141"/>
              <w:spacing w:after="0"/>
              <w:rPr>
                <w:sz w:val="20"/>
                <w:szCs w:val="20"/>
                <w:color w:val="auto"/>
              </w:rPr>
            </w:pPr>
            <w:r>
              <w:rPr>
                <w:rFonts w:ascii="Arial" w:cs="Arial" w:eastAsia="Arial" w:hAnsi="Arial"/>
                <w:sz w:val="14"/>
                <w:szCs w:val="14"/>
                <w:b w:val="1"/>
                <w:bCs w:val="1"/>
                <w:color w:val="auto"/>
                <w:w w:val="86"/>
              </w:rPr>
              <w:t>Second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vMerge w:val="restart"/>
          </w:tcPr>
          <w:p>
            <w:pPr>
              <w:jc w:val="center"/>
              <w:ind w:right="141"/>
              <w:spacing w:after="0"/>
              <w:rPr>
                <w:sz w:val="20"/>
                <w:szCs w:val="20"/>
                <w:color w:val="auto"/>
              </w:rPr>
            </w:pPr>
            <w:r>
              <w:rPr>
                <w:rFonts w:ascii="Arial" w:cs="Arial" w:eastAsia="Arial" w:hAnsi="Arial"/>
                <w:sz w:val="14"/>
                <w:szCs w:val="14"/>
                <w:color w:val="auto"/>
                <w:w w:val="92"/>
              </w:rPr>
              <w:t>Six</w:t>
            </w:r>
          </w:p>
        </w:tc>
        <w:tc>
          <w:tcPr>
            <w:tcW w:w="0" w:type="dxa"/>
            <w:vAlign w:val="bottom"/>
          </w:tcPr>
          <w:p>
            <w:pPr>
              <w:spacing w:after="0"/>
              <w:rPr>
                <w:sz w:val="1"/>
                <w:szCs w:val="1"/>
                <w:color w:val="auto"/>
              </w:rPr>
            </w:pPr>
          </w:p>
        </w:tc>
      </w:tr>
      <w:tr>
        <w:trPr>
          <w:trHeight w:val="342"/>
        </w:trPr>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360" w:type="dxa"/>
            <w:vAlign w:val="bottom"/>
            <w:vMerge w:val="restart"/>
          </w:tcPr>
          <w:p>
            <w:pPr>
              <w:spacing w:after="0"/>
              <w:rPr>
                <w:sz w:val="20"/>
                <w:szCs w:val="20"/>
                <w:color w:val="auto"/>
              </w:rPr>
            </w:pPr>
            <w:r>
              <w:rPr>
                <w:rFonts w:ascii="Arial" w:cs="Arial" w:eastAsia="Arial" w:hAnsi="Arial"/>
                <w:sz w:val="14"/>
                <w:szCs w:val="14"/>
                <w:color w:val="auto"/>
                <w:w w:val="89"/>
              </w:rPr>
              <w:t>Periods Ended June 30,</w:t>
            </w:r>
          </w:p>
        </w:tc>
        <w:tc>
          <w:tcPr>
            <w:tcW w:w="6240" w:type="dxa"/>
            <w:vAlign w:val="bottom"/>
            <w:gridSpan w:val="2"/>
            <w:vMerge w:val="restart"/>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Months</w:t>
            </w:r>
          </w:p>
        </w:tc>
        <w:tc>
          <w:tcPr>
            <w:tcW w:w="800" w:type="dxa"/>
            <w:vAlign w:val="bottom"/>
            <w:gridSpan w:val="3"/>
          </w:tcPr>
          <w:p>
            <w:pPr>
              <w:jc w:val="center"/>
              <w:ind w:right="61"/>
              <w:spacing w:after="0" w:line="149" w:lineRule="exact"/>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21"/>
              <w:spacing w:after="0" w:line="149" w:lineRule="exact"/>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178"/>
        </w:trPr>
        <w:tc>
          <w:tcPr>
            <w:tcW w:w="1360" w:type="dxa"/>
            <w:vAlign w:val="bottom"/>
            <w:tcBorders>
              <w:bottom w:val="single" w:sz="8" w:color="auto"/>
            </w:tcBorders>
            <w:vMerge w:val="continue"/>
          </w:tcPr>
          <w:p>
            <w:pPr>
              <w:spacing w:after="0"/>
              <w:rPr>
                <w:sz w:val="15"/>
                <w:szCs w:val="15"/>
                <w:color w:val="auto"/>
              </w:rPr>
            </w:pPr>
          </w:p>
        </w:tc>
        <w:tc>
          <w:tcPr>
            <w:tcW w:w="62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13"/>
              <w:spacing w:after="0" w:line="158" w:lineRule="exact"/>
              <w:rPr>
                <w:sz w:val="20"/>
                <w:szCs w:val="20"/>
                <w:color w:val="auto"/>
              </w:rPr>
            </w:pPr>
            <w:r>
              <w:rPr>
                <w:rFonts w:ascii="Arial" w:cs="Arial" w:eastAsia="Arial" w:hAnsi="Arial"/>
                <w:sz w:val="14"/>
                <w:szCs w:val="14"/>
                <w:color w:val="auto"/>
                <w:w w:val="96"/>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Net income (loss) before noncontrolling interests</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0"/>
              </w:rPr>
              <w:t>(10,796)</w:t>
            </w:r>
          </w:p>
        </w:tc>
        <w:tc>
          <w:tcPr>
            <w:tcW w:w="22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4"/>
              </w:rPr>
              <w:t>(3,428)</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923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Impairment and other charges, net of tax</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8"/>
              </w:rPr>
              <w:t>11,230</w:t>
            </w:r>
          </w:p>
        </w:tc>
        <w:tc>
          <w:tcPr>
            <w:tcW w:w="100" w:type="dxa"/>
            <w:vAlign w:val="bottom"/>
          </w:tcPr>
          <w:p>
            <w:pPr>
              <w:spacing w:after="0"/>
              <w:rPr>
                <w:sz w:val="18"/>
                <w:szCs w:val="18"/>
                <w:color w:val="auto"/>
              </w:rPr>
            </w:pPr>
          </w:p>
        </w:tc>
        <w:tc>
          <w:tcPr>
            <w:tcW w:w="70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3,503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75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604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Change in working capital</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(423)</w:t>
            </w:r>
          </w:p>
        </w:tc>
        <w:tc>
          <w:tcPr>
            <w:tcW w:w="100" w:type="dxa"/>
            <w:vAlign w:val="bottom"/>
          </w:tcPr>
          <w:p>
            <w:pPr>
              <w:spacing w:after="0"/>
              <w:rPr>
                <w:sz w:val="18"/>
                <w:szCs w:val="18"/>
                <w:color w:val="auto"/>
              </w:rPr>
            </w:pPr>
          </w:p>
        </w:tc>
        <w:tc>
          <w:tcPr>
            <w:tcW w:w="70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76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Cash flow from operations </w:t>
            </w:r>
            <w:r>
              <w:rPr>
                <w:rFonts w:ascii="Arial" w:cs="Arial" w:eastAsia="Arial" w:hAnsi="Arial"/>
                <w:sz w:val="15"/>
                <w:szCs w:val="15"/>
                <w:color w:val="auto"/>
              </w:rPr>
              <w:t>(3)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(658)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(251)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APS investments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(224)</w:t>
            </w:r>
          </w:p>
        </w:tc>
        <w:tc>
          <w:tcPr>
            <w:tcW w:w="10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Multiclient seismic data capitalized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76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color w:val="auto"/>
              </w:rPr>
              <w:t>(4)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(1,386)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(694)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Stock repurchase program</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Net proceeds from asset divestitures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298</w:t>
            </w:r>
          </w:p>
        </w:tc>
        <w:tc>
          <w:tcPr>
            <w:tcW w:w="10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(230)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7600" w:type="dxa"/>
            <w:vAlign w:val="bottom"/>
            <w:gridSpan w:val="3"/>
          </w:tcPr>
          <w:p>
            <w:pPr>
              <w:spacing w:after="0"/>
              <w:rPr>
                <w:sz w:val="20"/>
                <w:szCs w:val="20"/>
                <w:color w:val="auto"/>
              </w:rPr>
            </w:pPr>
            <w:r>
              <w:rPr>
                <w:rFonts w:ascii="Arial" w:cs="Arial" w:eastAsia="Arial" w:hAnsi="Arial"/>
                <w:sz w:val="18"/>
                <w:szCs w:val="18"/>
                <w:color w:val="auto"/>
              </w:rPr>
              <w:t>Increase in Net Debt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(1,454)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beginning of period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9"/>
              </w:rPr>
              <w:t>(13,127)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w w:val="89"/>
              </w:rPr>
              <w:t>(13,298)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(13,274)</w:t>
            </w:r>
          </w:p>
        </w:tc>
        <w:tc>
          <w:tcPr>
            <w:tcW w:w="0" w:type="dxa"/>
            <w:vAlign w:val="bottom"/>
          </w:tcPr>
          <w:p>
            <w:pPr>
              <w:spacing w:after="0"/>
              <w:rPr>
                <w:sz w:val="1"/>
                <w:szCs w:val="1"/>
                <w:color w:val="auto"/>
              </w:rPr>
            </w:pPr>
          </w:p>
        </w:tc>
      </w:tr>
      <w:tr>
        <w:trPr>
          <w:trHeight w:val="223"/>
        </w:trPr>
        <w:tc>
          <w:tcPr>
            <w:tcW w:w="7600" w:type="dxa"/>
            <w:vAlign w:val="bottom"/>
            <w:gridSpan w:val="3"/>
          </w:tcPr>
          <w:p>
            <w:pPr>
              <w:spacing w:after="0"/>
              <w:rPr>
                <w:sz w:val="20"/>
                <w:szCs w:val="20"/>
                <w:color w:val="auto"/>
              </w:rPr>
            </w:pPr>
            <w:r>
              <w:rPr>
                <w:rFonts w:ascii="Arial" w:cs="Arial" w:eastAsia="Arial" w:hAnsi="Arial"/>
                <w:sz w:val="18"/>
                <w:szCs w:val="18"/>
                <w:color w:val="auto"/>
              </w:rPr>
              <w:t>Net Debt, end of period</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(13,777</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(13,777</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(14,728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4" w:right="40" w:hanging="424"/>
        <w:spacing w:after="0" w:line="287" w:lineRule="auto"/>
        <w:tabs>
          <w:tab w:leader="none" w:pos="424" w:val="left"/>
        </w:tabs>
        <w:numPr>
          <w:ilvl w:val="0"/>
          <w:numId w:val="12"/>
        </w:numPr>
        <w:rPr>
          <w:rFonts w:ascii="Arial" w:cs="Arial" w:eastAsia="Arial" w:hAnsi="Arial"/>
          <w:sz w:val="13"/>
          <w:szCs w:val="13"/>
          <w:color w:val="auto"/>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spacing w:after="0" w:line="2" w:lineRule="exact"/>
        <w:rPr>
          <w:rFonts w:ascii="Arial" w:cs="Arial" w:eastAsia="Arial" w:hAnsi="Arial"/>
          <w:sz w:val="13"/>
          <w:szCs w:val="13"/>
          <w:color w:val="auto"/>
        </w:rPr>
      </w:pPr>
    </w:p>
    <w:p>
      <w:pPr>
        <w:ind w:left="424" w:hanging="424"/>
        <w:spacing w:after="0"/>
        <w:tabs>
          <w:tab w:leader="none" w:pos="424" w:val="left"/>
        </w:tabs>
        <w:numPr>
          <w:ilvl w:val="0"/>
          <w:numId w:val="12"/>
        </w:numPr>
        <w:rPr>
          <w:rFonts w:ascii="Arial" w:cs="Arial" w:eastAsia="Arial" w:hAnsi="Arial"/>
          <w:sz w:val="13"/>
          <w:szCs w:val="13"/>
          <w:color w:val="auto"/>
        </w:rPr>
      </w:pPr>
      <w:r>
        <w:rPr>
          <w:rFonts w:ascii="Arial" w:cs="Arial" w:eastAsia="Arial" w:hAnsi="Arial"/>
          <w:sz w:val="16"/>
          <w:szCs w:val="16"/>
          <w:color w:val="auto"/>
        </w:rPr>
        <w:t>Includes depreciation of property, plant and equipment and amortization of intangible assets, multiclient seismic data costs, and APS investments.</w:t>
      </w:r>
    </w:p>
    <w:p>
      <w:pPr>
        <w:spacing w:after="0" w:line="32" w:lineRule="exact"/>
        <w:rPr>
          <w:rFonts w:ascii="Arial" w:cs="Arial" w:eastAsia="Arial" w:hAnsi="Arial"/>
          <w:sz w:val="13"/>
          <w:szCs w:val="13"/>
          <w:color w:val="auto"/>
        </w:rPr>
      </w:pPr>
    </w:p>
    <w:p>
      <w:pPr>
        <w:ind w:left="424" w:right="200" w:hanging="424"/>
        <w:spacing w:after="0" w:line="250" w:lineRule="auto"/>
        <w:tabs>
          <w:tab w:leader="none" w:pos="424" w:val="left"/>
        </w:tabs>
        <w:numPr>
          <w:ilvl w:val="0"/>
          <w:numId w:val="12"/>
        </w:numPr>
        <w:rPr>
          <w:rFonts w:ascii="Arial" w:cs="Arial" w:eastAsia="Arial" w:hAnsi="Arial"/>
          <w:sz w:val="15"/>
          <w:szCs w:val="15"/>
          <w:color w:val="auto"/>
        </w:rPr>
      </w:pPr>
      <w:r>
        <w:rPr>
          <w:rFonts w:ascii="Arial" w:cs="Arial" w:eastAsia="Arial" w:hAnsi="Arial"/>
          <w:sz w:val="18"/>
          <w:szCs w:val="18"/>
          <w:color w:val="auto"/>
        </w:rPr>
        <w:t>Includes severance payments of $426 million and $370 million during the six months and second quarter ended June 30, 2020, respectively; and $71 million and $23 million during the six months and second quarter ended June 30, 2019, respectively.</w:t>
      </w:r>
    </w:p>
    <w:p>
      <w:pPr>
        <w:ind w:left="424" w:right="60" w:hanging="424"/>
        <w:spacing w:after="0" w:line="252" w:lineRule="auto"/>
        <w:tabs>
          <w:tab w:leader="none" w:pos="424" w:val="left"/>
        </w:tabs>
        <w:numPr>
          <w:ilvl w:val="0"/>
          <w:numId w:val="12"/>
        </w:numPr>
        <w:rPr>
          <w:rFonts w:ascii="Arial" w:cs="Arial" w:eastAsia="Arial" w:hAnsi="Arial"/>
          <w:sz w:val="15"/>
          <w:szCs w:val="15"/>
          <w:color w:val="auto"/>
        </w:rPr>
      </w:pPr>
      <w:r>
        <w:rPr>
          <w:rFonts w:ascii="Arial" w:cs="Arial" w:eastAsia="Arial" w:hAnsi="Arial"/>
          <w:sz w:val="18"/>
          <w:szCs w:val="18"/>
          <w:color w:val="auto"/>
        </w:rPr>
        <w:t>“Free cash flow” represents cash flow from operations less capital expenditures, APS investments, and multiclient seismic data costs capitalized. Management believes that free cash flow is an important liquidity measure for the company and that it is useful to investors and management as a measure of Schlumberger’s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12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4"/>
          </w:cols>
          <w:pgMar w:left="436" w:top="270" w:right="4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Charges &amp; Credits</w:t>
      </w:r>
    </w:p>
    <w:p>
      <w:pPr>
        <w:spacing w:after="0" w:line="229"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In addition to financial results determined in accordance with US generally accepted accounting principles (GAAP), this second-quarter 2020 earnings release also includes non-GAAP financial measures (as defined under the SEC’s Regulation G). In addition to the non-GAAP financial measures discussed under “Liquidity”, net income (loss), excluding charges &amp; credits, as well as measures derived from it (including diluted EPS, excluding charges &amp; credits; Schlumberger net income (loss), excluding charges &amp; credits; and effective tax rate, excluding charges &amp; credits) are non-GAAP financial measures. Management believes that the exclusion of charges &amp; credits from these financial measures enables it to more effectively evaluate Schlumberger’s operations period over period and to identify operating trends that could otherwise be masked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these non-GAAP measures to the comparable GAAP measures.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8"/>
          </w:tcPr>
          <w:p>
            <w:pPr>
              <w:jc w:val="right"/>
              <w:ind w:right="120"/>
              <w:spacing w:after="0"/>
              <w:rPr>
                <w:sz w:val="20"/>
                <w:szCs w:val="20"/>
                <w:color w:val="auto"/>
              </w:rPr>
            </w:pPr>
            <w:r>
              <w:rPr>
                <w:rFonts w:ascii="Arial" w:cs="Arial" w:eastAsia="Arial" w:hAnsi="Arial"/>
                <w:sz w:val="14"/>
                <w:szCs w:val="14"/>
                <w:color w:val="auto"/>
                <w:w w:val="96"/>
              </w:rPr>
              <w:t>(Stated in millions, except per share amounts)</w:t>
            </w: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8"/>
              </w:rPr>
              <w:t>Second Quarter 2020</w:t>
            </w:r>
          </w:p>
        </w:tc>
        <w:tc>
          <w:tcPr>
            <w:tcW w:w="6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2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360"/>
              <w:spacing w:after="0" w:line="123" w:lineRule="exact"/>
              <w:rPr>
                <w:sz w:val="20"/>
                <w:szCs w:val="20"/>
                <w:color w:val="auto"/>
              </w:rPr>
            </w:pPr>
            <w:r>
              <w:rPr>
                <w:rFonts w:ascii="Arial" w:cs="Arial" w:eastAsia="Arial" w:hAnsi="Arial"/>
                <w:sz w:val="14"/>
                <w:szCs w:val="14"/>
                <w:color w:val="auto"/>
                <w:w w:val="92"/>
              </w:rPr>
              <w:t>Noncont.</w:t>
            </w: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12"/>
              <w:spacing w:after="0" w:line="123" w:lineRule="exact"/>
              <w:rPr>
                <w:sz w:val="20"/>
                <w:szCs w:val="20"/>
                <w:color w:val="auto"/>
              </w:rPr>
            </w:pPr>
            <w:r>
              <w:rPr>
                <w:rFonts w:ascii="Arial" w:cs="Arial" w:eastAsia="Arial" w:hAnsi="Arial"/>
                <w:sz w:val="14"/>
                <w:szCs w:val="14"/>
                <w:color w:val="auto"/>
                <w:w w:val="96"/>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0" w:type="dxa"/>
            <w:vAlign w:val="bottom"/>
            <w:tcBorders>
              <w:bottom w:val="single" w:sz="8" w:color="CCEEFF"/>
            </w:tcBorders>
          </w:tcPr>
          <w:p>
            <w:pPr>
              <w:spacing w:after="0"/>
              <w:rPr>
                <w:sz w:val="14"/>
                <w:szCs w:val="14"/>
                <w:color w:val="auto"/>
              </w:rPr>
            </w:pPr>
          </w:p>
        </w:tc>
        <w:tc>
          <w:tcPr>
            <w:tcW w:w="446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93"/>
              </w:rPr>
              <w:t>Pretax</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85"/>
              </w:rPr>
              <w:t>Tax</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w w:val="93"/>
              </w:rPr>
              <w:t>Interests</w:t>
            </w: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Net</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EPS*</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Schlumberger net loss (GAAP basis)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(3,627)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6"/>
              </w:rPr>
              <w:t>(199)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60" w:type="dxa"/>
            <w:vAlign w:val="bottom"/>
          </w:tcPr>
          <w:p>
            <w:pPr>
              <w:ind w:left="140"/>
              <w:spacing w:after="0"/>
              <w:rPr>
                <w:sz w:val="20"/>
                <w:szCs w:val="20"/>
                <w:color w:val="auto"/>
              </w:rPr>
            </w:pPr>
            <w:r>
              <w:rPr>
                <w:rFonts w:ascii="Arial" w:cs="Arial" w:eastAsia="Arial" w:hAnsi="Arial"/>
                <w:sz w:val="18"/>
                <w:szCs w:val="18"/>
                <w:color w:val="auto"/>
              </w:rPr>
              <w:t>Workforce reductions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performance solutions investments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60" w:type="dxa"/>
            <w:vAlign w:val="bottom"/>
          </w:tcPr>
          <w:p>
            <w:pPr>
              <w:ind w:left="140"/>
              <w:spacing w:after="0"/>
              <w:rPr>
                <w:sz w:val="20"/>
                <w:szCs w:val="20"/>
                <w:color w:val="auto"/>
              </w:rPr>
            </w:pPr>
            <w:r>
              <w:rPr>
                <w:rFonts w:ascii="Arial" w:cs="Arial" w:eastAsia="Arial" w:hAnsi="Arial"/>
                <w:sz w:val="18"/>
                <w:szCs w:val="18"/>
                <w:color w:val="auto"/>
              </w:rPr>
              <w:t>Fixed asset impairments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 write-downs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60" w:type="dxa"/>
            <w:vAlign w:val="bottom"/>
          </w:tcPr>
          <w:p>
            <w:pPr>
              <w:ind w:left="140"/>
              <w:spacing w:after="0"/>
              <w:rPr>
                <w:sz w:val="20"/>
                <w:szCs w:val="20"/>
                <w:color w:val="auto"/>
              </w:rPr>
            </w:pPr>
            <w:r>
              <w:rPr>
                <w:rFonts w:ascii="Arial" w:cs="Arial" w:eastAsia="Arial" w:hAnsi="Arial"/>
                <w:sz w:val="18"/>
                <w:szCs w:val="18"/>
                <w:color w:val="auto"/>
              </w:rPr>
              <w:t>Right-of-use asset impairments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Costs associated with exiting certain activities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60" w:type="dxa"/>
            <w:vAlign w:val="bottom"/>
          </w:tcPr>
          <w:p>
            <w:pPr>
              <w:ind w:left="140"/>
              <w:spacing w:after="0"/>
              <w:rPr>
                <w:sz w:val="20"/>
                <w:szCs w:val="20"/>
                <w:color w:val="auto"/>
              </w:rPr>
            </w:pPr>
            <w:r>
              <w:rPr>
                <w:rFonts w:ascii="Arial" w:cs="Arial" w:eastAsia="Arial" w:hAnsi="Arial"/>
                <w:sz w:val="18"/>
                <w:szCs w:val="18"/>
                <w:color w:val="auto"/>
              </w:rPr>
              <w:t>Multiclient seismic data impairment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of bonds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60" w:type="dxa"/>
            <w:vAlign w:val="bottom"/>
          </w:tcPr>
          <w:p>
            <w:pPr>
              <w:ind w:left="140"/>
              <w:spacing w:after="0"/>
              <w:rPr>
                <w:sz w:val="20"/>
                <w:szCs w:val="20"/>
                <w:color w:val="auto"/>
              </w:rPr>
            </w:pPr>
            <w:r>
              <w:rPr>
                <w:rFonts w:ascii="Arial" w:cs="Arial" w:eastAsia="Arial" w:hAnsi="Arial"/>
                <w:sz w:val="18"/>
                <w:szCs w:val="18"/>
                <w:color w:val="auto"/>
              </w:rPr>
              <w:t>Postretirement benefits curtailment gain</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1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w w:val="98"/>
              </w:rPr>
              <w:t>Six Months 2020</w:t>
            </w:r>
          </w:p>
        </w:tc>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360"/>
              <w:spacing w:after="0" w:line="123" w:lineRule="exact"/>
              <w:rPr>
                <w:sz w:val="20"/>
                <w:szCs w:val="20"/>
                <w:color w:val="auto"/>
              </w:rPr>
            </w:pPr>
            <w:r>
              <w:rPr>
                <w:rFonts w:ascii="Arial" w:cs="Arial" w:eastAsia="Arial" w:hAnsi="Arial"/>
                <w:sz w:val="14"/>
                <w:szCs w:val="14"/>
                <w:color w:val="auto"/>
                <w:w w:val="92"/>
              </w:rPr>
              <w:t>Noncont.</w:t>
            </w: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12"/>
              <w:spacing w:after="0" w:line="123" w:lineRule="exact"/>
              <w:rPr>
                <w:sz w:val="20"/>
                <w:szCs w:val="20"/>
                <w:color w:val="auto"/>
              </w:rPr>
            </w:pPr>
            <w:r>
              <w:rPr>
                <w:rFonts w:ascii="Arial" w:cs="Arial" w:eastAsia="Arial" w:hAnsi="Arial"/>
                <w:sz w:val="14"/>
                <w:szCs w:val="14"/>
                <w:color w:val="auto"/>
                <w:w w:val="96"/>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color w:val="auto"/>
                <w:w w:val="93"/>
              </w:rPr>
              <w:t>Pretax</w:t>
            </w:r>
          </w:p>
        </w:tc>
        <w:tc>
          <w:tcPr>
            <w:tcW w:w="100" w:type="dxa"/>
            <w:vAlign w:val="bottom"/>
          </w:tcPr>
          <w:p>
            <w:pPr>
              <w:spacing w:after="0"/>
              <w:rPr>
                <w:sz w:val="14"/>
                <w:szCs w:val="14"/>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w w:val="85"/>
              </w:rPr>
              <w:t>Tax</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color w:val="auto"/>
                <w:w w:val="93"/>
              </w:rPr>
              <w:t>Interests</w:t>
            </w:r>
          </w:p>
        </w:tc>
        <w:tc>
          <w:tcPr>
            <w:tcW w:w="280" w:type="dxa"/>
            <w:vAlign w:val="bottom"/>
          </w:tcPr>
          <w:p>
            <w:pPr>
              <w:spacing w:after="0"/>
              <w:rPr>
                <w:sz w:val="14"/>
                <w:szCs w:val="14"/>
                <w:color w:val="auto"/>
              </w:rPr>
            </w:pPr>
          </w:p>
        </w:tc>
        <w:tc>
          <w:tcPr>
            <w:tcW w:w="920" w:type="dxa"/>
            <w:vAlign w:val="bottom"/>
            <w:gridSpan w:val="2"/>
          </w:tcPr>
          <w:p>
            <w:pPr>
              <w:jc w:val="right"/>
              <w:ind w:right="660"/>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EPS*</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Schlumberger net loss (GAAP basis)</w:t>
            </w:r>
          </w:p>
        </w:tc>
        <w:tc>
          <w:tcPr>
            <w:tcW w:w="1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(11,716)</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(920)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(10,810)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60" w:type="dxa"/>
            <w:vAlign w:val="bottom"/>
          </w:tcPr>
          <w:p>
            <w:pPr>
              <w:ind w:left="140"/>
              <w:spacing w:after="0"/>
              <w:rPr>
                <w:sz w:val="20"/>
                <w:szCs w:val="20"/>
                <w:color w:val="auto"/>
              </w:rPr>
            </w:pPr>
            <w:r>
              <w:rPr>
                <w:rFonts w:ascii="Arial" w:cs="Arial" w:eastAsia="Arial" w:hAnsi="Arial"/>
                <w:sz w:val="18"/>
                <w:szCs w:val="18"/>
                <w:color w:val="auto"/>
              </w:rPr>
              <w:t>Goodwill</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3,321</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60" w:type="dxa"/>
            <w:vAlign w:val="bottom"/>
          </w:tcPr>
          <w:p>
            <w:pPr>
              <w:ind w:left="140"/>
              <w:spacing w:after="0"/>
              <w:rPr>
                <w:sz w:val="20"/>
                <w:szCs w:val="20"/>
                <w:color w:val="auto"/>
              </w:rPr>
            </w:pPr>
            <w:r>
              <w:rPr>
                <w:rFonts w:ascii="Arial" w:cs="Arial" w:eastAsia="Arial" w:hAnsi="Arial"/>
                <w:sz w:val="18"/>
                <w:szCs w:val="18"/>
                <w:color w:val="auto"/>
              </w:rPr>
              <w:t>Asset performance solutions investments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1,983</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Workforce reductions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1,223</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60" w:type="dxa"/>
            <w:vAlign w:val="bottom"/>
          </w:tcPr>
          <w:p>
            <w:pPr>
              <w:ind w:left="140"/>
              <w:spacing w:after="0"/>
              <w:rPr>
                <w:sz w:val="20"/>
                <w:szCs w:val="20"/>
                <w:color w:val="auto"/>
              </w:rPr>
            </w:pPr>
            <w:r>
              <w:rPr>
                <w:rFonts w:ascii="Arial" w:cs="Arial" w:eastAsia="Arial" w:hAnsi="Arial"/>
                <w:sz w:val="18"/>
                <w:szCs w:val="18"/>
                <w:color w:val="auto"/>
              </w:rPr>
              <w:t>Fixed asset impairments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 write-downs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60" w:type="dxa"/>
            <w:vAlign w:val="bottom"/>
          </w:tcPr>
          <w:p>
            <w:pPr>
              <w:ind w:left="140"/>
              <w:spacing w:after="0"/>
              <w:rPr>
                <w:sz w:val="20"/>
                <w:szCs w:val="20"/>
                <w:color w:val="auto"/>
              </w:rPr>
            </w:pPr>
            <w:r>
              <w:rPr>
                <w:rFonts w:ascii="Arial" w:cs="Arial" w:eastAsia="Arial" w:hAnsi="Arial"/>
                <w:sz w:val="18"/>
                <w:szCs w:val="18"/>
                <w:color w:val="auto"/>
              </w:rPr>
              <w:t>North America pressure pumping impairment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Right-of-use asset impairments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60" w:type="dxa"/>
            <w:vAlign w:val="bottom"/>
          </w:tcPr>
          <w:p>
            <w:pPr>
              <w:ind w:left="140"/>
              <w:spacing w:after="0"/>
              <w:rPr>
                <w:sz w:val="20"/>
                <w:szCs w:val="20"/>
                <w:color w:val="auto"/>
              </w:rPr>
            </w:pPr>
            <w:r>
              <w:rPr>
                <w:rFonts w:ascii="Arial" w:cs="Arial" w:eastAsia="Arial" w:hAnsi="Arial"/>
                <w:sz w:val="18"/>
                <w:szCs w:val="18"/>
                <w:color w:val="auto"/>
              </w:rPr>
              <w:t>Costs associated with exiting certain activities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Multiclient seismic data impairment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60" w:type="dxa"/>
            <w:vAlign w:val="bottom"/>
          </w:tcPr>
          <w:p>
            <w:pPr>
              <w:ind w:left="140"/>
              <w:spacing w:after="0"/>
              <w:rPr>
                <w:sz w:val="20"/>
                <w:szCs w:val="20"/>
                <w:color w:val="auto"/>
              </w:rPr>
            </w:pPr>
            <w:r>
              <w:rPr>
                <w:rFonts w:ascii="Arial" w:cs="Arial" w:eastAsia="Arial" w:hAnsi="Arial"/>
                <w:sz w:val="18"/>
                <w:szCs w:val="18"/>
                <w:color w:val="auto"/>
              </w:rPr>
              <w:t>Repurchase of bonds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Postretirement benefits curtailment gain</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60" w:type="dxa"/>
            <w:vAlign w:val="bottom"/>
          </w:tcPr>
          <w:p>
            <w:pPr>
              <w:ind w:left="140"/>
              <w:spacing w:after="0"/>
              <w:rPr>
                <w:sz w:val="20"/>
                <w:szCs w:val="20"/>
                <w:color w:val="auto"/>
              </w:rPr>
            </w:pPr>
            <w:r>
              <w:rPr>
                <w:rFonts w:ascii="Arial" w:cs="Arial" w:eastAsia="Arial" w:hAnsi="Arial"/>
                <w:sz w:val="18"/>
                <w:szCs w:val="18"/>
                <w:color w:val="auto"/>
              </w:rPr>
              <w:t>Other</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Valuation allowance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(164)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1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4460" w:type="dxa"/>
            <w:vAlign w:val="bottom"/>
            <w:vMerge w:val="restart"/>
          </w:tcPr>
          <w:p>
            <w:pPr>
              <w:ind w:left="200"/>
              <w:spacing w:after="0"/>
              <w:rPr>
                <w:sz w:val="20"/>
                <w:szCs w:val="20"/>
                <w:color w:val="auto"/>
              </w:rPr>
            </w:pPr>
            <w:r>
              <w:rPr>
                <w:rFonts w:ascii="Arial" w:cs="Arial" w:eastAsia="Arial" w:hAnsi="Arial"/>
                <w:sz w:val="18"/>
                <w:szCs w:val="18"/>
                <w:color w:val="auto"/>
              </w:rPr>
              <w:t>Does not add due to rounding.</w:t>
            </w:r>
          </w:p>
        </w:tc>
        <w:tc>
          <w:tcPr>
            <w:tcW w:w="1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20" w:type="dxa"/>
            <w:vAlign w:val="bottom"/>
            <w:vMerge w:val="continue"/>
          </w:tcPr>
          <w:p>
            <w:pPr>
              <w:spacing w:after="0"/>
              <w:rPr>
                <w:sz w:val="24"/>
                <w:szCs w:val="24"/>
                <w:color w:val="auto"/>
              </w:rPr>
            </w:pPr>
          </w:p>
        </w:tc>
        <w:tc>
          <w:tcPr>
            <w:tcW w:w="446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700" w:type="dxa"/>
            <w:vAlign w:val="bottom"/>
          </w:tcPr>
          <w:p>
            <w:pPr>
              <w:jc w:val="right"/>
              <w:ind w:right="69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13"/>
          </w:tcPr>
          <w:p>
            <w:pPr>
              <w:jc w:val="right"/>
              <w:ind w:right="120"/>
              <w:spacing w:after="0"/>
              <w:rPr>
                <w:sz w:val="20"/>
                <w:szCs w:val="20"/>
                <w:color w:val="auto"/>
              </w:rPr>
            </w:pPr>
            <w:r>
              <w:rPr>
                <w:rFonts w:ascii="Arial" w:cs="Arial" w:eastAsia="Arial" w:hAnsi="Arial"/>
                <w:sz w:val="14"/>
                <w:szCs w:val="14"/>
                <w:color w:val="auto"/>
              </w:rPr>
              <w:t>(Stated in millions, except per share amounts)</w:t>
            </w:r>
          </w:p>
        </w:tc>
      </w:tr>
      <w:tr>
        <w:trPr>
          <w:trHeight w:val="171"/>
        </w:trPr>
        <w:tc>
          <w:tcPr>
            <w:tcW w:w="5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5"/>
              </w:rPr>
              <w:t>First Quarter 2020</w:t>
            </w: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3"/>
        </w:trPr>
        <w:tc>
          <w:tcPr>
            <w:tcW w:w="54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Noncont.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0"/>
                <w:szCs w:val="10"/>
                <w:color w:val="auto"/>
              </w:rPr>
            </w:pPr>
          </w:p>
        </w:tc>
      </w:tr>
      <w:tr>
        <w:trPr>
          <w:trHeight w:val="167"/>
        </w:trPr>
        <w:tc>
          <w:tcPr>
            <w:tcW w:w="5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color w:val="auto"/>
                <w:w w:val="83"/>
              </w:rPr>
              <w:t>Pretax</w:t>
            </w:r>
          </w:p>
        </w:tc>
        <w:tc>
          <w:tcPr>
            <w:tcW w:w="100" w:type="dxa"/>
            <w:vAlign w:val="bottom"/>
          </w:tcPr>
          <w:p>
            <w:pPr>
              <w:spacing w:after="0"/>
              <w:rPr>
                <w:sz w:val="14"/>
                <w:szCs w:val="1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w w:val="85"/>
              </w:rPr>
              <w:t>Tax</w:t>
            </w:r>
          </w:p>
        </w:tc>
        <w:tc>
          <w:tcPr>
            <w:tcW w:w="24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color w:val="auto"/>
              </w:rPr>
              <w:t>Interests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4"/>
                <w:szCs w:val="14"/>
                <w:color w:val="auto"/>
              </w:rPr>
              <w:t>Net</w:t>
            </w:r>
          </w:p>
        </w:tc>
        <w:tc>
          <w:tcPr>
            <w:tcW w:w="120" w:type="dxa"/>
            <w:vAlign w:val="bottom"/>
          </w:tcPr>
          <w:p>
            <w:pPr>
              <w:spacing w:after="0"/>
              <w:rPr>
                <w:sz w:val="14"/>
                <w:szCs w:val="14"/>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w w:val="92"/>
              </w:rPr>
              <w:t>EPS</w:t>
            </w:r>
          </w:p>
        </w:tc>
      </w:tr>
      <w:tr>
        <w:trPr>
          <w:trHeight w:val="209"/>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loss (GAAP basis)</w:t>
            </w:r>
          </w:p>
        </w:tc>
        <w:tc>
          <w:tcPr>
            <w:tcW w:w="1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(8,089)</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(721)</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79"/>
              </w:rPr>
              <w:t>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(7,376)</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(5.32)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3,070</w:t>
            </w:r>
          </w:p>
        </w:tc>
        <w:tc>
          <w:tcPr>
            <w:tcW w:w="10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3,070</w:t>
            </w:r>
          </w:p>
        </w:tc>
        <w:tc>
          <w:tcPr>
            <w:tcW w:w="1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2.21</w:t>
            </w: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impairments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3,321</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2,506</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w:t>
            </w: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Asset performance solutions investments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1,264</w:t>
            </w: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1,268</w:t>
            </w:r>
          </w:p>
        </w:tc>
        <w:tc>
          <w:tcPr>
            <w:tcW w:w="1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0.91</w:t>
            </w: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 pressure pumping impairment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0.33</w:t>
            </w: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Workforce reductions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0.14</w:t>
            </w: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0.05</w:t>
            </w: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Valuation allowance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0"/>
              </w:rPr>
              <w:t>(164)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0.12</w:t>
            </w:r>
          </w:p>
        </w:tc>
      </w:tr>
      <w:tr>
        <w:trPr>
          <w:trHeight w:val="27"/>
        </w:trPr>
        <w:tc>
          <w:tcPr>
            <w:tcW w:w="5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r>
      <w:tr>
        <w:trPr>
          <w:trHeight w:val="20"/>
        </w:trPr>
        <w:tc>
          <w:tcPr>
            <w:tcW w:w="5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during the first six months of 2019.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69" w:right="439" w:bottom="1440" w:gutter="0" w:footer="0" w:header="0"/>
        </w:sectPr>
      </w:pPr>
    </w:p>
    <w:bookmarkStart w:id="16" w:name="page17"/>
    <w:bookmarkEnd w:id="1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Segments</w:t>
      </w:r>
    </w:p>
    <w:p>
      <w:pPr>
        <w:spacing w:after="0" w:line="225" w:lineRule="exact"/>
        <w:rPr>
          <w:sz w:val="20"/>
          <w:szCs w:val="20"/>
          <w:color w:val="auto"/>
        </w:rPr>
      </w:pPr>
    </w:p>
    <w:tbl>
      <w:tblPr>
        <w:tblLayout w:type="fixed"/>
        <w:tblInd w:w="4" w:type="dxa"/>
        <w:tblCellMar>
          <w:top w:w="0" w:type="dxa"/>
          <w:left w:w="0" w:type="dxa"/>
          <w:bottom w:w="0" w:type="dxa"/>
          <w:right w:w="0" w:type="dxa"/>
        </w:tblCellMar>
      </w:tblPr>
      <w:tr>
        <w:trPr>
          <w:trHeight w:val="182"/>
        </w:trPr>
        <w:tc>
          <w:tcPr>
            <w:tcW w:w="44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7"/>
          </w:tcPr>
          <w:p>
            <w:pPr>
              <w:jc w:val="right"/>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9"/>
          </w:tcPr>
          <w:p>
            <w:pPr>
              <w:jc w:val="right"/>
              <w:ind w:right="280"/>
              <w:spacing w:after="0"/>
              <w:rPr>
                <w:sz w:val="20"/>
                <w:szCs w:val="20"/>
                <w:color w:val="auto"/>
              </w:rPr>
            </w:pPr>
            <w:r>
              <w:rPr>
                <w:rFonts w:ascii="Arial" w:cs="Arial" w:eastAsia="Arial" w:hAnsi="Arial"/>
                <w:sz w:val="14"/>
                <w:szCs w:val="14"/>
                <w:b w:val="1"/>
                <w:bCs w:val="1"/>
                <w:color w:val="auto"/>
                <w:w w:val="98"/>
              </w:rPr>
              <w:t>Three Months Ended</w:t>
            </w: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6"/>
          </w:tcPr>
          <w:p>
            <w:pPr>
              <w:jc w:val="right"/>
              <w:ind w:right="320"/>
              <w:spacing w:after="0" w:line="142" w:lineRule="exact"/>
              <w:rPr>
                <w:sz w:val="20"/>
                <w:szCs w:val="20"/>
                <w:color w:val="auto"/>
              </w:rPr>
            </w:pPr>
            <w:r>
              <w:rPr>
                <w:rFonts w:ascii="Arial" w:cs="Arial" w:eastAsia="Arial" w:hAnsi="Arial"/>
                <w:sz w:val="14"/>
                <w:szCs w:val="14"/>
                <w:b w:val="1"/>
                <w:bCs w:val="1"/>
                <w:color w:val="auto"/>
              </w:rPr>
              <w:t>Jun. 30, 2020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7"/>
          </w:tcPr>
          <w:p>
            <w:pPr>
              <w:jc w:val="right"/>
              <w:ind w:right="460"/>
              <w:spacing w:after="0" w:line="142" w:lineRule="exact"/>
              <w:rPr>
                <w:sz w:val="20"/>
                <w:szCs w:val="20"/>
                <w:color w:val="auto"/>
              </w:rPr>
            </w:pPr>
            <w:r>
              <w:rPr>
                <w:rFonts w:ascii="Arial" w:cs="Arial" w:eastAsia="Arial" w:hAnsi="Arial"/>
                <w:sz w:val="14"/>
                <w:szCs w:val="14"/>
                <w:color w:val="auto"/>
              </w:rPr>
              <w:t>Mar. 31, 2020</w:t>
            </w:r>
          </w:p>
        </w:tc>
        <w:tc>
          <w:tcPr>
            <w:tcW w:w="1160" w:type="dxa"/>
            <w:vAlign w:val="bottom"/>
            <w:gridSpan w:val="6"/>
          </w:tcPr>
          <w:p>
            <w:pPr>
              <w:jc w:val="right"/>
              <w:ind w:right="90"/>
              <w:spacing w:after="0" w:line="142" w:lineRule="exact"/>
              <w:rPr>
                <w:sz w:val="20"/>
                <w:szCs w:val="20"/>
                <w:color w:val="auto"/>
              </w:rPr>
            </w:pPr>
            <w:r>
              <w:rPr>
                <w:rFonts w:ascii="Arial" w:cs="Arial" w:eastAsia="Arial" w:hAnsi="Arial"/>
                <w:sz w:val="14"/>
                <w:szCs w:val="14"/>
                <w:color w:val="auto"/>
              </w:rPr>
              <w:t>Jun. 30, 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Income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color w:val="auto"/>
              </w:rPr>
              <w:t>Income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4"/>
          </w:tcPr>
          <w:p>
            <w:pPr>
              <w:jc w:val="center"/>
              <w:ind w:right="320"/>
              <w:spacing w:after="0" w:line="149" w:lineRule="exact"/>
              <w:rPr>
                <w:sz w:val="20"/>
                <w:szCs w:val="20"/>
                <w:color w:val="auto"/>
              </w:rPr>
            </w:pPr>
            <w:r>
              <w:rPr>
                <w:rFonts w:ascii="Arial" w:cs="Arial" w:eastAsia="Arial" w:hAnsi="Arial"/>
                <w:sz w:val="14"/>
                <w:szCs w:val="14"/>
                <w:color w:val="auto"/>
                <w:w w:val="92"/>
              </w:rPr>
              <w:t>(Loss)</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1"/>
              </w:rPr>
              <w:t>Income</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62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w w:val="85"/>
              </w:rPr>
              <w:t>Revenue</w:t>
            </w:r>
          </w:p>
        </w:tc>
        <w:tc>
          <w:tcPr>
            <w:tcW w:w="120" w:type="dxa"/>
            <w:vAlign w:val="bottom"/>
          </w:tcPr>
          <w:p>
            <w:pPr>
              <w:spacing w:after="0"/>
              <w:rPr>
                <w:sz w:val="12"/>
                <w:szCs w:val="12"/>
                <w:color w:val="auto"/>
              </w:rPr>
            </w:pPr>
          </w:p>
        </w:tc>
        <w:tc>
          <w:tcPr>
            <w:tcW w:w="6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Before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5"/>
          </w:tcPr>
          <w:p>
            <w:pPr>
              <w:jc w:val="center"/>
              <w:ind w:right="220"/>
              <w:spacing w:after="0" w:line="149" w:lineRule="exact"/>
              <w:rPr>
                <w:sz w:val="20"/>
                <w:szCs w:val="20"/>
                <w:color w:val="auto"/>
              </w:rPr>
            </w:pPr>
            <w:r>
              <w:rPr>
                <w:rFonts w:ascii="Arial" w:cs="Arial" w:eastAsia="Arial" w:hAnsi="Arial"/>
                <w:sz w:val="14"/>
                <w:szCs w:val="14"/>
                <w:color w:val="auto"/>
                <w:w w:val="96"/>
              </w:rPr>
              <w:t>Before</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2"/>
              </w:rPr>
              <w:t>Before</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ind w:left="120"/>
              <w:spacing w:after="0"/>
              <w:rPr>
                <w:sz w:val="20"/>
                <w:szCs w:val="20"/>
                <w:color w:val="auto"/>
              </w:rPr>
            </w:pPr>
            <w:r>
              <w:rPr>
                <w:rFonts w:ascii="Arial" w:cs="Arial" w:eastAsia="Arial" w:hAnsi="Arial"/>
                <w:sz w:val="14"/>
                <w:szCs w:val="14"/>
                <w:b w:val="1"/>
                <w:bCs w:val="1"/>
                <w:color w:val="auto"/>
              </w:rPr>
              <w:t>Taxes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100" w:type="dxa"/>
            <w:vAlign w:val="bottom"/>
          </w:tcPr>
          <w:p>
            <w:pPr>
              <w:spacing w:after="0"/>
              <w:rPr>
                <w:sz w:val="14"/>
                <w:szCs w:val="14"/>
                <w:color w:val="auto"/>
              </w:rPr>
            </w:pPr>
          </w:p>
        </w:tc>
        <w:tc>
          <w:tcPr>
            <w:tcW w:w="680" w:type="dxa"/>
            <w:vAlign w:val="bottom"/>
            <w:gridSpan w:val="4"/>
          </w:tcPr>
          <w:p>
            <w:pPr>
              <w:jc w:val="center"/>
              <w:ind w:right="300"/>
              <w:spacing w:after="0"/>
              <w:rPr>
                <w:sz w:val="20"/>
                <w:szCs w:val="20"/>
                <w:color w:val="auto"/>
              </w:rPr>
            </w:pPr>
            <w:r>
              <w:rPr>
                <w:rFonts w:ascii="Arial" w:cs="Arial" w:eastAsia="Arial" w:hAnsi="Arial"/>
                <w:sz w:val="14"/>
                <w:szCs w:val="14"/>
                <w:color w:val="auto"/>
                <w:w w:val="89"/>
              </w:rPr>
              <w:t>Taxes</w:t>
            </w:r>
          </w:p>
        </w:tc>
        <w:tc>
          <w:tcPr>
            <w:tcW w:w="740" w:type="dxa"/>
            <w:vAlign w:val="bottom"/>
            <w:gridSpan w:val="4"/>
          </w:tcPr>
          <w:p>
            <w:pPr>
              <w:spacing w:after="0"/>
              <w:rPr>
                <w:sz w:val="20"/>
                <w:szCs w:val="20"/>
                <w:color w:val="auto"/>
              </w:rPr>
            </w:pPr>
            <w:r>
              <w:rPr>
                <w:rFonts w:ascii="Arial" w:cs="Arial" w:eastAsia="Arial" w:hAnsi="Arial"/>
                <w:sz w:val="14"/>
                <w:szCs w:val="14"/>
                <w:color w:val="auto"/>
              </w:rPr>
              <w:t>Revenue</w:t>
            </w:r>
          </w:p>
        </w:tc>
        <w:tc>
          <w:tcPr>
            <w:tcW w:w="540" w:type="dxa"/>
            <w:vAlign w:val="bottom"/>
            <w:gridSpan w:val="3"/>
          </w:tcPr>
          <w:p>
            <w:pPr>
              <w:jc w:val="center"/>
              <w:ind w:right="1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5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$ 1,052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right w:val="single" w:sz="8" w:color="CCEEFF"/>
            </w:tcBorders>
            <w:shd w:val="clear" w:color="auto" w:fill="CCEEFF"/>
          </w:tcPr>
          <w:p>
            <w:pPr>
              <w:jc w:val="right"/>
              <w:ind w:right="162"/>
              <w:spacing w:after="0"/>
              <w:rPr>
                <w:sz w:val="20"/>
                <w:szCs w:val="20"/>
                <w:color w:val="auto"/>
              </w:rPr>
            </w:pPr>
            <w:r>
              <w:rPr>
                <w:rFonts w:ascii="Arial" w:cs="Arial" w:eastAsia="Arial" w:hAnsi="Arial"/>
                <w:sz w:val="18"/>
                <w:szCs w:val="18"/>
                <w:b w:val="1"/>
                <w:bCs w:val="1"/>
                <w:color w:val="auto"/>
                <w:w w:val="7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3"/>
              </w:rPr>
              <w:t>185</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$ 1,311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184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$1,558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$ 317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Drilling</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1,731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73"/>
              </w:rPr>
              <w:t>165</w:t>
            </w:r>
          </w:p>
        </w:tc>
        <w:tc>
          <w:tcPr>
            <w:tcW w:w="10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2,289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2,420</w:t>
            </w:r>
          </w:p>
        </w:tc>
        <w:tc>
          <w:tcPr>
            <w:tcW w:w="20" w:type="dxa"/>
            <w:vAlign w:val="bottom"/>
          </w:tcPr>
          <w:p>
            <w:pPr>
              <w:spacing w:after="0"/>
              <w:rPr>
                <w:sz w:val="18"/>
                <w:szCs w:val="18"/>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1,615</w:t>
            </w:r>
          </w:p>
        </w:tc>
        <w:tc>
          <w:tcPr>
            <w:tcW w:w="1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3,077</w:t>
            </w: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Cameron</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80</w:t>
            </w:r>
          </w:p>
        </w:tc>
        <w:tc>
          <w:tcPr>
            <w:tcW w:w="10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1,328</w:t>
            </w:r>
          </w:p>
        </w:tc>
        <w:tc>
          <w:tcPr>
            <w:tcW w:w="20" w:type="dxa"/>
            <w:vAlign w:val="bottom"/>
          </w:tcPr>
          <w:p>
            <w:pPr>
              <w:spacing w:after="0"/>
              <w:rPr>
                <w:sz w:val="18"/>
                <w:szCs w:val="18"/>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1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(59)</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Pretax segment operating income</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3"/>
              </w:rPr>
              <w:t>396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79"/>
              </w:rPr>
              <w:t>776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Charges &amp; credits</w:t>
            </w:r>
            <w:r>
              <w:rPr>
                <w:rFonts w:ascii="Arial" w:cs="Arial" w:eastAsia="Arial" w:hAnsi="Arial"/>
                <w:sz w:val="15"/>
                <w:szCs w:val="15"/>
                <w:color w:val="auto"/>
              </w:rPr>
              <w:t>(2)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b w:val="1"/>
                <w:bCs w:val="1"/>
                <w:color w:val="auto"/>
              </w:rPr>
              <w:t>(3,724)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rPr>
              <w:t>(8,523)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$ 5,356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(3,627)</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7,455</w:t>
            </w: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(8,089)</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8,269</w:t>
            </w: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$ 593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44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7"/>
          </w:tcPr>
          <w:p>
            <w:pPr>
              <w:ind w:left="160"/>
              <w:spacing w:after="0"/>
              <w:rPr>
                <w:sz w:val="20"/>
                <w:szCs w:val="20"/>
                <w:color w:val="auto"/>
              </w:rPr>
            </w:pPr>
            <w:r>
              <w:rPr>
                <w:rFonts w:ascii="Arial" w:cs="Arial" w:eastAsia="Arial" w:hAnsi="Arial"/>
                <w:sz w:val="14"/>
                <w:szCs w:val="14"/>
                <w:color w:val="auto"/>
                <w:w w:val="97"/>
              </w:rPr>
              <w:t>(Stated in millions)</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4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w w:val="93"/>
              </w:rPr>
              <w:t>Six Months Ended</w:t>
            </w: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7"/>
          </w:tcPr>
          <w:p>
            <w:pPr>
              <w:ind w:left="120"/>
              <w:spacing w:after="0" w:line="142" w:lineRule="exact"/>
              <w:rPr>
                <w:sz w:val="20"/>
                <w:szCs w:val="20"/>
                <w:color w:val="auto"/>
              </w:rPr>
            </w:pPr>
            <w:r>
              <w:rPr>
                <w:rFonts w:ascii="Arial" w:cs="Arial" w:eastAsia="Arial" w:hAnsi="Arial"/>
                <w:sz w:val="14"/>
                <w:szCs w:val="14"/>
                <w:b w:val="1"/>
                <w:bCs w:val="1"/>
                <w:color w:val="auto"/>
              </w:rPr>
              <w:t>Jun. 30, 2020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6"/>
          </w:tcPr>
          <w:p>
            <w:pPr>
              <w:jc w:val="right"/>
              <w:ind w:right="320"/>
              <w:spacing w:after="0" w:line="142" w:lineRule="exact"/>
              <w:rPr>
                <w:sz w:val="20"/>
                <w:szCs w:val="20"/>
                <w:color w:val="auto"/>
              </w:rPr>
            </w:pPr>
            <w:r>
              <w:rPr>
                <w:rFonts w:ascii="Arial" w:cs="Arial" w:eastAsia="Arial" w:hAnsi="Arial"/>
                <w:sz w:val="14"/>
                <w:szCs w:val="14"/>
                <w:color w:val="auto"/>
              </w:rPr>
              <w:t>Jun. 30, 2019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right"/>
              <w:ind w:right="24"/>
              <w:spacing w:after="0" w:line="119" w:lineRule="exact"/>
              <w:rPr>
                <w:sz w:val="20"/>
                <w:szCs w:val="20"/>
                <w:color w:val="auto"/>
              </w:rPr>
            </w:pPr>
            <w:r>
              <w:rPr>
                <w:rFonts w:ascii="Arial" w:cs="Arial" w:eastAsia="Arial" w:hAnsi="Arial"/>
                <w:sz w:val="13"/>
                <w:szCs w:val="13"/>
                <w:b w:val="1"/>
                <w:bCs w:val="1"/>
                <w:color w:val="auto"/>
                <w:w w:val="96"/>
              </w:rPr>
              <w:t>Income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1"/>
              </w:rPr>
              <w:t>Income</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82"/>
              </w:rPr>
              <w:t>Revenue</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Before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2"/>
              </w:rPr>
              <w:t>Before</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Taxes</w:t>
            </w:r>
          </w:p>
        </w:tc>
        <w:tc>
          <w:tcPr>
            <w:tcW w:w="100" w:type="dxa"/>
            <w:vAlign w:val="bottom"/>
          </w:tcPr>
          <w:p>
            <w:pPr>
              <w:spacing w:after="0"/>
              <w:rPr>
                <w:sz w:val="14"/>
                <w:szCs w:val="14"/>
                <w:color w:val="auto"/>
              </w:rPr>
            </w:pPr>
          </w:p>
        </w:tc>
        <w:tc>
          <w:tcPr>
            <w:tcW w:w="680" w:type="dxa"/>
            <w:vAlign w:val="bottom"/>
            <w:gridSpan w:val="4"/>
          </w:tcPr>
          <w:p>
            <w:pPr>
              <w:jc w:val="right"/>
              <w:ind w:right="140"/>
              <w:spacing w:after="0"/>
              <w:rPr>
                <w:sz w:val="20"/>
                <w:szCs w:val="20"/>
                <w:color w:val="auto"/>
              </w:rPr>
            </w:pPr>
            <w:r>
              <w:rPr>
                <w:rFonts w:ascii="Arial" w:cs="Arial" w:eastAsia="Arial" w:hAnsi="Arial"/>
                <w:sz w:val="14"/>
                <w:szCs w:val="14"/>
                <w:color w:val="auto"/>
                <w:w w:val="92"/>
              </w:rPr>
              <w:t>Revenue</w:t>
            </w:r>
          </w:p>
        </w:tc>
        <w:tc>
          <w:tcPr>
            <w:tcW w:w="220" w:type="dxa"/>
            <w:vAlign w:val="bottom"/>
          </w:tcPr>
          <w:p>
            <w:pPr>
              <w:spacing w:after="0"/>
              <w:rPr>
                <w:sz w:val="14"/>
                <w:szCs w:val="14"/>
                <w:color w:val="auto"/>
              </w:rPr>
            </w:pPr>
          </w:p>
        </w:tc>
        <w:tc>
          <w:tcPr>
            <w:tcW w:w="520" w:type="dxa"/>
            <w:vAlign w:val="bottom"/>
            <w:gridSpan w:val="3"/>
          </w:tcPr>
          <w:p>
            <w:pPr>
              <w:jc w:val="center"/>
              <w:ind w:right="20"/>
              <w:spacing w:after="0"/>
              <w:rPr>
                <w:sz w:val="20"/>
                <w:szCs w:val="20"/>
                <w:color w:val="auto"/>
              </w:rPr>
            </w:pPr>
            <w:r>
              <w:rPr>
                <w:rFonts w:ascii="Arial" w:cs="Arial" w:eastAsia="Arial" w:hAnsi="Arial"/>
                <w:sz w:val="14"/>
                <w:szCs w:val="14"/>
                <w:color w:val="auto"/>
                <w:w w:val="89"/>
              </w:rPr>
              <w:t>Taxes</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540" w:type="dxa"/>
            <w:vAlign w:val="bottom"/>
            <w:tcBorders>
              <w:top w:val="single" w:sz="8" w:color="CCEEFF"/>
              <w:right w:val="single" w:sz="8" w:color="CCEEFF"/>
            </w:tcBorders>
            <w:shd w:val="clear" w:color="auto" w:fill="CCEEFF"/>
          </w:tcPr>
          <w:p>
            <w:pPr>
              <w:spacing w:after="0"/>
              <w:rPr>
                <w:sz w:val="18"/>
                <w:szCs w:val="18"/>
                <w:color w:val="auto"/>
              </w:rPr>
            </w:pPr>
          </w:p>
        </w:tc>
        <w:tc>
          <w:tcPr>
            <w:tcW w:w="54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$ 2,363</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w w:val="84"/>
              </w:rPr>
              <w:t>3,017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598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Drilling</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7"/>
              </w:rPr>
              <w:t>4,020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450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4,806</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608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7"/>
              </w:rPr>
              <w:t>4,318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5,967</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Cameron</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7"/>
              </w:rPr>
              <w:t>2,270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2,586</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(160)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rPr>
              <w:t>Pretax operating income</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1,172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1,876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Charges &amp; credits</w:t>
            </w:r>
            <w:r>
              <w:rPr>
                <w:rFonts w:ascii="Arial" w:cs="Arial" w:eastAsia="Arial" w:hAnsi="Arial"/>
                <w:sz w:val="15"/>
                <w:szCs w:val="15"/>
                <w:color w:val="auto"/>
              </w:rPr>
              <w:t>(2)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9"/>
              </w:rPr>
              <w:t>(12,247)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15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12,811</w:t>
            </w:r>
          </w:p>
        </w:tc>
        <w:tc>
          <w:tcPr>
            <w:tcW w:w="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5"/>
              </w:rPr>
              <w:t>$ (11,716)</w:t>
            </w: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16,149</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1,101</w:t>
            </w: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hanging="424"/>
        <w:spacing w:after="0"/>
        <w:tabs>
          <w:tab w:leader="none" w:pos="424" w:val="left"/>
        </w:tabs>
        <w:numPr>
          <w:ilvl w:val="0"/>
          <w:numId w:val="13"/>
        </w:numPr>
        <w:rPr>
          <w:rFonts w:ascii="Arial" w:cs="Arial" w:eastAsia="Arial" w:hAnsi="Arial"/>
          <w:sz w:val="15"/>
          <w:szCs w:val="15"/>
          <w:color w:val="auto"/>
        </w:rPr>
      </w:pPr>
      <w:r>
        <w:rPr>
          <w:rFonts w:ascii="Arial" w:cs="Arial" w:eastAsia="Arial" w:hAnsi="Arial"/>
          <w:sz w:val="18"/>
          <w:szCs w:val="18"/>
          <w:color w:val="auto"/>
        </w:rPr>
        <w:t>Excludes interest included in the segment results.</w:t>
      </w:r>
    </w:p>
    <w:p>
      <w:pPr>
        <w:spacing w:after="0" w:line="23" w:lineRule="exact"/>
        <w:rPr>
          <w:rFonts w:ascii="Arial" w:cs="Arial" w:eastAsia="Arial" w:hAnsi="Arial"/>
          <w:sz w:val="15"/>
          <w:szCs w:val="15"/>
          <w:color w:val="auto"/>
        </w:rPr>
      </w:pPr>
    </w:p>
    <w:p>
      <w:pPr>
        <w:ind w:left="424" w:hanging="424"/>
        <w:spacing w:after="0"/>
        <w:tabs>
          <w:tab w:leader="none" w:pos="424" w:val="left"/>
        </w:tabs>
        <w:numPr>
          <w:ilvl w:val="0"/>
          <w:numId w:val="13"/>
        </w:numPr>
        <w:rPr>
          <w:rFonts w:ascii="Arial" w:cs="Arial" w:eastAsia="Arial" w:hAnsi="Arial"/>
          <w:sz w:val="15"/>
          <w:szCs w:val="15"/>
          <w:color w:val="auto"/>
        </w:rPr>
      </w:pPr>
      <w:r>
        <w:rPr>
          <w:rFonts w:ascii="Arial" w:cs="Arial" w:eastAsia="Arial" w:hAnsi="Arial"/>
          <w:sz w:val="18"/>
          <w:szCs w:val="18"/>
          <w:color w:val="auto"/>
        </w:rPr>
        <w:t>See section entitled “Charges &amp; Credits” for details.</w:t>
      </w:r>
    </w:p>
    <w:p>
      <w:pPr>
        <w:spacing w:after="0" w:line="211" w:lineRule="exact"/>
        <w:rPr>
          <w:sz w:val="20"/>
          <w:szCs w:val="20"/>
          <w:color w:val="auto"/>
        </w:rPr>
      </w:pPr>
    </w:p>
    <w:p>
      <w:pPr>
        <w:jc w:val="right"/>
        <w:ind w:left="4" w:right="5400"/>
        <w:spacing w:after="0" w:line="449" w:lineRule="auto"/>
        <w:rPr>
          <w:sz w:val="20"/>
          <w:szCs w:val="20"/>
          <w:color w:val="auto"/>
        </w:rPr>
      </w:pPr>
      <w:r>
        <w:rPr>
          <w:rFonts w:ascii="Arial" w:cs="Arial" w:eastAsia="Arial" w:hAnsi="Arial"/>
          <w:sz w:val="18"/>
          <w:szCs w:val="18"/>
          <w:color w:val="auto"/>
        </w:rPr>
        <w:t>Prior period amounts have been reclassified to the current period presentation. 14</w:t>
      </w:r>
    </w:p>
    <w:p>
      <w:pPr>
        <w:sectPr>
          <w:pgSz w:w="11900" w:h="16838" w:orient="portrait"/>
          <w:cols w:equalWidth="0" w:num="1">
            <w:col w:w="11024"/>
          </w:cols>
          <w:pgMar w:left="436" w:top="270" w:right="439" w:bottom="1440" w:gutter="0" w:footer="0" w:header="0"/>
        </w:sectPr>
      </w:pPr>
    </w:p>
    <w:bookmarkStart w:id="17" w:name="page18"/>
    <w:bookmarkEnd w:id="17"/>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Supplemental Information</w:t>
      </w:r>
    </w:p>
    <w:p>
      <w:pPr>
        <w:spacing w:after="0" w:line="374" w:lineRule="exact"/>
        <w:rPr>
          <w:sz w:val="20"/>
          <w:szCs w:val="20"/>
          <w:color w:val="auto"/>
        </w:rPr>
      </w:pPr>
    </w:p>
    <w:p>
      <w:pPr>
        <w:ind w:left="424" w:hanging="424"/>
        <w:spacing w:after="0"/>
        <w:tabs>
          <w:tab w:leader="none" w:pos="42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capital investment guidance for the full year 2020?</w:t>
      </w:r>
    </w:p>
    <w:p>
      <w:pPr>
        <w:spacing w:after="0" w:line="121" w:lineRule="exact"/>
        <w:rPr>
          <w:rFonts w:ascii="Arial" w:cs="Arial" w:eastAsia="Arial" w:hAnsi="Arial"/>
          <w:sz w:val="18"/>
          <w:szCs w:val="18"/>
          <w:b w:val="1"/>
          <w:bCs w:val="1"/>
          <w:color w:val="auto"/>
        </w:rPr>
      </w:pPr>
    </w:p>
    <w:p>
      <w:pPr>
        <w:jc w:val="both"/>
        <w:ind w:left="444" w:right="2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Capital investment (comprised of capex, multiclient, and APS investments) for the full year 2020 is expected to be approximately $1.5 billion, which is approximately 45% lower than 2019. Capex is expected to be approximately $1.1 billion in 2020 as compared to $1.7 billion in 2019. APS investments will be about $300 million in 2020 as compared to $781 million in 2019.</w:t>
      </w:r>
    </w:p>
    <w:p>
      <w:pPr>
        <w:spacing w:after="0" w:line="328" w:lineRule="exact"/>
        <w:rPr>
          <w:rFonts w:ascii="Arial" w:cs="Arial" w:eastAsia="Arial" w:hAnsi="Arial"/>
          <w:sz w:val="18"/>
          <w:szCs w:val="18"/>
          <w:b w:val="1"/>
          <w:bCs w:val="1"/>
          <w:color w:val="auto"/>
        </w:rPr>
      </w:pPr>
    </w:p>
    <w:p>
      <w:pPr>
        <w:ind w:left="424" w:hanging="424"/>
        <w:spacing w:after="0"/>
        <w:tabs>
          <w:tab w:leader="none" w:pos="42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cash flow from operations and free cash flow for the second quarter of 2020?</w:t>
      </w:r>
    </w:p>
    <w:p>
      <w:pPr>
        <w:spacing w:after="0" w:line="121" w:lineRule="exact"/>
        <w:rPr>
          <w:rFonts w:ascii="Arial" w:cs="Arial" w:eastAsia="Arial" w:hAnsi="Arial"/>
          <w:sz w:val="18"/>
          <w:szCs w:val="18"/>
          <w:b w:val="1"/>
          <w:bCs w:val="1"/>
          <w:color w:val="auto"/>
        </w:rPr>
      </w:pPr>
    </w:p>
    <w:p>
      <w:pPr>
        <w:ind w:left="444"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flow from operations for the second quarter of 2020 was $803 million. Free cash flow for the second quarter of 2020 was $465 million, despite making $370 million of severance payments during the quarter.</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and other income” for the second quarter of 2020?</w:t>
      </w:r>
    </w:p>
    <w:p>
      <w:pPr>
        <w:spacing w:after="0" w:line="121" w:lineRule="exact"/>
        <w:rPr>
          <w:rFonts w:ascii="Arial" w:cs="Arial" w:eastAsia="Arial" w:hAnsi="Arial"/>
          <w:sz w:val="18"/>
          <w:szCs w:val="18"/>
          <w:b w:val="1"/>
          <w:bCs w:val="1"/>
          <w:color w:val="auto"/>
        </w:rPr>
      </w:pPr>
    </w:p>
    <w:p>
      <w:pPr>
        <w:ind w:left="444"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and other income” for the second quarter of 2020 was $33 million. This amount consisted of earnings of equity method investments of $26 million and interest income of $7 million.</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second quarter of 2020?</w:t>
      </w:r>
    </w:p>
    <w:p>
      <w:pPr>
        <w:spacing w:after="0" w:line="121" w:lineRule="exact"/>
        <w:rPr>
          <w:rFonts w:ascii="Arial" w:cs="Arial" w:eastAsia="Arial" w:hAnsi="Arial"/>
          <w:sz w:val="18"/>
          <w:szCs w:val="18"/>
          <w:b w:val="1"/>
          <w:bCs w:val="1"/>
          <w:color w:val="auto"/>
        </w:rPr>
      </w:pPr>
    </w:p>
    <w:p>
      <w:pPr>
        <w:ind w:left="444" w:righ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income of $7 million for the second quarter of 2020 decreased $8 million sequentially. Interest expense of $144 million increased $8 million sequentially.</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What is the difference between Schlumberger’s consolidated income (loss) before taxes and pretax segment operating income?</w:t>
      </w:r>
    </w:p>
    <w:p>
      <w:pPr>
        <w:spacing w:after="0" w:line="132" w:lineRule="exact"/>
        <w:rPr>
          <w:rFonts w:ascii="Arial" w:cs="Arial" w:eastAsia="Arial" w:hAnsi="Arial"/>
          <w:sz w:val="17"/>
          <w:szCs w:val="17"/>
          <w:b w:val="1"/>
          <w:bCs w:val="1"/>
          <w:color w:val="auto"/>
        </w:rPr>
      </w:pPr>
    </w:p>
    <w:p>
      <w:pPr>
        <w:ind w:left="444"/>
        <w:spacing w:after="0" w:line="263" w:lineRule="auto"/>
        <w:rPr>
          <w:rFonts w:ascii="Arial" w:cs="Arial" w:eastAsia="Arial" w:hAnsi="Arial"/>
          <w:sz w:val="17"/>
          <w:szCs w:val="17"/>
          <w:b w:val="1"/>
          <w:bCs w:val="1"/>
          <w:color w:val="auto"/>
        </w:rPr>
      </w:pPr>
      <w:r>
        <w:rPr>
          <w:rFonts w:ascii="Arial" w:cs="Arial" w:eastAsia="Arial" w:hAnsi="Arial"/>
          <w:sz w:val="18"/>
          <w:szCs w:val="18"/>
          <w:color w:val="auto"/>
        </w:rPr>
        <w:t>The difference principally consists of corporate items, charges and credits, and interest income and interest expense not allocated to the segments as well as stock-based compensation expense, amortization expense associated with certain intangible assets, certain centrally managed initiatives, and other nonoperating items.</w:t>
      </w:r>
    </w:p>
    <w:p>
      <w:pPr>
        <w:spacing w:after="0" w:line="328" w:lineRule="exact"/>
        <w:rPr>
          <w:rFonts w:ascii="Arial" w:cs="Arial" w:eastAsia="Arial" w:hAnsi="Arial"/>
          <w:sz w:val="17"/>
          <w:szCs w:val="17"/>
          <w:b w:val="1"/>
          <w:bCs w:val="1"/>
          <w:color w:val="auto"/>
        </w:rPr>
      </w:pPr>
    </w:p>
    <w:p>
      <w:pPr>
        <w:ind w:left="424" w:hanging="424"/>
        <w:spacing w:after="0"/>
        <w:tabs>
          <w:tab w:leader="none" w:pos="42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second quarter of 2020 and what is the guidance on the ETR going forward?</w:t>
      </w:r>
    </w:p>
    <w:p>
      <w:pPr>
        <w:spacing w:after="0" w:line="121" w:lineRule="exact"/>
        <w:rPr>
          <w:rFonts w:ascii="Arial" w:cs="Arial" w:eastAsia="Arial" w:hAnsi="Arial"/>
          <w:sz w:val="18"/>
          <w:szCs w:val="18"/>
          <w:b w:val="1"/>
          <w:bCs w:val="1"/>
          <w:color w:val="auto"/>
        </w:rPr>
      </w:pPr>
    </w:p>
    <w:p>
      <w:pPr>
        <w:ind w:left="444" w:right="1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ETR for the second quarter of 2020, calculated in accordance with GAAP, was 5.5% as compared to 8.9% for the first quarter of 2020. Excluding charges and credits, the ETR for the second quarter of 2020 was 22.6% as compared to 17.2% for the first quarter of 2020. The ETR, excluding charges and credits, is expected to remain in the low twenties for the rest of 2020.</w:t>
      </w:r>
    </w:p>
    <w:p>
      <w:pPr>
        <w:spacing w:after="0" w:line="328" w:lineRule="exact"/>
        <w:rPr>
          <w:rFonts w:ascii="Arial" w:cs="Arial" w:eastAsia="Arial" w:hAnsi="Arial"/>
          <w:sz w:val="18"/>
          <w:szCs w:val="18"/>
          <w:b w:val="1"/>
          <w:bCs w:val="1"/>
          <w:color w:val="auto"/>
        </w:rPr>
      </w:pPr>
    </w:p>
    <w:p>
      <w:pPr>
        <w:ind w:left="444" w:right="140" w:hanging="444"/>
        <w:spacing w:after="0" w:line="407" w:lineRule="auto"/>
        <w:tabs>
          <w:tab w:leader="none" w:pos="436"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How many shares of common stock were outstanding as of June 30, 2020 and how did this change from the end of the previous quarter? </w:t>
      </w:r>
      <w:r>
        <w:rPr>
          <w:rFonts w:ascii="Arial" w:cs="Arial" w:eastAsia="Arial" w:hAnsi="Arial"/>
          <w:sz w:val="18"/>
          <w:szCs w:val="18"/>
          <w:color w:val="auto"/>
        </w:rPr>
        <w:t>There were 1.388 billion shares of common stock outstanding as of June 30, 2020 and March 31, 2020.</w:t>
      </w:r>
    </w:p>
    <w:p>
      <w:pPr>
        <w:spacing w:after="0" w:line="81" w:lineRule="exact"/>
        <w:rPr>
          <w:sz w:val="20"/>
          <w:szCs w:val="20"/>
          <w:color w:val="auto"/>
        </w:rPr>
      </w:pPr>
    </w:p>
    <w:tbl>
      <w:tblPr>
        <w:tblLayout w:type="fixed"/>
        <w:tblInd w:w="1764"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(Stated in millions)</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March 31, 2020</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1,388</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Shares issued under employee stock purchase plan</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Stock repurchase program</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June 30, 2020</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1,388</w:t>
            </w: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424" w:hanging="424"/>
        <w:spacing w:after="0" w:line="266" w:lineRule="auto"/>
        <w:tabs>
          <w:tab w:leader="none" w:pos="42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weighted average number of shares outstanding during the second quarter of 2020 and first quarter of 2020? How does this reconcile to the average number of shares outstanding, assuming dilution, used in the calculation of diluted earnings per share, excluding charges and credits?</w:t>
      </w:r>
    </w:p>
    <w:p>
      <w:pPr>
        <w:spacing w:after="0" w:line="71" w:lineRule="exact"/>
        <w:rPr>
          <w:rFonts w:ascii="Arial" w:cs="Arial" w:eastAsia="Arial" w:hAnsi="Arial"/>
          <w:sz w:val="18"/>
          <w:szCs w:val="18"/>
          <w:b w:val="1"/>
          <w:bCs w:val="1"/>
          <w:color w:val="auto"/>
        </w:rPr>
      </w:pPr>
    </w:p>
    <w:p>
      <w:pPr>
        <w:ind w:left="444"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was 1.388 billion during the second quarter of 2020 and 1.387 billion during the first quarter of 2020.</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270" w:right="479" w:bottom="1440" w:gutter="0" w:footer="0" w:header="0"/>
        </w:sectPr>
      </w:pPr>
    </w:p>
    <w:bookmarkStart w:id="18" w:name="page19"/>
    <w:bookmarkEnd w:id="18"/>
    <w:p>
      <w:pPr>
        <w:ind w:left="44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following is a reconciliation of the weighted average shares outstanding to the average number of shares outstanding, assuming dilution, used in the calculation of diluted earnings per share, excluding charges and credits.</w:t>
      </w:r>
    </w:p>
    <w:p>
      <w:pPr>
        <w:spacing w:after="0" w:line="193" w:lineRule="exact"/>
        <w:rPr>
          <w:sz w:val="20"/>
          <w:szCs w:val="20"/>
          <w:color w:val="auto"/>
        </w:rPr>
      </w:pPr>
    </w:p>
    <w:tbl>
      <w:tblPr>
        <w:tblLayout w:type="fixed"/>
        <w:tblInd w:w="1324" w:type="dxa"/>
        <w:tblCellMar>
          <w:top w:w="0" w:type="dxa"/>
          <w:left w:w="0" w:type="dxa"/>
          <w:bottom w:w="0" w:type="dxa"/>
          <w:right w:w="0" w:type="dxa"/>
        </w:tblCellMar>
      </w:tblPr>
      <w:tr>
        <w:trPr>
          <w:trHeight w:val="175"/>
        </w:trPr>
        <w:tc>
          <w:tcPr>
            <w:tcW w:w="5420" w:type="dxa"/>
            <w:vAlign w:val="bottom"/>
          </w:tcPr>
          <w:p>
            <w:pPr>
              <w:spacing w:after="0"/>
              <w:rPr>
                <w:sz w:val="15"/>
                <w:szCs w:val="15"/>
                <w:color w:val="auto"/>
              </w:rPr>
            </w:pPr>
          </w:p>
        </w:tc>
        <w:tc>
          <w:tcPr>
            <w:tcW w:w="1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Second Quarter</w:t>
            </w:r>
          </w:p>
        </w:tc>
        <w:tc>
          <w:tcPr>
            <w:tcW w:w="1160" w:type="dxa"/>
            <w:vAlign w:val="bottom"/>
            <w:gridSpan w:val="2"/>
          </w:tcPr>
          <w:p>
            <w:pPr>
              <w:jc w:val="center"/>
              <w:ind w:right="40"/>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44"/>
        </w:trPr>
        <w:tc>
          <w:tcPr>
            <w:tcW w:w="542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1160" w:type="dxa"/>
            <w:vAlign w:val="bottom"/>
            <w:gridSpan w:val="2"/>
          </w:tcPr>
          <w:p>
            <w:pPr>
              <w:jc w:val="center"/>
              <w:ind w:right="60"/>
              <w:spacing w:after="0" w:line="145" w:lineRule="exact"/>
              <w:rPr>
                <w:sz w:val="20"/>
                <w:szCs w:val="20"/>
                <w:color w:val="auto"/>
              </w:rPr>
            </w:pPr>
            <w:r>
              <w:rPr>
                <w:rFonts w:ascii="Arial" w:cs="Arial" w:eastAsia="Arial" w:hAnsi="Arial"/>
                <w:sz w:val="14"/>
                <w:szCs w:val="14"/>
                <w:color w:val="auto"/>
                <w:w w:val="94"/>
              </w:rPr>
              <w:t>First Quarter</w:t>
            </w:r>
          </w:p>
        </w:tc>
        <w:tc>
          <w:tcPr>
            <w:tcW w:w="0" w:type="dxa"/>
            <w:vAlign w:val="bottom"/>
          </w:tcPr>
          <w:p>
            <w:pPr>
              <w:spacing w:after="0"/>
              <w:rPr>
                <w:sz w:val="1"/>
                <w:szCs w:val="1"/>
                <w:color w:val="auto"/>
              </w:rPr>
            </w:pPr>
          </w:p>
        </w:tc>
      </w:tr>
      <w:tr>
        <w:trPr>
          <w:trHeight w:val="171"/>
        </w:trPr>
        <w:tc>
          <w:tcPr>
            <w:tcW w:w="54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2020</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1,388</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Assumed exercise of stock options</w:t>
            </w:r>
          </w:p>
        </w:tc>
        <w:tc>
          <w:tcPr>
            <w:tcW w:w="1780" w:type="dxa"/>
            <w:vAlign w:val="bottom"/>
            <w:gridSpan w:val="3"/>
          </w:tcPr>
          <w:p>
            <w:pPr>
              <w:ind w:left="70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w:t>
            </w:r>
          </w:p>
        </w:tc>
        <w:tc>
          <w:tcPr>
            <w:tcW w:w="7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Average shares outstanding, assuming dilution</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1,403</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24" w:hanging="424"/>
        <w:spacing w:after="0"/>
        <w:tabs>
          <w:tab w:leader="none" w:pos="42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unamortized balance of Schlumberger’s investment in APS projects at June 30, 2020?</w:t>
      </w:r>
    </w:p>
    <w:p>
      <w:pPr>
        <w:spacing w:after="0" w:line="121" w:lineRule="exact"/>
        <w:rPr>
          <w:rFonts w:ascii="Arial" w:cs="Arial" w:eastAsia="Arial" w:hAnsi="Arial"/>
          <w:sz w:val="18"/>
          <w:szCs w:val="18"/>
          <w:b w:val="1"/>
          <w:bCs w:val="1"/>
          <w:color w:val="auto"/>
        </w:rPr>
      </w:pPr>
    </w:p>
    <w:p>
      <w:pPr>
        <w:ind w:left="444" w:right="3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 xml:space="preserve">The unamortized balance of Schlumberger’s investments in APS projects was approximately $1.8 billion at June 30, 2020 and $2.5 billion at March 31, 2020. These amounts are included within </w:t>
      </w:r>
      <w:r>
        <w:rPr>
          <w:rFonts w:ascii="Arial" w:cs="Arial" w:eastAsia="Arial" w:hAnsi="Arial"/>
          <w:sz w:val="16"/>
          <w:szCs w:val="16"/>
          <w:i w:val="1"/>
          <w:iCs w:val="1"/>
          <w:color w:val="auto"/>
        </w:rPr>
        <w:t>Other Assets</w:t>
      </w:r>
      <w:r>
        <w:rPr>
          <w:rFonts w:ascii="Arial" w:cs="Arial" w:eastAsia="Arial" w:hAnsi="Arial"/>
          <w:sz w:val="16"/>
          <w:szCs w:val="16"/>
          <w:color w:val="auto"/>
        </w:rPr>
        <w:t xml:space="preserve"> in Schlumberger’s </w:t>
      </w:r>
      <w:r>
        <w:rPr>
          <w:rFonts w:ascii="Arial" w:cs="Arial" w:eastAsia="Arial" w:hAnsi="Arial"/>
          <w:sz w:val="16"/>
          <w:szCs w:val="16"/>
          <w:i w:val="1"/>
          <w:iCs w:val="1"/>
          <w:color w:val="auto"/>
        </w:rPr>
        <w:t>Condensed Consolidated Balance Sheet</w:t>
      </w:r>
      <w:r>
        <w:rPr>
          <w:rFonts w:ascii="Arial" w:cs="Arial" w:eastAsia="Arial" w:hAnsi="Arial"/>
          <w:sz w:val="16"/>
          <w:szCs w:val="16"/>
          <w:color w:val="auto"/>
        </w:rPr>
        <w:t>.</w:t>
      </w:r>
    </w:p>
    <w:p>
      <w:pPr>
        <w:spacing w:after="0" w:line="268" w:lineRule="exact"/>
        <w:rPr>
          <w:rFonts w:ascii="Arial" w:cs="Arial" w:eastAsia="Arial" w:hAnsi="Arial"/>
          <w:sz w:val="18"/>
          <w:szCs w:val="18"/>
          <w:b w:val="1"/>
          <w:bCs w:val="1"/>
          <w:color w:val="auto"/>
        </w:rPr>
      </w:pPr>
    </w:p>
    <w:p>
      <w:pPr>
        <w:ind w:left="444" w:right="660" w:hanging="444"/>
        <w:spacing w:after="0" w:line="488" w:lineRule="auto"/>
        <w:tabs>
          <w:tab w:leader="none" w:pos="436"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What are the components of depreciation and amortization expense for the second quarter of 2020 and the first quarter of 2020? </w:t>
      </w:r>
      <w:r>
        <w:rPr>
          <w:rFonts w:ascii="Arial" w:cs="Arial" w:eastAsia="Arial" w:hAnsi="Arial"/>
          <w:sz w:val="16"/>
          <w:szCs w:val="16"/>
          <w:color w:val="auto"/>
        </w:rPr>
        <w:t>The components of depreciation and amortization expense for the second quarter of 2020 and first quarter of 2020 were as follows:</w:t>
      </w:r>
    </w:p>
    <w:p>
      <w:pPr>
        <w:spacing w:after="0" w:line="34" w:lineRule="exact"/>
        <w:rPr>
          <w:sz w:val="20"/>
          <w:szCs w:val="20"/>
          <w:color w:val="auto"/>
        </w:rPr>
      </w:pPr>
    </w:p>
    <w:tbl>
      <w:tblPr>
        <w:tblLayout w:type="fixed"/>
        <w:tblInd w:w="1324" w:type="dxa"/>
        <w:tblCellMar>
          <w:top w:w="0" w:type="dxa"/>
          <w:left w:w="0" w:type="dxa"/>
          <w:bottom w:w="0" w:type="dxa"/>
          <w:right w:w="0" w:type="dxa"/>
        </w:tblCellMar>
      </w:tblPr>
      <w:tr>
        <w:trPr>
          <w:trHeight w:val="176"/>
        </w:trPr>
        <w:tc>
          <w:tcPr>
            <w:tcW w:w="5320" w:type="dxa"/>
            <w:vAlign w:val="bottom"/>
          </w:tcPr>
          <w:p>
            <w:pPr>
              <w:spacing w:after="0"/>
              <w:rPr>
                <w:sz w:val="15"/>
                <w:szCs w:val="15"/>
                <w:color w:val="auto"/>
              </w:rPr>
            </w:pPr>
          </w:p>
        </w:tc>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Second Quarter</w:t>
            </w:r>
          </w:p>
        </w:tc>
        <w:tc>
          <w:tcPr>
            <w:tcW w:w="46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auto"/>
                <w:w w:val="98"/>
              </w:rPr>
              <w:t>(Stated in millions)</w:t>
            </w:r>
          </w:p>
        </w:tc>
        <w:tc>
          <w:tcPr>
            <w:tcW w:w="0" w:type="dxa"/>
            <w:vAlign w:val="bottom"/>
          </w:tcPr>
          <w:p>
            <w:pPr>
              <w:spacing w:after="0"/>
              <w:rPr>
                <w:sz w:val="1"/>
                <w:szCs w:val="1"/>
                <w:color w:val="auto"/>
              </w:rPr>
            </w:pPr>
          </w:p>
        </w:tc>
      </w:tr>
      <w:tr>
        <w:trPr>
          <w:trHeight w:val="144"/>
        </w:trPr>
        <w:tc>
          <w:tcPr>
            <w:tcW w:w="53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ind w:left="40"/>
              <w:spacing w:after="0" w:line="145" w:lineRule="exact"/>
              <w:rPr>
                <w:sz w:val="20"/>
                <w:szCs w:val="20"/>
                <w:color w:val="auto"/>
              </w:rPr>
            </w:pPr>
            <w:r>
              <w:rPr>
                <w:rFonts w:ascii="Arial" w:cs="Arial" w:eastAsia="Arial" w:hAnsi="Arial"/>
                <w:sz w:val="14"/>
                <w:szCs w:val="14"/>
                <w:color w:val="auto"/>
              </w:rPr>
              <w:t>First Quarter</w:t>
            </w:r>
          </w:p>
        </w:tc>
        <w:tc>
          <w:tcPr>
            <w:tcW w:w="0" w:type="dxa"/>
            <w:vAlign w:val="bottom"/>
          </w:tcPr>
          <w:p>
            <w:pPr>
              <w:spacing w:after="0"/>
              <w:rPr>
                <w:sz w:val="1"/>
                <w:szCs w:val="1"/>
                <w:color w:val="auto"/>
              </w:rPr>
            </w:pPr>
          </w:p>
        </w:tc>
      </w:tr>
      <w:tr>
        <w:trPr>
          <w:trHeight w:val="171"/>
        </w:trPr>
        <w:tc>
          <w:tcPr>
            <w:tcW w:w="53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color w:val="auto"/>
              </w:rPr>
              <w:t>2020</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fixed assets</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417</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80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APS investments</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58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Amortization of multiclient seismic data costs capitalized</w:t>
            </w:r>
          </w:p>
        </w:tc>
        <w:tc>
          <w:tcPr>
            <w:tcW w:w="2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49</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604</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24" w:hanging="424"/>
        <w:spacing w:after="0"/>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amount of WesternGeco multiclient sales in the second quarter of 2020?</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$71 million in the second quarter of 2020 and $88 million in the first quarter of 2020.</w:t>
      </w:r>
    </w:p>
    <w:p>
      <w:pPr>
        <w:spacing w:after="0" w:line="369" w:lineRule="exact"/>
        <w:rPr>
          <w:rFonts w:ascii="Arial" w:cs="Arial" w:eastAsia="Arial" w:hAnsi="Arial"/>
          <w:sz w:val="18"/>
          <w:szCs w:val="18"/>
          <w:b w:val="1"/>
          <w:bCs w:val="1"/>
          <w:color w:val="auto"/>
        </w:rPr>
      </w:pPr>
    </w:p>
    <w:p>
      <w:pPr>
        <w:ind w:left="424" w:hanging="424"/>
        <w:spacing w:after="0"/>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second quarter of 2020?</w:t>
      </w:r>
    </w:p>
    <w:p>
      <w:pPr>
        <w:spacing w:after="0" w:line="121" w:lineRule="exact"/>
        <w:rPr>
          <w:rFonts w:ascii="Arial" w:cs="Arial" w:eastAsia="Arial" w:hAnsi="Arial"/>
          <w:sz w:val="18"/>
          <w:szCs w:val="18"/>
          <w:b w:val="1"/>
          <w:bCs w:val="1"/>
          <w:color w:val="auto"/>
        </w:rPr>
      </w:pPr>
    </w:p>
    <w:p>
      <w:pPr>
        <w:ind w:left="444"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WesternGeco backlog, which is based on signed contracts with customers, was $248 million at the end of the second quarter of 2020. It was $282 million at the end of the first quarter of 2020.</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4"/>
          </w:cols>
          <w:pgMar w:left="436" w:top="274" w:right="519" w:bottom="1440" w:gutter="0" w:footer="0" w:header="0"/>
        </w:sectPr>
      </w:pPr>
    </w:p>
    <w:bookmarkStart w:id="19" w:name="page20"/>
    <w:bookmarkEnd w:id="19"/>
    <w:p>
      <w:pPr>
        <w:ind w:left="424" w:right="60" w:hanging="424"/>
        <w:spacing w:after="0" w:line="282" w:lineRule="auto"/>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What was the book-to-bill ratio for Cameron’s long-cycle businesses? What were the orders and backlog for Cameron’s OneSubsea and Drilling Systems businesses?</w:t>
      </w:r>
    </w:p>
    <w:p>
      <w:pPr>
        <w:spacing w:after="0" w:line="5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6"/>
          <w:szCs w:val="16"/>
          <w:color w:val="auto"/>
        </w:rPr>
        <w:t>The book-to-bill ratio for the Cameron long-cycle businesses was 0.7. The OneSubsea and Drilling Systems orders and backlog were as follows:</w:t>
      </w:r>
    </w:p>
    <w:p>
      <w:pPr>
        <w:spacing w:after="0" w:line="271" w:lineRule="exact"/>
        <w:rPr>
          <w:sz w:val="20"/>
          <w:szCs w:val="20"/>
          <w:color w:val="auto"/>
        </w:rPr>
      </w:pPr>
    </w:p>
    <w:tbl>
      <w:tblPr>
        <w:tblLayout w:type="fixed"/>
        <w:tblInd w:w="884"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30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Second Quarter</w:t>
            </w:r>
          </w:p>
        </w:tc>
        <w:tc>
          <w:tcPr>
            <w:tcW w:w="84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82"/>
        </w:trPr>
        <w:tc>
          <w:tcPr>
            <w:tcW w:w="4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Orders</w:t>
            </w:r>
          </w:p>
        </w:tc>
        <w:tc>
          <w:tcPr>
            <w:tcW w:w="3020" w:type="dxa"/>
            <w:vAlign w:val="bottom"/>
            <w:gridSpan w:val="3"/>
            <w:vMerge w:val="continue"/>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color w:val="auto"/>
              </w:rPr>
              <w:t>First Quarter</w:t>
            </w:r>
          </w:p>
        </w:tc>
        <w:tc>
          <w:tcPr>
            <w:tcW w:w="0" w:type="dxa"/>
            <w:vAlign w:val="bottom"/>
          </w:tcPr>
          <w:p>
            <w:pPr>
              <w:spacing w:after="0"/>
              <w:rPr>
                <w:sz w:val="1"/>
                <w:szCs w:val="1"/>
                <w:color w:val="auto"/>
              </w:rPr>
            </w:pPr>
          </w:p>
        </w:tc>
      </w:tr>
      <w:tr>
        <w:trPr>
          <w:trHeight w:val="201"/>
        </w:trPr>
        <w:tc>
          <w:tcPr>
            <w:tcW w:w="4220" w:type="dxa"/>
            <w:vAlign w:val="bottom"/>
            <w:gridSpan w:val="2"/>
            <w:vMerge w:val="continue"/>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OneSubsea</w:t>
            </w:r>
          </w:p>
        </w:tc>
        <w:tc>
          <w:tcPr>
            <w:tcW w:w="20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277</w:t>
            </w:r>
          </w:p>
        </w:tc>
        <w:tc>
          <w:tcPr>
            <w:tcW w:w="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Drilling Systems</w:t>
            </w:r>
          </w:p>
        </w:tc>
        <w:tc>
          <w:tcPr>
            <w:tcW w:w="2260" w:type="dxa"/>
            <w:vAlign w:val="bottom"/>
            <w:gridSpan w:val="2"/>
          </w:tcPr>
          <w:p>
            <w:pPr>
              <w:jc w:val="right"/>
              <w:ind w:right="67"/>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95</w:t>
            </w:r>
          </w:p>
        </w:tc>
        <w:tc>
          <w:tcPr>
            <w:tcW w:w="9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4200" w:type="dxa"/>
            <w:vAlign w:val="bottom"/>
          </w:tcPr>
          <w:p>
            <w:pPr>
              <w:spacing w:after="0"/>
              <w:rPr>
                <w:sz w:val="7"/>
                <w:szCs w:val="7"/>
                <w:color w:val="auto"/>
              </w:rPr>
            </w:pPr>
          </w:p>
        </w:tc>
        <w:tc>
          <w:tcPr>
            <w:tcW w:w="2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Backlog </w:t>
            </w:r>
            <w:r>
              <w:rPr>
                <w:rFonts w:ascii="Arial" w:cs="Arial" w:eastAsia="Arial" w:hAnsi="Arial"/>
                <w:sz w:val="18"/>
                <w:szCs w:val="18"/>
                <w:color w:val="auto"/>
              </w:rPr>
              <w:t>(at the end of period)</w:t>
            </w: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OneSubsea</w:t>
            </w:r>
          </w:p>
        </w:tc>
        <w:tc>
          <w:tcPr>
            <w:tcW w:w="2260" w:type="dxa"/>
            <w:vAlign w:val="bottom"/>
            <w:gridSpan w:val="2"/>
          </w:tcPr>
          <w:p>
            <w:pPr>
              <w:jc w:val="right"/>
              <w:ind w:right="67"/>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2,139</w:t>
            </w:r>
          </w:p>
        </w:tc>
        <w:tc>
          <w:tcPr>
            <w:tcW w:w="9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Drilling Systems</w:t>
            </w:r>
          </w:p>
        </w:tc>
        <w:tc>
          <w:tcPr>
            <w:tcW w:w="22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457</w:t>
            </w:r>
          </w:p>
        </w:tc>
        <w:tc>
          <w:tcPr>
            <w:tcW w:w="9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44" w:right="2820" w:hanging="444"/>
        <w:spacing w:after="0" w:line="445" w:lineRule="auto"/>
        <w:tabs>
          <w:tab w:leader="none" w:pos="436"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What are the components of the $3.7 billion of charges recorded during the second quarter of 2020? </w:t>
      </w:r>
      <w:r>
        <w:rPr>
          <w:rFonts w:ascii="Arial" w:cs="Arial" w:eastAsia="Arial" w:hAnsi="Arial"/>
          <w:sz w:val="17"/>
          <w:szCs w:val="17"/>
          <w:color w:val="auto"/>
        </w:rPr>
        <w:t>The components of the $3.7 billion net pretax charge are as follows (in millions):</w:t>
      </w:r>
    </w:p>
    <w:p>
      <w:pPr>
        <w:spacing w:after="0" w:line="75" w:lineRule="exact"/>
        <w:rPr>
          <w:sz w:val="20"/>
          <w:szCs w:val="20"/>
          <w:color w:val="auto"/>
        </w:rPr>
      </w:pPr>
    </w:p>
    <w:tbl>
      <w:tblPr>
        <w:tblLayout w:type="fixed"/>
        <w:tblInd w:w="1764" w:type="dxa"/>
        <w:tblCellMar>
          <w:top w:w="0" w:type="dxa"/>
          <w:left w:w="0" w:type="dxa"/>
          <w:bottom w:w="0" w:type="dxa"/>
          <w:right w:w="0" w:type="dxa"/>
        </w:tblCellMar>
      </w:tblPr>
      <w:tr>
        <w:trPr>
          <w:trHeight w:val="217"/>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Severance</w:t>
            </w:r>
            <w:r>
              <w:rPr>
                <w:rFonts w:ascii="Arial" w:cs="Arial" w:eastAsia="Arial" w:hAnsi="Arial"/>
                <w:sz w:val="15"/>
                <w:szCs w:val="15"/>
                <w:color w:val="auto"/>
              </w:rPr>
              <w:t>(a)</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$1,021</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APS investments</w:t>
            </w:r>
            <w:r>
              <w:rPr>
                <w:rFonts w:ascii="Arial" w:cs="Arial" w:eastAsia="Arial" w:hAnsi="Arial"/>
                <w:sz w:val="15"/>
                <w:szCs w:val="15"/>
                <w:color w:val="auto"/>
              </w:rPr>
              <w:t>(b)</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730</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Fixed assets impairments</w:t>
            </w:r>
            <w:r>
              <w:rPr>
                <w:rFonts w:ascii="Arial" w:cs="Arial" w:eastAsia="Arial" w:hAnsi="Arial"/>
                <w:sz w:val="15"/>
                <w:szCs w:val="15"/>
                <w:color w:val="auto"/>
              </w:rPr>
              <w:t>(c)</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Inventory write-downs</w:t>
            </w:r>
            <w:r>
              <w:rPr>
                <w:rFonts w:ascii="Arial" w:cs="Arial" w:eastAsia="Arial" w:hAnsi="Arial"/>
                <w:sz w:val="15"/>
                <w:szCs w:val="15"/>
                <w:color w:val="auto"/>
              </w:rPr>
              <w:t>(d)</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 impairments</w:t>
            </w:r>
            <w:r>
              <w:rPr>
                <w:rFonts w:ascii="Arial" w:cs="Arial" w:eastAsia="Arial" w:hAnsi="Arial"/>
                <w:sz w:val="15"/>
                <w:szCs w:val="15"/>
                <w:color w:val="auto"/>
              </w:rPr>
              <w:t>(e)</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Costs associated with exiting certain activities</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Multiclient seismic data impairment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Repurchase of bonds</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 curtailment gain</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(f)</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r>
      <w:tr>
        <w:trPr>
          <w:trHeight w:val="216"/>
        </w:trPr>
        <w:tc>
          <w:tcPr>
            <w:tcW w:w="68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3,724</w:t>
            </w:r>
          </w:p>
        </w:tc>
        <w:tc>
          <w:tcPr>
            <w:tcW w:w="100" w:type="dxa"/>
            <w:vAlign w:val="bottom"/>
            <w:shd w:val="clear" w:color="auto" w:fill="CCEEFF"/>
          </w:tcPr>
          <w:p>
            <w:pPr>
              <w:spacing w:after="0"/>
              <w:rPr>
                <w:sz w:val="18"/>
                <w:szCs w:val="18"/>
                <w:color w:val="auto"/>
              </w:rPr>
            </w:pPr>
          </w:p>
        </w:tc>
      </w:tr>
    </w:tbl>
    <w:p>
      <w:pPr>
        <w:spacing w:after="0" w:line="121" w:lineRule="exact"/>
        <w:rPr>
          <w:sz w:val="20"/>
          <w:szCs w:val="20"/>
          <w:color w:val="auto"/>
        </w:rPr>
      </w:pPr>
    </w:p>
    <w:p>
      <w:pPr>
        <w:ind w:left="424" w:right="20" w:hanging="424"/>
        <w:spacing w:after="0" w:line="258"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Severance is associated with reducing Schlumberger’s workforce by more than 21,000 employees. The vast majority of this charge is expected to be paid during the second half of 2020.</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Relates to the carrying value of certain APS projects in Latin America.</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Consists of equipment that will no longer be utilized and facilities Schlumberger is exiting.</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write-down of inventory to its net realizable value.</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Relates to assets under operating leases associated with leased facilities Schlumberger is exiting and excess equipment.</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a $42 million increase to the allowance for the doubtful accounts.</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Schlumberger</w:t>
      </w:r>
    </w:p>
    <w:p>
      <w:pPr>
        <w:spacing w:after="0" w:line="121"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Schlumberger is the world’s leading provider of technology for reservoir characterization, drilling, production, and processing to the oil and gas industry. With product sales and services in more than 120 countries and employing approximately 85,000 people as of the end of the second quarter of 2020 who represent over 170 nationalities, Schlumberger supplies the industry’s most comprehensive range of products and services, from exploration through production, and integrated pore-to-pipeline solutions that optimize hydrocarbon recovery to deliver reservoir performance sustainably.</w:t>
      </w:r>
    </w:p>
    <w:p>
      <w:pPr>
        <w:spacing w:after="0" w:line="157"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Schlumberger Limited has executive offices in Paris, Houston, London, and The Hague, and reported revenues of $32.92 billion in 2019. For more information, visit www.slb.com.</w:t>
      </w:r>
    </w:p>
    <w:p>
      <w:pPr>
        <w:spacing w:after="0" w:line="197" w:lineRule="exact"/>
        <w:rPr>
          <w:sz w:val="20"/>
          <w:szCs w:val="20"/>
          <w:color w:val="auto"/>
        </w:rPr>
      </w:pPr>
    </w:p>
    <w:p>
      <w:pPr>
        <w:ind w:left="424" w:hanging="424"/>
        <w:spacing w:after="0"/>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 of Schlumberger or Schlumberger companies.</w:t>
      </w:r>
    </w:p>
    <w:p>
      <w:pPr>
        <w:spacing w:after="0" w:line="158"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4"/>
          </w:cols>
          <w:pgMar w:left="436" w:top="270" w:right="5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w:t>
      </w:r>
    </w:p>
    <w:p>
      <w:pPr>
        <w:spacing w:after="0" w:line="12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Schlumberger will hold a conference call to discuss the earnings press release and business outlook on Friday, July 24, 2020. The call is scheduled to begin at 8:30 a.m. US Eastern Time. To access the call, which is open to the public, please contact the conference call operator at +1 (844) 721-7241 within North America, or +1 (409) 207-6955 outside North America, approximately 10 minutes prior to the call’s scheduled start time, and provide the access code 4013483. At the conclusion of the conference call, an audio replay will be available until August 24, 2020 by dialing +1 (866) 207-1041 within North America, or +1 (402) 970-0847 outside North America, and providing the access code 7688409. The conference call will be webcast simultaneously at www.slb.com/irwebcast on a listen-only basis. A replay of the webcast will also be available at the same website until August 24, 2020.</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Vice President of Investor Relations, Schlumberger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Director of Investor Relations, Schlumberger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second-quarter 2020 earnings release,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product lines (and for specified products or geographic areas within each product line); oil and natural gas demand and production growth; oil and natural gas prices; pricing; Schlumberger’s response to, and preparedness for, the COVID-19 pandemic; access to raw materials; improvements in operating procedures and technology; capital expenditures by Schlumberger and the oil and gas industry; the business strategies of Schlumberger and Schlumberger’s customers; Schlumberger’s digital strategy; Schlumberger’s restructuring efforts and charges recorded as a result of such efforts; our effective tax rate; Schlumberger’s APS projects, joint ventures, and alliances; future global economic and geopolitical conditions; and future results of operations. These statements are subject to risks and uncertainties, including, but not limited to, changing global economic conditions; changes in exploration and production spending by Schlumberger’s customers, and changes in the level of oil and natural gas exploration and development; the results of operations and financial condition of Schlumberger’s customers and suppliers, particularly during extended periods of low prices for crude oil and natural gas; Schlumberger’s inability to sufficiently monetize assets; the extent of future charges; general economic, geopolitical, and business conditions in key regions of the world; foreign currency risk; pricing pressure; weather and seasonal factors; unfavorable effects of health pandemics; availability and cost of raw materials; operational modifications, delays, or cancellations; challenges in Schlumberger’s supply chain; production declines; Schlumberger’s inability to recognize intended benefits from its business strategies and initiatives, such as digital or new energy;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competitiveness of alternative energy sources or product substitutes; and other risks and uncertainties detailed in this second-quarter 2020 earnings release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Statements in this second-quarter 2020 earnings release are made as of July 24, 2020, and Schlumberger disclaims any intention or obligation to update publicly or revise such statements, whether as a result of new information, future events, or otherwise.</w:t>
      </w:r>
    </w:p>
    <w:p>
      <w:pPr>
        <w:spacing w:after="0" w:line="17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18</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Letter"/>
      <w:start w:val="4"/>
    </w:lvl>
  </w:abstractNum>
  <w:abstractNum w:abstractNumId="2">
    <w:nsid w:val="66EF438D"/>
    <w:multiLevelType w:val="hybridMultilevel"/>
    <w:lvl w:ilvl="0">
      <w:lvlJc w:val="left"/>
      <w:lvlText w:val="%1"/>
      <w:numFmt w:val="decimal"/>
      <w:start w:val="99"/>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8"/>
    </w:lvl>
  </w:abstractNum>
  <w:abstractNum w:abstractNumId="15">
    <w:nsid w:val="3F2DBA31"/>
    <w:multiLevelType w:val="hybridMultilevel"/>
    <w:lvl w:ilvl="0">
      <w:lvlJc w:val="left"/>
      <w:lvlText w:val="%1)"/>
      <w:numFmt w:val="decimal"/>
      <w:start w:val="9"/>
    </w:lvl>
  </w:abstractNum>
  <w:abstractNum w:abstractNumId="16">
    <w:nsid w:val="7C83E458"/>
    <w:multiLevelType w:val="hybridMultilevel"/>
    <w:lvl w:ilvl="0">
      <w:lvlJc w:val="left"/>
      <w:lvlText w:val="%1)"/>
      <w:numFmt w:val="decimal"/>
      <w:start w:val="11"/>
    </w:lvl>
  </w:abstractNum>
  <w:abstractNum w:abstractNumId="17">
    <w:nsid w:val="257130A3"/>
    <w:multiLevelType w:val="hybridMultilevel"/>
    <w:lvl w:ilvl="0">
      <w:lvlJc w:val="left"/>
      <w:lvlText w:val="%1)"/>
      <w:numFmt w:val="decimal"/>
      <w:start w:val="13"/>
    </w:lvl>
  </w:abstractNum>
  <w:abstractNum w:abstractNumId="18">
    <w:nsid w:val="62BBD95A"/>
    <w:multiLevelType w:val="hybridMultilevel"/>
    <w:lvl w:ilvl="0">
      <w:lvlJc w:val="left"/>
      <w:lvlText w:val="%1)"/>
      <w:numFmt w:val="decimal"/>
      <w:start w:val="14"/>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2020-07-24T06:16:04Z</dcterms:created>
  <dcterms:modified xsi:type="dcterms:W3CDTF">2020-07-24T06:16:04Z</dcterms:modified>
</cp:coreProperties>
</file>