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44"/>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5599 San Felipe, Houston, Texas , U.S.A. 77056</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4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68" w:right="439" w:bottom="1440" w:gutter="0" w:footer="0" w:header="0"/>
          <w:type w:val="continuous"/>
        </w:sectPr>
      </w:pP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On June 22, 2021, Olivier Le Peuch, Chief Executive Officer of Schlumberger, presented at the J.P. Morgan Energy, Power &amp; Renewables Conference via virtual webcast, where he discussed, among other things, industry outlook, Schlumberger’s performance strategy, and Schlumberger’s strategy to meet its net zero commitments and to aid in the decarbonization of the industry. Slides in connection with the conference are available on the Schlumberger Investor Relations website at https://investorcenter.slb.com/investor-presentations.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The presentation referred to above contains “forward-looking statements” within the meaning of the federal securities laws — that is, any statements that are not historical facts. Such statements often contain words such as “expect,” “may,” “can,” “believe,” “predict,” “plan,” “potential,” “projected,” “projections,” forecast,” “estimate,” “intend,” “anticipate,” “ambition,” “goal,” “target,” “think,” “should,” “could,” “would,” “will,” “see,” “likely,” and other similar words. Forward-looking statements address matters that are, to varying degrees, uncertain, such as statements about Schlumberger’s financial and performance targets and other forecasts or expectations regarding, or dependent on, its business outlook; growth for Schlumberger as a whole and for each of its Divisions (and for specified business lines, geographic areas or technologies within each Division); oil and natural gas demand and production growth; oil and natural gas prices; forecasts or expectations regarding the energy transition and global climate change; Schlumberger’s response to, and preparedness for, the COVID-19 pandemic and other widespread health emergencies; improvements in operating procedures and technology; capital expenditures by Schlumberger and the oil and gas industry; the business strategies of Schlumberger, including digital and “fit for basin,” as well as the strategies of Schlumberger’s customers; Schlumberger’s restructuring efforts and charges recorded as a result of such efforts; access to raw materials; Schlumberger’s Asset Performance Solutions projects, joint ventures and other alliances; future global economic and geopolitical conditions; future liquidity; and future results of operations, such as margin levels. These statements are subject to risks and uncertainties, including, but not limited to, changing global economic conditions; changes in exploration and production spending by Schlumberger’s customers and changes in the level of oil and natural gas exploration and development; the results of operations and financial condition of Schlumberger’s customers and suppliers, particularly during extended periods of low prices for crude oil and natural gas; Schlumberger’s inability to achieve its financial and performance targets and other forecasts and expectations; Schlumberger’s inability to achieve net-zero carbon emissions goals or interim emissions reduction goals; Schlumberger’s inability to sufficiently monetize assets; general economic, geopolitical and business conditions in key regions of the world; foreign currency risk; pricing pressure; weather and seasonal factors; unfavorable effects of health pandemics; availability and cost of raw materials; operational modifications, delays or cancellations; challenges in Schlumberger’s supply chain; production declines; Schlumberger’s inability to recognize efficiencies and other intended benefits from Schlumberger’s business strategies and initiatives, such as digital or new energy, as well as its restructuring and structural cost reduction plans;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competitiveness of alternative energy sources or product substitutes; and other risks and uncertainties detailed in Schlumberger’s most recent Forms 10-K, 10-Q, and 8-K filed with or furnished to the SEC. If one or more of these or other risks or uncertainties materialize (or the consequences of any such development changes), or should Schlumberger’s underlying assumptions prove incorrect, actual outcomes may vary materially from those reflected in the forward-looking statements. The forward-looking statements speak only as of the date of the presentation, and Schlumberger disclaims any intention or obligation to update publicly or revise such statements, whether as a result of new information, future events or otherwise.</w:t>
      </w:r>
    </w:p>
    <w:p>
      <w:pPr>
        <w:sectPr>
          <w:pgSz w:w="11900" w:h="16838" w:orient="portrait"/>
          <w:cols w:equalWidth="0" w:num="1">
            <w:col w:w="11000"/>
          </w:cols>
          <w:pgMar w:left="440" w:top="297" w:right="4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Dianne B. Ralston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22, 2021</w:t>
      </w:r>
    </w:p>
    <w:sectPr>
      <w:pgSz w:w="11900" w:h="16838" w:orient="portrait"/>
      <w:cols w:equalWidth="0" w:num="1">
        <w:col w:w="10780"/>
      </w:cols>
      <w:pgMar w:left="440" w:top="29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2021-06-22T09:05:08Z</dcterms:created>
  <dcterms:modified xsi:type="dcterms:W3CDTF">2021-06-22T09:05:08Z</dcterms:modified>
</cp:coreProperties>
</file>