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4580" w:type="dxa"/>
            <w:vAlign w:val="bottom"/>
          </w:tcPr>
          <w:p>
            <w:pPr>
              <w:jc w:val="center"/>
              <w:ind w:right="1854"/>
              <w:spacing w:after="0"/>
              <w:rPr>
                <w:sz w:val="20"/>
                <w:szCs w:val="20"/>
                <w:color w:val="auto"/>
              </w:rPr>
            </w:pPr>
            <w:r>
              <w:rPr>
                <w:rFonts w:ascii="Arial" w:cs="Arial" w:eastAsia="Arial" w:hAnsi="Arial"/>
                <w:sz w:val="18"/>
                <w:szCs w:val="18"/>
                <w:b w:val="1"/>
                <w:bCs w:val="1"/>
                <w:color w:val="auto"/>
                <w:w w:val="99"/>
              </w:rPr>
              <w:t>CURAÇAO</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580" w:type="dxa"/>
            <w:vAlign w:val="bottom"/>
          </w:tcPr>
          <w:p>
            <w:pPr>
              <w:jc w:val="center"/>
              <w:ind w:right="1874"/>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89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42 RUE SAINT-DOMINIQUE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PARIS, FRANCE</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75007</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6"/>
              </w:rPr>
              <w:t>5599 SAN FELIPE, 17th FLOOR</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7"/>
              </w:rPr>
              <w:t>HOUSTON, TEXAS, U.S.A.</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77056</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62 BUCKINGHAM GATE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PARKSTRAAT 83 THE HAGUE,</w:t>
            </w:r>
          </w:p>
        </w:tc>
        <w:tc>
          <w:tcPr>
            <w:tcW w:w="3100" w:type="dxa"/>
            <w:vAlign w:val="bottom"/>
          </w:tcPr>
          <w:p>
            <w:pPr>
              <w:spacing w:after="0"/>
              <w:rPr>
                <w:sz w:val="24"/>
                <w:szCs w:val="24"/>
                <w:color w:val="auto"/>
              </w:rPr>
            </w:pPr>
          </w:p>
        </w:tc>
      </w:tr>
      <w:tr>
        <w:trPr>
          <w:trHeight w:val="212"/>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THE NETHERLANDS</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 the United States, including area code, is: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121"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206" w:right="219" w:bottom="1440" w:gutter="0" w:footer="0" w:header="0"/>
        </w:sectPr>
      </w:pPr>
    </w:p>
    <w:p>
      <w:pPr>
        <w:spacing w:after="0" w:line="52"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640" w:space="460"/>
            <w:col w:w="5280" w:space="720"/>
            <w:col w:w="2300" w:space="720"/>
            <w:col w:w="320"/>
          </w:cols>
          <w:pgMar w:left="240" w:top="206" w:right="21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1540" w:space="560"/>
            <w:col w:w="160" w:space="100"/>
            <w:col w:w="5020" w:space="720"/>
            <w:col w:w="2300" w:space="720"/>
            <w:col w:w="320"/>
          </w:cols>
          <w:pgMar w:left="240" w:top="206" w:right="2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180"/>
            <w:col w:w="260" w:space="100"/>
            <w:col w:w="160" w:space="180"/>
            <w:col w:w="2380"/>
          </w:cols>
          <w:pgMar w:left="240" w:top="206"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3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Outstanding at September 30, 2015</w:t>
            </w:r>
          </w:p>
        </w:tc>
      </w:tr>
      <w:tr>
        <w:trPr>
          <w:trHeight w:val="243"/>
        </w:trPr>
        <w:tc>
          <w:tcPr>
            <w:tcW w:w="836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27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1,261,103,708</w:t>
            </w:r>
          </w:p>
        </w:tc>
        <w:tc>
          <w:tcPr>
            <w:tcW w:w="380" w:type="dxa"/>
            <w:vAlign w:val="bottom"/>
          </w:tcPr>
          <w:p>
            <w:pPr>
              <w:spacing w:after="0"/>
              <w:rPr>
                <w:sz w:val="21"/>
                <w:szCs w:val="21"/>
                <w:color w:val="auto"/>
              </w:rPr>
            </w:pPr>
          </w:p>
        </w:tc>
      </w:tr>
      <w:tr>
        <w:trPr>
          <w:trHeight w:val="912"/>
        </w:trPr>
        <w:tc>
          <w:tcPr>
            <w:tcW w:w="3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06"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2015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964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4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Controls and Procedures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5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73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Mine Safety Disclosures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4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3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4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w w:val="97"/>
              </w:rPr>
              <w:t>(Stated in millions, except per share amounts</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Third Quarter</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27,731</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Expenses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22,028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&amp; 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before taxes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3,984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Taxes on income</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3,125</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3,088</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3,088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1,278</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5,188</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(260)</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w:t>
            </w: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arising during the period</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w:t>
            </w: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cash flow hedges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w:t>
            </w: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Reclassification to net income of net realized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actuarial loss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prior service cost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w w:val="99"/>
              </w:rPr>
              <w:t>Income taxes on pension and other postretirement benefit plans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3,101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6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10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(2015 - $308; 2014 - $275)</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21,532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14,554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15,610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Long-term debt - current portion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7,487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12,642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(13,023)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(11,772)</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42,515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(4,193)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7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 Sept. 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520" w:type="dxa"/>
            <w:vAlign w:val="bottom"/>
          </w:tcPr>
          <w:p>
            <w:pPr>
              <w:spacing w:after="0"/>
              <w:rPr>
                <w:sz w:val="13"/>
                <w:szCs w:val="13"/>
                <w:color w:val="auto"/>
              </w:rPr>
            </w:pPr>
          </w:p>
        </w:tc>
        <w:tc>
          <w:tcPr>
            <w:tcW w:w="140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600"/>
              <w:spacing w:after="0" w:line="155"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908"/>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3,125</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Add: Loss from discontinued operations</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Restructuring and other charges</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620"/>
              <w:spacing w:after="0" w:line="216"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Pension and other postretirement benefits expense</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6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Pension and other postretirement benefits funding</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(292)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752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620"/>
              <w:spacing w:after="0"/>
              <w:rPr>
                <w:sz w:val="20"/>
                <w:szCs w:val="20"/>
                <w:color w:val="auto"/>
              </w:rPr>
            </w:pPr>
            <w:r>
              <w:rPr>
                <w:rFonts w:ascii="Arial" w:cs="Arial" w:eastAsia="Arial" w:hAnsi="Arial"/>
                <w:sz w:val="16"/>
                <w:szCs w:val="16"/>
                <w:color w:val="auto"/>
              </w:rPr>
              <w:t>Decrease (increase) in receivables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inventories</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7520" w:type="dxa"/>
            <w:vAlign w:val="bottom"/>
          </w:tcPr>
          <w:p>
            <w:pPr>
              <w:ind w:left="620"/>
              <w:spacing w:after="0"/>
              <w:rPr>
                <w:sz w:val="20"/>
                <w:szCs w:val="20"/>
                <w:color w:val="auto"/>
              </w:rPr>
            </w:pPr>
            <w:r>
              <w:rPr>
                <w:rFonts w:ascii="Arial" w:cs="Arial" w:eastAsia="Arial" w:hAnsi="Arial"/>
                <w:sz w:val="16"/>
                <w:szCs w:val="16"/>
                <w:color w:val="auto"/>
              </w:rPr>
              <w:t>Decrease in other current assets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other assets</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752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(469)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7520" w:type="dxa"/>
            <w:vAlign w:val="bottom"/>
          </w:tcPr>
          <w:p>
            <w:pPr>
              <w:ind w:left="620"/>
              <w:spacing w:after="0"/>
              <w:rPr>
                <w:sz w:val="20"/>
                <w:szCs w:val="20"/>
                <w:color w:val="auto"/>
              </w:rPr>
            </w:pPr>
            <w:r>
              <w:rPr>
                <w:rFonts w:ascii="Arial" w:cs="Arial" w:eastAsia="Arial" w:hAnsi="Arial"/>
                <w:sz w:val="16"/>
                <w:szCs w:val="16"/>
                <w:color w:val="auto"/>
              </w:rPr>
              <w:t>Decrease in other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6,627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(2,766)</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SPM investments</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(350)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Multiclient seismic data capitalized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(289)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Sale of investments, net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(207)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212"/>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(1,784)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(3,582)</w:t>
            </w: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(2,815)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13"/>
        </w:trPr>
        <w:tc>
          <w:tcPr>
            <w:tcW w:w="7520" w:type="dxa"/>
            <w:vAlign w:val="bottom"/>
          </w:tcPr>
          <w:p>
            <w:pPr>
              <w:ind w:left="380"/>
              <w:spacing w:after="0"/>
              <w:rPr>
                <w:sz w:val="20"/>
                <w:szCs w:val="20"/>
                <w:color w:val="auto"/>
              </w:rPr>
            </w:pPr>
            <w:r>
              <w:rPr>
                <w:rFonts w:ascii="Arial" w:cs="Arial" w:eastAsia="Arial" w:hAnsi="Arial"/>
                <w:sz w:val="16"/>
                <w:szCs w:val="16"/>
                <w:color w:val="auto"/>
              </w:rPr>
              <w:t>Net (decrease) increase in short-term borrowings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(4,303)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(4,673)</w:t>
            </w:r>
          </w:p>
        </w:tc>
        <w:tc>
          <w:tcPr>
            <w:tcW w:w="0" w:type="dxa"/>
            <w:vAlign w:val="bottom"/>
          </w:tcPr>
          <w:p>
            <w:pPr>
              <w:spacing w:after="0"/>
              <w:rPr>
                <w:sz w:val="1"/>
                <w:szCs w:val="1"/>
                <w:color w:val="auto"/>
              </w:rPr>
            </w:pPr>
          </w:p>
        </w:tc>
      </w:tr>
      <w:tr>
        <w:trPr>
          <w:trHeight w:val="212"/>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(USED IN) PROVIDED BY DISCONTINUED OPERATIONS - OPERATING ACTIVITIES</w:t>
            </w:r>
          </w:p>
        </w:tc>
        <w:tc>
          <w:tcPr>
            <w:tcW w:w="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20" w:type="dxa"/>
            <w:vAlign w:val="bottom"/>
          </w:tcPr>
          <w:p>
            <w:pPr>
              <w:spacing w:after="0"/>
              <w:rPr>
                <w:sz w:val="20"/>
                <w:szCs w:val="20"/>
                <w:color w:val="auto"/>
              </w:rPr>
            </w:pPr>
            <w:r>
              <w:rPr>
                <w:rFonts w:ascii="Arial" w:cs="Arial" w:eastAsia="Arial" w:hAnsi="Arial"/>
                <w:sz w:val="16"/>
                <w:szCs w:val="16"/>
                <w:color w:val="auto"/>
              </w:rPr>
              <w:t>Net increase (decrease) in cash before translation effect</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9"/>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3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8"/>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3,172</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20" w:hanging="512"/>
        <w:spacing w:after="0"/>
        <w:tabs>
          <w:tab w:leader="none" w:pos="52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0" w:lineRule="exact"/>
        <w:rPr>
          <w:rFonts w:ascii="Arial" w:cs="Arial" w:eastAsia="Arial" w:hAnsi="Arial"/>
          <w:sz w:val="26"/>
          <w:szCs w:val="26"/>
          <w:color w:val="auto"/>
          <w:vertAlign w:val="superscript"/>
        </w:rPr>
      </w:pPr>
    </w:p>
    <w:p>
      <w:pPr>
        <w:ind w:left="520" w:hanging="512"/>
        <w:spacing w:after="0" w:line="182" w:lineRule="auto"/>
        <w:tabs>
          <w:tab w:leader="none" w:pos="52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r>
      <w:tr>
        <w:trPr>
          <w:trHeight w:val="300"/>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2015 – September 30, 2015</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Total</w:t>
            </w:r>
          </w:p>
        </w:tc>
      </w:tr>
      <w:tr>
        <w:trPr>
          <w:trHeight w:val="156"/>
        </w:trPr>
        <w:tc>
          <w:tcPr>
            <w:tcW w:w="38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2015</w:t>
            </w: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12,495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(11,772)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41,333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(4,206)</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38,049</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3,125</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(260)</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(260)</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6"/>
                <w:szCs w:val="16"/>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(1,784)</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Dividends declared ($1.50 per share)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(1,906)</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4"/>
                <w:szCs w:val="14"/>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color w:val="auto"/>
              </w:rPr>
              <w:t>Balance, September 30, 2015</w:t>
            </w: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42,515</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(4,193)</w:t>
            </w: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38,179</w:t>
            </w:r>
          </w:p>
        </w:tc>
        <w:tc>
          <w:tcPr>
            <w:tcW w:w="120" w:type="dxa"/>
            <w:vAlign w:val="bottom"/>
          </w:tcPr>
          <w:p>
            <w:pPr>
              <w:spacing w:after="0"/>
              <w:rPr>
                <w:sz w:val="13"/>
                <w:szCs w:val="13"/>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8"/>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r>
      <w:tr>
        <w:trPr>
          <w:trHeight w:val="300"/>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2014 – September 30, 2014</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Total</w:t>
            </w:r>
          </w:p>
        </w:tc>
      </w:tr>
      <w:tr>
        <w:trPr>
          <w:trHeight w:val="156"/>
        </w:trPr>
        <w:tc>
          <w:tcPr>
            <w:tcW w:w="38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2014</w:t>
            </w: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(8,135)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37,966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(2,554)</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39,635</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5,188</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(176)</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(176)</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(132)</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(132)</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(79)</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(3,582)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(3,582)</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Dividends declared ($1.20 per share)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(1,559)</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issued for acquisition</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(62)</w:t>
            </w:r>
          </w:p>
        </w:tc>
      </w:tr>
      <w:tr>
        <w:trPr>
          <w:trHeight w:val="156"/>
        </w:trPr>
        <w:tc>
          <w:tcPr>
            <w:tcW w:w="38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2014</w:t>
            </w: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12,428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(10,725)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41,543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(2,741)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40,687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940" w:type="dxa"/>
            <w:vAlign w:val="bottom"/>
          </w:tcPr>
          <w:p>
            <w:pPr>
              <w:spacing w:after="0"/>
              <w:rPr>
                <w:sz w:val="20"/>
                <w:szCs w:val="20"/>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Issued</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 Treasury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2015 are not necessarily indicative of the results that may be expected for the full year ending December 31, 2015. The December 31, 2014 balance sheet information has been derived from the Schlumberger 2014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2014, filed with the Securities and Exchange Commission on January 29,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items have been reclassified to conform to the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Announced Transaction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26, 2015, Schlumberger and Cameron jointly announced that they had entered into a definitive merger agreement in which Cameron will merge with an indirect wholly-owned subsidiary of Schlumberger in a stock and cash transaction. Under the terms of the agreement, Cameron shareholders will receive 0.716 shares of Schlumberger common stock and a cash payment of $14.44 in exchange for each Cameron share of common stock outstanding. Schlumberger estimates that it will issue approximately 137 million shares of its common stock and will pay cash of approximately $2.8 billion in connection with this transaction. The transaction is subject to Cameron shareholders’ approval, regulatory approvals and other customary closing conditions. It is anticipated that the closing of the transaction will occur in the first quarter of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ASU amends the existing accounting standards for revenue recognition and is based on the principle that revenue should be recognized to</w:t>
      </w:r>
      <w:r>
        <w:rPr>
          <w:rFonts w:ascii="Arial" w:cs="Arial" w:eastAsia="Arial" w:hAnsi="Arial"/>
          <w:sz w:val="18"/>
          <w:szCs w:val="18"/>
          <w:i w:val="1"/>
          <w:iCs w:val="1"/>
          <w:color w:val="auto"/>
        </w:rPr>
        <w:t xml:space="preserve"> </w:t>
      </w:r>
      <w:r>
        <w:rPr>
          <w:rFonts w:ascii="Arial" w:cs="Arial" w:eastAsia="Arial" w:hAnsi="Arial"/>
          <w:sz w:val="18"/>
          <w:szCs w:val="18"/>
          <w:color w:val="auto"/>
        </w:rPr>
        <w:t>depict the transfer of goods or services to a customer at an amount that reflects the consideration a company expects to receive in exchange for those goods or services. Schlumberger is required to adopt this ASU no later than January 1, 2018 with early adoption permitted on January 1, 2017. Schlumberger does not expect this ASU to have a material impact on its consolidated financial statements.</w:t>
      </w:r>
    </w:p>
    <w:p>
      <w:pPr>
        <w:spacing w:after="0" w:line="33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continuing operations during the first quarter of 2015:</w:t>
      </w:r>
    </w:p>
    <w:p>
      <w:pPr>
        <w:spacing w:after="0" w:line="117" w:lineRule="exact"/>
        <w:rPr>
          <w:sz w:val="20"/>
          <w:szCs w:val="20"/>
          <w:color w:val="auto"/>
        </w:rPr>
      </w:pPr>
    </w:p>
    <w:p>
      <w:pPr>
        <w:jc w:val="both"/>
        <w:ind w:left="760" w:hanging="374"/>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result of the severe fall in activity in North America, combined with the impact of lower international activity due to customer budget cuts driven by lower oil prices, Schlumberger decided to reduce its headcount during the first quarter of 2015. Schlumberger recorded a $390 million charge during the first quarter associated with this headcount reduction as well as an incentivized leave of absence program.</w:t>
      </w:r>
    </w:p>
    <w:p>
      <w:pPr>
        <w:spacing w:after="0" w:line="314" w:lineRule="exact"/>
        <w:rPr>
          <w:rFonts w:ascii="Arial" w:cs="Arial" w:eastAsia="Arial" w:hAnsi="Arial"/>
          <w:sz w:val="17"/>
          <w:szCs w:val="17"/>
          <w:color w:val="auto"/>
        </w:rPr>
      </w:pPr>
    </w:p>
    <w:p>
      <w:pPr>
        <w:jc w:val="both"/>
        <w:ind w:left="760" w:hanging="374"/>
        <w:spacing w:after="0" w:line="30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2014, Venezuela enacted certain changes to its foreign exchange system such that, in addition to the official rate of 6.3 Venezuelan Bolivares per US dollar, there were two other legal exchange rates that could be obtained via different exchange rate mechanisms. These changes included the expansion of the SICAD I auction rate and the introduction of what was known as the SICAD II auction process. The SICAD I and SICAD II exchange rates were approximately 11 and 50 Venezuelan Bolivares to the US dollar, respectively, at December 31, 2014.</w:t>
      </w:r>
    </w:p>
    <w:p>
      <w:pPr>
        <w:spacing w:after="0" w:line="46" w:lineRule="exact"/>
        <w:rPr>
          <w:rFonts w:ascii="Arial" w:cs="Arial" w:eastAsia="Arial" w:hAnsi="Arial"/>
          <w:sz w:val="16"/>
          <w:szCs w:val="16"/>
          <w:color w:val="auto"/>
        </w:rPr>
      </w:pPr>
    </w:p>
    <w:p>
      <w:pPr>
        <w:jc w:val="both"/>
        <w:ind w:left="760"/>
        <w:spacing w:after="0" w:line="264" w:lineRule="auto"/>
        <w:rPr>
          <w:rFonts w:ascii="Arial" w:cs="Arial" w:eastAsia="Arial" w:hAnsi="Arial"/>
          <w:sz w:val="16"/>
          <w:szCs w:val="16"/>
          <w:color w:val="auto"/>
        </w:rPr>
      </w:pPr>
      <w:r>
        <w:rPr>
          <w:rFonts w:ascii="Arial" w:cs="Arial" w:eastAsia="Arial" w:hAnsi="Arial"/>
          <w:sz w:val="18"/>
          <w:szCs w:val="18"/>
          <w:color w:val="auto"/>
        </w:rPr>
        <w:t>Although the functional currency of Schlumberger’s operations in Venezuela is the US dollar, a portion of the transactions in Venezuela are denominated in local currency. Prior to December 31, 2014, Schlumberger had applied the official exchange rate to remeasure local currency transactions and balances into US dollars.</w:t>
      </w:r>
    </w:p>
    <w:p>
      <w:pPr>
        <w:spacing w:after="0" w:line="73" w:lineRule="exact"/>
        <w:rPr>
          <w:rFonts w:ascii="Arial" w:cs="Arial" w:eastAsia="Arial" w:hAnsi="Arial"/>
          <w:sz w:val="16"/>
          <w:szCs w:val="16"/>
          <w:color w:val="auto"/>
        </w:rPr>
      </w:pPr>
    </w:p>
    <w:p>
      <w:pPr>
        <w:jc w:val="both"/>
        <w:ind w:left="760"/>
        <w:spacing w:after="0" w:line="264" w:lineRule="auto"/>
        <w:rPr>
          <w:rFonts w:ascii="Arial" w:cs="Arial" w:eastAsia="Arial" w:hAnsi="Arial"/>
          <w:sz w:val="16"/>
          <w:szCs w:val="16"/>
          <w:color w:val="auto"/>
        </w:rPr>
      </w:pPr>
      <w:r>
        <w:rPr>
          <w:rFonts w:ascii="Arial" w:cs="Arial" w:eastAsia="Arial" w:hAnsi="Arial"/>
          <w:sz w:val="18"/>
          <w:szCs w:val="18"/>
          <w:color w:val="auto"/>
        </w:rPr>
        <w:t>Effective December 31, 2014, Schlumberger concluded that it was appropriate to apply the SICAD II exchange rate, as it believed this rate best represented the economics of Schlumberger’s business activity in Venezuela. As a result, Schlumberger recorded a $472 million devaluation charge during the fourth quarter of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ind w:left="760" w:right="20"/>
        <w:spacing w:after="0" w:line="264" w:lineRule="auto"/>
        <w:rPr>
          <w:sz w:val="20"/>
          <w:szCs w:val="20"/>
          <w:color w:val="auto"/>
        </w:rPr>
      </w:pPr>
      <w:r>
        <w:rPr>
          <w:rFonts w:ascii="Arial" w:cs="Arial" w:eastAsia="Arial" w:hAnsi="Arial"/>
          <w:sz w:val="18"/>
          <w:szCs w:val="18"/>
          <w:color w:val="auto"/>
        </w:rPr>
        <w:t>In February 2015, the Venezuelan government replaced SICAD II with a new foreign exchange market system known as SIMADI. The SIMADI exchange rate was approximately 192 Venezuela Bolivares to the US dollar as of March 31, 2015. As a result, Schlumberger recorded a $49 million devaluation charge during the first quarter of 2015, reflecting the adoption of the SIMADI exchange rate.</w:t>
      </w:r>
    </w:p>
    <w:p>
      <w:pPr>
        <w:spacing w:after="0" w:line="73"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7"/>
          <w:szCs w:val="17"/>
          <w:color w:val="auto"/>
        </w:rPr>
        <w:t>These changes result in a reduction in the US dollar reported amount of local currency denominated revenues, expenses and, consequently, income before taxes and net income in Venezuela. For example, if Schlumberger had applied an exchange rate of 192 Venezuelan Bolivares to the US dollar throughout 2014, it would have reduced Schlumberger earnings by approximately $0.09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44"/>
        </w:trPr>
        <w:tc>
          <w:tcPr>
            <w:tcW w:w="412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390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1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23"/>
        </w:trPr>
        <w:tc>
          <w:tcPr>
            <w:tcW w:w="4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second and third quarters of 2015 or the first nine months of 2014.</w:t>
      </w:r>
    </w:p>
    <w:p>
      <w:pPr>
        <w:spacing w:after="0" w:line="370"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8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w w:val="95"/>
              </w:rPr>
              <w:t>(Stated in millions, except per share amounts)</w:t>
            </w:r>
          </w:p>
        </w:tc>
        <w:tc>
          <w:tcPr>
            <w:tcW w:w="20" w:type="dxa"/>
            <w:vAlign w:val="bottom"/>
          </w:tcPr>
          <w:p>
            <w:pPr>
              <w:spacing w:after="0"/>
              <w:rPr>
                <w:sz w:val="15"/>
                <w:szCs w:val="15"/>
                <w:color w:val="auto"/>
              </w:rPr>
            </w:pPr>
          </w:p>
        </w:tc>
      </w:tr>
      <w:tr>
        <w:trPr>
          <w:trHeight w:val="4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89"/>
              </w:rPr>
              <w:t>2014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Earnings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Income from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Average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Share from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Income from</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Share from</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Continuing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Continuing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Continuing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Continuing</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1"/>
              </w:rPr>
              <w:t>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Operations</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12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5"/>
              </w:rPr>
              <w:t>Third Quarter</w:t>
            </w:r>
          </w:p>
        </w:tc>
        <w:tc>
          <w:tcPr>
            <w:tcW w:w="186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989</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89"/>
              </w:rPr>
              <w:t>2014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Earnings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Income from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Average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Share from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Income from</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Share from</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Continuing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Continuing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Continuing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Continuing</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1"/>
              </w:rPr>
              <w:t>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Operations</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98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Nine Months</w:t>
            </w:r>
          </w:p>
        </w:tc>
        <w:tc>
          <w:tcPr>
            <w:tcW w:w="4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000" w:type="dxa"/>
            <w:vAlign w:val="bottom"/>
            <w:tcBorders>
              <w:top w:val="single" w:sz="8" w:color="CFF0FC"/>
            </w:tcBorders>
            <w:gridSpan w:val="2"/>
          </w:tcPr>
          <w:p>
            <w:pPr>
              <w:spacing w:after="0"/>
              <w:rPr>
                <w:sz w:val="23"/>
                <w:szCs w:val="23"/>
                <w:color w:val="auto"/>
              </w:rPr>
            </w:pPr>
          </w:p>
        </w:tc>
        <w:tc>
          <w:tcPr>
            <w:tcW w:w="5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3,088</w:t>
            </w:r>
          </w:p>
        </w:tc>
        <w:tc>
          <w:tcPr>
            <w:tcW w:w="3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1,270</w:t>
            </w:r>
          </w:p>
        </w:tc>
        <w:tc>
          <w:tcPr>
            <w:tcW w:w="32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2.43</w:t>
            </w:r>
          </w:p>
        </w:tc>
        <w:tc>
          <w:tcPr>
            <w:tcW w:w="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5,341</w:t>
            </w:r>
          </w:p>
        </w:tc>
        <w:tc>
          <w:tcPr>
            <w:tcW w:w="3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FF0FC"/>
            </w:tcBorders>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80" w:type="dxa"/>
            <w:vAlign w:val="bottom"/>
            <w:gridSpan w:val="5"/>
          </w:tcPr>
          <w:p>
            <w:pPr>
              <w:jc w:val="center"/>
              <w:ind w:left="2074"/>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594"/>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b w:val="1"/>
                <w:bCs w:val="1"/>
                <w:color w:val="auto"/>
                <w:w w:val="89"/>
              </w:rPr>
              <w:t>20</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gridSpan w:val="2"/>
            <w:shd w:val="clear" w:color="auto" w:fill="CFF0FC"/>
          </w:tcPr>
          <w:p>
            <w:pPr>
              <w:ind w:left="122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gridSpan w:val="4"/>
          </w:tcPr>
          <w:p>
            <w:pPr>
              <w:spacing w:after="0"/>
              <w:rPr>
                <w:sz w:val="20"/>
                <w:szCs w:val="20"/>
                <w:color w:val="auto"/>
              </w:rPr>
            </w:pPr>
            <w:r>
              <w:rPr>
                <w:rFonts w:ascii="Arial" w:cs="Arial" w:eastAsia="Arial" w:hAnsi="Arial"/>
                <w:sz w:val="18"/>
                <w:szCs w:val="18"/>
                <w:color w:val="auto"/>
              </w:rPr>
              <w:t>Nine Months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ind w:left="240"/>
              <w:spacing w:after="0"/>
              <w:rPr>
                <w:sz w:val="20"/>
                <w:szCs w:val="20"/>
                <w:color w:val="auto"/>
              </w:rPr>
            </w:pPr>
            <w:r>
              <w:rPr>
                <w:rFonts w:ascii="Arial" w:cs="Arial" w:eastAsia="Arial" w:hAnsi="Arial"/>
                <w:sz w:val="18"/>
                <w:szCs w:val="18"/>
                <w:b w:val="1"/>
                <w:bCs w:val="1"/>
                <w:color w:val="auto"/>
                <w:w w:val="89"/>
              </w:rPr>
              <w:t>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2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Inventories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60" w:type="dxa"/>
            <w:vAlign w:val="bottom"/>
            <w:gridSpan w:val="4"/>
          </w:tcPr>
          <w:p>
            <w:pPr>
              <w:spacing w:after="0"/>
              <w:rPr>
                <w:sz w:val="20"/>
                <w:szCs w:val="20"/>
                <w:color w:val="auto"/>
              </w:rPr>
            </w:pPr>
            <w:r>
              <w:rPr>
                <w:rFonts w:ascii="Arial" w:cs="Arial" w:eastAsia="Arial" w:hAnsi="Arial"/>
                <w:sz w:val="18"/>
                <w:szCs w:val="18"/>
                <w:color w:val="auto"/>
              </w:rPr>
              <w:t>A summary of inventories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Sept. 30,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80" w:type="dxa"/>
            <w:vAlign w:val="bottom"/>
            <w:gridSpan w:val="5"/>
          </w:tcPr>
          <w:p>
            <w:pPr>
              <w:jc w:val="center"/>
              <w:ind w:left="2114"/>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4"/>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7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2,642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2,666</w:t>
            </w:r>
          </w:p>
        </w:tc>
        <w:tc>
          <w:tcPr>
            <w:tcW w:w="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4"/>
          </w:tcPr>
          <w:p>
            <w:pPr>
              <w:spacing w:after="0"/>
              <w:rPr>
                <w:sz w:val="20"/>
                <w:szCs w:val="20"/>
                <w:color w:val="auto"/>
              </w:rPr>
            </w:pPr>
            <w:r>
              <w:rPr>
                <w:rFonts w:ascii="Arial" w:cs="Arial" w:eastAsia="Arial" w:hAnsi="Arial"/>
                <w:sz w:val="18"/>
                <w:szCs w:val="18"/>
                <w:color w:val="auto"/>
              </w:rPr>
              <w:t>Work in progress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7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1,385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1,689</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4,228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Fixed Assets</w:t>
            </w:r>
          </w:p>
        </w:tc>
        <w:tc>
          <w:tcPr>
            <w:tcW w:w="48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80" w:type="dxa"/>
            <w:vAlign w:val="bottom"/>
            <w:vMerge w:val="continue"/>
          </w:tcPr>
          <w:p>
            <w:pPr>
              <w:spacing w:after="0"/>
              <w:rPr>
                <w:sz w:val="24"/>
                <w:szCs w:val="24"/>
                <w:color w:val="auto"/>
              </w:rPr>
            </w:pPr>
          </w:p>
        </w:tc>
        <w:tc>
          <w:tcPr>
            <w:tcW w:w="960" w:type="dxa"/>
            <w:vAlign w:val="bottom"/>
            <w:tcBorders>
              <w:bottom w:val="single" w:sz="8" w:color="auto"/>
            </w:tcBorders>
            <w:gridSpan w:val="2"/>
            <w:vMerge w:val="continue"/>
          </w:tcPr>
          <w:p>
            <w:pPr>
              <w:spacing w:after="0"/>
              <w:rPr>
                <w:sz w:val="24"/>
                <w:szCs w:val="24"/>
                <w:color w:val="auto"/>
              </w:rPr>
            </w:pPr>
          </w:p>
        </w:tc>
        <w:tc>
          <w:tcPr>
            <w:tcW w:w="48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6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Sept. 30,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80" w:type="dxa"/>
            <w:vAlign w:val="bottom"/>
            <w:gridSpan w:val="5"/>
          </w:tcPr>
          <w:p>
            <w:pPr>
              <w:jc w:val="center"/>
              <w:ind w:left="2154"/>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4"/>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7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7"/>
              </w:rPr>
              <w:t>37,373</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36,964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Less: Accumulated depreciation</w:t>
            </w:r>
          </w:p>
        </w:tc>
        <w:tc>
          <w:tcPr>
            <w:tcW w:w="17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22,819</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21,568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7"/>
              </w:rPr>
              <w:t>14,554</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60" w:type="dxa"/>
            <w:vAlign w:val="bottom"/>
            <w:gridSpan w:val="4"/>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8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574"/>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800" w:type="dxa"/>
            <w:vAlign w:val="bottom"/>
            <w:tcBorders>
              <w:top w:val="single" w:sz="8" w:color="CFF0FC"/>
            </w:tcBorders>
            <w:gridSpan w:val="4"/>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w w:val="86"/>
              </w:rPr>
              <w:t>798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gridSpan w:val="4"/>
          </w:tcPr>
          <w:p>
            <w:pPr>
              <w:spacing w:after="0"/>
              <w:rPr>
                <w:sz w:val="20"/>
                <w:szCs w:val="20"/>
                <w:color w:val="auto"/>
              </w:rPr>
            </w:pPr>
            <w:r>
              <w:rPr>
                <w:rFonts w:ascii="Arial" w:cs="Arial" w:eastAsia="Arial" w:hAnsi="Arial"/>
                <w:sz w:val="18"/>
                <w:szCs w:val="18"/>
                <w:color w:val="auto"/>
              </w:rPr>
              <w:t>Nine Months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2,444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2015 was as follows:</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440"/>
          </w:cols>
          <w:pgMar w:left="240" w:top="125" w:right="2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2015</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86" w:hanging="1086"/>
        <w:spacing w:after="0"/>
        <w:tabs>
          <w:tab w:leader="none" w:pos="1086" w:val="left"/>
        </w:tabs>
        <w:numPr>
          <w:ilvl w:val="0"/>
          <w:numId w:val="7"/>
        </w:numPr>
        <w:rPr>
          <w:rFonts w:ascii="Arial" w:cs="Arial" w:eastAsia="Arial" w:hAnsi="Arial"/>
          <w:sz w:val="18"/>
          <w:szCs w:val="18"/>
          <w:color w:val="auto"/>
        </w:rPr>
      </w:pPr>
      <w:r>
        <w:rPr>
          <w:rFonts w:ascii="Arial" w:cs="Arial" w:eastAsia="Arial" w:hAnsi="Arial"/>
          <w:sz w:val="18"/>
          <w:szCs w:val="18"/>
          <w:color w:val="auto"/>
        </w:rPr>
        <w:t>793</w:t>
      </w:r>
    </w:p>
    <w:p>
      <w:pPr>
        <w:spacing w:after="0" w:line="23" w:lineRule="exact"/>
        <w:rPr>
          <w:rFonts w:ascii="Arial" w:cs="Arial" w:eastAsia="Arial" w:hAnsi="Arial"/>
          <w:sz w:val="18"/>
          <w:szCs w:val="18"/>
          <w:color w:val="auto"/>
        </w:rPr>
      </w:pPr>
    </w:p>
    <w:p>
      <w:pPr>
        <w:ind w:left="1086"/>
        <w:spacing w:after="0"/>
        <w:rPr>
          <w:rFonts w:ascii="Arial" w:cs="Arial" w:eastAsia="Arial" w:hAnsi="Arial"/>
          <w:sz w:val="18"/>
          <w:szCs w:val="18"/>
          <w:color w:val="auto"/>
        </w:rPr>
      </w:pPr>
      <w:r>
        <w:rPr>
          <w:rFonts w:ascii="Arial" w:cs="Arial" w:eastAsia="Arial" w:hAnsi="Arial"/>
          <w:sz w:val="18"/>
          <w:szCs w:val="18"/>
          <w:color w:val="auto"/>
        </w:rPr>
        <w:t>336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ind w:left="1086" w:hanging="1086"/>
        <w:spacing w:after="0"/>
        <w:tabs>
          <w:tab w:leader="none" w:pos="1086" w:val="left"/>
        </w:tabs>
        <w:numPr>
          <w:ilvl w:val="0"/>
          <w:numId w:val="8"/>
        </w:numPr>
        <w:rPr>
          <w:rFonts w:ascii="Arial" w:cs="Arial" w:eastAsia="Arial" w:hAnsi="Arial"/>
          <w:sz w:val="18"/>
          <w:szCs w:val="18"/>
          <w:color w:val="auto"/>
        </w:rPr>
      </w:pPr>
      <w:r>
        <w:rPr>
          <w:rFonts w:ascii="Arial" w:cs="Arial" w:eastAsia="Arial" w:hAnsi="Arial"/>
          <w:sz w:val="18"/>
          <w:szCs w:val="18"/>
          <w:color w:val="auto"/>
        </w:rPr>
        <w:t>966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4" w:space="720"/>
            <w:col w:w="1506"/>
          </w:cols>
          <w:pgMar w:left="240" w:top="125" w:right="21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0" w:name="page11"/>
    <w:bookmarkEnd w:id="10"/>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nine months ended September 30, 2015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3"/>
              </w:rPr>
              <w:t>(stated in millions)</w:t>
            </w:r>
          </w:p>
        </w:tc>
      </w:tr>
      <w:tr>
        <w:trPr>
          <w:trHeight w:val="443"/>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Reservoir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86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Characterization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Drilling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Production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15,610</w:t>
            </w:r>
          </w:p>
        </w:tc>
        <w:tc>
          <w:tcPr>
            <w:tcW w:w="12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1"/>
        </w:trPr>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Sept. 30, 2015</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Dec. 31, 2014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2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7"/>
                <w:szCs w:val="17"/>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Accumulated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Net Book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6"/>
                <w:szCs w:val="16"/>
                <w:color w:val="auto"/>
                <w:w w:val="88"/>
              </w:rPr>
              <w:t>Gross</w:t>
            </w:r>
          </w:p>
        </w:tc>
        <w:tc>
          <w:tcPr>
            <w:tcW w:w="100" w:type="dxa"/>
            <w:vAlign w:val="bottom"/>
          </w:tcPr>
          <w:p>
            <w:pPr>
              <w:spacing w:after="0"/>
              <w:rPr>
                <w:sz w:val="17"/>
                <w:szCs w:val="17"/>
                <w:color w:val="auto"/>
              </w:rPr>
            </w:pPr>
          </w:p>
        </w:tc>
        <w:tc>
          <w:tcPr>
            <w:tcW w:w="1280" w:type="dxa"/>
            <w:vAlign w:val="bottom"/>
            <w:gridSpan w:val="4"/>
          </w:tcPr>
          <w:p>
            <w:pPr>
              <w:ind w:left="40"/>
              <w:spacing w:after="0"/>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color w:val="auto"/>
                <w:w w:val="94"/>
              </w:rPr>
              <w:t>Net Book</w:t>
            </w:r>
          </w:p>
        </w:tc>
      </w:tr>
      <w:tr>
        <w:trPr>
          <w:trHeight w:val="246"/>
        </w:trPr>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6"/>
                <w:szCs w:val="16"/>
                <w:b w:val="1"/>
                <w:bCs w:val="1"/>
                <w:color w:val="auto"/>
                <w:w w:val="91"/>
              </w:rPr>
              <w:t>Book Value</w:t>
            </w: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73"/>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color w:val="auto"/>
                <w:w w:val="92"/>
              </w:rPr>
              <w:t>Book Value</w:t>
            </w:r>
          </w:p>
        </w:tc>
        <w:tc>
          <w:tcPr>
            <w:tcW w:w="100" w:type="dxa"/>
            <w:vAlign w:val="bottom"/>
          </w:tcPr>
          <w:p>
            <w:pPr>
              <w:spacing w:after="0"/>
              <w:rPr>
                <w:sz w:val="21"/>
                <w:szCs w:val="21"/>
                <w:color w:val="auto"/>
              </w:rPr>
            </w:pPr>
          </w:p>
        </w:tc>
        <w:tc>
          <w:tcPr>
            <w:tcW w:w="1280" w:type="dxa"/>
            <w:vAlign w:val="bottom"/>
            <w:gridSpan w:val="4"/>
          </w:tcPr>
          <w:p>
            <w:pPr>
              <w:ind w:left="40"/>
              <w:spacing w:after="0"/>
              <w:rPr>
                <w:sz w:val="20"/>
                <w:szCs w:val="20"/>
                <w:color w:val="auto"/>
              </w:rPr>
            </w:pPr>
            <w:r>
              <w:rPr>
                <w:rFonts w:ascii="Arial" w:cs="Arial" w:eastAsia="Arial" w:hAnsi="Arial"/>
                <w:sz w:val="16"/>
                <w:szCs w:val="16"/>
                <w:color w:val="auto"/>
              </w:rPr>
              <w:t>Amortization</w:t>
            </w:r>
          </w:p>
        </w:tc>
        <w:tc>
          <w:tcPr>
            <w:tcW w:w="14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Value</w:t>
            </w:r>
          </w:p>
        </w:tc>
      </w:tr>
      <w:tr>
        <w:trPr>
          <w:trHeight w:val="226"/>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Technology/Technical Know-How</w:t>
            </w:r>
          </w:p>
        </w:tc>
        <w:tc>
          <w:tcPr>
            <w:tcW w:w="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1,776</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Tradenames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2,534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23"/>
        </w:trPr>
        <w:tc>
          <w:tcPr>
            <w:tcW w:w="29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6,414</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4,524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6,299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1,645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4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580" w:type="dxa"/>
            <w:vAlign w:val="bottom"/>
            <w:gridSpan w:val="4"/>
          </w:tcPr>
          <w:p>
            <w:pPr>
              <w:spacing w:after="0"/>
              <w:rPr>
                <w:sz w:val="20"/>
                <w:szCs w:val="20"/>
                <w:color w:val="auto"/>
              </w:rPr>
            </w:pPr>
            <w:r>
              <w:rPr>
                <w:rFonts w:ascii="Arial" w:cs="Arial" w:eastAsia="Arial" w:hAnsi="Arial"/>
                <w:sz w:val="18"/>
                <w:szCs w:val="18"/>
                <w:color w:val="auto"/>
              </w:rPr>
              <w:t>Amortization expense charged to income was as follows: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3"/>
        </w:trPr>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4"/>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377"/>
        </w:trPr>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74"/>
              <w:spacing w:after="0"/>
              <w:rPr>
                <w:sz w:val="20"/>
                <w:szCs w:val="20"/>
                <w:color w:val="auto"/>
              </w:rPr>
            </w:pPr>
            <w:r>
              <w:rPr>
                <w:rFonts w:ascii="Arial" w:cs="Arial" w:eastAsia="Arial" w:hAnsi="Arial"/>
                <w:sz w:val="14"/>
                <w:szCs w:val="14"/>
                <w:color w:val="auto"/>
              </w:rPr>
              <w:t>2014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w:t>
            </w:r>
          </w:p>
        </w:tc>
        <w:tc>
          <w:tcPr>
            <w:tcW w:w="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60" w:type="dxa"/>
            <w:vAlign w:val="bottom"/>
            <w:tcBorders>
              <w:top w:val="single" w:sz="8" w:color="CFF0FC"/>
            </w:tcBorders>
            <w:shd w:val="clear" w:color="auto" w:fill="CFF0FC"/>
          </w:tcPr>
          <w:p>
            <w:pPr>
              <w:spacing w:after="0"/>
              <w:rPr>
                <w:sz w:val="19"/>
                <w:szCs w:val="19"/>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color w:val="auto"/>
              </w:rPr>
              <w:t>Nine Months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2015, amortization charged to income for the subsequent five years is estimated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2015—$90 million; 2016—$361 million; 2017—$352 million; 2018—$343 million; 2019—$333 million; and 2020—$313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Sept. 30,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23"/>
        </w:trPr>
        <w:tc>
          <w:tcPr>
            <w:tcW w:w="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1,597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1,496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4.20%</w:t>
            </w:r>
          </w:p>
        </w:tc>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1,100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1.25%</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1.50%</w:t>
            </w:r>
          </w:p>
        </w:tc>
        <w:tc>
          <w:tcPr>
            <w:tcW w:w="470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1.95%</w:t>
            </w:r>
          </w:p>
        </w:tc>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2016</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700" w:type="dxa"/>
            <w:vAlign w:val="bottom"/>
            <w:tcBorders>
              <w:bottom w:val="single" w:sz="8" w:color="CFF0FC"/>
            </w:tcBorders>
          </w:tcPr>
          <w:p>
            <w:pPr>
              <w:spacing w:after="0"/>
              <w:rPr>
                <w:sz w:val="19"/>
                <w:szCs w:val="19"/>
                <w:color w:val="auto"/>
              </w:rPr>
            </w:pPr>
          </w:p>
        </w:tc>
        <w:tc>
          <w:tcPr>
            <w:tcW w:w="26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70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7,487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2015 and December 31, 2014, based on quoted market prices, was $7.6 billion and $10.7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Borrowings under the commercial paper program at September 30, 2015 were $0.5 billion, all of which is 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2014, borrowings under the commercial paper program were $1.5 billion, all of which were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32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cross currency swap is designated as a fair value hedge of the underlying debt. This derivative instrument is marked to market with gains and losses recognized in income to largely offset the respective gains and losses recognized on changes in the fair value of the hedged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2015, Schlumberger had fixed rate debt of $8.9 billion and variable rate debt of $3.3 billion, after taking into account the effect of the swap.</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totaled $3.9 billion at September 30, 2015. The carrying value of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fair value, which was estimated using quoted market prices for those or similar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conducts its business in more than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 xml:space="preserve">Accumulated other comprehensive loss </w:t>
      </w:r>
      <w:r>
        <w:rPr>
          <w:rFonts w:ascii="Arial" w:cs="Arial" w:eastAsia="Arial" w:hAnsi="Arial"/>
          <w:sz w:val="17"/>
          <w:szCs w:val="17"/>
          <w:color w:val="auto"/>
        </w:rPr>
        <w:t>are reclassified into earnings in the same period or periods that the hedged item is recognized in earnings. The</w:t>
      </w:r>
      <w:r>
        <w:rPr>
          <w:rFonts w:ascii="Arial" w:cs="Arial" w:eastAsia="Arial" w:hAnsi="Arial"/>
          <w:sz w:val="17"/>
          <w:szCs w:val="17"/>
          <w:i w:val="1"/>
          <w:iCs w:val="1"/>
          <w:color w:val="auto"/>
        </w:rPr>
        <w:t xml:space="preserve"> </w:t>
      </w:r>
      <w:r>
        <w:rPr>
          <w:rFonts w:ascii="Arial" w:cs="Arial" w:eastAsia="Arial" w:hAnsi="Arial"/>
          <w:sz w:val="17"/>
          <w:szCs w:val="17"/>
          <w:color w:val="auto"/>
        </w:rPr>
        <w:t>ineffective portion of changes in the fair value of hedging instruments, if any, is recorded directly to earnings.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At September 30, 2015, Schlumberger recognized a cumulative net $58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Schlumberger is exposed to changes in the fair value of assets and liabilities which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2015, contracts were outstanding for the US dollar equivalent of $5.6 billion in various foreign currencies, of which $2.5 billion relate to hedges of debt denominated in currencies other than the functional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Fair Value of Derivatives</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Consolidated Balance Sheet Classification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Sept. 30,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Dec. 31,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color w:val="auto"/>
              </w:rPr>
              <w:t>2014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Cross currency swap</w:t>
            </w: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167</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227</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184</w:t>
            </w:r>
          </w:p>
        </w:tc>
        <w:tc>
          <w:tcPr>
            <w:tcW w:w="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255</w:t>
            </w:r>
          </w:p>
        </w:tc>
        <w:tc>
          <w:tcPr>
            <w:tcW w:w="22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right="460"/>
        <w:spacing w:after="0" w:line="277"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w w:val="92"/>
              </w:rPr>
              <w:t>Gain (Loss) Recognized in Income</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6"/>
                <w:szCs w:val="16"/>
                <w:b w:val="1"/>
                <w:bCs w:val="1"/>
                <w:color w:val="auto"/>
              </w:rPr>
              <w:t>Third Quarter</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color w:val="auto"/>
                <w:w w:val="99"/>
              </w:rPr>
              <w:t>Consolidated Statement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73"/>
              <w:spacing w:after="0"/>
              <w:rPr>
                <w:sz w:val="20"/>
                <w:szCs w:val="20"/>
                <w:color w:val="auto"/>
              </w:rPr>
            </w:pPr>
            <w:r>
              <w:rPr>
                <w:rFonts w:ascii="Arial" w:cs="Arial" w:eastAsia="Arial" w:hAnsi="Arial"/>
                <w:sz w:val="16"/>
                <w:szCs w:val="16"/>
                <w:color w:val="auto"/>
                <w:w w:val="89"/>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auto"/>
                <w:w w:val="98"/>
              </w:rPr>
              <w:t>of Income Classification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7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Cross currency swap</w:t>
            </w:r>
          </w:p>
        </w:tc>
        <w:tc>
          <w:tcPr>
            <w:tcW w:w="1480" w:type="dxa"/>
            <w:vAlign w:val="bottom"/>
            <w:gridSpan w:val="2"/>
          </w:tcPr>
          <w:p>
            <w:pPr>
              <w:jc w:val="right"/>
              <w:ind w:right="539"/>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80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480" w:type="dxa"/>
            <w:vAlign w:val="bottom"/>
            <w:gridSpan w:val="2"/>
          </w:tcPr>
          <w:p>
            <w:pPr>
              <w:jc w:val="right"/>
              <w:ind w:right="539"/>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subject to US and non-US income taxes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740" w:type="dxa"/>
            <w:vAlign w:val="bottom"/>
            <w:tcBorders>
              <w:bottom w:val="single" w:sz="8" w:color="CFF0FC"/>
            </w:tcBorders>
          </w:tcPr>
          <w:p>
            <w:pPr>
              <w:spacing w:after="0"/>
              <w:rPr>
                <w:sz w:val="19"/>
                <w:szCs w:val="19"/>
                <w:color w:val="auto"/>
              </w:rPr>
            </w:pPr>
          </w:p>
        </w:tc>
        <w:tc>
          <w:tcPr>
            <w:tcW w:w="2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296</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3,688</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5,252</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3,984</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Schlumberger recorded pretax charges of $439 million during the nine months ended September 30, 2015 ($93 million of charges in the US and $346 million of charges outside the US). 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Sept. 30,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r>
      <w:tr>
        <w:trPr>
          <w:trHeight w:val="234"/>
        </w:trPr>
        <w:tc>
          <w:tcPr>
            <w:tcW w:w="5160" w:type="dxa"/>
            <w:vAlign w:val="bottom"/>
          </w:tcPr>
          <w:p>
            <w:pPr>
              <w:spacing w:after="0"/>
              <w:rPr>
                <w:sz w:val="20"/>
                <w:szCs w:val="20"/>
                <w:color w:val="auto"/>
              </w:rPr>
            </w:pPr>
          </w:p>
        </w:tc>
        <w:tc>
          <w:tcPr>
            <w:tcW w:w="3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26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Intangible assets</w:t>
            </w:r>
          </w:p>
        </w:tc>
        <w:tc>
          <w:tcPr>
            <w:tcW w:w="2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4"/>
              </w:rPr>
              <w:t>(1,458)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(1,435)</w:t>
            </w: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26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(190)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w:t>
            </w: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6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(1,126)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above deferred tax balances at September 30, 2015 and December 31, 2014 were net of valuation allowances relating to net operating losses in certain countries of $156 million and $190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1"/>
        </w:trPr>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tcPr>
          <w:p>
            <w:pPr>
              <w:spacing w:after="0"/>
              <w:rPr>
                <w:sz w:val="19"/>
                <w:szCs w:val="19"/>
                <w:color w:val="auto"/>
              </w:rPr>
            </w:pPr>
          </w:p>
        </w:tc>
        <w:tc>
          <w:tcPr>
            <w:tcW w:w="2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United States-Federal</w:t>
            </w:r>
          </w:p>
        </w:tc>
        <w:tc>
          <w:tcPr>
            <w:tcW w:w="2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40" w:type="dxa"/>
            <w:vAlign w:val="bottom"/>
          </w:tcPr>
          <w:p>
            <w:pPr>
              <w:spacing w:after="0"/>
              <w:rPr>
                <w:sz w:val="19"/>
                <w:szCs w:val="19"/>
                <w:color w:val="auto"/>
              </w:rPr>
            </w:pPr>
          </w:p>
        </w:tc>
        <w:tc>
          <w:tcPr>
            <w:tcW w:w="380" w:type="dxa"/>
            <w:vAlign w:val="bottom"/>
          </w:tcPr>
          <w:p>
            <w:pPr>
              <w:jc w:val="right"/>
              <w:ind w:right="264"/>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States-State</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Borders>
              <w:right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Deferred:</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States-Federal</w:t>
            </w:r>
          </w:p>
        </w:tc>
        <w:tc>
          <w:tcPr>
            <w:tcW w:w="2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(67)</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(96)</w:t>
            </w:r>
          </w:p>
        </w:tc>
        <w:tc>
          <w:tcPr>
            <w:tcW w:w="380" w:type="dxa"/>
            <w:vAlign w:val="bottom"/>
            <w:shd w:val="clear" w:color="auto" w:fill="CFF0FC"/>
          </w:tcPr>
          <w:p>
            <w:pPr>
              <w:jc w:val="right"/>
              <w:ind w:right="26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United States-State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Outside United States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Valuation Allowance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Third Quarter</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2"/>
              </w:rPr>
              <w:t>Nine Months</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2014</w:t>
            </w:r>
          </w:p>
        </w:tc>
        <w:tc>
          <w:tcPr>
            <w:tcW w:w="1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8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w:t>
            </w: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35%</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Non-US income taxed at different rates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w:t>
            </w:r>
          </w:p>
        </w:tc>
        <w:tc>
          <w:tcPr>
            <w:tcW w:w="8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30"/>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Charges and credits (See Note 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20%</w:t>
            </w: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2015, Schlumberger resolved a previously disclosed investigation by the U.S. Department of Justice into past violations of US sanctions regarding its historical operations in Iran and Sudan that occurred between 2004 and 2010. A non-US subsidiary of Schlumberger pleaded guilty to one criminal count of conspiracy to violate the International Emergency Economic Powers Act. Under the terms of the plea agreement, Schlumberger paid a total amount of approximately $233 million in fines, penalties and assessments during the second quarter of 2015, which had been previously accrued. This payment is reflected within </w:t>
      </w:r>
      <w:r>
        <w:rPr>
          <w:rFonts w:ascii="Arial" w:cs="Arial" w:eastAsia="Arial" w:hAnsi="Arial"/>
          <w:sz w:val="16"/>
          <w:szCs w:val="16"/>
          <w:i w:val="1"/>
          <w:iCs w:val="1"/>
          <w:color w:val="auto"/>
        </w:rPr>
        <w:t>Cash flows used in discontinued operations – operating activities</w:t>
      </w:r>
      <w:r>
        <w:rPr>
          <w:rFonts w:ascii="Arial" w:cs="Arial" w:eastAsia="Arial" w:hAnsi="Arial"/>
          <w:sz w:val="16"/>
          <w:szCs w:val="16"/>
          <w:color w:val="auto"/>
        </w:rPr>
        <w:t xml:space="preserve"> in Schlumberger’s </w:t>
      </w:r>
      <w:r>
        <w:rPr>
          <w:rFonts w:ascii="Arial" w:cs="Arial" w:eastAsia="Arial" w:hAnsi="Arial"/>
          <w:sz w:val="16"/>
          <w:szCs w:val="16"/>
          <w:i w:val="1"/>
          <w:iCs w:val="1"/>
          <w:color w:val="auto"/>
        </w:rPr>
        <w:t>Consolidated Statement of Cash Flows.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proceedings is remote. However, litigation is inherently uncertain and it is not possible to predict the ultimate disposition of any of these proceedings.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Third Quarter 2015</w:t>
            </w:r>
          </w:p>
        </w:tc>
        <w:tc>
          <w:tcPr>
            <w:tcW w:w="18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Third Quarter 2014</w:t>
            </w:r>
          </w:p>
        </w:tc>
      </w:tr>
      <w:tr>
        <w:trPr>
          <w:trHeight w:val="218"/>
        </w:trPr>
        <w:tc>
          <w:tcPr>
            <w:tcW w:w="3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23"/>
        </w:trPr>
        <w:tc>
          <w:tcPr>
            <w:tcW w:w="3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right="80" w:hanging="285"/>
        <w:spacing w:after="0" w:line="277" w:lineRule="auto"/>
        <w:tabs>
          <w:tab w:leader="none" w:pos="29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300" w:hanging="273"/>
        <w:spacing w:after="0"/>
        <w:tabs>
          <w:tab w:leader="none" w:pos="300" w:val="left"/>
        </w:tabs>
        <w:numPr>
          <w:ilvl w:val="2"/>
          <w:numId w:val="15"/>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($6 million in 2015; $4 million in 2014).</w:t>
      </w:r>
    </w:p>
    <w:p>
      <w:pPr>
        <w:spacing w:after="0" w:line="117" w:lineRule="exact"/>
        <w:rPr>
          <w:rFonts w:ascii="Arial" w:cs="Arial" w:eastAsia="Arial" w:hAnsi="Arial"/>
          <w:sz w:val="15"/>
          <w:szCs w:val="15"/>
          <w:color w:val="auto"/>
        </w:rPr>
      </w:pPr>
    </w:p>
    <w:p>
      <w:pPr>
        <w:ind w:left="300" w:hanging="292"/>
        <w:spacing w:after="0"/>
        <w:tabs>
          <w:tab w:leader="none" w:pos="300" w:val="left"/>
        </w:tabs>
        <w:numPr>
          <w:ilvl w:val="1"/>
          <w:numId w:val="15"/>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($8 million in 2015; $5 million in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Nine Months 2015</w:t>
            </w:r>
          </w:p>
        </w:tc>
        <w:tc>
          <w:tcPr>
            <w:tcW w:w="180" w:type="dxa"/>
            <w:vAlign w:val="bottom"/>
          </w:tcPr>
          <w:p>
            <w:pPr>
              <w:spacing w:after="0"/>
              <w:rPr>
                <w:sz w:val="24"/>
                <w:szCs w:val="2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Nine Months 2014</w:t>
            </w:r>
          </w:p>
        </w:tc>
      </w:tr>
      <w:tr>
        <w:trPr>
          <w:trHeight w:val="218"/>
        </w:trPr>
        <w:tc>
          <w:tcPr>
            <w:tcW w:w="3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23"/>
        </w:trPr>
        <w:tc>
          <w:tcPr>
            <w:tcW w:w="3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00" w:right="120" w:hanging="285"/>
        <w:spacing w:after="0" w:line="277" w:lineRule="auto"/>
        <w:tabs>
          <w:tab w:leader="none" w:pos="241"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260" w:hanging="233"/>
        <w:spacing w:after="0"/>
        <w:tabs>
          <w:tab w:leader="none" w:pos="260" w:val="left"/>
        </w:tabs>
        <w:numPr>
          <w:ilvl w:val="2"/>
          <w:numId w:val="16"/>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($17 million in 2015; $14 million in 2014).</w:t>
      </w:r>
    </w:p>
    <w:p>
      <w:pPr>
        <w:spacing w:after="0" w:line="117" w:lineRule="exact"/>
        <w:rPr>
          <w:rFonts w:ascii="Arial" w:cs="Arial" w:eastAsia="Arial" w:hAnsi="Arial"/>
          <w:sz w:val="15"/>
          <w:szCs w:val="15"/>
          <w:color w:val="auto"/>
        </w:rPr>
      </w:pPr>
    </w:p>
    <w:p>
      <w:pPr>
        <w:ind w:left="300" w:hanging="292"/>
        <w:spacing w:after="0"/>
        <w:tabs>
          <w:tab w:leader="none" w:pos="300" w:val="left"/>
        </w:tabs>
        <w:numPr>
          <w:ilvl w:val="1"/>
          <w:numId w:val="16"/>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($21 million in 2015; $15 million in 2014).</w:t>
      </w:r>
    </w:p>
    <w:p>
      <w:pPr>
        <w:spacing w:after="0" w:line="117" w:lineRule="exact"/>
        <w:rPr>
          <w:rFonts w:ascii="Arial" w:cs="Arial" w:eastAsia="Arial" w:hAnsi="Arial"/>
          <w:sz w:val="15"/>
          <w:szCs w:val="15"/>
          <w:color w:val="auto"/>
        </w:rPr>
      </w:pPr>
    </w:p>
    <w:p>
      <w:pPr>
        <w:ind w:left="240" w:hanging="225"/>
        <w:spacing w:after="0"/>
        <w:tabs>
          <w:tab w:leader="none" w:pos="240" w:val="left"/>
        </w:tabs>
        <w:numPr>
          <w:ilvl w:val="1"/>
          <w:numId w:val="16"/>
        </w:numPr>
        <w:rPr>
          <w:rFonts w:ascii="Arial" w:cs="Arial" w:eastAsia="Arial" w:hAnsi="Arial"/>
          <w:sz w:val="14"/>
          <w:szCs w:val="14"/>
          <w:color w:val="auto"/>
        </w:rPr>
      </w:pPr>
      <w:r>
        <w:rPr>
          <w:rFonts w:ascii="Arial" w:cs="Arial" w:eastAsia="Arial" w:hAnsi="Arial"/>
          <w:sz w:val="17"/>
          <w:szCs w:val="17"/>
          <w:color w:val="auto"/>
        </w:rPr>
        <w:t xml:space="preserve">Charges and credits recorded during the first nine months of 2015 are described in detail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w w:val="95"/>
              </w:rPr>
              <w:t>(Stated in millions)</w:t>
            </w:r>
          </w:p>
        </w:tc>
      </w:tr>
      <w:tr>
        <w:trPr>
          <w:trHeight w:val="458"/>
        </w:trPr>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Nine Months</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23"/>
        </w:trPr>
        <w:tc>
          <w:tcPr>
            <w:tcW w:w="3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3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Int'l</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Int'l</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Int'l</w:t>
            </w:r>
          </w:p>
        </w:tc>
        <w:tc>
          <w:tcPr>
            <w:tcW w:w="240" w:type="dxa"/>
            <w:vAlign w:val="bottom"/>
            <w:tcBorders>
              <w:bottom w:val="single" w:sz="8" w:color="CFF0FC"/>
            </w:tcBorders>
          </w:tcPr>
          <w:p>
            <w:pPr>
              <w:spacing w:after="0"/>
              <w:rPr>
                <w:sz w:val="19"/>
                <w:szCs w:val="19"/>
                <w:color w:val="auto"/>
              </w:rPr>
            </w:pPr>
          </w:p>
        </w:tc>
      </w:tr>
      <w:tr>
        <w:trPr>
          <w:trHeight w:val="237"/>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20"/>
                <w:szCs w:val="20"/>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21"/>
                <w:szCs w:val="21"/>
                <w:color w:val="auto"/>
              </w:rPr>
            </w:pPr>
          </w:p>
        </w:tc>
      </w:tr>
      <w:tr>
        <w:trPr>
          <w:trHeight w:val="24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(125)</w:t>
            </w: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87"/>
              </w:rPr>
              <w:t>(60)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(381)</w:t>
            </w:r>
          </w:p>
        </w:tc>
        <w:tc>
          <w:tcPr>
            <w:tcW w:w="1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1"/>
                <w:szCs w:val="21"/>
                <w:color w:val="auto"/>
              </w:rPr>
            </w:pPr>
          </w:p>
        </w:tc>
      </w:tr>
      <w:tr>
        <w:trPr>
          <w:trHeight w:val="24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21"/>
                <w:szCs w:val="21"/>
                <w:color w:val="auto"/>
              </w:rPr>
            </w:pPr>
          </w:p>
        </w:tc>
      </w:tr>
      <w:tr>
        <w:trPr>
          <w:trHeight w:val="237"/>
        </w:trPr>
        <w:tc>
          <w:tcPr>
            <w:tcW w:w="37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40" w:type="dxa"/>
            <w:vAlign w:val="bottom"/>
          </w:tcPr>
          <w:p>
            <w:pPr>
              <w:spacing w:after="0"/>
              <w:rPr>
                <w:sz w:val="20"/>
                <w:szCs w:val="20"/>
                <w:color w:val="auto"/>
              </w:rPr>
            </w:pPr>
          </w:p>
        </w:tc>
        <w:tc>
          <w:tcPr>
            <w:tcW w:w="5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Third Quarter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315"/>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2014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3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net loss (gain)</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3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15. Accumulated Other Comprehensive Loss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60" w:type="dxa"/>
            <w:vAlign w:val="bottom"/>
            <w:gridSpan w:val="3"/>
          </w:tcPr>
          <w:p>
            <w:pPr>
              <w:spacing w:after="0"/>
              <w:rPr>
                <w:sz w:val="20"/>
                <w:szCs w:val="20"/>
                <w:color w:val="auto"/>
              </w:rPr>
            </w:pPr>
            <w:r>
              <w:rPr>
                <w:rFonts w:ascii="Arial" w:cs="Arial" w:eastAsia="Arial" w:hAnsi="Arial"/>
                <w:sz w:val="18"/>
                <w:szCs w:val="18"/>
                <w:i w:val="1"/>
                <w:iCs w:val="1"/>
                <w:color w:val="auto"/>
                <w:w w:val="94"/>
              </w:rPr>
              <w:t xml:space="preserve">Accumulated other comprehensive loss </w:t>
            </w:r>
            <w:r>
              <w:rPr>
                <w:rFonts w:ascii="Arial" w:cs="Arial" w:eastAsia="Arial" w:hAnsi="Arial"/>
                <w:sz w:val="18"/>
                <w:szCs w:val="18"/>
                <w:color w:val="auto"/>
                <w:w w:val="94"/>
              </w:rPr>
              <w:t>consists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Pension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Gain/(Loss)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5"/>
              </w:rPr>
              <w:t>Marketable</w:t>
            </w:r>
          </w:p>
        </w:tc>
        <w:tc>
          <w:tcPr>
            <w:tcW w:w="12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Cash Flow</w:t>
            </w:r>
          </w:p>
        </w:tc>
        <w:tc>
          <w:tcPr>
            <w:tcW w:w="14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Postretirement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9"/>
                <w:szCs w:val="19"/>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9"/>
                <w:szCs w:val="19"/>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Hedges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Benefit Plans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9"/>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w w:val="72"/>
              </w:rPr>
              <w:t>(36)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Balance, September 30, 2015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72"/>
              </w:rPr>
              <w:t>(26)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25"/>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Pension and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Gain/(Loss) 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Marketable</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Cash Flow</w:t>
            </w: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1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Hedges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Benefit Plans</w:t>
            </w:r>
          </w:p>
        </w:tc>
        <w:tc>
          <w:tcPr>
            <w:tcW w:w="2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9"/>
                <w:szCs w:val="19"/>
                <w:color w:val="auto"/>
              </w:rPr>
            </w:pPr>
          </w:p>
        </w:tc>
      </w:tr>
      <w:tr>
        <w:trPr>
          <w:trHeight w:val="226"/>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2"/>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September 30, 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0"/>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8" w:right="219" w:bottom="1440" w:gutter="0" w:footer="0" w:header="0"/>
        </w:sectPr>
      </w:pPr>
    </w:p>
    <w:bookmarkStart w:id="18" w:name="page19"/>
    <w:bookmarkEnd w:id="18"/>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2015 Compared to Second Quarter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w w:val="96"/>
              </w:rPr>
              <w:t>Third Quarter 2015</w:t>
            </w:r>
          </w:p>
        </w:tc>
        <w:tc>
          <w:tcPr>
            <w:tcW w:w="2720" w:type="dxa"/>
            <w:vAlign w:val="bottom"/>
            <w:gridSpan w:val="4"/>
          </w:tcPr>
          <w:p>
            <w:pPr>
              <w:jc w:val="right"/>
              <w:ind w:right="660"/>
              <w:spacing w:after="0"/>
              <w:rPr>
                <w:sz w:val="20"/>
                <w:szCs w:val="20"/>
                <w:color w:val="auto"/>
              </w:rPr>
            </w:pPr>
            <w:r>
              <w:rPr>
                <w:rFonts w:ascii="Arial" w:cs="Arial" w:eastAsia="Arial" w:hAnsi="Arial"/>
                <w:sz w:val="18"/>
                <w:szCs w:val="18"/>
                <w:color w:val="auto"/>
              </w:rPr>
              <w:t>Second Quarter 2015</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before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Taxes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Revenue</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2,301</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3,256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35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7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23"/>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1,521</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(198)</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8,472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1"/>
        </w:trPr>
        <w:tc>
          <w:tcPr>
            <w:tcW w:w="3520" w:type="dxa"/>
            <w:vAlign w:val="bottom"/>
          </w:tcPr>
          <w:p>
            <w:pPr>
              <w:spacing w:after="0"/>
              <w:rPr>
                <w:sz w:val="24"/>
                <w:szCs w:val="24"/>
                <w:color w:val="auto"/>
              </w:rPr>
            </w:pPr>
          </w:p>
        </w:tc>
        <w:tc>
          <w:tcPr>
            <w:tcW w:w="37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Geographic Areas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1"/>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w w:val="96"/>
              </w:rPr>
              <w:t>Third Quarter 2015</w:t>
            </w:r>
          </w:p>
        </w:tc>
        <w:tc>
          <w:tcPr>
            <w:tcW w:w="2720" w:type="dxa"/>
            <w:vAlign w:val="bottom"/>
            <w:gridSpan w:val="4"/>
          </w:tcPr>
          <w:p>
            <w:pPr>
              <w:jc w:val="right"/>
              <w:ind w:right="660"/>
              <w:spacing w:after="0"/>
              <w:rPr>
                <w:sz w:val="20"/>
                <w:szCs w:val="20"/>
                <w:color w:val="auto"/>
              </w:rPr>
            </w:pPr>
            <w:r>
              <w:rPr>
                <w:rFonts w:ascii="Arial" w:cs="Arial" w:eastAsia="Arial" w:hAnsi="Arial"/>
                <w:sz w:val="18"/>
                <w:szCs w:val="18"/>
                <w:color w:val="auto"/>
              </w:rPr>
              <w:t>Second Quarter 2015</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before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Taxes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Revenue</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2,273</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1,422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35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2,274</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505</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2,372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35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w:t>
            </w:r>
          </w:p>
        </w:tc>
      </w:tr>
      <w:tr>
        <w:trPr>
          <w:trHeight w:val="223"/>
        </w:trPr>
        <w:tc>
          <w:tcPr>
            <w:tcW w:w="35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(198)</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(78)</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8,472</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right="80" w:hanging="285"/>
        <w:spacing w:after="0" w:line="277" w:lineRule="auto"/>
        <w:tabs>
          <w:tab w:leader="none" w:pos="286" w:val="left"/>
        </w:tabs>
        <w:numPr>
          <w:ilvl w:val="0"/>
          <w:numId w:val="18"/>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300" w:right="260" w:hanging="285"/>
        <w:spacing w:after="0" w:line="277" w:lineRule="auto"/>
        <w:tabs>
          <w:tab w:leader="none" w:pos="29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($6 million in the third quarter 2015; $6 million in the second quarter in 2015).</w:t>
      </w:r>
    </w:p>
    <w:p>
      <w:pPr>
        <w:spacing w:after="0" w:line="62" w:lineRule="exact"/>
        <w:rPr>
          <w:rFonts w:ascii="Arial" w:cs="Arial" w:eastAsia="Arial" w:hAnsi="Arial"/>
          <w:sz w:val="15"/>
          <w:szCs w:val="15"/>
          <w:color w:val="auto"/>
        </w:rPr>
      </w:pPr>
    </w:p>
    <w:p>
      <w:pPr>
        <w:ind w:left="300" w:right="400" w:hanging="285"/>
        <w:spacing w:after="0" w:line="277" w:lineRule="auto"/>
        <w:tabs>
          <w:tab w:leader="none" w:pos="29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($8 million in the third quarter 2015; $7 million in the second quarter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Third-quarter 2015 revenue of $8.5 billion was 6% lower sequentially while pretax operating income of $1.5 billion was 11% lower sequentially. Pretax operating margin decreased 101 basis points (bps) to 18.0%.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North America third-quarter revenue of $2.3 billion decreased 4% sequentially while outperforming the US land horizontal rig count decline of 7%. Revenue declined on land due to persistent pricing pressure, while Alaska revenue declined as exploration projects were completed. In the US Gulf of Mexico, revenue fell slightly on lower multiclient seismic sales while higher technology sales limited the impact of pricing concessions.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both"/>
        <w:ind w:right="20"/>
        <w:spacing w:after="0" w:line="312" w:lineRule="auto"/>
        <w:rPr>
          <w:sz w:val="20"/>
          <w:szCs w:val="20"/>
          <w:color w:val="auto"/>
        </w:rPr>
      </w:pPr>
      <w:r>
        <w:rPr>
          <w:rFonts w:ascii="Arial" w:cs="Arial" w:eastAsia="Arial" w:hAnsi="Arial"/>
          <w:sz w:val="16"/>
          <w:szCs w:val="16"/>
          <w:color w:val="auto"/>
        </w:rPr>
        <w:t>North America pretax operating margin declined 136 bps sequentially to 9%, mainly due to lower pricing across the basins, which led to more pressure pumping equipment being stacked and crews reassigned. In certain basins, hydraulic fracturing fleet deployment was maintained in pursuit of market share and new technology opportunities. Offshore margin also decreased as work shifted from deepwater exploration to completions and well intervention.</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for the International Areas of $6.1 billion decreased 7% sequentially due to customer budget cuts and continued pricing concessions. Middle East &amp; Asia Area revenue of $2.4 billion declined 8% sequentially mainly due to lower activity in Australia and the Asia-Pacific region as a result of customer budget cuts and rig count declines. Revenue from the Middle East GeoMarkets, particularly in Saudi Arabia and Qatar, was also lower due to the effects of service pricing concessions, a less favorable revenue mix and project completions. Europe/CIS/Africa Area revenue of $2.3 billion decreased 6% sequentially. In Sub-Saharan Africa, exploration decreased, projects ended, and offshore rigs demobilized, particularly in the Angola GeoMarket. Results were also affected by the completion of exploration projects in Chad, Equatorial Guinea and South &amp; East Africa. North Sea revenue declined on lower rig count, project delays and cancellations as well as pricing discounts and currency weakness. These effects, however, were partially offset by increased activity in Russia, Kazakhstan and Uzbekistan as drilling activity seasonally peaked during the summer. Revenue in the Latin America Area of $1.4 billion decreased 7%, mainly as a result of significantly lower activity in Mexico and continued weakness in Brazil due to sustained customer budget cuts that led to rig count reductions. Reduced activity in Colombia also contributed to the decline. These reductions, however, were partially offset by steady activity in Venezuela and Ecuador.</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International Area pretax operating margin of 23.7% decreased 72 bps sequentially due to the effects of pricing concessions and as the activity mix shifted from high-margin exploration activities to development and completion work. Middle East &amp; Asia pretax operating margin decreased 171 bps to 27.0% and Latin America fell 159 bps to 20.7%, while Europe/CIS/Africa increased 92 bps to 22.2% as a result of the peak summer drilling activity in Russia.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Reservoir Characterization Group revenue of $2.3 billion declined 5% sequentially, primarily due to sustained cuts in exploration spending that impacted Wireline and Testing Services activities in the Latin America, Europe/CIS &amp; Africa and Middle East &amp; Asia Areas and due to lower multiclient seismic sales in the US Gulf of Mexico. This decline was partially offset by higher summer activities on marine seismic work in Eastern Canada and Wireline projects in Russia.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26.3% was essentially flat sequentially as increased marine seismic activity and prompt action on cost management offset the effects of the revenue mix shifting away from higher-margin exploration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Drilling Group revenue of $3.3 billion decreased 7% sequentially, primarily due to persistent international pricing pressure and activity declines that impacted Drilling &amp; Measurements and M-I SWACO revenues, mainly in the North Sea, the Sub-Saharan Africa GeoMarkets, and in the Middle East &amp; Asia and Latin America Areas. These effects, however, were partially offset by peak summer drilling activity in Russia.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18.6% declined 94 bps sequentially. Despite the revenue decline, prompt action on cost management helped limit the operating margin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Production Group revenue of $3.0 billion decreased 5% sequentially with two-thirds of the decrease attributable to customer budget constraints in the International markets, particularly in the Middle East &amp; Asia and Latin America Areas, the North Sea, and the Sub-Saharan Africa GeoMarkets, that led to lower activity and pricing concessions. Pressure pumping activity continued to fall and pricing pressure increased as the land rig count in North America extended its decline.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Pretax operating margin of 11.1% declined 173 bps sequentially as lower activity and increasing pricing pressure continued during the quarter, with pricing declines in some basins leading to more pressure pumping equipment being stacked and crews reassigned. In other basins, however, hydraulic fracturing fleet deployment was maintained.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Third Quarter 2015 Compared to Third Quarter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6"/>
              </w:rPr>
              <w:t>Third Quarter 2015</w:t>
            </w:r>
          </w:p>
        </w:tc>
        <w:tc>
          <w:tcPr>
            <w:tcW w:w="18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Third Quarter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23"/>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8,472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1"/>
        </w:trPr>
        <w:tc>
          <w:tcPr>
            <w:tcW w:w="3520" w:type="dxa"/>
            <w:vAlign w:val="bottom"/>
          </w:tcPr>
          <w:p>
            <w:pPr>
              <w:spacing w:after="0"/>
              <w:rPr>
                <w:sz w:val="24"/>
                <w:szCs w:val="24"/>
                <w:color w:val="auto"/>
              </w:rPr>
            </w:pPr>
          </w:p>
        </w:tc>
        <w:tc>
          <w:tcPr>
            <w:tcW w:w="37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Geographic Areas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1"/>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6"/>
              </w:rPr>
              <w:t>Third Quarter 2015</w:t>
            </w:r>
          </w:p>
        </w:tc>
        <w:tc>
          <w:tcPr>
            <w:tcW w:w="18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Third Quarter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2,273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2,274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(122)</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r>
      <w:tr>
        <w:trPr>
          <w:trHeight w:val="223"/>
        </w:trPr>
        <w:tc>
          <w:tcPr>
            <w:tcW w:w="35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right="80" w:hanging="285"/>
        <w:spacing w:after="0" w:line="277" w:lineRule="auto"/>
        <w:tabs>
          <w:tab w:leader="none" w:pos="286"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280" w:hanging="221"/>
        <w:spacing w:after="0"/>
        <w:tabs>
          <w:tab w:leader="none" w:pos="280" w:val="left"/>
        </w:tabs>
        <w:numPr>
          <w:ilvl w:val="2"/>
          <w:numId w:val="19"/>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($6 million in 2015; $4 million in 2014).</w:t>
      </w:r>
    </w:p>
    <w:p>
      <w:pPr>
        <w:spacing w:after="0" w:line="117" w:lineRule="exact"/>
        <w:rPr>
          <w:rFonts w:ascii="Arial" w:cs="Arial" w:eastAsia="Arial" w:hAnsi="Arial"/>
          <w:sz w:val="15"/>
          <w:szCs w:val="15"/>
          <w:color w:val="auto"/>
        </w:rPr>
      </w:pPr>
    </w:p>
    <w:p>
      <w:pPr>
        <w:ind w:left="260" w:hanging="229"/>
        <w:spacing w:after="0"/>
        <w:tabs>
          <w:tab w:leader="none" w:pos="260" w:val="left"/>
        </w:tabs>
        <w:numPr>
          <w:ilvl w:val="1"/>
          <w:numId w:val="19"/>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($8 million in 2015; $5 million in 2014).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Third-quarter 2015 revenue of $8.5 billion was 33% lower year-on-year while pretax operating income of $1.5 billion was lower by 46%. Pretax operating margin decreased 424 bps to 18.0%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 third-quarter 2015 revenue of $2.3 billion decreased 47% year-on-year mainly from land, while offshore was down 27% compared to the same period of 2014. The decrease in land was driven by severe activity and pricing declines as customer spending was cut and the average land rig count declined by 56%. Offshore activity in the US Gulf of Mexico remained resilient, although revenue did decline as work shifted from exploration to development activities, driven by customer budget cuts.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North America pretax operating margin declined 1,051 bps year-on-year to 8.9% on decreased pressure pumping activity and pricing weakness on land.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International Areas of $6.1 billion decreased 27% year-on-year as a result of lower activities in a number of GeoMarkets, primarily offshore and in certain land markets, due to customer budget cuts and service pricing concessions as customers</w:t>
      </w:r>
    </w:p>
    <w:p>
      <w:pPr>
        <w:sectPr>
          <w:pgSz w:w="11900" w:h="16838" w:orient="portrait"/>
          <w:cols w:equalWidth="0" w:num="1">
            <w:col w:w="11420"/>
          </w:cols>
          <w:pgMar w:left="240" w:top="44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21" w:name="page22"/>
    <w:bookmarkEnd w:id="21"/>
    <w:p>
      <w:pPr>
        <w:jc w:val="both"/>
        <w:spacing w:after="0" w:line="290" w:lineRule="auto"/>
        <w:rPr>
          <w:sz w:val="20"/>
          <w:szCs w:val="20"/>
          <w:color w:val="auto"/>
        </w:rPr>
      </w:pPr>
      <w:r>
        <w:rPr>
          <w:rFonts w:ascii="Arial" w:cs="Arial" w:eastAsia="Arial" w:hAnsi="Arial"/>
          <w:sz w:val="16"/>
          <w:szCs w:val="16"/>
          <w:color w:val="auto"/>
        </w:rPr>
        <w:t>responded to lower commodity prices. Revenue was also impacted by the fall of certain currencies against the US dollar. Europe/CIS/Africa Area revenue decreased 31%. Exploration activities in the UK and Norway fell as customer spending decelerated. In Sub-Saharan Africa, offshore rigs demobilized as exploration activity decreased. In North Africa, work progressed slowly while Libya activity remained muted as onshore operations were limited due to security concerns. The weakness in the Russian ruble also contributed to the revenue decline. Revenue in the Latin America Area declined 30% due to significantly lower activity levels in Mexico, Brazil and Colombia as a result of sustained budget cuts that led to rig count reductions. The impact of the devaluation of the Venezuela bolivar also affected the revenue decline in the Venezuela, Trinidad and Tobago GeoMarket. Middle East &amp; Asia Area revenue decreased 20% due to a double-digit drop in revenue in the Asia-Pacific region, including Australia. Revenue in the Gulf Cooperation Council countries in the Middle East was also lower due to the effects of service pricing concessions, a less favorable revenue mix and project completions.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Area pretax operating margin of 23.7% decreased 83 bps year-on-year. Middle East &amp; Asia pretax operating margin decreased 61 bps to 27.0%, Latin America decreased 120 bps to 20.7%, and Europe/CIS/Africa declined 125 bps to 22.2%. Despite the revenue decline from pricing concessions and an increasingly unfavorable shift in revenue mix, proactive cost and resource management helped limit the operating margin decline.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Third-quarter 2015 revenue of $2.3 billion was 31% lower than the same period of 2014 primarily due to sustained customer cuts in exploration and discretionary spending that impacted Wireline and Testing Technologies and software sales. Revenue also declined due to lower WesternGeco marine vessel utilization and reduced multiclient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278 bps to 26.3% as a result of reduced high-margin multiclient and software sales as well as an unfavorable overall revenue mix due to the decline in high-margin exploration activity which impacted Wireline Technologies.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Third-quarter 2015 revenue of $3.3 billion was 32% lower than the same period of 2014, primarily due to the severe drop in rig count in North America and reduced activity and service pricing concessions internationally, which mainly affected Drilling &amp; Measurements and M-I SWACO Technologies. The unfavorable currency impacts in Russia and Venezuela also contributed to the decline.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Year-on-year, pretax operating margin decreased 312 bps to 18.6%, primarily due to a decrease in the higher-margin activities of Drilling &amp; Measurements. Despite the revenue decline, prompt action on cost management and the benefit of a local cost structure minimized the impact of unfavorable currency effects on pretax operating income, which helped limit the operating margin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Third-quarter 2015 revenue of $3.0 billion decreased 35% year-on-year, with two-thirds of the decline attributable to Well Services pressure pumping technologies as a result of activity declines and pricing pressure as the land rig count declined dramatically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744 bps to 11.1% as lower activity and increasing pricing pressure continued in North America land.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Nine Months 2015 Compared to Nine Months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w w:val="95"/>
              </w:rPr>
              <w:t>Nine Months 2015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8"/>
          </w:tcPr>
          <w:p>
            <w:pPr>
              <w:jc w:val="right"/>
              <w:ind w:right="760"/>
              <w:spacing w:after="0"/>
              <w:rPr>
                <w:sz w:val="20"/>
                <w:szCs w:val="20"/>
                <w:color w:val="auto"/>
              </w:rPr>
            </w:pPr>
            <w:r>
              <w:rPr>
                <w:rFonts w:ascii="Arial" w:cs="Arial" w:eastAsia="Arial" w:hAnsi="Arial"/>
                <w:sz w:val="18"/>
                <w:szCs w:val="18"/>
                <w:color w:val="auto"/>
              </w:rPr>
              <w:t>Nine Months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Income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31"/>
              <w:spacing w:after="0"/>
              <w:rPr>
                <w:sz w:val="20"/>
                <w:szCs w:val="20"/>
                <w:color w:val="auto"/>
              </w:rPr>
            </w:pPr>
            <w:r>
              <w:rPr>
                <w:rFonts w:ascii="Arial" w:cs="Arial" w:eastAsia="Arial" w:hAnsi="Arial"/>
                <w:sz w:val="18"/>
                <w:szCs w:val="18"/>
                <w:color w:val="auto"/>
                <w:w w:val="91"/>
              </w:rPr>
              <w:t>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before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Taxes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7,278</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1,903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9,536</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10,729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2,080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9,827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r>
      <w:tr>
        <w:trPr>
          <w:trHeight w:val="223"/>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5,222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(628)</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(267)</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(439)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27,731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3,984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1"/>
        </w:trPr>
        <w:tc>
          <w:tcPr>
            <w:tcW w:w="3520" w:type="dxa"/>
            <w:vAlign w:val="bottom"/>
          </w:tcPr>
          <w:p>
            <w:pPr>
              <w:spacing w:after="0"/>
              <w:rPr>
                <w:sz w:val="24"/>
                <w:szCs w:val="24"/>
                <w:color w:val="auto"/>
              </w:rPr>
            </w:pPr>
          </w:p>
        </w:tc>
        <w:tc>
          <w:tcPr>
            <w:tcW w:w="366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Geographic Areas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1"/>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jc w:val="right"/>
              <w:ind w:right="820"/>
              <w:spacing w:after="0"/>
              <w:rPr>
                <w:sz w:val="20"/>
                <w:szCs w:val="20"/>
                <w:color w:val="auto"/>
              </w:rPr>
            </w:pPr>
            <w:r>
              <w:rPr>
                <w:rFonts w:ascii="Arial" w:cs="Arial" w:eastAsia="Arial" w:hAnsi="Arial"/>
                <w:sz w:val="18"/>
                <w:szCs w:val="18"/>
                <w:b w:val="1"/>
                <w:bCs w:val="1"/>
                <w:color w:val="auto"/>
              </w:rPr>
              <w:t>Nine Months 2015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8"/>
          </w:tcPr>
          <w:p>
            <w:pPr>
              <w:jc w:val="right"/>
              <w:ind w:right="740"/>
              <w:spacing w:after="0"/>
              <w:rPr>
                <w:sz w:val="20"/>
                <w:szCs w:val="20"/>
                <w:color w:val="auto"/>
              </w:rPr>
            </w:pPr>
            <w:r>
              <w:rPr>
                <w:rFonts w:ascii="Arial" w:cs="Arial" w:eastAsia="Arial" w:hAnsi="Arial"/>
                <w:sz w:val="18"/>
                <w:szCs w:val="18"/>
                <w:color w:val="auto"/>
              </w:rPr>
              <w:t>Nine Months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Income</w:t>
            </w: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before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87"/>
              </w:rPr>
              <w:t>Revenue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b w:val="1"/>
                <w:bCs w:val="1"/>
                <w:color w:val="auto"/>
              </w:rPr>
              <w:t>Taxes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7,856</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4,606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7,225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2,082</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7,650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394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(334)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223"/>
        </w:trPr>
        <w:tc>
          <w:tcPr>
            <w:tcW w:w="35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7,795</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(587)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(628)</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(234)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(267)</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27,731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right="80" w:hanging="285"/>
        <w:spacing w:after="0" w:line="277" w:lineRule="auto"/>
        <w:tabs>
          <w:tab w:leader="none" w:pos="286" w:val="left"/>
        </w:tabs>
        <w:numPr>
          <w:ilvl w:val="0"/>
          <w:numId w:val="20"/>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280" w:hanging="265"/>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($17 million in 2015; $14 million in 2014).</w:t>
      </w:r>
    </w:p>
    <w:p>
      <w:pPr>
        <w:spacing w:after="0" w:line="117" w:lineRule="exact"/>
        <w:rPr>
          <w:rFonts w:ascii="Arial" w:cs="Arial" w:eastAsia="Arial" w:hAnsi="Arial"/>
          <w:sz w:val="15"/>
          <w:szCs w:val="15"/>
          <w:color w:val="auto"/>
        </w:rPr>
      </w:pPr>
    </w:p>
    <w:p>
      <w:pPr>
        <w:ind w:left="280" w:hanging="265"/>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($20 million in 2015; $15 million in 2014).</w:t>
      </w:r>
    </w:p>
    <w:p>
      <w:pPr>
        <w:spacing w:after="0" w:line="117" w:lineRule="exact"/>
        <w:rPr>
          <w:rFonts w:ascii="Arial" w:cs="Arial" w:eastAsia="Arial" w:hAnsi="Arial"/>
          <w:sz w:val="15"/>
          <w:szCs w:val="15"/>
          <w:color w:val="auto"/>
        </w:rPr>
      </w:pPr>
    </w:p>
    <w:p>
      <w:pPr>
        <w:ind w:left="280" w:hanging="265"/>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7"/>
          <w:szCs w:val="17"/>
          <w:color w:val="auto"/>
        </w:rPr>
        <w:t xml:space="preserve">Charges and credits recorded during the first nine months of 2015 are described in detail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 nine-month 2015 revenue of $7.9 billion decreased 34% year-on-year mainly from land which was down 39%, while offshore decreased 14% compared to the same period of 2014. The decrease in land was driven by severe activity and pricing declines as customer spending was cut and the average land rig count declined by 46%. Offshore activity in the US Gulf of Mexico remained resilient, although revenue did decline as work shifted from exploration to development activities driven by customer budget cuts.</w:t>
      </w:r>
    </w:p>
    <w:p>
      <w:pPr>
        <w:spacing w:after="0" w:line="18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North America pretax operating margin declined 772 bps year-on-year to 10.9% on decreased pressure pumping activity and pricing weakness on land.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jc w:val="both"/>
        <w:ind w:right="20"/>
        <w:spacing w:after="0" w:line="270" w:lineRule="auto"/>
        <w:rPr>
          <w:sz w:val="20"/>
          <w:szCs w:val="20"/>
          <w:color w:val="auto"/>
        </w:rPr>
      </w:pPr>
      <w:r>
        <w:rPr>
          <w:rFonts w:ascii="Arial" w:cs="Arial" w:eastAsia="Arial" w:hAnsi="Arial"/>
          <w:sz w:val="17"/>
          <w:szCs w:val="17"/>
          <w:color w:val="auto"/>
        </w:rPr>
        <w:t>Revenue for the International Areas of $19.5 billion decreased 18% year-on-year due to customer budget cuts and service pricing concessions as customers responded to lower commodity prices. Revenue was also impacted by the fall of certain currencies against the US dollar. Europe/CIS/Africa Area revenue decreased 24%, mainly due to the weakness in the Russian ruble. Exploration activities in the UK and Norway fell as customer spending decelerated. In Sub-Saharan Africa, offshore rigs demobilized as exploration decreased. In North Africa, work progressed slowly while Libya activity remained muted as onshore operations were limited due to security concerns. Revenue in the Latin America Area declined 18% due to significantly lower activity levels in Mexico, Brazil and Colombia as a result of sustained budget cuts that led to rig count reductions. The impact of the devaluation of the Venezuela bolivar also affected the revenue decline in the Venezuela, Trinidad and Tobago GeoMarket. Middle East &amp; Asia Area revenue decreased 13% due to a double-digit drop in revenue in the Asia-Pacific region, including Australia. This decrease was partially offset by robust activity in the Gulf Cooperation Council countries in the Middle East, particularly in Saudi Arabia, Kuwait and Oman, while Iraq activity continued to decline.</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International Area pretax operating margin of 24.1% increased 29 bps year-on-year. Middle East &amp; Asia pretax operating margin increased 88 bps to 28.2%, Latin America expanded 10 bps to 21.5%, and Europe/CIS/Africa declined 57 bps to 21.5%. Despite the revenue decline from pricing concessions and an increasingly unfavorable shift in revenue mix, pretax operating margins expanded as a result of proactive cost and resource management.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Nine-month 2015 revenue of $7.3 billion was 24% lower than the same period last year primarily due to sustained customer cuts in exploration and discretionary spending that impacted Wireline and Testing Technologies and software sales. Revenue also decreased due to lower WesternGeco marine vessel utilization and reduced multiclient sales.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decreased 210 bps to 26.1% as a result of reduced high-margin multiclient and software sales as well as an unfavorable overall revenue mix from the decline in high-margin exploration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Nine-month 2015 revenue of $10.7 billion was 22% lower than the previous year primarily due to the severe drop in rig count in North America and reduced activity levels and service pricing concessions internationally, which mainly affected Drilling &amp; Measurements and M-I SWACO technologies. Unfavorable currency effects in Russia and Venezuela also contributed to the decline.</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Year-on-year, pretax operating margin decreased 168 bps to 19.4%, primarily due to a decrease in higher-margin activities of Drilling &amp; Measurements. Despite the revenue decline, prompt action on cost management and the benefit of a local cost structure minimized the impact of unfavorable currency effects on pretax operating income, which helped limit the operating margin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Nine-month 2015 revenue of $9.8 billion decreased 23% year-on-year, with more than 70% of the decline attributable to Well Services pressure pumping technologies as a result of activity declines and pricing pressure as the land rig count declined dramatically in North America.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489 bps to 13.0% as lower activity and increasing pricing pressure continued in North America land.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4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Third Quarter</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4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4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and 2014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Third Quarter</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Nine Months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2014</w:t>
            </w: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3.2%</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3.0%</w:t>
            </w: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34"/>
        </w:trPr>
        <w:tc>
          <w:tcPr>
            <w:tcW w:w="656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w:t>
            </w:r>
          </w:p>
        </w:tc>
        <w:tc>
          <w:tcPr>
            <w:tcW w:w="8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for the third quarter of 2015 was 20.0% compared to 22.1% for the same period of the prior year. The decrease in the effective tax rate was primarily attributable to the geographic mix of earnings, as Schlumberger generated a smaller portion of its pretax earnings in North America during the third quarter of 2015 as compared to the same period last year.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effective tax rate for the nine months ended September 30, 2015 was 21.6% compared to 22.1% for the same period of 2014. The effective tax rate for the nine months ended September 30, 2015 was impacted by the charges and credits recorded during the first quarter of 2015 and described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Excluding the impact of these charges and credits, the effective tax rate for the nine months ended September 30, 2015</w:t>
      </w:r>
      <w:r>
        <w:rPr>
          <w:rFonts w:ascii="Arial" w:cs="Arial" w:eastAsia="Arial" w:hAnsi="Arial"/>
          <w:sz w:val="17"/>
          <w:szCs w:val="17"/>
          <w:i w:val="1"/>
          <w:iCs w:val="1"/>
          <w:color w:val="auto"/>
        </w:rPr>
        <w:t xml:space="preserve"> </w:t>
      </w:r>
      <w:r>
        <w:rPr>
          <w:rFonts w:ascii="Arial" w:cs="Arial" w:eastAsia="Arial" w:hAnsi="Arial"/>
          <w:sz w:val="17"/>
          <w:szCs w:val="17"/>
          <w:color w:val="auto"/>
        </w:rPr>
        <w:t>would have been 20.7%. The year-on-year decrease is attributable to the geographic mix of earnings as Schlumberger generated a smaller portion of its pretax earnings in North America during the nine months ended September 30, 2015 as compared to the same period last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Schlumberger recorded charges and credits in continuing operations during the first quarter of 2015. These charges and credits,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44"/>
        </w:trPr>
        <w:tc>
          <w:tcPr>
            <w:tcW w:w="412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390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1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23"/>
        </w:trPr>
        <w:tc>
          <w:tcPr>
            <w:tcW w:w="4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second or third quarters of 2015 or the first nine months of 2014.</w:t>
      </w: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expected improvements in oil prices, Schlumberger believes that the market outlook for oilfield services looks challenging for the coming quarters as additional activity declines and further pricing pressure are expected. This is largely driven by the financial pressure many of Schlumberger’s customers are experiencing, as a year of very low oil prices is exhausting available cash flow and corresponding capital spending, and is leading them to take a very conservative view on their 2016 budgets. In light of this outlook, Schlumberger has decided to proceed with a further round of headcount reductions, which will result in a restructuring charge in the fourth quarter of 2015, reflecting Schlumberger’s updated activity outlook for 2016 and a further streamlining of its overhead and support structure. In addition, Schlumberger will initiate a restructuring of its global manufacturing and distribution network, which will likely result in a restructuring charge in the fourth quarter of 2015. However, as of the filing date of this Form 10-Q, Schlumberger is not able to estimate a range of amounts of such charges.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2009, the U.S. Department of Justice began an investigation into past violations of US sanctions regarding Schlumberger’s historical operations in Iran and Sudan that occurred between 2004 and 2010. During the second quarter of 2014, these discussions progressed to a point whereby Schlumberger determined that it was appropriate to increase its accruals for this contingency. Accordingly, Schlumberger recorded a $205 million charge, which was reflected within </w:t>
      </w:r>
      <w:r>
        <w:rPr>
          <w:rFonts w:ascii="Arial" w:cs="Arial" w:eastAsia="Arial" w:hAnsi="Arial"/>
          <w:sz w:val="17"/>
          <w:szCs w:val="17"/>
          <w:i w:val="1"/>
          <w:iCs w:val="1"/>
          <w:color w:val="auto"/>
        </w:rPr>
        <w:t xml:space="preserve">Loss from discontinued operations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 </w:t>
      </w:r>
      <w:r>
        <w:rPr>
          <w:rFonts w:ascii="Arial" w:cs="Arial" w:eastAsia="Arial" w:hAnsi="Arial"/>
          <w:sz w:val="17"/>
          <w:szCs w:val="17"/>
          <w:color w:val="auto"/>
        </w:rPr>
        <w:t>during the second quarter of 2014. As further discussed in Note 12 to the</w:t>
      </w:r>
      <w:r>
        <w:rPr>
          <w:rFonts w:ascii="Arial" w:cs="Arial" w:eastAsia="Arial" w:hAnsi="Arial"/>
          <w:sz w:val="17"/>
          <w:szCs w:val="17"/>
          <w:i w:val="1"/>
          <w:iCs w:val="1"/>
          <w:color w:val="auto"/>
        </w:rPr>
        <w:t xml:space="preserve"> Consolidated Financial Statements</w:t>
      </w:r>
      <w:r>
        <w:rPr>
          <w:rFonts w:ascii="Arial" w:cs="Arial" w:eastAsia="Arial" w:hAnsi="Arial"/>
          <w:sz w:val="17"/>
          <w:szCs w:val="17"/>
          <w:color w:val="auto"/>
        </w:rPr>
        <w:t>, during 2015, a non-US subsidiary of Schlumberger pleaded guilty to one criminal count of conspiracy to violate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Emergency Economic Powers Act. Under the terms of the plea agreement, Schlumberger paid a total amount of approximately $233 million in fines, penalties and assessments during the second quarter of 2015, which had been previously accrued.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Net Debt</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Nine Months ended Sept. 30,</w:t>
            </w:r>
          </w:p>
        </w:tc>
      </w:tr>
      <w:tr>
        <w:trPr>
          <w:trHeight w:val="223"/>
        </w:trPr>
        <w:tc>
          <w:tcPr>
            <w:tcW w:w="67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(292)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w:t>
            </w: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SPM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(336)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w:t>
            </w: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(1,784)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(3,582)</w:t>
            </w:r>
          </w:p>
        </w:tc>
      </w:tr>
      <w:tr>
        <w:trPr>
          <w:trHeight w:val="223"/>
        </w:trPr>
        <w:tc>
          <w:tcPr>
            <w:tcW w:w="67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(271)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Decrease (increase) in Net Debt</w:t>
            </w:r>
          </w:p>
        </w:tc>
        <w:tc>
          <w:tcPr>
            <w:tcW w:w="1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(5,387)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(4,443)</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Net Debt, End of period</w:t>
            </w:r>
          </w:p>
        </w:tc>
        <w:tc>
          <w:tcPr>
            <w:tcW w:w="1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40" w:lineRule="exact"/>
        <w:rPr>
          <w:rFonts w:ascii="Arial" w:cs="Arial" w:eastAsia="Arial" w:hAnsi="Arial"/>
          <w:sz w:val="14"/>
          <w:szCs w:val="14"/>
          <w:color w:val="auto"/>
        </w:rPr>
      </w:pPr>
    </w:p>
    <w:p>
      <w:pPr>
        <w:jc w:val="both"/>
        <w:ind w:left="520" w:right="20" w:hanging="512"/>
        <w:spacing w:after="0" w:line="286"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Sept. 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Sept.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Net Debt</w:t>
            </w:r>
          </w:p>
        </w:tc>
        <w:tc>
          <w:tcPr>
            <w:tcW w:w="25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(3,250)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(1,511)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Long-term debt</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(7,487)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(11,626)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560" w:type="dxa"/>
            <w:vAlign w:val="bottom"/>
            <w:vMerge w:val="restart"/>
          </w:tcPr>
          <w:p>
            <w:pPr>
              <w:jc w:val="right"/>
              <w:ind w:right="105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Key liquidity events during the first nine months of 2015 and 2014 included:</w:t>
      </w:r>
    </w:p>
    <w:p>
      <w:pPr>
        <w:spacing w:after="0" w:line="117" w:lineRule="exact"/>
        <w:rPr>
          <w:sz w:val="20"/>
          <w:szCs w:val="20"/>
          <w:color w:val="auto"/>
        </w:rPr>
      </w:pPr>
    </w:p>
    <w:p>
      <w:pPr>
        <w:ind w:left="1020" w:hanging="377"/>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July 18, 2013, the Schlumberger Board of Directors approved a $10 billion share repurchase program to be completed at the latest by June 30, 2018. Schlumberger had repurchased $8.2 billion of shares under this new share repurchase program as of September 30, 2015.</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following table summarizes the activity under this share repurchase program:</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40" w:type="dxa"/>
            <w:vAlign w:val="bottom"/>
            <w:gridSpan w:val="7"/>
          </w:tcPr>
          <w:p>
            <w:pPr>
              <w:ind w:left="20"/>
              <w:spacing w:after="0"/>
              <w:rPr>
                <w:sz w:val="20"/>
                <w:szCs w:val="20"/>
                <w:color w:val="auto"/>
              </w:rPr>
            </w:pPr>
            <w:r>
              <w:rPr>
                <w:rFonts w:ascii="Arial" w:cs="Arial" w:eastAsia="Arial" w:hAnsi="Arial"/>
                <w:sz w:val="14"/>
                <w:szCs w:val="14"/>
                <w:i w:val="1"/>
                <w:iCs w:val="1"/>
                <w:color w:val="auto"/>
                <w:w w:val="94"/>
              </w:rPr>
              <w:t>(Stated in millions, except per share amounts)</w:t>
            </w:r>
          </w:p>
        </w:tc>
      </w:tr>
      <w:tr>
        <w:trPr>
          <w:trHeight w:val="42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color w:val="auto"/>
                <w:w w:val="89"/>
              </w:rPr>
              <w:t>Total cost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Total number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Average price</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color w:val="auto"/>
                <w:w w:val="88"/>
              </w:rPr>
              <w:t>of 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paid per</w:t>
            </w:r>
          </w:p>
        </w:tc>
      </w:tr>
      <w:tr>
        <w:trPr>
          <w:trHeight w:val="21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color w:val="auto"/>
                <w:w w:val="88"/>
              </w:rPr>
              <w:t>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5"/>
              </w:rPr>
              <w:t>purchased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r>
      <w:tr>
        <w:trPr>
          <w:trHeight w:val="226"/>
        </w:trPr>
        <w:tc>
          <w:tcPr>
            <w:tcW w:w="2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2015</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1,784</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83.52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Nine months ended September 30, 2014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101.18</w:t>
            </w:r>
          </w:p>
        </w:tc>
        <w:tc>
          <w:tcPr>
            <w:tcW w:w="60" w:type="dxa"/>
            <w:vAlign w:val="bottom"/>
          </w:tcPr>
          <w:p>
            <w:pPr>
              <w:spacing w:after="0"/>
              <w:rPr>
                <w:sz w:val="20"/>
                <w:szCs w:val="20"/>
                <w:color w:val="auto"/>
              </w:rPr>
            </w:pPr>
          </w:p>
        </w:tc>
      </w:tr>
    </w:tbl>
    <w:p>
      <w:pPr>
        <w:spacing w:after="0" w:line="241" w:lineRule="exact"/>
        <w:rPr>
          <w:sz w:val="20"/>
          <w:szCs w:val="20"/>
          <w:color w:val="auto"/>
        </w:rPr>
      </w:pPr>
    </w:p>
    <w:p>
      <w:pPr>
        <w:jc w:val="both"/>
        <w:ind w:left="1040" w:hanging="384"/>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were $1.8 billion during the first nine months of 2015 compared to $2.8 billion during the first nine months of 2014. Capital expenditures for full-year 2015 are expected to be approximately $2.5 billion, as compared to expenditures of $4.0 billion in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has experienced delays in payments from its national oil company customer in Venezuela. Schlumberger operates in more than 85 countries. At September 30, 2015, only four of those countries (including Venezuela) individually accounted for greater than 5% of Schlumberger’s accounts receivable balance, of which only one (the United States) was greater than 10%.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20, 2015, Schlumberger announced that it had entered into an agreement to acquire a minority ownership of approximately 46% in Eurasia Drilling Company Limited (EDC). Following the expiration of an extension of the merger agreement on September 30, 2015, Schlumberger announced that it would not extend the agreement.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26, 2015, Schlumberger and Cameron jointly announced that they had entered into a definitive merger agreement in which Cameron will merge with an indirect wholly-owned subsidiary of Schlumberger in a stock and cash transaction. Under the terms of the agreement, Cameron shareholders will receive 0.716 shares of Schlumberger common stock and a cash payment of $14.44 in exchange for each Cameron share of common stock outstanding. Schlumberger estimates that it will issue approximately 137 million shares of its common stock and will pay cash of approximately $2.8 billion in connection with this transaction. The transaction is subject to Cameron shareholders’ approval, regulatory approvals and other customary closing conditions. It is anticipated that the closing of the transaction will occur in the first quarter of 2016.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2015, Schlumberger had $6.6 billion of cash and short-term investments on hand. Schlumberger had separate committed debt facility agreements aggregating $3.8 billion with commercial banks, of which $3.3 billion was available and unused as of September 30, 2015. The $3.8 billion of committed debt facility agreements included $3.5 billion of committed facilities that support commercial paper programs. Schlumberger believes that these amounts are sufficient to meet future business requirements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September 30, 2015 were $0.5 billion.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during the second quarter of 2013, Schlumberger completed the wind down of its service operations in Iran. Prior to this, certain non-U.S. subsidiaries of Schlumberger provided oilfield services to the National Iranian Oil Company and certain of its affiliates (“NIOC”). The results of this business were reclassified as a discontinued operation.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Schlumberger’s residual transactions or dealings with the government of Iran in the third quarter of 2015 consisted of payments of taxes and other typical governmental charges. Two non-U.S. subsidiaries of Schlumberger have depository accounts at the Dubai branch of Bank Saderat Iran (“Saderat”) and at Bank Tejarat (“Tejarat”) in Tehran for the deposit by NIOC of amounts owed to non-US subsidiaries of Schlumberger for prior services rendered in Iran. One non-U.S. subsidiary also maintains an account at Tejarat for payment of local expenses. Schlumberger anticipates that it will discontinue its dealings with Saderat and Tejarat following the receipt of all amounts owed to Schlumberger for prior services rendered in Iran.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satisfaction of the closing conditions to the Cameron merger; the risk that the contemplated Cameron merger will not occur, negative effects from the pendency of the contemplated Cameron merger, the inability after the closing of the Cameron merger to successfully integrate the merged businesses and to realize expected synergies, the inability to retain key employees; expenses for the merger; and other risks and uncertainties detailed in this third-quarter 2015 Form 10-Q and our most recent Form 10-K, and other filings that we make with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2014. Schlumberger’s exposure to market risk has not changed materially since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12—</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2014, except as follows: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ability of Cameron and Schlumberger to complete the merger is subject to the approval of Cameron stockholders, certain closing conditions and the receipt of consents and approvals from government entities which may impose conditions that could adversely affect Cameron or Schlumberger or cause the merger to be abandoned.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merger agreement contains certain closing conditions, including approval of the merger by Cameron stockholders, the absence of injunctions or other legal restrictions and that no material adverse effect shall have occurred with respect to either company. In addition, Cameron and Schlumberger will be unable to complete the merger until the expiration or termination of the applicable waiting period under the Hart-Scott Rodino Antitrust Improvements Act (“the HSR Act”) and consents and approvals are received from the European Commission and various other governmental entities. Regulatory entities may impose certain requirements or obligations as conditions for their approval. The merger agreement may require Cameron and/or Schlumberger to accept conditions from these regulators that could adversely impact the combined company. If the regulatory clearances are not received, or they are not received on terms that satisfy the conditions set forth in the merger agreement, then neither Schlumberger nor Cameron will be obligated to complete the merger.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merger could negatively impact Schlumberger.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merger is not completed, the ongoing businesses and the market price of the common stock of Schlumberger may be adversely affected and Schlumberger would be subject to several risks, including Schlumberger having to pay certain costs relating to the merger and diverting the focus of management from pursuing other opportunities that could be beneficial to Schlumberger, in each case, without realizing any of the benefits which might have resulted had the merger been completed.</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Multiple lawsuits have been filed against Schlumberger and Cameron challenging the merger with Cameron, and an adverse ruling in any such lawsuit may prevent the merger from being completed.</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Subsequent to the announcement of the merger, four putative class action lawsuits were commenced on behalf of stockholders of Cameron against Cameron, its directors, Schlumberger US, Merger Sub and Schlumberger. Additional lawsuits with similar allegations may be filed. 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 frame.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may fail to realize the anticipated benefits of the merger.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the merger will depend on, among other things, Schlumberger’s ability to combine its business with that of Cameron in a manner that facilitates growth opportunities and realizes anticipated synergies. However, Schlumberger must successfully combine the businesses of Schlumberger and Cameron in a manner that permits these benefits to be realized. In addition, Schlumberger must achieve the anticipated synergies without adversely affecting current revenues and investments in future growth. If Schlumberger is not able to successfully achieve these objectives, the anticipated benefits of the merger may not be realized fully, or at all, or may take longer to realize than expected.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could incur substantial expenses related to the merger and the integration of Cameron and Schlumberger.</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expects that the combined company will incur substantial expenses in connection with the pending merger and the integration of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Schlumberger or Cameron that could affect the total amount or the timing of all of the expected integration expenses. Moreover, many of the expenses that will be incurred, by their nature, are difficult to estimate accurately at the present time. These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could, particularly in the near term, reduce the savings that Schlumberger expects to achieve from the elimination of duplicative expenses and the realization of economies of scale and cost savings and revenue enhancements related to the integration of the businesses following the completion of the merger, and accordingly, any anticipated net benefits may not be achieved in the near term or at all. These integration expenses may result in the combined company taking significant charges against earnings following the completion of the merger.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pendency of the merger could adversely affect Schlumberger.</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pending merger, some of Schlumberger’s customers may delay or defer purchasing decisions, which could negatively impact revenues, earnings and cash flows regardless of whether the merger is completed. Additionally, Schlumberger has agreed in the merger agreement to refrain from taking certain actions with respect to its business and financial affairs during the pendency of the merger. These restrictions could be in place for an extended period of time if completion of the merger is delayed, and could adversely impact Schlumberger’s financial condition,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Schlumberger’s stockholders will be diluted by the merger.</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merger will dilute the ownership position of Schlumberger’s current stockholders. We currently estimate that, upon completion of the merger, Schlumberger’s stockholders before the merger will own approximately 90% of the combined company and former Cameron stockholders will own approximately 10% of the combined company’s outstanding common stock.</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Cameron’s and Schlumberger’s businesses and realize the anticipated benefits of the merger.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merger involves the combination of two companies that historically have operated and currently operate as independent public companies.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Schlumberger’s acquisition of Cameron will depend in large part on the success of the management of the combined company in integrating the operations, strategies, technologies and personnel of the two companies following the completion of the merger. Schlumberger may fail to realize some or all of the anticipated benefits of the merger if the integration process takes longer than expected or is more costly than expected. The failure of Schlumberger to meet the challenges involved in successfully integrating the operations of Cameron or to otherwise realize any of the anticipated benefits of the merger, including additional cost savings and synergies, could impair the operations of Schlumberger. The combined company will be required to devote management attention and resources to integrating its business practices and operations, and prior to the merger, management attention and resources will be required to plan for such integration.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Potential issues and difficulties the combined company may encounter in the integration process include the following:</w:t>
      </w:r>
    </w:p>
    <w:p>
      <w:pPr>
        <w:spacing w:after="0" w:line="225" w:lineRule="exact"/>
        <w:rPr>
          <w:sz w:val="20"/>
          <w:szCs w:val="20"/>
          <w:color w:val="auto"/>
        </w:rPr>
      </w:pPr>
    </w:p>
    <w:p>
      <w:pPr>
        <w:jc w:val="both"/>
        <w:ind w:left="9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Cameron and Schlumberger in a manner that permits the combined company to achieve the cost savings and operating synergies anticipated to result from the merger, which could result in the anticipated benefits of the merger not being realized partly or wholly in the time frame currently anticipated or at all;</w:t>
      </w:r>
    </w:p>
    <w:p>
      <w:pPr>
        <w:spacing w:after="0" w:line="181"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integrating personnel from the two companies while maintaining focus on providing consistent, high quality products and customer service;</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22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either Schlumberger or Cameron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Schlumberger’s performance following the merger could be adversely affected if the combined company is unable to retain certain key employees and skilled workers of Cameron. It is possible that these employees may decide not to remain with Cameron while the merger is pending or with the combined company after the merger is consummated. The loss of the services of one or more of these key employees and skilled workers could adversely affect Schlumberger’s future operating results because of their experience and knowledge of Cameron’s business. In addition, current and prospective employees of Schlumberger and Cameron may experience uncertainty about their future roles with the company until after the merger is completed. This may adversely affect the ability of Schlumberger and Cameron to attract and retain key personnel, which could adversely affect Schlumberger’s performance following the merger.</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Cameron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If Schlumberger agrees to undertake divestitures or comply with operating restrictions in order to obtain any approvals required to complete the merger, Schlumberger may be less able to realize the anticipated benefits of the merger, and the business and results of operations of the combined company after the merger may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value of Schlumberger common stock could decline if large amounts of its common stock are sold following the merger.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merger, stockholders of Schlumberger and former stockholders of Cameron will own interests in a combined company operating an expanded business with more assets and a different mix of liabilities. Current stockholders of Schlumberger and Cameron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Cameron common stock is included. If, following the merger, large amounts of Schlumberger common stock are sold, the price of its common stock could decline.</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Schlumberger’s earnings per share in the near term, which may negatively affect the market price of Schlumberger common stock.</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Schlumberger anticipates that the merger will be accretive to earnings per share by the end of the first year after closing. However, the merger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16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2013, the Schlumberger Board of Directors approved a $10 billion share repurchase program for shares of Schlumberger common stock, to be completed at the latest by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2015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421"/>
        </w:trPr>
        <w:tc>
          <w:tcPr>
            <w:tcW w:w="5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22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Maximum value</w:t>
            </w: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shares purchased</w:t>
            </w:r>
          </w:p>
        </w:tc>
        <w:tc>
          <w:tcPr>
            <w:tcW w:w="22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w w:val="88"/>
              </w:rPr>
              <w:t>of shares that may</w:t>
            </w: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1"/>
              </w:rPr>
              <w:t>as part of publicly</w:t>
            </w:r>
          </w:p>
        </w:tc>
        <w:tc>
          <w:tcPr>
            <w:tcW w:w="22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yet be purchased</w:t>
            </w:r>
          </w:p>
        </w:tc>
      </w:tr>
      <w:tr>
        <w:trPr>
          <w:trHeight w:val="203"/>
        </w:trPr>
        <w:tc>
          <w:tcPr>
            <w:tcW w:w="59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8"/>
              </w:rPr>
              <w:t>Total number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color w:val="auto"/>
                <w:w w:val="93"/>
              </w:rPr>
              <w:t>Average price</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announced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under the</w:t>
            </w:r>
          </w:p>
        </w:tc>
      </w:tr>
      <w:tr>
        <w:trPr>
          <w:trHeight w:val="209"/>
        </w:trPr>
        <w:tc>
          <w:tcPr>
            <w:tcW w:w="59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88"/>
              </w:rPr>
              <w:t>shares purchased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color w:val="auto"/>
                <w:w w:val="89"/>
              </w:rPr>
              <w:t>paid per share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program</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program</w:t>
            </w:r>
          </w:p>
        </w:tc>
      </w:tr>
      <w:tr>
        <w:trPr>
          <w:trHeight w:val="226"/>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 through July 31, 2015</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2,218,143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August 1 through August 31, 2015</w:t>
            </w:r>
          </w:p>
        </w:tc>
        <w:tc>
          <w:tcPr>
            <w:tcW w:w="1180" w:type="dxa"/>
            <w:vAlign w:val="bottom"/>
          </w:tcPr>
          <w:p>
            <w:pPr>
              <w:jc w:val="right"/>
              <w:spacing w:after="0"/>
              <w:rPr>
                <w:sz w:val="20"/>
                <w:szCs w:val="20"/>
                <w:color w:val="auto"/>
              </w:rPr>
            </w:pPr>
            <w:r>
              <w:rPr>
                <w:rFonts w:ascii="Arial" w:cs="Arial" w:eastAsia="Arial" w:hAnsi="Arial"/>
                <w:sz w:val="18"/>
                <w:szCs w:val="18"/>
                <w:color w:val="auto"/>
              </w:rPr>
              <w:t>1,204.7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1,204.7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2,120,670</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September 1 through September 30, 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1,821,734</w:t>
            </w:r>
          </w:p>
        </w:tc>
        <w:tc>
          <w:tcPr>
            <w:tcW w:w="120" w:type="dxa"/>
            <w:vAlign w:val="bottom"/>
            <w:shd w:val="clear" w:color="auto" w:fill="CFF0FC"/>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Exhibit 2.1— Agreement and Plan of Merger among Schlumberger Holdings Corporation, Rain Merger Sub LLC, Schlumberger Limited and Cameron International Corporation, dated August 25, 2015 (incorporated by reference to Exhibit 2.1 to Schlumberger’s Current Report on Form 8-K filed on August 26, 2015)</w:t>
      </w:r>
    </w:p>
    <w:p>
      <w:pPr>
        <w:spacing w:after="0" w:line="73"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62" w:lineRule="exact"/>
        <w:rPr>
          <w:sz w:val="20"/>
          <w:szCs w:val="20"/>
          <w:color w:val="auto"/>
        </w:rPr>
      </w:pPr>
    </w:p>
    <w:p>
      <w:pPr>
        <w:ind w:left="520" w:right="920"/>
        <w:spacing w:after="0" w:line="277"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May 14, 2015)</w:t>
      </w:r>
    </w:p>
    <w:p>
      <w:pPr>
        <w:spacing w:after="0" w:line="62" w:lineRule="exact"/>
        <w:rPr>
          <w:sz w:val="20"/>
          <w:szCs w:val="20"/>
          <w:color w:val="auto"/>
        </w:rPr>
      </w:pPr>
    </w:p>
    <w:p>
      <w:pPr>
        <w:ind w:left="520" w:right="80" w:firstLine="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62" w:lineRule="exact"/>
        <w:rPr>
          <w:rFonts w:ascii="Arial" w:cs="Arial" w:eastAsia="Arial" w:hAnsi="Arial"/>
          <w:sz w:val="18"/>
          <w:szCs w:val="18"/>
          <w:color w:val="auto"/>
        </w:rPr>
      </w:pPr>
    </w:p>
    <w:p>
      <w:pPr>
        <w:ind w:left="520" w:right="120" w:firstLine="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62" w:lineRule="exact"/>
        <w:rPr>
          <w:sz w:val="20"/>
          <w:szCs w:val="20"/>
          <w:color w:val="auto"/>
        </w:rPr>
      </w:pPr>
    </w:p>
    <w:p>
      <w:pPr>
        <w:ind w:left="520" w:right="200" w:firstLine="6"/>
        <w:spacing w:after="0" w:line="277" w:lineRule="auto"/>
        <w:tabs>
          <w:tab w:leader="none" w:pos="7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ind w:left="520" w:right="260" w:firstLine="6"/>
        <w:spacing w:after="0" w:line="277" w:lineRule="auto"/>
        <w:tabs>
          <w:tab w:leader="none" w:pos="7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62" w:lineRule="exact"/>
        <w:rPr>
          <w:sz w:val="20"/>
          <w:szCs w:val="20"/>
          <w:color w:val="auto"/>
        </w:rPr>
      </w:pPr>
    </w:p>
    <w:p>
      <w:pPr>
        <w:ind w:left="660" w:hanging="1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17" w:lineRule="exact"/>
        <w:rPr>
          <w:rFonts w:ascii="Arial" w:cs="Arial" w:eastAsia="Arial" w:hAnsi="Arial"/>
          <w:sz w:val="18"/>
          <w:szCs w:val="18"/>
          <w:color w:val="auto"/>
        </w:rPr>
      </w:pPr>
    </w:p>
    <w:p>
      <w:pPr>
        <w:ind w:left="520" w:firstLine="6"/>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September 30, 2015,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78" w:lineRule="exact"/>
        <w:rPr>
          <w:rFonts w:ascii="Arial" w:cs="Arial" w:eastAsia="Arial" w:hAnsi="Arial"/>
          <w:sz w:val="18"/>
          <w:szCs w:val="18"/>
          <w:color w:val="auto"/>
        </w:rPr>
      </w:pPr>
    </w:p>
    <w:p>
      <w:pPr>
        <w:ind w:left="660" w:hanging="1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3" w:name="page34"/>
    <w:bookmarkEnd w:id="33"/>
    <w:p>
      <w:pPr>
        <w:jc w:val="center"/>
        <w:ind w:right="-2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80" w:val="left"/>
          <w:tab w:leader="none" w:pos="6760" w:val="left"/>
          <w:tab w:leader="none" w:pos="7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21,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Howard Guild</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-97790</wp:posOffset>
            </wp:positionV>
            <wp:extent cx="2907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125"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7" w:lineRule="exact"/>
        <w:rPr>
          <w:sz w:val="20"/>
          <w:szCs w:val="20"/>
          <w:color w:val="auto"/>
        </w:rPr>
      </w:pPr>
    </w:p>
    <w:p>
      <w:pPr>
        <w:ind w:left="560" w:hanging="172"/>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hanging="504"/>
        <w:spacing w:after="0" w:line="308" w:lineRule="auto"/>
        <w:tabs>
          <w:tab w:leader="none" w:pos="11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hanging="504"/>
        <w:spacing w:after="0" w:line="264" w:lineRule="auto"/>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04"/>
        <w:spacing w:after="0" w:line="277" w:lineRule="auto"/>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120" w:hanging="504"/>
        <w:spacing w:after="0" w:line="277" w:lineRule="auto"/>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October 21,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6860" w:type="dxa"/>
            <w:vAlign w:val="bottom"/>
          </w:tcPr>
          <w:p>
            <w:pPr>
              <w:spacing w:after="0"/>
              <w:rPr>
                <w:sz w:val="16"/>
                <w:szCs w:val="16"/>
                <w:color w:val="auto"/>
              </w:rPr>
            </w:pPr>
          </w:p>
        </w:tc>
        <w:tc>
          <w:tcPr>
            <w:tcW w:w="4560" w:type="dxa"/>
            <w:vAlign w:val="bottom"/>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560" w:hanging="172"/>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hanging="504"/>
        <w:spacing w:after="0" w:line="308" w:lineRule="auto"/>
        <w:tabs>
          <w:tab w:leader="none" w:pos="11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hanging="504"/>
        <w:spacing w:after="0" w:line="264"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04"/>
        <w:spacing w:after="0" w:line="277"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120" w:hanging="504"/>
        <w:spacing w:after="0" w:line="277"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Date: October 21, 2015</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728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72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8"/>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September 30, 2015 as filed with the Securities and Exchange Commission on the date hereof (the “Report”), I, Paal Kibsgaard, Chief Executive Officer of the Company, certify, pursuant to 18 U.S.C. § 1350, as adopted pursuant to § 906 of the Sarbanes-Oxley Act of 2002, that:</w:t>
      </w:r>
    </w:p>
    <w:p>
      <w:pPr>
        <w:spacing w:after="0" w:line="73" w:lineRule="exact"/>
        <w:rPr>
          <w:sz w:val="20"/>
          <w:szCs w:val="20"/>
          <w:color w:val="auto"/>
        </w:rPr>
      </w:pPr>
    </w:p>
    <w:p>
      <w:pPr>
        <w:ind w:left="10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Date: October 21, 2015</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5320" w:type="dxa"/>
            <w:vAlign w:val="bottom"/>
          </w:tcPr>
          <w:p>
            <w:pPr>
              <w:spacing w:after="0"/>
              <w:rPr>
                <w:sz w:val="16"/>
                <w:szCs w:val="16"/>
                <w:color w:val="auto"/>
              </w:rPr>
            </w:pPr>
          </w:p>
        </w:tc>
        <w:tc>
          <w:tcPr>
            <w:tcW w:w="3040" w:type="dxa"/>
            <w:vAlign w:val="bottom"/>
          </w:tcPr>
          <w:p>
            <w:pPr>
              <w:ind w:left="6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532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2015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39" w:lineRule="exact"/>
        <w:rPr>
          <w:sz w:val="20"/>
          <w:szCs w:val="20"/>
          <w:color w:val="auto"/>
        </w:rPr>
      </w:pPr>
    </w:p>
    <w:p>
      <w:pPr>
        <w:ind w:left="10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21, 2015</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224"/>
        </w:trPr>
        <w:tc>
          <w:tcPr>
            <w:tcW w:w="54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Simon Ayat</w:t>
            </w:r>
          </w:p>
        </w:tc>
      </w:tr>
      <w:tr>
        <w:trPr>
          <w:trHeight w:val="377"/>
        </w:trPr>
        <w:tc>
          <w:tcPr>
            <w:tcW w:w="54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64" w:lineRule="exact"/>
        <w:rPr>
          <w:sz w:val="20"/>
          <w:szCs w:val="20"/>
          <w:color w:val="auto"/>
        </w:rPr>
      </w:pPr>
    </w:p>
    <w:p>
      <w:pPr>
        <w:ind w:right="420" w:firstLine="761"/>
        <w:spacing w:after="0" w:line="264"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1" w:lineRule="exact"/>
        <w:rPr>
          <w:sz w:val="20"/>
          <w:szCs w:val="20"/>
          <w:color w:val="auto"/>
        </w:rPr>
      </w:pPr>
    </w:p>
    <w:p>
      <w:pPr>
        <w:ind w:right="380" w:firstLine="761"/>
        <w:spacing w:after="0" w:line="312"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September 30, 2015. Due to timing and other factors, the data may not agree with the mine data retrieval system maintained by the MSHA at www.MSHA.gov.</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2"/>
        </w:trPr>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4"/>
                <w:szCs w:val="14"/>
                <w:color w:val="auto"/>
                <w:w w:val="89"/>
              </w:rPr>
              <w:t>Received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Potential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to Have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Legal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Violations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Pattern</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Actions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Legal</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3"/>
              </w:rPr>
              <w:t>Legal</w:t>
            </w:r>
          </w:p>
        </w:tc>
        <w:tc>
          <w:tcPr>
            <w:tcW w:w="60" w:type="dxa"/>
            <w:vAlign w:val="bottom"/>
          </w:tcPr>
          <w:p>
            <w:pPr>
              <w:spacing w:after="0"/>
              <w:rPr>
                <w:sz w:val="12"/>
                <w:szCs w:val="12"/>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Mine or Operating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Pending as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Actions</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5"/>
              </w:rPr>
              <w:t>Actions</w:t>
            </w:r>
          </w:p>
        </w:tc>
        <w:tc>
          <w:tcPr>
            <w:tcW w:w="60" w:type="dxa"/>
            <w:vAlign w:val="bottom"/>
          </w:tcPr>
          <w:p>
            <w:pPr>
              <w:spacing w:after="0"/>
              <w:rPr>
                <w:sz w:val="12"/>
                <w:szCs w:val="12"/>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Name/MSHA</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Section</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4"/>
              </w:rPr>
              <w:t>Section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Proposed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Mining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of Last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89"/>
              </w:rPr>
              <w:t>Resolved</w:t>
            </w:r>
          </w:p>
        </w:tc>
        <w:tc>
          <w:tcPr>
            <w:tcW w:w="60" w:type="dxa"/>
            <w:vAlign w:val="bottom"/>
          </w:tcPr>
          <w:p>
            <w:pPr>
              <w:spacing w:after="0"/>
              <w:rPr>
                <w:sz w:val="12"/>
                <w:szCs w:val="12"/>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Identification</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104 S&amp;S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104(b)</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5"/>
              </w:rPr>
              <w:t>Citations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107(a)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MSHA</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Related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Day of</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During</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6"/>
              </w:rPr>
              <w:t>During</w:t>
            </w:r>
          </w:p>
        </w:tc>
        <w:tc>
          <w:tcPr>
            <w:tcW w:w="60" w:type="dxa"/>
            <w:vAlign w:val="bottom"/>
          </w:tcPr>
          <w:p>
            <w:pPr>
              <w:spacing w:after="0"/>
              <w:rPr>
                <w:sz w:val="12"/>
                <w:szCs w:val="12"/>
                <w:color w:val="auto"/>
              </w:rPr>
            </w:pPr>
          </w:p>
        </w:tc>
      </w:tr>
      <w:tr>
        <w:trPr>
          <w:trHeight w:val="167"/>
        </w:trPr>
        <w:tc>
          <w:tcPr>
            <w:tcW w:w="1200" w:type="dxa"/>
            <w:vAlign w:val="bottom"/>
          </w:tcPr>
          <w:p>
            <w:pPr>
              <w:spacing w:after="0"/>
              <w:rPr>
                <w:sz w:val="20"/>
                <w:szCs w:val="20"/>
                <w:color w:val="auto"/>
              </w:rPr>
            </w:pPr>
            <w:r>
              <w:rPr>
                <w:rFonts w:ascii="Arial" w:cs="Arial" w:eastAsia="Arial" w:hAnsi="Arial"/>
                <w:sz w:val="14"/>
                <w:szCs w:val="14"/>
                <w:color w:val="auto"/>
              </w:rPr>
              <w:t>Number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Citations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Orders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and Orders</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Violations</w:t>
            </w:r>
          </w:p>
        </w:tc>
        <w:tc>
          <w:tcPr>
            <w:tcW w:w="660" w:type="dxa"/>
            <w:vAlign w:val="bottom"/>
          </w:tcPr>
          <w:p>
            <w:pPr>
              <w:jc w:val="center"/>
              <w:ind w:left="108"/>
              <w:spacing w:after="0"/>
              <w:rPr>
                <w:sz w:val="20"/>
                <w:szCs w:val="20"/>
                <w:color w:val="auto"/>
              </w:rPr>
            </w:pPr>
            <w:r>
              <w:rPr>
                <w:rFonts w:ascii="Arial" w:cs="Arial" w:eastAsia="Arial" w:hAnsi="Arial"/>
                <w:sz w:val="14"/>
                <w:szCs w:val="14"/>
                <w:color w:val="auto"/>
                <w:w w:val="93"/>
              </w:rPr>
              <w:t>Orders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Assessments</w:t>
            </w:r>
            <w:r>
              <w:rPr>
                <w:rFonts w:ascii="Arial" w:cs="Arial" w:eastAsia="Arial" w:hAnsi="Arial"/>
                <w:sz w:val="12"/>
                <w:szCs w:val="12"/>
                <w:color w:val="auto"/>
                <w:w w:val="89"/>
              </w:rPr>
              <w:t>(1)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Fatalities</w:t>
            </w: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Period</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Period</w:t>
            </w:r>
          </w:p>
        </w:tc>
        <w:tc>
          <w:tcPr>
            <w:tcW w:w="720" w:type="dxa"/>
            <w:vAlign w:val="bottom"/>
          </w:tcPr>
          <w:p>
            <w:pPr>
              <w:jc w:val="center"/>
              <w:ind w:left="14"/>
              <w:spacing w:after="0"/>
              <w:rPr>
                <w:sz w:val="20"/>
                <w:szCs w:val="20"/>
                <w:color w:val="auto"/>
              </w:rPr>
            </w:pPr>
            <w:r>
              <w:rPr>
                <w:rFonts w:ascii="Arial" w:cs="Arial" w:eastAsia="Arial" w:hAnsi="Arial"/>
                <w:sz w:val="14"/>
                <w:szCs w:val="14"/>
                <w:color w:val="auto"/>
                <w:w w:val="88"/>
              </w:rPr>
              <w:t>Period</w:t>
            </w:r>
          </w:p>
        </w:tc>
        <w:tc>
          <w:tcPr>
            <w:tcW w:w="60" w:type="dxa"/>
            <w:vAlign w:val="bottom"/>
          </w:tcPr>
          <w:p>
            <w:pPr>
              <w:spacing w:after="0"/>
              <w:rPr>
                <w:sz w:val="14"/>
                <w:szCs w:val="14"/>
                <w:color w:val="auto"/>
              </w:rPr>
            </w:pPr>
          </w:p>
        </w:tc>
      </w:tr>
      <w:tr>
        <w:trPr>
          <w:trHeight w:val="128"/>
        </w:trPr>
        <w:tc>
          <w:tcPr>
            <w:tcW w:w="12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Amelia Barite</w:t>
            </w: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Plant/1600825</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Battle Mountain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rPr>
              <w:t>Grinding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Plant/2600828</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91"/>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Galveston GBT Barite</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Grinding</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Plant/4104675</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Greybull Milling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Operation/4800602</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89"/>
              </w:rPr>
              <w:t>$217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Greybull Mining</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Operation/4800603</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9"/>
              </w:rPr>
              <w:t>$100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Greystone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Mine/2600411</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89"/>
              </w:rPr>
              <w:t>$100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 SWACO-</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Alpine/4104829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MI SWACO-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w w:val="99"/>
              </w:rPr>
              <w:t>Brownsville Grinding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Plant/4103033</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Mountain Springs</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Beneficiation</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Plant/2601390</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22" w:lineRule="exact"/>
        <w:rPr>
          <w:sz w:val="20"/>
          <w:szCs w:val="20"/>
          <w:color w:val="auto"/>
        </w:rPr>
      </w:pPr>
    </w:p>
    <w:p>
      <w:pPr>
        <w:ind w:right="80" w:firstLine="8"/>
        <w:spacing w:after="0" w:line="335" w:lineRule="auto"/>
        <w:tabs>
          <w:tab w:leader="none" w:pos="27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Positive amounts included are the total dollar value of proposed assessments received from MSHA on or before September 30, 2015,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36" w:lineRule="exact"/>
        <w:rPr>
          <w:sz w:val="20"/>
          <w:szCs w:val="20"/>
          <w:color w:val="auto"/>
        </w:rPr>
      </w:pPr>
    </w:p>
    <w:p>
      <w:pPr>
        <w:ind w:right="400" w:firstLine="8"/>
        <w:spacing w:after="0" w:line="293" w:lineRule="auto"/>
        <w:tabs>
          <w:tab w:leader="none" w:pos="122"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quarter ended September 30, 2015, MSHA proposed an assessment for $100 for one citation received at Battle Mountain Grinding Plant/2600828 during the quarter ended June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6"/>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5">
    <w:nsid w:val="4353D0CD"/>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6">
    <w:nsid w:val="B03E0C6"/>
    <w:multiLevelType w:val="hybridMultilevel"/>
    <w:lvl w:ilvl="0">
      <w:lvlJc w:val="left"/>
      <w:lvlText w:val="%1."/>
      <w:numFmt w:val="decimal"/>
      <w:start w:val="14"/>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2019-12-29T16:28:44Z</dcterms:created>
  <dcterms:modified xsi:type="dcterms:W3CDTF">2019-12-29T16:28:44Z</dcterms:modified>
</cp:coreProperties>
</file>