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15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QUARTERLY REPORT UNDER SECTION 13 OR 15(d)</w:t>
      </w:r>
    </w:p>
    <w:p>
      <w:pPr>
        <w:ind w:left="1840"/>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sect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pacing w:after="0" w:line="237" w:lineRule="auto"/>
        <w:rPr>
          <w:sz w:val="20"/>
          <w:szCs w:val="20"/>
          <w:color w:val="auto"/>
        </w:rPr>
      </w:pPr>
      <w:r>
        <w:rPr>
          <w:rFonts w:ascii="Courier New" w:cs="Courier New" w:eastAsia="Courier New" w:hAnsi="Courier New"/>
          <w:sz w:val="15"/>
          <w:szCs w:val="15"/>
          <w:color w:val="auto"/>
        </w:rPr>
        <w:t>June 30, 2001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ind w:left="520"/>
        <w:spacing w:after="0" w:line="237" w:lineRule="auto"/>
        <w:rPr>
          <w:sz w:val="20"/>
          <w:szCs w:val="20"/>
          <w:color w:val="auto"/>
        </w:rPr>
      </w:pPr>
      <w:r>
        <w:rPr>
          <w:rFonts w:ascii="Courier New" w:cs="Courier New" w:eastAsia="Courier New" w:hAnsi="Courier New"/>
          <w:sz w:val="15"/>
          <w:szCs w:val="15"/>
          <w:color w:val="auto"/>
        </w:rPr>
        <w:t>1-4601</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320" w:space="720"/>
            <w:col w:w="6199"/>
          </w:cols>
          <w:pgMar w:left="220" w:top="561" w:right="1440" w:bottom="1440" w:gutter="0" w:footer="0" w:header="0"/>
          <w:type w:val="continuous"/>
        </w:sectPr>
      </w:pPr>
    </w:p>
    <w:p>
      <w:pPr>
        <w:spacing w:after="0" w:line="308"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SCHLUMBERGER N.V.</w:t>
      </w:r>
    </w:p>
    <w:p>
      <w:pPr>
        <w:ind w:left="2380"/>
        <w:spacing w:after="0" w:line="237" w:lineRule="auto"/>
        <w:rPr>
          <w:sz w:val="20"/>
          <w:szCs w:val="20"/>
          <w:color w:val="auto"/>
        </w:rPr>
      </w:pPr>
      <w:r>
        <w:rPr>
          <w:rFonts w:ascii="Courier New" w:cs="Courier New" w:eastAsia="Courier New" w:hAnsi="Courier New"/>
          <w:sz w:val="15"/>
          <w:szCs w:val="15"/>
          <w:color w:val="auto"/>
        </w:rPr>
        <w:t>(SCHLUMBERGER LIMITED)</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106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center"/>
              <w:ind w:right="1627"/>
              <w:spacing w:after="0"/>
              <w:rPr>
                <w:sz w:val="20"/>
                <w:szCs w:val="20"/>
                <w:color w:val="auto"/>
              </w:rPr>
            </w:pPr>
            <w:r>
              <w:rPr>
                <w:rFonts w:ascii="Courier New" w:cs="Courier New" w:eastAsia="Courier New" w:hAnsi="Courier New"/>
                <w:sz w:val="15"/>
                <w:szCs w:val="15"/>
                <w:color w:val="auto"/>
                <w:w w:val="96"/>
              </w:rPr>
              <w:t>NETHERLANDS ANTILLES</w:t>
            </w:r>
          </w:p>
        </w:tc>
        <w:tc>
          <w:tcPr>
            <w:tcW w:w="18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5"/>
              </w:rPr>
              <w:t>52-0684746</w:t>
            </w:r>
          </w:p>
        </w:tc>
      </w:tr>
      <w:tr>
        <w:trPr>
          <w:trHeight w:val="168"/>
        </w:trPr>
        <w:tc>
          <w:tcPr>
            <w:tcW w:w="4160" w:type="dxa"/>
            <w:vAlign w:val="bottom"/>
          </w:tcPr>
          <w:p>
            <w:pPr>
              <w:jc w:val="center"/>
              <w:ind w:right="1627"/>
              <w:spacing w:after="0" w:line="168" w:lineRule="exact"/>
              <w:rPr>
                <w:sz w:val="20"/>
                <w:szCs w:val="20"/>
                <w:color w:val="auto"/>
              </w:rPr>
            </w:pPr>
            <w:r>
              <w:rPr>
                <w:rFonts w:ascii="Courier New" w:cs="Courier New" w:eastAsia="Courier New" w:hAnsi="Courier New"/>
                <w:sz w:val="15"/>
                <w:szCs w:val="15"/>
                <w:color w:val="auto"/>
                <w:w w:val="96"/>
              </w:rPr>
              <w:t>--------------------</w:t>
            </w:r>
          </w:p>
        </w:tc>
        <w:tc>
          <w:tcPr>
            <w:tcW w:w="18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18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(I.R.S. Employer</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8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505"/>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153 EAST 53 STREET, 57th Floor</w:t>
            </w:r>
          </w:p>
        </w:tc>
        <w:tc>
          <w:tcPr>
            <w:tcW w:w="188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U.S.A.</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10022</w:t>
            </w:r>
          </w:p>
        </w:tc>
      </w:tr>
      <w:tr>
        <w:trPr>
          <w:trHeight w:val="33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42 RUE SAINT-DOMINIQUE</w:t>
            </w:r>
          </w:p>
        </w:tc>
        <w:tc>
          <w:tcPr>
            <w:tcW w:w="188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PARIS, FRANCE</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75007</w:t>
            </w:r>
          </w:p>
        </w:tc>
      </w:tr>
      <w:tr>
        <w:trPr>
          <w:trHeight w:val="33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PARKSTRAAT 83</w:t>
            </w:r>
          </w:p>
        </w:tc>
        <w:tc>
          <w:tcPr>
            <w:tcW w:w="188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HAGUE,</w:t>
            </w:r>
          </w:p>
        </w:tc>
        <w:tc>
          <w:tcPr>
            <w:tcW w:w="188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2514 JG</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(Addresses of principal executive</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(Zip Codes)</w:t>
            </w:r>
          </w:p>
        </w:tc>
      </w:tr>
      <w:tr>
        <w:trPr>
          <w:trHeight w:val="168"/>
        </w:trPr>
        <w:tc>
          <w:tcPr>
            <w:tcW w:w="4160" w:type="dxa"/>
            <w:vAlign w:val="bottom"/>
          </w:tcPr>
          <w:p>
            <w:pPr>
              <w:jc w:val="center"/>
              <w:ind w:right="1627"/>
              <w:spacing w:after="0" w:line="168" w:lineRule="exact"/>
              <w:rPr>
                <w:sz w:val="20"/>
                <w:szCs w:val="20"/>
                <w:color w:val="auto"/>
              </w:rPr>
            </w:pPr>
            <w:r>
              <w:rPr>
                <w:rFonts w:ascii="Courier New" w:cs="Courier New" w:eastAsia="Courier New" w:hAnsi="Courier New"/>
                <w:sz w:val="15"/>
                <w:szCs w:val="15"/>
                <w:color w:val="auto"/>
                <w:w w:val="97"/>
              </w:rPr>
              <w:t>offices)</w:t>
            </w:r>
          </w:p>
        </w:tc>
        <w:tc>
          <w:tcPr>
            <w:tcW w:w="1880" w:type="dxa"/>
            <w:vAlign w:val="bottom"/>
          </w:tcPr>
          <w:p>
            <w:pPr>
              <w:spacing w:after="0"/>
              <w:rPr>
                <w:sz w:val="14"/>
                <w:szCs w:val="14"/>
                <w:color w:val="auto"/>
              </w:rPr>
            </w:pPr>
          </w:p>
        </w:tc>
      </w:tr>
      <w:tr>
        <w:trPr>
          <w:trHeight w:val="6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Registrant's telephone number: (212) 350-9400</w:t>
            </w:r>
          </w:p>
        </w:tc>
        <w:tc>
          <w:tcPr>
            <w:tcW w:w="1880" w:type="dxa"/>
            <w:vAlign w:val="bottom"/>
          </w:tcPr>
          <w:p>
            <w:pPr>
              <w:spacing w:after="0"/>
              <w:rPr>
                <w:sz w:val="24"/>
                <w:szCs w:val="24"/>
                <w:color w:val="auto"/>
              </w:rPr>
            </w:pPr>
          </w:p>
        </w:tc>
      </w:tr>
    </w:tbl>
    <w:p>
      <w:pPr>
        <w:spacing w:after="0" w:line="200" w:lineRule="exact"/>
        <w:rPr>
          <w:sz w:val="24"/>
          <w:szCs w:val="24"/>
          <w:color w:val="auto"/>
        </w:rPr>
      </w:pPr>
    </w:p>
    <w:p>
      <w:pPr>
        <w:spacing w:after="0" w:line="309"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75"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NO</w:t>
      </w:r>
    </w:p>
    <w:p>
      <w:pPr>
        <w:spacing w:after="0" w:line="32" w:lineRule="exact"/>
        <w:rPr>
          <w:sz w:val="24"/>
          <w:szCs w:val="24"/>
          <w:color w:val="auto"/>
        </w:rPr>
      </w:pPr>
    </w:p>
    <w:p>
      <w:pPr>
        <w:sectPr>
          <w:pgSz w:w="11900" w:h="16838" w:orient="portrait"/>
          <w:cols w:equalWidth="0" w:num="3">
            <w:col w:w="1240" w:space="340"/>
            <w:col w:w="1740" w:space="720"/>
            <w:col w:w="6199"/>
          </w:cols>
          <w:pgMar w:left="220" w:top="561"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580" w:space="720"/>
            <w:col w:w="5939"/>
          </w:cols>
          <w:pgMar w:left="220" w:top="561" w:right="1440" w:bottom="1440" w:gutter="0" w:footer="0" w:header="0"/>
          <w:type w:val="continuous"/>
        </w:sectPr>
      </w:pPr>
    </w:p>
    <w:p>
      <w:pPr>
        <w:spacing w:after="0" w:line="31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July 31, 2001</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220" w:space="720"/>
            <w:col w:w="62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573,882,168</w:t>
      </w:r>
    </w:p>
    <w:p>
      <w:pPr>
        <w:sectPr>
          <w:pgSz w:w="11900" w:h="16838" w:orient="portrait"/>
          <w:cols w:equalWidth="0" w:num="2">
            <w:col w:w="4100" w:space="720"/>
            <w:col w:w="5419"/>
          </w:cols>
          <w:pgMar w:left="220" w:top="56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PART I. FINANCIAL INFORMATION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62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(Stated in thousands except per share amounts)</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3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Periods Ended June 30,</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63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rPr>
                <w:sz w:val="14"/>
                <w:szCs w:val="14"/>
                <w:color w:val="auto"/>
              </w:rPr>
            </w:pPr>
          </w:p>
        </w:tc>
        <w:tc>
          <w:tcPr>
            <w:tcW w:w="320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Second Quarter</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Six Months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 (1)</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$3,634,599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$2,338,266</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$6,544,033</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$4,475,708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&amp; other income</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59,388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83,541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149,417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159,651</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3,693,987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2,421,807</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6,693,450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4,635,359</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&amp; services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3,072,545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1,830,007</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5,267,284</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3,490,025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173,209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130,740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343,805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261,782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140,948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81,196</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228,365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156,016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193,885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104,501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314,480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208,275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108,757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65,341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184,958</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128,437</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3,689,344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2,211,785</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6,338,892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4,244,535</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and</w:t>
            </w: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210,022</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354,558</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390,824</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91,090</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51,224</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199,030</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93,614</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minority</w:t>
            </w: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(86,447)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158,798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155,528</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297,210</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(6,838)</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w:t>
            </w:r>
          </w:p>
        </w:tc>
        <w:tc>
          <w:tcPr>
            <w:tcW w:w="1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(12,925)</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(5,129)</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(93,285)</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$ 155,923</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$ 142,603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292,081</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(0.16)</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$ 0.27</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$ 0.25</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$ 0.51</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(0.16)</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$ 0.27</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$ 0.25</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$ 0.51</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573,451</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569,293</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573,255</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568,090</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573,451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579,707</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580,725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578,124</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in expenses (2)</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$ 484,515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$ 311,550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$ 903,541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623,893</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$ 0.1875</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$ 0.1875</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$ 0.3750</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$ 0.3750</w:t>
            </w:r>
          </w:p>
        </w:tc>
      </w:tr>
      <w:tr>
        <w:trPr>
          <w:trHeight w:val="168"/>
        </w:trPr>
        <w:tc>
          <w:tcPr>
            <w:tcW w:w="302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in part, for comparative purposes.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6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ind w:left="23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490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36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900" w:type="dxa"/>
            <w:vAlign w:val="bottom"/>
          </w:tcPr>
          <w:p>
            <w:pPr>
              <w:spacing w:after="0"/>
              <w:rPr>
                <w:sz w:val="24"/>
                <w:szCs w:val="24"/>
                <w:color w:val="auto"/>
              </w:rPr>
            </w:pP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Jun. 30,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Dec. 31,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2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 (1)</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$1,505,515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$3,040,150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(2001 - $143,348; 2000 - $106,503)</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4,253,233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2,768,848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1,407,986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1,111,585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349,053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259,184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476,165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313,444</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7,991,952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7,493,211</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659,000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1,547,132</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691,103</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654,516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11,640,753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10,821,509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(6,689,875)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(6,426,995)</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4,950,878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4,394,514</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MULTICLIENT SEISMIC DATA</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983,046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975,775</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COMPANIES PURCHASED less amortization,</w:t>
            </w: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INTANGIBLE ASSETS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6,997,281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1,716,427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139,405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271,059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275,106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120,097</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4"/>
                <w:szCs w:val="2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$22,687,771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$17,172,731</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$4,535,773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$2,910,725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487,139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379,916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loans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1,124,074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556,020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payable</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108,208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108,043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97,254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36,201</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6,352,448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3,990,905</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6,616,572</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3,573,047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511,655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476,380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622,196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605,313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510,494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231,870</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14,613,365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8,877,515</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1,974,194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1,963,905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8,151,074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8,223,476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(1,737,435)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(1,752,961)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(313,427)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(139,204)</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8,074,406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8,295,216</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4"/>
                <w:szCs w:val="2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$22,687,771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$17,172,731</w:t>
            </w:r>
          </w:p>
        </w:tc>
      </w:tr>
      <w:tr>
        <w:trPr>
          <w:trHeight w:val="168"/>
        </w:trPr>
        <w:tc>
          <w:tcPr>
            <w:tcW w:w="49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617" w:right="1440" w:bottom="1021"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ind w:left="19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56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5560" w:type="dxa"/>
            <w:vAlign w:val="bottom"/>
          </w:tcPr>
          <w:p>
            <w:pPr>
              <w:spacing w:after="0"/>
              <w:rPr>
                <w:sz w:val="24"/>
                <w:szCs w:val="24"/>
                <w:color w:val="auto"/>
              </w:rPr>
            </w:pPr>
          </w:p>
        </w:tc>
        <w:tc>
          <w:tcPr>
            <w:tcW w:w="3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5560" w:type="dxa"/>
            <w:vAlign w:val="bottom"/>
          </w:tcPr>
          <w:p>
            <w:pPr>
              <w:spacing w:after="0"/>
              <w:rPr>
                <w:sz w:val="24"/>
                <w:szCs w:val="24"/>
                <w:color w:val="auto"/>
              </w:rPr>
            </w:pPr>
          </w:p>
        </w:tc>
        <w:tc>
          <w:tcPr>
            <w:tcW w:w="38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560" w:type="dxa"/>
            <w:vAlign w:val="bottom"/>
          </w:tcPr>
          <w:p>
            <w:pPr>
              <w:spacing w:after="0"/>
              <w:rPr>
                <w:sz w:val="14"/>
                <w:szCs w:val="14"/>
                <w:color w:val="auto"/>
              </w:rPr>
            </w:pPr>
          </w:p>
        </w:tc>
        <w:tc>
          <w:tcPr>
            <w:tcW w:w="38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 (1)</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$ 142,603</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$ 292,081</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cash</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 (2)</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903,541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623,893</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Impairment charge for RMS businesses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Earnings of companies carried at equity, less</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dividends received (2001 - $-; 2000 - $-)</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(29,205)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15,316</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receivables</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(628,017)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(222,935)</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(286,855)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(57,158)</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deferred taxes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23,937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(23,669)</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current assets</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(71,281)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16,769</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accounts payable and</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136,868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39,914</w:t>
            </w:r>
          </w:p>
        </w:tc>
      </w:tr>
      <w:tr>
        <w:trPr>
          <w:trHeight w:val="168"/>
        </w:trPr>
        <w:tc>
          <w:tcPr>
            <w:tcW w:w="5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estimated liability</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 net</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(283,975)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(105,934)</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212,159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603,997</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(990,404)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(528,960)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(221,219)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(119,940)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(17,971)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54,060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investments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2,510,047</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136,309</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Businesses acquired, net of cash acquired</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(353,024)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(261,446)</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 of Sema plc, net of cash acquired</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(4,778,498)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10,108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(41,047)</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(3,840,961)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(761,024)</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Dividends paid</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(214,840)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(212,368)</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58,362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61,560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109,693</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3,293,700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530,939</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of principal on long-term debt</w:t>
            </w: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(25,581)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(333,943)</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increase in short-term debt</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551,129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26,937</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3,688,585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182,818</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59,783</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25,791</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160,718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132,589</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$ 220,501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$ 158,380</w:t>
            </w:r>
          </w:p>
        </w:tc>
      </w:tr>
      <w:tr>
        <w:trPr>
          <w:trHeight w:val="168"/>
        </w:trPr>
        <w:tc>
          <w:tcPr>
            <w:tcW w:w="5560" w:type="dxa"/>
            <w:vAlign w:val="bottom"/>
          </w:tcPr>
          <w:p>
            <w:pPr>
              <w:spacing w:after="0"/>
              <w:rPr>
                <w:sz w:val="14"/>
                <w:szCs w:val="14"/>
                <w:color w:val="auto"/>
              </w:rPr>
            </w:pPr>
          </w:p>
        </w:tc>
        <w:tc>
          <w:tcPr>
            <w:tcW w:w="2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Restated, in part, for comparative purposes.</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(2)</w:t>
        <w:tab/>
        <w:t>Including multiclient seismic data costs.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6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and Subsidiary Companies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STOCKHOLDERS' EQUITY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ind w:left="9540"/>
        <w:spacing w:after="0"/>
        <w:rPr>
          <w:sz w:val="20"/>
          <w:szCs w:val="20"/>
          <w:color w:val="auto"/>
        </w:rPr>
      </w:pPr>
      <w:r>
        <w:rPr>
          <w:rFonts w:ascii="Courier New" w:cs="Courier New" w:eastAsia="Courier New" w:hAnsi="Courier New"/>
          <w:sz w:val="15"/>
          <w:szCs w:val="15"/>
          <w:color w:val="auto"/>
        </w:rPr>
        <w:t>(Dollars in thousands)</w:t>
      </w:r>
    </w:p>
    <w:p>
      <w:pPr>
        <w:ind w:left="7800"/>
        <w:spacing w:after="0" w:line="237" w:lineRule="auto"/>
        <w:rPr>
          <w:sz w:val="20"/>
          <w:szCs w:val="20"/>
          <w:color w:val="auto"/>
        </w:rPr>
      </w:pPr>
      <w:r>
        <w:rPr>
          <w:rFonts w:ascii="Courier New" w:cs="Courier New" w:eastAsia="Courier New" w:hAnsi="Courier New"/>
          <w:sz w:val="15"/>
          <w:szCs w:val="15"/>
          <w:color w:val="auto"/>
        </w:rPr>
        <w:t>Accumulated Other</w:t>
      </w:r>
    </w:p>
    <w:p>
      <w:pPr>
        <w:ind w:left="7620"/>
        <w:spacing w:after="0" w:line="238" w:lineRule="auto"/>
        <w:rPr>
          <w:sz w:val="20"/>
          <w:szCs w:val="20"/>
          <w:color w:val="auto"/>
        </w:rPr>
      </w:pPr>
      <w:r>
        <w:rPr>
          <w:rFonts w:ascii="Courier New" w:cs="Courier New" w:eastAsia="Courier New" w:hAnsi="Courier New"/>
          <w:sz w:val="15"/>
          <w:szCs w:val="15"/>
          <w:color w:val="auto"/>
        </w:rPr>
        <w:t>Comprehensive Income</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500"/>
        <w:spacing w:after="0"/>
        <w:tabs>
          <w:tab w:leader="none" w:pos="5940" w:val="left"/>
          <w:tab w:leader="none" w:pos="7420" w:val="left"/>
          <w:tab w:leader="none" w:pos="8640" w:val="left"/>
          <w:tab w:leader="none" w:pos="102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Mark to</w:t>
      </w:r>
      <w:r>
        <w:rPr>
          <w:sz w:val="20"/>
          <w:szCs w:val="20"/>
          <w:color w:val="auto"/>
        </w:rPr>
        <w:tab/>
      </w:r>
      <w:r>
        <w:rPr>
          <w:rFonts w:ascii="Courier New" w:cs="Courier New" w:eastAsia="Courier New" w:hAnsi="Courier New"/>
          <w:sz w:val="15"/>
          <w:szCs w:val="15"/>
          <w:color w:val="auto"/>
        </w:rPr>
        <w:t>Translation</w:t>
      </w:r>
      <w:r>
        <w:rPr>
          <w:sz w:val="20"/>
          <w:szCs w:val="20"/>
          <w:color w:val="auto"/>
        </w:rPr>
        <w:tab/>
      </w:r>
      <w:r>
        <w:rPr>
          <w:rFonts w:ascii="Courier New" w:cs="Courier New" w:eastAsia="Courier New" w:hAnsi="Courier New"/>
          <w:sz w:val="14"/>
          <w:szCs w:val="14"/>
          <w:color w:val="auto"/>
        </w:rPr>
        <w:t>Comprehensive</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tabs>
          <w:tab w:leader="none" w:pos="4280" w:val="left"/>
          <w:tab w:leader="none" w:pos="6020" w:val="left"/>
          <w:tab w:leader="none" w:pos="7420" w:val="left"/>
          <w:tab w:leader="none" w:pos="8740" w:val="left"/>
          <w:tab w:leader="none" w:pos="1058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Adjustment</w:t>
      </w:r>
      <w:r>
        <w:rPr>
          <w:sz w:val="20"/>
          <w:szCs w:val="20"/>
          <w:color w:val="auto"/>
        </w:rPr>
        <w:tab/>
      </w:r>
      <w:r>
        <w:rPr>
          <w:rFonts w:ascii="Courier New" w:cs="Courier New" w:eastAsia="Courier New" w:hAnsi="Courier New"/>
          <w:sz w:val="14"/>
          <w:szCs w:val="14"/>
          <w:color w:val="auto"/>
        </w:rPr>
        <w:t>Income</w:t>
      </w:r>
    </w:p>
    <w:p>
      <w:pPr>
        <w:ind w:left="272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 ---------------- --------------- -----------------</w:t>
      </w:r>
    </w:p>
    <w:p>
      <w:pPr>
        <w:sectPr>
          <w:pgSz w:w="11900" w:h="16838" w:orient="portrait"/>
          <w:cols w:equalWidth="0" w:num="1">
            <w:col w:w="11540"/>
          </w:cols>
          <w:pgMar w:left="220" w:top="617"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January 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$1,963,905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(1,752,961)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$8,223,476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(139,204)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9">
            <w:col w:w="2260" w:space="720"/>
            <w:col w:w="880" w:space="620"/>
            <w:col w:w="1120" w:space="440"/>
            <w:col w:w="880" w:space="520"/>
            <w:col w:w="160" w:space="720"/>
            <w:col w:w="80" w:space="620"/>
            <w:col w:w="960" w:space="520"/>
            <w:col w:w="100" w:space="700"/>
            <w:col w:w="24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142,603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142,603</w:t>
      </w:r>
    </w:p>
    <w:p>
      <w:pPr>
        <w:spacing w:after="0" w:line="178" w:lineRule="exact"/>
        <w:rPr>
          <w:sz w:val="20"/>
          <w:szCs w:val="20"/>
          <w:color w:val="auto"/>
        </w:rPr>
      </w:pPr>
    </w:p>
    <w:p>
      <w:pPr>
        <w:sectPr>
          <w:pgSz w:w="11900" w:h="16838" w:orient="portrait"/>
          <w:cols w:equalWidth="0" w:num="3">
            <w:col w:w="5580" w:space="720"/>
            <w:col w:w="3740" w:space="720"/>
            <w:col w:w="7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Derivatives marked to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(26,958)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(26,958)</w:t>
      </w:r>
    </w:p>
    <w:p>
      <w:pPr>
        <w:spacing w:after="0" w:line="178" w:lineRule="exact"/>
        <w:rPr>
          <w:sz w:val="20"/>
          <w:szCs w:val="20"/>
          <w:color w:val="auto"/>
        </w:rPr>
      </w:pPr>
    </w:p>
    <w:p>
      <w:pPr>
        <w:sectPr>
          <w:pgSz w:w="11900" w:h="16838" w:orient="portrait"/>
          <w:cols w:equalWidth="0" w:num="3">
            <w:col w:w="7080" w:space="720"/>
            <w:col w:w="2240" w:space="720"/>
            <w:col w:w="7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(226,265)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(226,265)</w:t>
      </w:r>
    </w:p>
    <w:p>
      <w:pPr>
        <w:spacing w:after="0" w:line="178" w:lineRule="exact"/>
        <w:rPr>
          <w:sz w:val="20"/>
          <w:szCs w:val="20"/>
          <w:color w:val="auto"/>
        </w:rPr>
      </w:pPr>
    </w:p>
    <w:p>
      <w:pPr>
        <w:sectPr>
          <w:pgSz w:w="11900" w:h="16838" w:orient="portrait"/>
          <w:cols w:equalWidth="0" w:num="3">
            <w:col w:w="8380" w:space="720"/>
            <w:col w:w="860" w:space="720"/>
            <w:col w:w="86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RMS disposition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79,000</w:t>
      </w:r>
    </w:p>
    <w:p>
      <w:pPr>
        <w:spacing w:after="0" w:line="178" w:lineRule="exact"/>
        <w:rPr>
          <w:sz w:val="20"/>
          <w:szCs w:val="20"/>
          <w:color w:val="auto"/>
        </w:rPr>
      </w:pPr>
    </w:p>
    <w:p>
      <w:pPr>
        <w:sectPr>
          <w:pgSz w:w="11900" w:h="16838" w:orient="portrait"/>
          <w:cols w:equalWidth="0" w:num="3">
            <w:col w:w="8560" w:space="720"/>
            <w:col w:w="860" w:space="720"/>
            <w:col w:w="6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jc w:val="center"/>
        <w:ind w:right="4540"/>
        <w:spacing w:after="0"/>
        <w:rPr>
          <w:sz w:val="20"/>
          <w:szCs w:val="20"/>
          <w:color w:val="auto"/>
        </w:rPr>
      </w:pPr>
      <w:r>
        <w:rPr>
          <w:rFonts w:ascii="Courier New" w:cs="Courier New" w:eastAsia="Courier New" w:hAnsi="Courier New"/>
          <w:sz w:val="14"/>
          <w:szCs w:val="14"/>
          <w:color w:val="auto"/>
        </w:rPr>
        <w:t>(215,005)</w:t>
      </w:r>
    </w:p>
    <w:p>
      <w:pPr>
        <w:spacing w:after="0" w:line="178" w:lineRule="exact"/>
        <w:rPr>
          <w:sz w:val="20"/>
          <w:szCs w:val="20"/>
          <w:color w:val="auto"/>
        </w:rPr>
      </w:pPr>
    </w:p>
    <w:p>
      <w:pPr>
        <w:sectPr>
          <w:pgSz w:w="11900" w:h="16838" w:orient="portrait"/>
          <w:cols w:equalWidth="0" w:num="2">
            <w:col w:w="5500" w:space="720"/>
            <w:col w:w="532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 (net</w:t>
      </w:r>
    </w:p>
    <w:p>
      <w:pPr>
        <w:sectPr>
          <w:pgSz w:w="11900" w:h="16838" w:orient="portrait"/>
          <w:cols w:equalWidth="0" w:num="1">
            <w:col w:w="11540"/>
          </w:cols>
          <w:pgMar w:left="220" w:top="617" w:right="139"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15,526</w:t>
      </w:r>
    </w:p>
    <w:p>
      <w:pPr>
        <w:spacing w:after="0" w:line="178" w:lineRule="exact"/>
        <w:rPr>
          <w:sz w:val="20"/>
          <w:szCs w:val="20"/>
          <w:color w:val="auto"/>
        </w:rPr>
      </w:pPr>
    </w:p>
    <w:p>
      <w:pPr>
        <w:sectPr>
          <w:pgSz w:w="11900" w:h="16838" w:orient="portrait"/>
          <w:cols w:equalWidth="0" w:num="3">
            <w:col w:w="2620" w:space="720"/>
            <w:col w:w="940" w:space="720"/>
            <w:col w:w="654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Employee Stock Purchase Plan</w:t>
      </w:r>
    </w:p>
    <w:p>
      <w:pPr>
        <w:sectPr>
          <w:pgSz w:w="11900" w:h="16838" w:orient="portrait"/>
          <w:cols w:equalWidth="0" w:num="1">
            <w:col w:w="11540"/>
          </w:cols>
          <w:pgMar w:left="220" w:top="617" w:right="139" w:bottom="1440" w:gutter="0" w:footer="0" w:header="0"/>
          <w:type w:val="continuous"/>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June 30, 2001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$1,974,194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80"/>
        <w:spacing w:after="0" w:line="258" w:lineRule="auto"/>
        <w:rPr>
          <w:sz w:val="20"/>
          <w:szCs w:val="20"/>
          <w:color w:val="auto"/>
        </w:rPr>
      </w:pPr>
      <w:r>
        <w:rPr>
          <w:rFonts w:ascii="Courier New" w:cs="Courier New" w:eastAsia="Courier New" w:hAnsi="Courier New"/>
          <w:sz w:val="14"/>
          <w:szCs w:val="14"/>
          <w:color w:val="auto"/>
        </w:rPr>
        <w:t>----------------- --------------- ---------------- --------------- ----------------- $ (1,737,435)     $8,151,074        $ (26,958)     $ (286,469)        $ (31,620) ================= =============== ================ =============== =================</w:t>
      </w:r>
    </w:p>
    <w:p>
      <w:pPr>
        <w:sectPr>
          <w:pgSz w:w="11900" w:h="16838" w:orient="portrait"/>
          <w:cols w:equalWidth="0" w:num="3">
            <w:col w:w="2000" w:space="720"/>
            <w:col w:w="1220" w:space="180"/>
            <w:col w:w="7420"/>
          </w:cols>
          <w:pgMar w:left="220" w:top="617" w:right="139" w:bottom="1440" w:gutter="0" w:footer="0" w:header="0"/>
          <w:type w:val="continuous"/>
        </w:sectPr>
      </w:pPr>
    </w:p>
    <w:bookmarkStart w:id="5" w:name="page6"/>
    <w:bookmarkEnd w:id="5"/>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2000 Annual Report. These policies have been consistently applied during the interim period presented in this report. The results of operations for the three and six month periods ended June 30, 2001 are not necessarily indicative of the results of operations that may be expected for the entire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second quarter and the first six months of 2001:</w:t>
      </w:r>
    </w:p>
    <w:p>
      <w:pPr>
        <w:spacing w:after="0" w:line="15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(Stated in thousands except per share amounts)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w:t>
      </w:r>
    </w:p>
    <w:p>
      <w:pPr>
        <w:spacing w:after="0" w:line="237" w:lineRule="auto"/>
        <w:rPr>
          <w:sz w:val="20"/>
          <w:szCs w:val="20"/>
          <w:color w:val="auto"/>
        </w:rPr>
      </w:pPr>
      <w:r>
        <w:rPr>
          <w:rFonts w:ascii="Courier New" w:cs="Courier New" w:eastAsia="Courier New" w:hAnsi="Courier New"/>
          <w:sz w:val="15"/>
          <w:szCs w:val="15"/>
          <w:color w:val="auto"/>
        </w:rPr>
        <w:t>Income (Loss)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Average</w:t>
      </w:r>
    </w:p>
    <w:p>
      <w:pPr>
        <w:ind w:left="180"/>
        <w:spacing w:after="0" w:line="237" w:lineRule="auto"/>
        <w:rPr>
          <w:sz w:val="20"/>
          <w:szCs w:val="20"/>
          <w:color w:val="auto"/>
        </w:rPr>
      </w:pPr>
      <w:r>
        <w:rPr>
          <w:rFonts w:ascii="Courier New" w:cs="Courier New" w:eastAsia="Courier New" w:hAnsi="Courier New"/>
          <w:sz w:val="15"/>
          <w:szCs w:val="15"/>
          <w:color w:val="auto"/>
        </w:rPr>
        <w:t>Shares</w:t>
      </w:r>
    </w:p>
    <w:p>
      <w:pPr>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w:t>
      </w:r>
    </w:p>
    <w:p>
      <w:pPr>
        <w:ind w:left="80"/>
        <w:spacing w:after="0" w:line="237" w:lineRule="auto"/>
        <w:rPr>
          <w:sz w:val="20"/>
          <w:szCs w:val="20"/>
          <w:color w:val="auto"/>
        </w:rPr>
      </w:pPr>
      <w:r>
        <w:rPr>
          <w:rFonts w:ascii="Courier New" w:cs="Courier New" w:eastAsia="Courier New" w:hAnsi="Courier New"/>
          <w:sz w:val="15"/>
          <w:szCs w:val="15"/>
          <w:color w:val="auto"/>
        </w:rPr>
        <w:t>(Loss)</w:t>
      </w:r>
    </w:p>
    <w:p>
      <w:pPr>
        <w:spacing w:after="0" w:line="238" w:lineRule="auto"/>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1740" w:space="720"/>
            <w:col w:w="1400" w:space="260"/>
            <w:col w:w="1320" w:space="340"/>
            <w:col w:w="4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(93,285)</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573,451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($0.16)</w:t>
      </w:r>
    </w:p>
    <w:p>
      <w:pPr>
        <w:spacing w:after="0" w:line="10" w:lineRule="exact"/>
        <w:rPr>
          <w:sz w:val="20"/>
          <w:szCs w:val="20"/>
          <w:color w:val="auto"/>
        </w:rPr>
      </w:pPr>
    </w:p>
    <w:p>
      <w:pPr>
        <w:sectPr>
          <w:pgSz w:w="11900" w:h="16838" w:orient="portrait"/>
          <w:cols w:equalWidth="0" w:num="4">
            <w:col w:w="2080" w:space="720"/>
            <w:col w:w="1040" w:space="720"/>
            <w:col w:w="860" w:space="720"/>
            <w:col w:w="40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(93,285)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573,451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($0.16)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660" w:space="720"/>
            <w:col w:w="1300" w:space="360"/>
            <w:col w:w="1220" w:space="440"/>
            <w:col w:w="4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$ 142,603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4"/>
          <w:szCs w:val="14"/>
          <w:color w:val="auto"/>
        </w:rPr>
        <w:t>573,255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$0.25</w:t>
      </w:r>
    </w:p>
    <w:p>
      <w:pPr>
        <w:spacing w:after="0" w:line="10" w:lineRule="exact"/>
        <w:rPr>
          <w:sz w:val="20"/>
          <w:szCs w:val="20"/>
          <w:color w:val="auto"/>
        </w:rPr>
      </w:pPr>
    </w:p>
    <w:p>
      <w:pPr>
        <w:sectPr>
          <w:pgSz w:w="11900" w:h="16838" w:orient="portrait"/>
          <w:cols w:equalWidth="0" w:num="4">
            <w:col w:w="2080" w:space="720"/>
            <w:col w:w="1040" w:space="720"/>
            <w:col w:w="940" w:space="720"/>
            <w:col w:w="40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$ 142,603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7,470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580,725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1660" w:space="720"/>
            <w:col w:w="1300" w:space="360"/>
            <w:col w:w="1220" w:space="440"/>
            <w:col w:w="4539"/>
          </w:cols>
          <w:pgMar w:left="220" w:top="617"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Due to the net loss, there is no dilutive effect in the second quarter.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first quarter 2001 included a $25 million ($0.04 per share - diluted) in-process research and development charge related to the acquisition of Bull CP8. This charge is classified in Research &amp; Engineering in the Consolidated Statement of Income.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second quarter 2001 included a $280 million ($0.48 per share - diluted) estimated impairment charge from the expected disposition of certain Resource Management Services businesses (Electricity and Water outside North America and the worldwide Gas businesses). This charge, which included the write off of goodwill ($139 million) and cumulative translation adjustment ($79 million), is classified in Cost of goods sold and services in the Consolidated Statement of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w:t>
      </w:r>
    </w:p>
    <w:p>
      <w:pPr>
        <w:sectPr>
          <w:pgSz w:w="11900" w:h="16838" w:orient="portrait"/>
          <w:cols w:equalWidth="0" w:num="1">
            <w:col w:w="10239"/>
          </w:cols>
          <w:pgMar w:left="220" w:top="617" w:right="1440" w:bottom="1440" w:gutter="0" w:footer="0" w:header="0"/>
          <w:type w:val="continuous"/>
        </w:sectPr>
      </w:pPr>
    </w:p>
    <w:bookmarkStart w:id="6" w:name="page7"/>
    <w:bookmarkEnd w:id="6"/>
    <w:p>
      <w:pPr>
        <w:ind w:right="3239"/>
        <w:spacing w:after="0" w:line="236" w:lineRule="auto"/>
        <w:rPr>
          <w:sz w:val="20"/>
          <w:szCs w:val="20"/>
          <w:color w:val="auto"/>
        </w:rPr>
      </w:pPr>
      <w:r>
        <w:rPr>
          <w:rFonts w:ascii="Courier New" w:cs="Courier New" w:eastAsia="Courier New" w:hAnsi="Courier New"/>
          <w:sz w:val="15"/>
          <w:szCs w:val="15"/>
          <w:color w:val="auto"/>
        </w:rPr>
        <w:t>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SEMA PLC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61"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On March 8, 2001, Schlumberger acquired, through market purchases, approximately 20% of the issued share capital of Sema at a cost of $1 billion.</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The aggregate consideration for the acquisition of 100% of the issued Sema shares was $5.15 billion (including expenses of the transaction) which is being financed from existing cash resources and borrowings under a $3 billion credit facility.</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acquisition was accounted for using the purchase method of accounting and the goodwill and identifiable intangibles aggregated $5.19 billion which are being amortized on a straight line basis. The final allocation of the purchase price and amortization periods had not yet been completed. For the third quarter, goodwill and identifiable intangibles will be amortized on a straight line basis over a composite life of 18 years.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aggregate value of goodwill and identifiable intangibles comprised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(Dollars in billions)</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 (including expenses)</w:t>
            </w:r>
          </w:p>
        </w:tc>
        <w:tc>
          <w:tcPr>
            <w:tcW w:w="2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$ 5.15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accounting adjustments (1)</w:t>
            </w:r>
          </w:p>
        </w:tc>
        <w:tc>
          <w:tcPr>
            <w:tcW w:w="22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tangible assets acquired</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500" w:type="dxa"/>
            <w:vAlign w:val="bottom"/>
          </w:tcPr>
          <w:p>
            <w:pPr>
              <w:spacing w:after="0"/>
              <w:rPr>
                <w:sz w:val="14"/>
                <w:szCs w:val="14"/>
                <w:color w:val="auto"/>
              </w:rPr>
            </w:pP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22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$ 5.19</w:t>
            </w:r>
          </w:p>
        </w:tc>
      </w:tr>
      <w:tr>
        <w:trPr>
          <w:trHeight w:val="168"/>
        </w:trPr>
        <w:tc>
          <w:tcPr>
            <w:tcW w:w="3500" w:type="dxa"/>
            <w:vAlign w:val="bottom"/>
          </w:tcPr>
          <w:p>
            <w:pPr>
              <w:spacing w:after="0"/>
              <w:rPr>
                <w:sz w:val="14"/>
                <w:szCs w:val="14"/>
                <w:color w:val="auto"/>
              </w:rPr>
            </w:pP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accounting adjustments consisted primarily of severance costs ($84 million), facility reductions ($33 million), pension plan adjustments ($136 million) and tax restructuring costs ($50 million).</w:t>
      </w:r>
    </w:p>
    <w:p>
      <w:pPr>
        <w:spacing w:after="0" w:line="174"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For financial reporting purposes, Schlumberger included the results of operations of Sema in its consolidated accounts commencing April 1, 2001.</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Sema is an IT services company (with approximately 22,000 employees)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Investments in affiliated companies include Schlumberger's 40% investment in the MI Drilling Fluids Joint Venture (June 30, 2001 - $499 million; December 31, 2000 - $461 million). Equity in income of investments carried under the equity method (2001 - $29 million; 2000 - $14 million) are included in Interest &amp; other income on the Consolidated Statement of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Commencing January 1, 2001, Schlumberger adopted SFAS 133, Accounting for Derivative Instruments and Hedging Activities (See Item 2:Management's Discussion and Analysis of Financial Condition and Results of Operations).</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141 (Business Combinations) has been adopted by Schlumberger for acquisitions subsequent to June 30, 2001. SFAS 142 (Goodwill and Other Intangible Assets) will be adopted by Schlumberger commencing January 1, 2002. As required by SFAS 142, Schlumberger will undertake a review for impairment in 2002. In the second quarter 2001, Schlumberger incurred amortization of goodwill and other intangibles amounting to $85 million (net of tax). With the adoption of SFAS 142, the equivalent amount is estimated to be $12 million per quarter in 2002.</w:t>
      </w:r>
    </w:p>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700"/>
        <w:spacing w:after="0" w:line="236" w:lineRule="auto"/>
        <w:rPr>
          <w:sz w:val="20"/>
          <w:szCs w:val="20"/>
          <w:color w:val="auto"/>
        </w:rPr>
      </w:pPr>
      <w:r>
        <w:rPr>
          <w:rFonts w:ascii="Courier New" w:cs="Courier New" w:eastAsia="Courier New" w:hAnsi="Courier New"/>
          <w:sz w:val="15"/>
          <w:szCs w:val="15"/>
          <w:color w:val="auto"/>
        </w:rPr>
        <w:t>Following the acquisition of Sema plc on April 6, 2001, Schlumberger created a new business segment, SchlumbergerSema, which resulted from the merger of Sema plc with certain businesses from Schlumberger's former segments, Test &amp; Transactions and Resource Management Services. Following this reorganization, Schlumberger now operates two reportable segments, Oilfield Services and SchlumbergerSema.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280" w:type="dxa"/>
            <w:vAlign w:val="bottom"/>
          </w:tcPr>
          <w:p>
            <w:pPr>
              <w:spacing w:after="0"/>
              <w:rPr>
                <w:sz w:val="24"/>
                <w:szCs w:val="24"/>
                <w:color w:val="auto"/>
              </w:rPr>
            </w:pPr>
          </w:p>
        </w:tc>
        <w:tc>
          <w:tcPr>
            <w:tcW w:w="92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Elims/</w:t>
            </w:r>
          </w:p>
        </w:tc>
        <w:tc>
          <w:tcPr>
            <w:tcW w:w="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Total</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Schlumberger</w:t>
            </w:r>
          </w:p>
        </w:tc>
        <w:tc>
          <w:tcPr>
            <w:tcW w:w="820" w:type="dxa"/>
            <w:vAlign w:val="bottom"/>
          </w:tcPr>
          <w:p>
            <w:pPr>
              <w:spacing w:after="0"/>
              <w:rPr>
                <w:sz w:val="14"/>
                <w:szCs w:val="14"/>
                <w:color w:val="auto"/>
              </w:rPr>
            </w:pP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Elims/</w:t>
            </w:r>
          </w:p>
        </w:tc>
        <w:tc>
          <w:tcPr>
            <w:tcW w:w="120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 2001</w:t>
            </w:r>
          </w:p>
        </w:tc>
        <w:tc>
          <w:tcPr>
            <w:tcW w:w="106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NAM</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LAM</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ECA</w:t>
            </w: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MEA</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OFS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Sema</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$1,865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$ 720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$ 976</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$ 215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$4,790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$ 1,221</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$ 572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(39)</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$ 6,544</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$ 282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$ 65</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$ 606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(87)</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$ 534</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170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Segment Income before tax</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$ 452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$ 889</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(141)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$ 746</w:t>
            </w:r>
          </w:p>
        </w:tc>
      </w:tr>
      <w:tr>
        <w:trPr>
          <w:trHeight w:val="168"/>
        </w:trPr>
        <w:tc>
          <w:tcPr>
            <w:tcW w:w="2280" w:type="dxa"/>
            <w:vAlign w:val="bottom"/>
          </w:tcPr>
          <w:p>
            <w:pPr>
              <w:spacing w:after="0"/>
              <w:rPr>
                <w:sz w:val="14"/>
                <w:szCs w:val="14"/>
                <w:color w:val="auto"/>
              </w:rPr>
            </w:pPr>
          </w:p>
        </w:tc>
        <w:tc>
          <w:tcPr>
            <w:tcW w:w="80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336"/>
        </w:trPr>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$ 355</w:t>
            </w:r>
          </w:p>
        </w:tc>
      </w:tr>
      <w:tr>
        <w:trPr>
          <w:trHeight w:val="168"/>
        </w:trPr>
        <w:tc>
          <w:tcPr>
            <w:tcW w:w="22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2280" w:type="dxa"/>
            <w:vAlign w:val="bottom"/>
          </w:tcPr>
          <w:p>
            <w:pPr>
              <w:spacing w:after="0"/>
              <w:rPr>
                <w:sz w:val="24"/>
                <w:szCs w:val="24"/>
                <w:color w:val="auto"/>
              </w:rPr>
            </w:pPr>
          </w:p>
        </w:tc>
        <w:tc>
          <w:tcPr>
            <w:tcW w:w="92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Elims/</w:t>
            </w:r>
          </w:p>
        </w:tc>
        <w:tc>
          <w:tcPr>
            <w:tcW w:w="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Total</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Schlumberger</w:t>
            </w:r>
          </w:p>
        </w:tc>
        <w:tc>
          <w:tcPr>
            <w:tcW w:w="820" w:type="dxa"/>
            <w:vAlign w:val="bottom"/>
          </w:tcPr>
          <w:p>
            <w:pPr>
              <w:spacing w:after="0"/>
              <w:rPr>
                <w:sz w:val="14"/>
                <w:szCs w:val="14"/>
                <w:color w:val="auto"/>
              </w:rPr>
            </w:pP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Elims/</w:t>
            </w:r>
          </w:p>
        </w:tc>
        <w:tc>
          <w:tcPr>
            <w:tcW w:w="120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 2000</w:t>
            </w:r>
          </w:p>
        </w:tc>
        <w:tc>
          <w:tcPr>
            <w:tcW w:w="106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NAM</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LAM</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ECA</w:t>
            </w: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MEA</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OFS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Sema</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tcPr>
          <w:p>
            <w:pPr>
              <w:jc w:val="right"/>
              <w:ind w:right="291"/>
              <w:spacing w:after="0" w:line="168" w:lineRule="exact"/>
              <w:rPr>
                <w:sz w:val="20"/>
                <w:szCs w:val="20"/>
                <w:color w:val="auto"/>
              </w:rPr>
            </w:pPr>
            <w:r>
              <w:rPr>
                <w:rFonts w:ascii="Courier New" w:cs="Courier New" w:eastAsia="Courier New" w:hAnsi="Courier New"/>
                <w:sz w:val="15"/>
                <w:szCs w:val="15"/>
                <w:color w:val="auto"/>
              </w:rPr>
              <w:t>$1,066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$ 723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$ 804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$ 478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$ 770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$ 4,476</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$ 81</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$ 132</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$ 298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$ 275</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2280" w:type="dxa"/>
            <w:vAlign w:val="bottom"/>
          </w:tcPr>
          <w:p>
            <w:pPr>
              <w:spacing w:after="0"/>
              <w:rPr>
                <w:sz w:val="14"/>
                <w:szCs w:val="14"/>
                <w:color w:val="auto"/>
              </w:rPr>
            </w:pPr>
          </w:p>
        </w:tc>
        <w:tc>
          <w:tcPr>
            <w:tcW w:w="9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Segment Income before tax</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$ 129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(93)</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$ 374</w:t>
            </w:r>
          </w:p>
        </w:tc>
      </w:tr>
      <w:tr>
        <w:trPr>
          <w:trHeight w:val="168"/>
        </w:trPr>
        <w:tc>
          <w:tcPr>
            <w:tcW w:w="2280" w:type="dxa"/>
            <w:vAlign w:val="bottom"/>
          </w:tcPr>
          <w:p>
            <w:pPr>
              <w:spacing w:after="0"/>
              <w:rPr>
                <w:sz w:val="14"/>
                <w:szCs w:val="14"/>
                <w:color w:val="auto"/>
              </w:rPr>
            </w:pPr>
          </w:p>
        </w:tc>
        <w:tc>
          <w:tcPr>
            <w:tcW w:w="80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336"/>
        </w:trPr>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$ 391</w:t>
            </w:r>
          </w:p>
        </w:tc>
      </w:tr>
      <w:tr>
        <w:trPr>
          <w:trHeight w:val="168"/>
        </w:trPr>
        <w:tc>
          <w:tcPr>
            <w:tcW w:w="22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REVIEW</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6"/>
              </w:rPr>
              <w:t>(Stated in millions)</w:t>
            </w:r>
          </w:p>
        </w:tc>
      </w:tr>
      <w:tr>
        <w:trPr>
          <w:trHeight w:val="168"/>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Oilfield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SchlumbergerSema</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Other (1)</w:t>
            </w:r>
          </w:p>
        </w:tc>
        <w:tc>
          <w:tcPr>
            <w:tcW w:w="8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24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32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24"/>
                <w:szCs w:val="2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chg</w:t>
            </w:r>
          </w:p>
        </w:tc>
        <w:tc>
          <w:tcPr>
            <w:tcW w:w="220" w:type="dxa"/>
            <w:vAlign w:val="bottom"/>
          </w:tcPr>
          <w:p>
            <w:pPr>
              <w:spacing w:after="0"/>
              <w:rPr>
                <w:sz w:val="24"/>
                <w:szCs w:val="24"/>
                <w:color w:val="auto"/>
              </w:rPr>
            </w:pP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24"/>
                <w:szCs w:val="24"/>
                <w:color w:val="auto"/>
              </w:rPr>
            </w:pPr>
          </w:p>
        </w:tc>
        <w:tc>
          <w:tcPr>
            <w:tcW w:w="6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2000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chg</w:t>
            </w:r>
          </w:p>
        </w:tc>
        <w:tc>
          <w:tcPr>
            <w:tcW w:w="2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 chg</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1,709</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287</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394</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Six Months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320" w:type="dxa"/>
            <w:vAlign w:val="bottom"/>
          </w:tcPr>
          <w:p>
            <w:pPr>
              <w:jc w:val="right"/>
              <w:ind w:right="34"/>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3,262</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1,221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572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770</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(69)%</w:t>
            </w:r>
          </w:p>
        </w:tc>
      </w:tr>
    </w:tbl>
    <w:p>
      <w:pPr>
        <w:sectPr>
          <w:pgSz w:w="11900" w:h="16838" w:orient="portrait"/>
          <w:cols w:equalWidth="0" w:num="1">
            <w:col w:w="11540"/>
          </w:cols>
          <w:pgMar w:left="220" w:top="617" w:right="139" w:bottom="12" w:gutter="0" w:footer="0" w:header="0"/>
        </w:sectPr>
      </w:pPr>
    </w:p>
    <w:bookmarkStart w:id="9" w:name="page10"/>
    <w:bookmarkEnd w:id="9"/>
    <w:p>
      <w:pPr>
        <w:ind w:left="430" w:right="4019" w:hanging="430"/>
        <w:spacing w:after="0" w:line="234" w:lineRule="auto"/>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those Resource Management Services businesses planned for divestiture, Semiconductor Solutions and Global Tel*Link.</w:t>
      </w:r>
    </w:p>
    <w:p>
      <w:pPr>
        <w:spacing w:after="0" w:line="173"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and minority interest, excluding interest expense, interest income, amortization of goodwill and identifiable intangibles ($92 million and $125 million in the second quarter of 2001 and six months 2001, respectively). All prior periods have been restated for comparative purposes.</w:t>
      </w:r>
    </w:p>
    <w:p>
      <w:pPr>
        <w:sectPr>
          <w:pgSz w:w="11900" w:h="16838" w:orient="portrait"/>
          <w:cols w:equalWidth="0" w:num="1">
            <w:col w:w="10229"/>
          </w:cols>
          <w:pgMar w:left="230" w:top="31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 Results</w:t>
      </w:r>
    </w:p>
    <w:p>
      <w:pPr>
        <w:spacing w:after="0" w:line="10"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Operations.</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Second Quarter 2001 Compared to Second Quarter 2000</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Loss for the second quarter was $93 million ($(0.16) per share - diluted) after a $280 million ($0.48 per share - diluted) estimated impairment charge from the expected disposition of certain Resource Management Services businesses. Excluding this charge, net income for the quarter was $187 million ($0.32 per share - diluted) compared to $156 million ($0.27 per share - diluted) last year.</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Oilfield Services revenue, including WesternGeco, increased 44% versus the second quarter of 2000 as the worldwide M-I rig count grew 27%. Compared with the first quarter of 2001, revenue increased 6% as the worldwide M-I rig count decreased 5%.</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SchlumbergerSema revenue was $901 million for the quarter, a 7% sequential increase on a proforma basis. This included revenue for the acquired businesses of Sema ($560 million) and Bull CP8 ($35 million).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Oilfield Services operating revenue in the second quarter increased 44% year-on-year with significant growth across all Areas and services driven by improved pricing levels and the introduction of new technologies.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Sequentially, revenue increased 6% led by the Europe/CIS/West Africa Area and activities within Well Completions &amp; Productivity where there was a sharp increase in product sales including Reda electrical submersible pumps. All services grew sequentially except for WesternGeco.</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worldwide M-I rig count increased 27% year-on-year but decreased 5% sequentially due mainly to the Canada spring break-up. Pretax operating income in the second quarter grew 101% compared to the same period last year and 12% sequentially.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consolidation program for WesternGeco proceeded according to plan. The seismic market has improved compared with last year; however, it remains soft, predominantly due to spare capacity in the marine seismic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of $941 million increased 70% compared with the same quarter last year and 2% sequentially. The M-I rig count increased 36% year-on-year and decreased 7% sequentially. Pretax operating income of $226 million was 237% higher than the second quarter last year and remained flat sequentially. The large increase in year-on-year revenue was partly attributable to the WesternGeco Joint Venture.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Pricing improvements and an increase in non-rig related activity drove year-on-year revenue growth. Year-on-year pretax operating income was led by strong growth in Well Completions &amp; Productivity, Well Services and Wireline activities. The Alaska and US Land GeoMarkets recorded the strongest pretax operating income growth year-on-year and sequentially, the latter being offset by the Canada spring break-up.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Revenue of $355 million increased 36% year-on-year but decreased 3% sequentially. This is in line with the M-I rig count, which increased 26% compared with the same period last year and decreased 2% sequentially. Pretax operating income of $44 million was 190% higher compared to last year and increased 3% sequentially.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Year-on-year revenue growth was recorded across all services. In particular, the activities associated with the IPM Burgos alliance project grew 52%. In addition,</w:t>
      </w:r>
    </w:p>
    <w:p>
      <w:pPr>
        <w:sectPr>
          <w:pgSz w:w="11900" w:h="16838" w:orient="portrait"/>
          <w:cols w:equalWidth="0" w:num="1">
            <w:col w:w="10239"/>
          </w:cols>
          <w:pgMar w:left="220" w:top="624" w:right="1440" w:bottom="1440" w:gutter="0" w:footer="0" w:header="0"/>
        </w:sectPr>
      </w:pPr>
    </w:p>
    <w:bookmarkStart w:id="11" w:name="page12"/>
    <w:bookmarkEnd w:id="11"/>
    <w:p>
      <w:pPr>
        <w:ind w:right="3319"/>
        <w:spacing w:after="0" w:line="236" w:lineRule="auto"/>
        <w:rPr>
          <w:sz w:val="20"/>
          <w:szCs w:val="20"/>
          <w:color w:val="auto"/>
        </w:rPr>
      </w:pPr>
      <w:r>
        <w:rPr>
          <w:rFonts w:ascii="Courier New" w:cs="Courier New" w:eastAsia="Courier New" w:hAnsi="Courier New"/>
          <w:sz w:val="15"/>
          <w:szCs w:val="15"/>
          <w:color w:val="auto"/>
        </w:rPr>
        <w:t>Schlumberger was awarded two deepwater completion contracts in Brazil, confirming Schlumberger expertise in this area. The decrease in sequential revenue growth, largely due to a slow down in marine seismic activity particularly in the Mexico GeoMarket, was mitigated by continued revenue growth from other services despite reduced rig activity.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Strong IPM activity contributed to the positive sequential pretax operating income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Revenue of $550 million increased 43% compared with the same quarter last year, and 19% sequentially. The M-I rig count, excluding CIS, increased 17% year-on-year and 1% sequentially. Pretax operating income of $96 million increased 134% year-on-year and 69% sequentially.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Year-on-year and sequential revenue growth exceeded rig count growth due mainly to increased non-rig related activity particularly in the North Sea and West Africa. During the quarter, the first commercial survey utilizing the Q-Marine* seismic system was successfully completed. Q*-Technology establishes a new level of precision for seismic reservoir characterization and evaluation. The West Africa and Nigeria GeoMarkets led the strongest year-on-year revenue growth with increased testing activity, especially in West Africa where several PhaseTester* Vx* multiphase well testing technology contracts were awarded in the last six months. Vx-Technology determines a well's oil, gas and water flow rates without the need for traditional test separators thus improving efficiency and environmental performance.</w:t>
      </w:r>
    </w:p>
    <w:p>
      <w:pPr>
        <w:spacing w:after="0" w:line="180"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Pretax operating income growth was led by WesternGeco, Well Completions &amp; Productivity and IPM activities.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Second quarter revenue of $509 million increased 20% year-on-year and 9% sequentially. The M-I rig count increased 6% year-on-year with a slight sequential increase. Pretax operating income of $108 million increased 21% year-on-year and 17% sequentially.</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Year-on-year revenue growth was led by the Malaysia GeoMarket due to increased activity across all services. Sequential revenue growth exceeded the rig count growth due to improved pricing and increased non-rig related activity. This included the award of a 4000 well petrophysical study to Data &amp; Consulting Services in the Middle East. Growth was also led by Well Completions &amp; Productivity, Testing and Wireline which was particularly active in the China GeoMarket.</w:t>
      </w:r>
    </w:p>
    <w:p>
      <w:pPr>
        <w:spacing w:after="0" w:line="17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GeoMarkets in this Area contributed to pretax operating income by raising basic service prices while increasing market share.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SCHLUMBERGERSEMA</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SchlumbergerSema business segment reported operating revenue for the quarter of $901 million, which included revenue from the recent acquisitions of Sema plc ($560 million) and Bull CP8 ($35 million).</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pretax operating loss for the quarter of $15 million was largely attributed to losses in the utility sector, to lower profitability in telecom-related smart cards and integration costs of about $5 million associated with the Sema acquisition. The businesses acquired with Sema were break-even.</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from the utility sector was up 11% sequentially on increased activity in the utility business in North America. Service revenues from remotely readable meter installations increased during the quarter. In addition, orders in Utilities</w:t>
      </w:r>
    </w:p>
    <w:p>
      <w:pPr>
        <w:sectPr>
          <w:pgSz w:w="11900" w:h="16838" w:orient="portrait"/>
          <w:cols w:equalWidth="0" w:num="1">
            <w:col w:w="10239"/>
          </w:cols>
          <w:pgMar w:left="220" w:top="624" w:right="1440" w:bottom="1440" w:gutter="0" w:footer="0" w:header="0"/>
        </w:sectPr>
      </w:pPr>
    </w:p>
    <w:bookmarkStart w:id="12" w:name="page13"/>
    <w:bookmarkEnd w:id="12"/>
    <w:p>
      <w:pPr>
        <w:ind w:right="3499"/>
        <w:spacing w:after="0" w:line="234" w:lineRule="auto"/>
        <w:rPr>
          <w:sz w:val="20"/>
          <w:szCs w:val="20"/>
          <w:color w:val="auto"/>
        </w:rPr>
      </w:pPr>
      <w:r>
        <w:rPr>
          <w:rFonts w:ascii="Courier New" w:cs="Courier New" w:eastAsia="Courier New" w:hAnsi="Courier New"/>
          <w:sz w:val="15"/>
          <w:szCs w:val="15"/>
          <w:color w:val="auto"/>
        </w:rPr>
        <w:t>increased by 9% in particular due to a new consulting contract with Louisiana Gas &amp; Electric.</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Cards revenue of $176 million increased sequentially by 5% including the Bull CP8 acquisition. Revenue was 20% lower than the previous quarter excluding the Bull CP8 acquisition. Mobile communications cards (SIM) revenue was down 22%, reflecting excess inventories carried by Asian mobile operators and reduced demand for cellular handsets. Sequentially, orders for mobile prepaid cards were 8% higher and banking cards almost doubled, reflecting increased shipments of cards to the UK and Proton e-purse cards to the Netherlands and to Belgium.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segment includes the portion of the Resource Management Services businesses, Semiconductor Solutions and Global Tel*Link which are expected to be disposed of in the near future. Revenue from the Resource Management Services businesses was 20% below last year; Semiconductor Solutions revenue was 50% below a year ago.</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operating loss at Semiconductor Solutions was more than offset by the profit at Resource Management Services.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the second quarter, the Company recorded an impairment charge of $280 million ($0.48 per share - diluted) related to the expected disposition of certain of the Resource Management Services businesses (Electricity and Water outside North America and the worldwide Gas businesses). The charge included the write off of goodwill ($139 million) and cumulative translation adjustment ($79 million).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and other income decreased $24 million from the same period last year as a $38 million decrease in interest income (2001 - $35 million; 2000 - $73 million) reflecting a decrease of $2.6 billion in average investment balances which were used to finance the acquisition of Sema plc shares and a decrease in average returns on investments from 6.1% to 5.6%, was partially offset by a $9 million gain from the sale of investments, also related to funding the Sema plc share purchases, and a $5 million increase in equity income. Gross margin, excluding the $280 million charge, of 23% was one and a half percentage points above last year. Research and engineering expense as a percentage of revenue decreased 0.8% and marketing expense increased 0.4%. General expense as a percentage of revenue increased from 4.5% to 5.3%. Interest expense increased by $43 million as average debt balances were up $2.8 billion due primarily to the Sema acquisition and the average borrowing rates decreased from 6.6% to 6.4%. The effective tax rate, excluding the $280 million charge, increased by 8 percentage points to 32% reflecting higher pretax income in the United States and the effect of higher non-tax deductible goodwill amortization.</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First Six Months 2001 Compared to First Six Months 2000</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Operating revenue for the first half of the year was $6.5 billion, a 46% increase over the same period last year. Excluding charges, net income was $448 million and diluted earnings per share were $0.77, increases of 53% and 51%, respectively, over the same period last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Operating revenue increased 47% due in large part to North America and Europe/CIS/West Africa. Pretax operating income increased by 111% over last year. The M-I rig count increased by 30%. Pricing improvements and the WesternGeco Joint Venture influenced the growth in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increased 75% to $1.87 billion compared to the first six months of 2000, pretax operating income of $452 million increased 252%. The M-I rig count increased 30% over the same period last year. The increase in revenue reflected the higher</w:t>
      </w:r>
    </w:p>
    <w:p>
      <w:pPr>
        <w:sectPr>
          <w:pgSz w:w="11900" w:h="16838" w:orient="portrait"/>
          <w:cols w:equalWidth="0" w:num="1">
            <w:col w:w="10239"/>
          </w:cols>
          <w:pgMar w:left="220" w:top="624" w:right="1440" w:bottom="1440" w:gutter="0" w:footer="0" w:header="0"/>
        </w:sectPr>
      </w:pPr>
    </w:p>
    <w:bookmarkStart w:id="13" w:name="page14"/>
    <w:bookmarkEnd w:id="13"/>
    <w:p>
      <w:pPr>
        <w:ind w:right="3399"/>
        <w:spacing w:after="0" w:line="235" w:lineRule="auto"/>
        <w:rPr>
          <w:sz w:val="20"/>
          <w:szCs w:val="20"/>
          <w:color w:val="auto"/>
        </w:rPr>
      </w:pPr>
      <w:r>
        <w:rPr>
          <w:rFonts w:ascii="Courier New" w:cs="Courier New" w:eastAsia="Courier New" w:hAnsi="Courier New"/>
          <w:sz w:val="15"/>
          <w:szCs w:val="15"/>
          <w:color w:val="auto"/>
        </w:rPr>
        <w:t>non-rig related activities, price increase, new technologies and better utilization of existing resources. Canada's revenue was negatively affected by the early spring break-up.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Latin America revenue of $720 million increased by 41% compared to last year. The pretax operating income increased by 272% and the M-I rig count increased by 30%. The decline in revenue from seismic activities in the GeoMarkets was offset by strong Burgos Allianza ll activity. Venezuela and Trinidad and Tobago also had to adjust Prisa contract bonus and inflation adjustment billings.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of $1.01 billion increased 40% over the same period last year. Pretax operating income increased 136% and the M-I rig count (excluding CIS) increased by 21%. IPM had a significant increase in revenue due mainly to the TFE Atora EPF project in Gabon.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increased 21% to $976 million. Compared to the same period last year, pretax operating income was up 30% and the M-I rig count increased by 7%. The GeoMarkets in this Area contributed to pretax operating income by raising basic service prices while increasing market share.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SCHLUMBERGERSEMA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was $1.22 billion, 156% higher than last year and pretax operating income was a loss of $12 million. Revenue for Utilities and Transactions Systems both increased over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from the Resource Management Services businesses decreased 22% compared to last year. Semiconductor Solutions revenue declined 42%. The profit at Resource Management Services was partially offset by Semiconductor Solutions losses.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Interest and other income decreased $10 million from the same period last year as a $44 million decrease in interest income (2001 - $102 million; 2000 - $146 million) reflecting a decrease in average investment balances which were used to finance the acquisition of Sema plc shares, was partially offset by a $19 million gain from the sale of investments, also related to funding the Sema plc share purchases, and a $16 million increase in equity income. Average returns on investments increased from 6.0% to 6.2%. Gross margin, excluding the $280 million charge, of 24% was nearly two percentage points above last year. Research and engineering, marketing and general expenses as a percentage of revenue were flat. Interest expense increased $57 million as average borrowing rates decreased from 6.6% to 6.5%. The increase in expenses was due mainly to the acquisition of Sema plc. The effective tax rate, excluding the charges, increased from 24% to 30% for the same period last year due to higher profitability in the United States and the effect of higher non-tax deductible goodwill amortization.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Occasionally, Schlumberger uses derivative instruments such as interest rate swaps, currency swaps, forward currency contracts and foreign currency options. Forward currency contracts provide a hedge against currency fluctuations on assets/liabilities denominated in other than a functional</w:t>
      </w:r>
    </w:p>
    <w:p>
      <w:pPr>
        <w:sectPr>
          <w:pgSz w:w="11900" w:h="16838" w:orient="portrait"/>
          <w:cols w:equalWidth="0" w:num="1">
            <w:col w:w="10239"/>
          </w:cols>
          <w:pgMar w:left="220" w:top="624" w:right="1440" w:bottom="1440" w:gutter="0" w:footer="0" w:header="0"/>
        </w:sectPr>
      </w:pPr>
    </w:p>
    <w:bookmarkStart w:id="14" w:name="page15"/>
    <w:bookmarkEnd w:id="14"/>
    <w:p>
      <w:pPr>
        <w:jc w:val="both"/>
        <w:ind w:right="4099"/>
        <w:spacing w:after="0" w:line="235" w:lineRule="auto"/>
        <w:rPr>
          <w:sz w:val="20"/>
          <w:szCs w:val="20"/>
          <w:color w:val="auto"/>
        </w:rPr>
      </w:pPr>
      <w:r>
        <w:rPr>
          <w:rFonts w:ascii="Courier New" w:cs="Courier New" w:eastAsia="Courier New" w:hAnsi="Courier New"/>
          <w:sz w:val="15"/>
          <w:szCs w:val="15"/>
          <w:color w:val="auto"/>
        </w:rPr>
        <w:t>currency. Options are usually entered into as a hedge against currency variations on firm commitments generally involving the construction of long-lived assets.</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 Schlumberger's specific goals are (1) to manage interest rate sensitivity by modifying the repricing or maturity characteristics of certain of its debt and (2) to lower (where possible) the cost of borrowed funds.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June 30, 2001, Schlumberger recognized a net $27 million charge in Stockholders' Equity relating to SFAS 133. This charge was primarily due to the change in the fair market value of Schlumberger's US interest rate swaps as a result of declining interest rates. The effect on Stockholders' Equity at December 31, 2000 was not significant.</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June 2001, SFAS 141 (Business Combinations) and SFAS 142 (Goodwill and Other Intangible Assets) were issued. See "New Accounting Standards" in the "Notes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April 2001, Schlumberger acquired Sema plc for an aggregate consideration of $5.15 billion. See "Investment in Sema plc" in the "Notes to the Consolidated Financial Statements".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March 2001, Schlumberger acquired Bull CP8, a market leader in microprocessor-based smart cards and associated systems applications for the banking, mobile communications and network security industries. The acquisition price was $313 million. Assets acquired included identifiable intangibles (primarily patents) of $136 million and goodwill of $140 million. Additionally, in-process research &amp; development which aggregated $25 million was charged to expense in the first quarter.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In April 2001, Schlumberger borrowed $3 billion to finance the acquisition of Sema plc. See "Investment in Sema plc" in the "Notes to the Consolidated</w:t>
      </w:r>
    </w:p>
    <w:p>
      <w:pPr>
        <w:ind w:left="2460"/>
        <w:spacing w:after="0" w:line="231"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10-Q report, the second quarter 2001 earnings release and associated conference call, and elsewhere may constitute forward-looking statements. These include statements as to expectations, beliefs and future financial performance, such as statements regarding business prospects in the key industries in which Schlumberger operates and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key long-term contracts; changes in E&amp;P spending by major oil and gas companies, including renewed growth in gas drilling; economic, competitive and technological factors affecting markets, services, and prices in Schlumberger Sema businesses, including the extent and timing of a recovery in the telecommunications industry segment and utilities investment in utility management solutions; Schlumberger's ability to integrate newly acquired businesses and to realize identified synergies and cost savings from those acquisitions; timing and proceeds from anticipated divestitures; general economic and business conditions in key regions of the world; and changes in business strategy.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340" w:lineRule="exact"/>
        <w:rPr>
          <w:sz w:val="20"/>
          <w:szCs w:val="20"/>
          <w:color w:val="auto"/>
        </w:rPr>
      </w:pPr>
    </w:p>
    <w:p>
      <w:pPr>
        <w:ind w:left="620" w:hanging="610"/>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 -----------------------------------------</w:t>
      </w:r>
    </w:p>
    <w:p>
      <w:pPr>
        <w:ind w:left="440" w:hanging="430"/>
        <w:spacing w:after="0" w:line="238"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1060"/>
        <w:spacing w:after="0" w:line="237" w:lineRule="auto"/>
        <w:rPr>
          <w:sz w:val="20"/>
          <w:szCs w:val="20"/>
          <w:color w:val="auto"/>
        </w:rPr>
      </w:pPr>
      <w:r>
        <w:rPr>
          <w:rFonts w:ascii="Courier New" w:cs="Courier New" w:eastAsia="Courier New" w:hAnsi="Courier New"/>
          <w:sz w:val="15"/>
          <w:szCs w:val="15"/>
          <w:color w:val="auto"/>
        </w:rPr>
        <w:t>Exhibit 3(a) - Deed of Incorporation as amended May 4, 2001.</w:t>
      </w:r>
    </w:p>
    <w:p>
      <w:pPr>
        <w:ind w:left="1060"/>
        <w:spacing w:after="0" w:line="238" w:lineRule="auto"/>
        <w:rPr>
          <w:sz w:val="20"/>
          <w:szCs w:val="20"/>
          <w:color w:val="auto"/>
        </w:rPr>
      </w:pPr>
      <w:r>
        <w:rPr>
          <w:rFonts w:ascii="Courier New" w:cs="Courier New" w:eastAsia="Courier New" w:hAnsi="Courier New"/>
          <w:sz w:val="15"/>
          <w:szCs w:val="15"/>
          <w:color w:val="auto"/>
        </w:rPr>
        <w:t>Exhibit 3(b) - By-Laws as amended April 19, 2001.</w:t>
      </w:r>
    </w:p>
    <w:p>
      <w:pPr>
        <w:spacing w:after="0" w:line="167"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2460" w:right="3399" w:hanging="614"/>
        <w:spacing w:after="0" w:line="236" w:lineRule="auto"/>
        <w:tabs>
          <w:tab w:leader="none" w:pos="24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8-K filed with the Commission on April 20, 2001 to report that Schlumberger Investments, a wholly owned subsidiary of Schlumberger Limited, announced that its offer for the ordinary Share Capital of Sema plc had been declared unconditional in all respects.</w:t>
      </w:r>
    </w:p>
    <w:p>
      <w:pPr>
        <w:spacing w:after="0" w:line="174" w:lineRule="exact"/>
        <w:rPr>
          <w:rFonts w:ascii="Courier New" w:cs="Courier New" w:eastAsia="Courier New" w:hAnsi="Courier New"/>
          <w:sz w:val="15"/>
          <w:szCs w:val="15"/>
          <w:color w:val="auto"/>
        </w:rPr>
      </w:pPr>
    </w:p>
    <w:p>
      <w:pPr>
        <w:ind w:left="2460" w:right="3499" w:hanging="614"/>
        <w:spacing w:after="0" w:line="235" w:lineRule="auto"/>
        <w:tabs>
          <w:tab w:leader="none" w:pos="24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8-K/A filed with the Commission on June 15, 2001 to file the pro forma financial information required by Form 8-K filed with the Commission on April 20, 2001.</w:t>
      </w:r>
    </w:p>
    <w:p>
      <w:pPr>
        <w:spacing w:after="0" w:line="200" w:lineRule="exact"/>
        <w:rPr>
          <w:sz w:val="20"/>
          <w:szCs w:val="20"/>
          <w:color w:val="auto"/>
        </w:rPr>
      </w:pPr>
    </w:p>
    <w:p>
      <w:pPr>
        <w:spacing w:after="0" w:line="30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80" w:right="323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chief accounting officer.</w:t>
      </w:r>
    </w:p>
    <w:p>
      <w:pPr>
        <w:sectPr>
          <w:pgSz w:w="11900" w:h="16838" w:orient="portrait"/>
          <w:cols w:equalWidth="0" w:num="1">
            <w:col w:w="10239"/>
          </w:cols>
          <w:pgMar w:left="220" w:top="624" w:right="1440" w:bottom="1440" w:gutter="0" w:footer="0" w:header="0"/>
        </w:sectPr>
      </w:pPr>
    </w:p>
    <w:bookmarkStart w:id="16" w:name="page17"/>
    <w:bookmarkEnd w:id="16"/>
    <w:p>
      <w:pPr>
        <w:jc w:val="center"/>
        <w:ind w:right="-1320"/>
        <w:spacing w:after="0"/>
        <w:rPr>
          <w:sz w:val="20"/>
          <w:szCs w:val="20"/>
          <w:color w:val="auto"/>
        </w:rPr>
      </w:pPr>
      <w:r>
        <w:rPr>
          <w:rFonts w:ascii="Courier New" w:cs="Courier New" w:eastAsia="Courier New" w:hAnsi="Courier New"/>
          <w:sz w:val="14"/>
          <w:szCs w:val="14"/>
          <w:color w:val="auto"/>
        </w:rPr>
        <w:t>Schlumberger Limited</w:t>
      </w:r>
    </w:p>
    <w:p>
      <w:pPr>
        <w:spacing w:after="0" w:line="3"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right"/>
        <w:ind w:right="860"/>
        <w:spacing w:after="0" w:line="234" w:lineRule="auto"/>
        <w:rPr>
          <w:sz w:val="20"/>
          <w:szCs w:val="20"/>
          <w:color w:val="auto"/>
        </w:rPr>
      </w:pPr>
      <w:r>
        <w:rPr>
          <w:rFonts w:ascii="Courier New" w:cs="Courier New" w:eastAsia="Courier New" w:hAnsi="Courier New"/>
          <w:sz w:val="15"/>
          <w:szCs w:val="15"/>
          <w:color w:val="auto"/>
        </w:rPr>
        <w:t>Date: August 8,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.../s/Jean-Marc Perraud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620" w:space="720"/>
            <w:col w:w="6899"/>
          </w:cols>
          <w:pgMar w:left="220" w:top="624" w:right="1440" w:bottom="1440" w:gutter="0" w:footer="0" w:header="0"/>
          <w:type w:val="continuous"/>
        </w:sectPr>
      </w:pPr>
    </w:p>
    <w:p>
      <w:pPr>
        <w:ind w:left="4380"/>
        <w:spacing w:after="0"/>
        <w:rPr>
          <w:sz w:val="20"/>
          <w:szCs w:val="20"/>
          <w:color w:val="auto"/>
        </w:rPr>
      </w:pPr>
      <w:r>
        <w:rPr>
          <w:rFonts w:ascii="Courier New" w:cs="Courier New" w:eastAsia="Courier New" w:hAnsi="Courier New"/>
          <w:sz w:val="15"/>
          <w:szCs w:val="15"/>
          <w:color w:val="auto"/>
        </w:rPr>
        <w:t>Jean-Marc Perraud</w:t>
      </w:r>
    </w:p>
    <w:p>
      <w:pPr>
        <w:ind w:left="4380"/>
        <w:spacing w:after="0" w:line="237" w:lineRule="auto"/>
        <w:rPr>
          <w:sz w:val="20"/>
          <w:szCs w:val="20"/>
          <w:color w:val="auto"/>
        </w:rPr>
      </w:pPr>
      <w:r>
        <w:rPr>
          <w:rFonts w:ascii="Courier New" w:cs="Courier New" w:eastAsia="Courier New" w:hAnsi="Courier New"/>
          <w:sz w:val="15"/>
          <w:szCs w:val="15"/>
          <w:color w:val="auto"/>
        </w:rPr>
        <w:t>Controller and</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Chief Accounting Officer</w:t>
      </w:r>
    </w:p>
    <w:p>
      <w:pPr>
        <w:sectPr>
          <w:pgSz w:w="11900" w:h="16838" w:orient="portrait"/>
          <w:cols w:equalWidth="0" w:num="1">
            <w:col w:w="10239"/>
          </w:cols>
          <w:pgMar w:left="220" w:top="624" w:right="1440" w:bottom="1440" w:gutter="0" w:footer="0" w:header="0"/>
          <w:type w:val="continuous"/>
        </w:sectPr>
      </w:pP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INDEX TO EXHIBITS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420" w:type="dxa"/>
            <w:vAlign w:val="bottom"/>
          </w:tcPr>
          <w:p>
            <w:pPr>
              <w:ind w:left="1240"/>
              <w:spacing w:after="0"/>
              <w:rPr>
                <w:sz w:val="20"/>
                <w:szCs w:val="20"/>
                <w:color w:val="auto"/>
              </w:rPr>
            </w:pPr>
            <w:r>
              <w:rPr>
                <w:rFonts w:ascii="Courier New" w:cs="Courier New" w:eastAsia="Courier New" w:hAnsi="Courier New"/>
                <w:sz w:val="15"/>
                <w:szCs w:val="15"/>
                <w:color w:val="auto"/>
              </w:rPr>
              <w:t>Description</w:t>
            </w:r>
          </w:p>
        </w:tc>
        <w:tc>
          <w:tcPr>
            <w:tcW w:w="1480" w:type="dxa"/>
            <w:vAlign w:val="bottom"/>
          </w:tcPr>
          <w:p>
            <w:pPr>
              <w:ind w:left="620"/>
              <w:spacing w:after="0"/>
              <w:rPr>
                <w:sz w:val="20"/>
                <w:szCs w:val="20"/>
                <w:color w:val="auto"/>
              </w:rPr>
            </w:pPr>
            <w:r>
              <w:rPr>
                <w:rFonts w:ascii="Courier New" w:cs="Courier New" w:eastAsia="Courier New" w:hAnsi="Courier New"/>
                <w:sz w:val="15"/>
                <w:szCs w:val="15"/>
                <w:color w:val="auto"/>
              </w:rPr>
              <w:t>Appendix</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3(a)</w:t>
            </w:r>
          </w:p>
        </w:tc>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Deed of Incorporation amended</w:t>
            </w:r>
          </w:p>
        </w:tc>
        <w:tc>
          <w:tcPr>
            <w:tcW w:w="1480" w:type="dxa"/>
            <w:vAlign w:val="bottom"/>
          </w:tcPr>
          <w:p>
            <w:pPr>
              <w:ind w:left="960"/>
              <w:spacing w:after="0"/>
              <w:rPr>
                <w:sz w:val="20"/>
                <w:szCs w:val="20"/>
                <w:color w:val="auto"/>
              </w:rPr>
            </w:pPr>
            <w:r>
              <w:rPr>
                <w:rFonts w:ascii="Courier New" w:cs="Courier New" w:eastAsia="Courier New" w:hAnsi="Courier New"/>
                <w:sz w:val="15"/>
                <w:szCs w:val="15"/>
                <w:color w:val="auto"/>
              </w:rPr>
              <w:t>A</w:t>
            </w:r>
          </w:p>
        </w:tc>
      </w:tr>
      <w:tr>
        <w:trPr>
          <w:trHeight w:val="168"/>
        </w:trPr>
        <w:tc>
          <w:tcPr>
            <w:tcW w:w="1400" w:type="dxa"/>
            <w:vAlign w:val="bottom"/>
          </w:tcPr>
          <w:p>
            <w:pPr>
              <w:spacing w:after="0"/>
              <w:rPr>
                <w:sz w:val="14"/>
                <w:szCs w:val="14"/>
                <w:color w:val="auto"/>
              </w:rPr>
            </w:pPr>
          </w:p>
        </w:tc>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On May 4, 2001</w:t>
            </w:r>
          </w:p>
        </w:tc>
        <w:tc>
          <w:tcPr>
            <w:tcW w:w="148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3(b)</w:t>
            </w:r>
          </w:p>
        </w:tc>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By-Laws as amended on</w:t>
            </w:r>
          </w:p>
        </w:tc>
        <w:tc>
          <w:tcPr>
            <w:tcW w:w="148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April 19, 2001</w:t>
            </w:r>
          </w:p>
        </w:tc>
        <w:tc>
          <w:tcPr>
            <w:tcW w:w="14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B</w:t>
            </w:r>
          </w:p>
        </w:tc>
      </w:tr>
    </w:tbl>
    <w:p>
      <w:pPr>
        <w:sectPr>
          <w:pgSz w:w="11900" w:h="16838" w:orient="portrait"/>
          <w:cols w:equalWidth="0" w:num="1">
            <w:col w:w="10239"/>
          </w:cols>
          <w:pgMar w:left="220" w:top="624" w:right="1440" w:bottom="1440" w:gutter="0" w:footer="0" w:header="0"/>
          <w:type w:val="continuous"/>
        </w:sectPr>
      </w:pPr>
    </w:p>
    <w:bookmarkStart w:id="17" w:name="page18"/>
    <w:bookmarkEnd w:id="17"/>
    <w:p>
      <w:pPr>
        <w:jc w:val="right"/>
        <w:ind w:right="3239"/>
        <w:spacing w:after="0"/>
        <w:rPr>
          <w:sz w:val="20"/>
          <w:szCs w:val="20"/>
          <w:color w:val="auto"/>
        </w:rPr>
      </w:pPr>
      <w:r>
        <w:rPr>
          <w:rFonts w:ascii="Courier New" w:cs="Courier New" w:eastAsia="Courier New" w:hAnsi="Courier New"/>
          <w:sz w:val="15"/>
          <w:szCs w:val="15"/>
          <w:color w:val="auto"/>
        </w:rPr>
        <w:t>Exhibit 3(a)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ARTICLES OF INCORPORATION OF THE</w:t>
      </w:r>
    </w:p>
    <w:p>
      <w:pPr>
        <w:ind w:left="2020"/>
        <w:spacing w:after="0" w:line="237" w:lineRule="auto"/>
        <w:rPr>
          <w:sz w:val="20"/>
          <w:szCs w:val="20"/>
          <w:color w:val="auto"/>
        </w:rPr>
      </w:pPr>
      <w:r>
        <w:rPr>
          <w:rFonts w:ascii="Courier New" w:cs="Courier New" w:eastAsia="Courier New" w:hAnsi="Courier New"/>
          <w:sz w:val="15"/>
          <w:szCs w:val="15"/>
          <w:color w:val="auto"/>
        </w:rPr>
        <w:t>CORPORATION WITH LIMITED LIABILITY</w:t>
      </w:r>
    </w:p>
    <w:p>
      <w:pPr>
        <w:ind w:left="2800"/>
        <w:spacing w:after="0" w:line="238" w:lineRule="auto"/>
        <w:rPr>
          <w:sz w:val="20"/>
          <w:szCs w:val="20"/>
          <w:color w:val="auto"/>
        </w:rPr>
      </w:pPr>
      <w:r>
        <w:rPr>
          <w:rFonts w:ascii="Courier New" w:cs="Courier New" w:eastAsia="Courier New" w:hAnsi="Courier New"/>
          <w:sz w:val="15"/>
          <w:szCs w:val="15"/>
          <w:color w:val="auto"/>
        </w:rPr>
        <w:t>SCHLUMBERGER N.V.</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NAME AND DOMICILE</w:t>
      </w:r>
    </w:p>
    <w:p>
      <w:pPr>
        <w:jc w:val="center"/>
        <w:ind w:right="3139"/>
        <w:spacing w:after="0" w:line="237" w:lineRule="auto"/>
        <w:rPr>
          <w:sz w:val="20"/>
          <w:szCs w:val="20"/>
          <w:color w:val="auto"/>
        </w:rPr>
      </w:pPr>
      <w:r>
        <w:rPr>
          <w:rFonts w:ascii="Courier New" w:cs="Courier New" w:eastAsia="Courier New" w:hAnsi="Courier New"/>
          <w:sz w:val="15"/>
          <w:szCs w:val="15"/>
          <w:color w:val="auto"/>
        </w:rPr>
        <w:t>Article 1</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The Company shall bear the name: SCHLUMBERGER N.V.</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right="437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Abroad and in transactions with foreign entities, persons or organizations, the name SCHLUMBERGER LIMITED may be used.</w:t>
      </w:r>
    </w:p>
    <w:p>
      <w:pPr>
        <w:spacing w:after="0"/>
        <w:tabs>
          <w:tab w:leader="none" w:pos="6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The Company is established in Curacao.</w:t>
      </w:r>
    </w:p>
    <w:p>
      <w:pPr>
        <w:spacing w:after="0" w:line="5"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1.4.</w:t>
        <w:tab/>
        <w:t>The Company may change its place of domicile in accordance with the Netherlands Antilles Ordinance on Transfer of Domicile to Third Countries pursuant to a resolution of the Board of Directors.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OBJECTS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Article 2</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The objects of the Company are:</w:t>
      </w:r>
    </w:p>
    <w:p>
      <w:pPr>
        <w:spacing w:after="0" w:line="5" w:lineRule="exact"/>
        <w:rPr>
          <w:sz w:val="20"/>
          <w:szCs w:val="20"/>
          <w:color w:val="auto"/>
        </w:rPr>
      </w:pPr>
    </w:p>
    <w:p>
      <w:pPr>
        <w:ind w:left="620" w:right="3239" w:hanging="610"/>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design, develop, produce and supply technology, services, products and systems and to, throughout the world, engage in any business or activity related thereto;</w:t>
      </w:r>
    </w:p>
    <w:p>
      <w:pPr>
        <w:spacing w:after="0" w:line="5" w:lineRule="exact"/>
        <w:rPr>
          <w:rFonts w:ascii="Courier New" w:cs="Courier New" w:eastAsia="Courier New" w:hAnsi="Courier New"/>
          <w:sz w:val="15"/>
          <w:szCs w:val="15"/>
          <w:color w:val="auto"/>
        </w:rPr>
      </w:pPr>
    </w:p>
    <w:p>
      <w:pPr>
        <w:ind w:left="620" w:right="3319" w:hanging="610"/>
        <w:spacing w:after="0" w:line="254"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1" w:lineRule="exact"/>
        <w:rPr>
          <w:rFonts w:ascii="Courier New" w:cs="Courier New" w:eastAsia="Courier New" w:hAnsi="Courier New"/>
          <w:sz w:val="14"/>
          <w:szCs w:val="14"/>
          <w:color w:val="auto"/>
        </w:rPr>
      </w:pPr>
    </w:p>
    <w:p>
      <w:pPr>
        <w:ind w:left="620" w:right="3319" w:hanging="610"/>
        <w:spacing w:after="0" w:line="254"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 its assets in securities, including shares and other certificates of participation and bonds, debentures or notes, as well as other claims for interest bearing or non-interest baring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2" w:lineRule="exact"/>
        <w:rPr>
          <w:rFonts w:ascii="Courier New" w:cs="Courier New" w:eastAsia="Courier New" w:hAnsi="Courier New"/>
          <w:sz w:val="14"/>
          <w:szCs w:val="14"/>
          <w:color w:val="auto"/>
        </w:rPr>
      </w:pPr>
    </w:p>
    <w:p>
      <w:pPr>
        <w:ind w:left="620" w:right="3239" w:hanging="610"/>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money and to issue evidences of indebtedness therefore, as well as to lend money;</w:t>
      </w:r>
    </w:p>
    <w:p>
      <w:pPr>
        <w:spacing w:after="0" w:line="5" w:lineRule="exact"/>
        <w:rPr>
          <w:rFonts w:ascii="Courier New" w:cs="Courier New" w:eastAsia="Courier New" w:hAnsi="Courier New"/>
          <w:sz w:val="15"/>
          <w:szCs w:val="15"/>
          <w:color w:val="auto"/>
        </w:rPr>
      </w:pPr>
    </w:p>
    <w:p>
      <w:pPr>
        <w:ind w:left="620" w:right="3759" w:hanging="610"/>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undertake, conduct, assist, promote or engage in any scientific, technical or business research and development;</w:t>
      </w:r>
    </w:p>
    <w:p>
      <w:pPr>
        <w:spacing w:after="0" w:line="5" w:lineRule="exact"/>
        <w:rPr>
          <w:rFonts w:ascii="Courier New" w:cs="Courier New" w:eastAsia="Courier New" w:hAnsi="Courier New"/>
          <w:sz w:val="15"/>
          <w:szCs w:val="15"/>
          <w:color w:val="auto"/>
        </w:rPr>
      </w:pPr>
    </w:p>
    <w:p>
      <w:pPr>
        <w:ind w:left="620" w:right="3239" w:hanging="610"/>
        <w:spacing w:after="0" w:line="236"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8" w:lineRule="exact"/>
        <w:rPr>
          <w:rFonts w:ascii="Courier New" w:cs="Courier New" w:eastAsia="Courier New" w:hAnsi="Courier New"/>
          <w:sz w:val="15"/>
          <w:szCs w:val="15"/>
          <w:color w:val="auto"/>
        </w:rPr>
      </w:pPr>
    </w:p>
    <w:p>
      <w:pPr>
        <w:ind w:left="620" w:right="3319" w:hanging="610"/>
        <w:spacing w:after="0" w:line="236"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6"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participate in and manage limited liability and other corporations, organizations, companies, undertakings, entities, trusts, other arrangements or persons of every kind or nature whatsoever, and to engage in industry and trade;</w:t>
      </w:r>
    </w:p>
    <w:p>
      <w:pPr>
        <w:sectPr>
          <w:pgSz w:w="11900" w:h="16838" w:orient="portrait"/>
          <w:cols w:equalWidth="0" w:num="1">
            <w:col w:w="10239"/>
          </w:cols>
          <w:pgMar w:left="220" w:top="471" w:right="1440" w:bottom="1440" w:gutter="0" w:footer="0" w:header="0"/>
        </w:sectPr>
      </w:pPr>
    </w:p>
    <w:bookmarkStart w:id="18" w:name="page19"/>
    <w:bookmarkEnd w:id="18"/>
    <w:p>
      <w:pPr>
        <w:ind w:left="620" w:right="3239" w:hanging="610"/>
        <w:spacing w:after="0" w:line="236"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1" w:lineRule="exact"/>
        <w:rPr>
          <w:rFonts w:ascii="Courier New" w:cs="Courier New" w:eastAsia="Courier New" w:hAnsi="Courier New"/>
          <w:sz w:val="15"/>
          <w:szCs w:val="15"/>
          <w:color w:val="auto"/>
        </w:rPr>
      </w:pPr>
    </w:p>
    <w:p>
      <w:pPr>
        <w:ind w:left="620" w:hanging="610"/>
        <w:spacing w:after="0" w:line="237"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place in trust all or any of its properties, including securities.</w:t>
      </w:r>
    </w:p>
    <w:p>
      <w:pPr>
        <w:spacing w:after="0" w:line="5" w:lineRule="exact"/>
        <w:rPr>
          <w:sz w:val="20"/>
          <w:szCs w:val="20"/>
          <w:color w:val="auto"/>
        </w:rPr>
      </w:pPr>
    </w:p>
    <w:p>
      <w:pPr>
        <w:ind w:left="620" w:right="34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2.2.</w:t>
        <w:tab/>
        <w:t>The Company is entitled to do all that in any way may be useful or necessary for the attainment of the above objects or that is connected therewith in the widest sense.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DURATION</w:t>
      </w:r>
    </w:p>
    <w:p>
      <w:pPr>
        <w:ind w:left="3160"/>
        <w:spacing w:after="0" w:line="237" w:lineRule="auto"/>
        <w:rPr>
          <w:sz w:val="20"/>
          <w:szCs w:val="20"/>
          <w:color w:val="auto"/>
        </w:rPr>
      </w:pPr>
      <w:r>
        <w:rPr>
          <w:rFonts w:ascii="Courier New" w:cs="Courier New" w:eastAsia="Courier New" w:hAnsi="Courier New"/>
          <w:sz w:val="15"/>
          <w:szCs w:val="15"/>
          <w:color w:val="auto"/>
        </w:rPr>
        <w:t>Article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shall have perpetual existence.</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CAPITAL AND SHARES</w:t>
      </w:r>
    </w:p>
    <w:p>
      <w:pPr>
        <w:ind w:left="3160"/>
        <w:spacing w:after="0" w:line="237" w:lineRule="auto"/>
        <w:rPr>
          <w:sz w:val="20"/>
          <w:szCs w:val="20"/>
          <w:color w:val="auto"/>
        </w:rPr>
      </w:pPr>
      <w:r>
        <w:rPr>
          <w:rFonts w:ascii="Courier New" w:cs="Courier New" w:eastAsia="Courier New" w:hAnsi="Courier New"/>
          <w:sz w:val="15"/>
          <w:szCs w:val="15"/>
          <w:color w:val="auto"/>
        </w:rPr>
        <w:t>Article 4</w:t>
      </w:r>
    </w:p>
    <w:p>
      <w:pPr>
        <w:spacing w:after="0" w:line="173"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The authorized capital of the Company shall be SEVENTEEN MILLION UNITED STATES DOLLARS (US$17,000,000.-), divided into (a) one billion five hundred million (1,500,000,000) shares of common stock of the par value of One United States Cent (US$0.01) per share and (b) two hundred million (200,000,000) shares of preferred stock of the par value of One United States Cent (US$0.01) per share, which may be issued in different series.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"shareholders".</w:t>
      </w:r>
    </w:p>
    <w:p>
      <w:pPr>
        <w:spacing w:after="0" w:line="4" w:lineRule="exact"/>
        <w:rPr>
          <w:sz w:val="20"/>
          <w:szCs w:val="20"/>
          <w:color w:val="auto"/>
        </w:rPr>
      </w:pPr>
    </w:p>
    <w:p>
      <w:pPr>
        <w:ind w:left="620" w:right="339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Common shares representing more than twenty percent (20%) of the authorized capital of the Company have been duly issued and fully paid.</w:t>
      </w:r>
    </w:p>
    <w:p>
      <w:pPr>
        <w:spacing w:after="0" w:line="1" w:lineRule="exact"/>
        <w:rPr>
          <w:sz w:val="20"/>
          <w:szCs w:val="20"/>
          <w:color w:val="auto"/>
        </w:rPr>
      </w:pPr>
    </w:p>
    <w:p>
      <w:pPr>
        <w:ind w:left="620" w:right="3399" w:hanging="611"/>
        <w:spacing w:after="0" w:line="256" w:lineRule="auto"/>
        <w:tabs>
          <w:tab w:leader="none" w:pos="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63" w:lineRule="exact"/>
        <w:rPr>
          <w:sz w:val="20"/>
          <w:szCs w:val="20"/>
          <w:color w:val="auto"/>
        </w:rPr>
      </w:pPr>
    </w:p>
    <w:p>
      <w:pPr>
        <w:jc w:val="both"/>
        <w:ind w:left="620" w:right="34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4.4.</w:t>
        <w:tab/>
        <w:t>With respect to the issuance of shares, options, warrants or rights to purchase or subscribe for shares the Board of Directors may enter into and conclude agreements without necessity of any action by the general meeting of shareholders:</w:t>
      </w:r>
    </w:p>
    <w:p>
      <w:pPr>
        <w:spacing w:after="0" w:line="7" w:lineRule="exact"/>
        <w:rPr>
          <w:sz w:val="20"/>
          <w:szCs w:val="20"/>
          <w:color w:val="auto"/>
        </w:rPr>
      </w:pPr>
    </w:p>
    <w:p>
      <w:pPr>
        <w:ind w:left="1240" w:right="3399" w:hanging="618"/>
        <w:spacing w:after="0" w:line="234" w:lineRule="auto"/>
        <w:tabs>
          <w:tab w:leader="none" w:pos="12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imposing special obligations upon the Company in connection with the purchase of or subscription for shares;</w:t>
      </w:r>
    </w:p>
    <w:p>
      <w:pPr>
        <w:spacing w:after="0" w:line="5" w:lineRule="exact"/>
        <w:rPr>
          <w:rFonts w:ascii="Courier New" w:cs="Courier New" w:eastAsia="Courier New" w:hAnsi="Courier New"/>
          <w:sz w:val="15"/>
          <w:szCs w:val="15"/>
          <w:color w:val="auto"/>
        </w:rPr>
      </w:pPr>
    </w:p>
    <w:p>
      <w:pPr>
        <w:ind w:left="1240" w:right="3239" w:hanging="618"/>
        <w:spacing w:after="0" w:line="234" w:lineRule="auto"/>
        <w:tabs>
          <w:tab w:leader="none" w:pos="12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concerning the issue of shares on a basis other than that on which participation in the Company is open to the public; or</w:t>
      </w:r>
    </w:p>
    <w:p>
      <w:pPr>
        <w:spacing w:after="0" w:line="5" w:lineRule="exact"/>
        <w:rPr>
          <w:rFonts w:ascii="Courier New" w:cs="Courier New" w:eastAsia="Courier New" w:hAnsi="Courier New"/>
          <w:sz w:val="15"/>
          <w:szCs w:val="15"/>
          <w:color w:val="auto"/>
        </w:rPr>
      </w:pPr>
    </w:p>
    <w:p>
      <w:pPr>
        <w:ind w:left="1240" w:hanging="618"/>
        <w:spacing w:after="0"/>
        <w:tabs>
          <w:tab w:leader="none" w:pos="1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for the payment for shares by means other than by legal</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tender of the Netherlands Antilles.</w:t>
      </w:r>
    </w:p>
    <w:p>
      <w:pPr>
        <w:spacing w:after="0" w:line="5"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4.5.</w:t>
        <w:tab/>
        <w:t>Subject to the provisions of this Article, preferred shares may be issued from time to time in one or more series on such terms and conditions as may be determined by the Board of Directors by the affirmative vote of at least three- 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Prior to the issuance of any series of preferred shares, the Board of</w:t>
      </w:r>
    </w:p>
    <w:p>
      <w:pPr>
        <w:ind w:left="620"/>
        <w:spacing w:after="0" w:line="237" w:lineRule="auto"/>
        <w:rPr>
          <w:sz w:val="20"/>
          <w:szCs w:val="20"/>
          <w:color w:val="auto"/>
        </w:rPr>
      </w:pPr>
      <w:r>
        <w:rPr>
          <w:rFonts w:ascii="Courier New" w:cs="Courier New" w:eastAsia="Courier New" w:hAnsi="Courier New"/>
          <w:sz w:val="15"/>
          <w:szCs w:val="15"/>
          <w:color w:val="auto"/>
        </w:rPr>
        <w:t>Directors shall specify:</w:t>
      </w:r>
    </w:p>
    <w:p>
      <w:pPr>
        <w:spacing w:after="0" w:line="5" w:lineRule="exact"/>
        <w:rPr>
          <w:sz w:val="20"/>
          <w:szCs w:val="20"/>
          <w:color w:val="auto"/>
        </w:rPr>
      </w:pPr>
    </w:p>
    <w:p>
      <w:pPr>
        <w:ind w:left="1240" w:right="3759" w:hanging="618"/>
        <w:spacing w:after="0" w:line="234"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such series and the number of preferred shares to constitute such series;</w:t>
      </w:r>
    </w:p>
    <w:p>
      <w:pPr>
        <w:spacing w:after="0" w:line="5" w:lineRule="exact"/>
        <w:rPr>
          <w:rFonts w:ascii="Courier New" w:cs="Courier New" w:eastAsia="Courier New" w:hAnsi="Courier New"/>
          <w:sz w:val="15"/>
          <w:szCs w:val="15"/>
          <w:color w:val="auto"/>
        </w:rPr>
      </w:pPr>
    </w:p>
    <w:p>
      <w:pPr>
        <w:ind w:left="1240" w:right="3239" w:hanging="618"/>
        <w:spacing w:after="0" w:line="236"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 w:lineRule="exact"/>
        <w:rPr>
          <w:rFonts w:ascii="Courier New" w:cs="Courier New" w:eastAsia="Courier New" w:hAnsi="Courier New"/>
          <w:sz w:val="15"/>
          <w:szCs w:val="15"/>
          <w:color w:val="auto"/>
        </w:rPr>
      </w:pPr>
    </w:p>
    <w:p>
      <w:pPr>
        <w:ind w:left="1840" w:hanging="606"/>
        <w:spacing w:after="0" w:line="237" w:lineRule="auto"/>
        <w:tabs>
          <w:tab w:leader="none" w:pos="18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exceed the greater of</w:t>
      </w:r>
    </w:p>
    <w:p>
      <w:pPr>
        <w:spacing w:after="0" w:line="5" w:lineRule="exact"/>
        <w:rPr>
          <w:rFonts w:ascii="Courier New" w:cs="Courier New" w:eastAsia="Courier New" w:hAnsi="Courier New"/>
          <w:sz w:val="15"/>
          <w:szCs w:val="15"/>
          <w:color w:val="auto"/>
        </w:rPr>
      </w:pPr>
    </w:p>
    <w:p>
      <w:pPr>
        <w:ind w:left="1840" w:right="3319" w:firstLine="6"/>
        <w:spacing w:after="0" w:line="236" w:lineRule="auto"/>
        <w:tabs>
          <w:tab w:leader="none" w:pos="219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7" w:lineRule="exact"/>
        <w:rPr>
          <w:rFonts w:ascii="Courier New" w:cs="Courier New" w:eastAsia="Courier New" w:hAnsi="Courier New"/>
          <w:sz w:val="15"/>
          <w:szCs w:val="15"/>
          <w:color w:val="auto"/>
        </w:rPr>
      </w:pPr>
    </w:p>
    <w:p>
      <w:pPr>
        <w:ind w:left="1840" w:right="3239" w:hanging="606"/>
        <w:spacing w:after="0" w:line="236" w:lineRule="auto"/>
        <w:tabs>
          <w:tab w:leader="none" w:pos="18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8" w:lineRule="exact"/>
        <w:rPr>
          <w:rFonts w:ascii="Courier New" w:cs="Courier New" w:eastAsia="Courier New" w:hAnsi="Courier New"/>
          <w:sz w:val="15"/>
          <w:szCs w:val="15"/>
          <w:color w:val="auto"/>
        </w:rPr>
      </w:pPr>
    </w:p>
    <w:p>
      <w:pPr>
        <w:ind w:left="1240" w:right="4279" w:hanging="618"/>
        <w:spacing w:after="0" w:line="234"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dividends shall be payable annually or in installments;</w:t>
      </w:r>
    </w:p>
    <w:p>
      <w:pPr>
        <w:spacing w:after="0" w:line="5" w:lineRule="exact"/>
        <w:rPr>
          <w:rFonts w:ascii="Courier New" w:cs="Courier New" w:eastAsia="Courier New" w:hAnsi="Courier New"/>
          <w:sz w:val="15"/>
          <w:szCs w:val="15"/>
          <w:color w:val="auto"/>
        </w:rPr>
      </w:pPr>
    </w:p>
    <w:p>
      <w:pPr>
        <w:ind w:left="1240" w:right="3239" w:hanging="618"/>
        <w:spacing w:after="0" w:line="236"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5" w:lineRule="exact"/>
        <w:rPr>
          <w:rFonts w:ascii="Courier New" w:cs="Courier New" w:eastAsia="Courier New" w:hAnsi="Courier New"/>
          <w:sz w:val="15"/>
          <w:szCs w:val="15"/>
          <w:color w:val="auto"/>
        </w:rPr>
      </w:pPr>
    </w:p>
    <w:p>
      <w:pPr>
        <w:ind w:left="1240" w:right="3239" w:hanging="618"/>
        <w:spacing w:after="0" w:line="235"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Company to redeem shares of such series (in which case the directors shall specify the date on or after which the shares of such series may be called for redemption by the</w:t>
      </w:r>
    </w:p>
    <w:p>
      <w:pPr>
        <w:sectPr>
          <w:pgSz w:w="11900" w:h="16838" w:orient="portrait"/>
          <w:cols w:equalWidth="0" w:num="1">
            <w:col w:w="10239"/>
          </w:cols>
          <w:pgMar w:left="220" w:top="624" w:right="1440" w:bottom="0" w:gutter="0" w:footer="0" w:header="0"/>
        </w:sectPr>
      </w:pPr>
    </w:p>
    <w:bookmarkStart w:id="19" w:name="page20"/>
    <w:bookmarkEnd w:id="19"/>
    <w:p>
      <w:pPr>
        <w:ind w:left="1240" w:right="3319"/>
        <w:spacing w:after="0" w:line="236" w:lineRule="auto"/>
        <w:rPr>
          <w:sz w:val="20"/>
          <w:szCs w:val="20"/>
          <w:color w:val="auto"/>
        </w:rPr>
      </w:pPr>
      <w:r>
        <w:rPr>
          <w:rFonts w:ascii="Courier New" w:cs="Courier New" w:eastAsia="Courier New" w:hAnsi="Courier New"/>
          <w:sz w:val="15"/>
          <w:szCs w:val="15"/>
          <w:color w:val="auto"/>
        </w:rPr>
        <w:t>Company and the consideration to be paid therefore,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7" w:lineRule="exact"/>
        <w:rPr>
          <w:sz w:val="20"/>
          <w:szCs w:val="20"/>
          <w:color w:val="auto"/>
        </w:rPr>
      </w:pPr>
    </w:p>
    <w:p>
      <w:pPr>
        <w:ind w:left="1240" w:right="3579" w:hanging="618"/>
        <w:spacing w:after="0" w:line="235" w:lineRule="auto"/>
        <w:tabs>
          <w:tab w:leader="none" w:pos="12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and conditions of such series which are not inconsistent with these articles of association or Netherlands Antilles law.</w:t>
      </w:r>
    </w:p>
    <w:p>
      <w:pPr>
        <w:spacing w:after="0" w:line="5" w:lineRule="exact"/>
        <w:rPr>
          <w:sz w:val="20"/>
          <w:szCs w:val="20"/>
          <w:color w:val="auto"/>
        </w:rPr>
      </w:pPr>
    </w:p>
    <w:p>
      <w:pPr>
        <w:ind w:left="620" w:right="357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4.7.</w:t>
        <w:tab/>
        <w:t>Certificates for preferred shares may be issued bearing a legend describing the terms and conditions thereof specified by the Board of Directors.</w:t>
      </w:r>
    </w:p>
    <w:p>
      <w:pPr>
        <w:spacing w:after="0" w:line="5"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4.8.</w:t>
        <w:tab/>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10"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ind w:left="1240" w:hanging="618"/>
        <w:spacing w:after="0" w:line="233" w:lineRule="auto"/>
        <w:tabs>
          <w:tab w:leader="none" w:pos="12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paid for such preferred shares on issuance, plus</w:t>
      </w:r>
    </w:p>
    <w:p>
      <w:pPr>
        <w:spacing w:after="0" w:line="5" w:lineRule="exact"/>
        <w:rPr>
          <w:rFonts w:ascii="Courier New" w:cs="Courier New" w:eastAsia="Courier New" w:hAnsi="Courier New"/>
          <w:sz w:val="15"/>
          <w:szCs w:val="15"/>
          <w:color w:val="auto"/>
        </w:rPr>
      </w:pPr>
    </w:p>
    <w:p>
      <w:pPr>
        <w:ind w:left="1240" w:right="3399" w:hanging="618"/>
        <w:spacing w:after="0" w:line="234" w:lineRule="auto"/>
        <w:tabs>
          <w:tab w:leader="none" w:pos="12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accumulated and unpaid dividends on such preferred shares to the date fixed for distribution.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6</w:t>
      </w:r>
    </w:p>
    <w:p>
      <w:pPr>
        <w:spacing w:after="0" w:line="173"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6.1.</w:t>
        <w:tab/>
        <w:t>The Company may, for its own account and for valuable consideration, from time to time acquire fully paid shares of its stock, on such terms and conditions as the Board of Directors may determine, provided that at least one- fifth part of its authorized capital remains outstanding with others than the Company. The authority to make any such acquisition is vested in the Board of Directors. Any shares so acquired may be canceled by the Board of Directors without the prior approval of the general meeting of shareholders.</w:t>
      </w:r>
    </w:p>
    <w:p>
      <w:pPr>
        <w:spacing w:after="0" w:line="2" w:lineRule="exact"/>
        <w:rPr>
          <w:sz w:val="20"/>
          <w:szCs w:val="20"/>
          <w:color w:val="auto"/>
        </w:rPr>
      </w:pPr>
    </w:p>
    <w:p>
      <w:pPr>
        <w:jc w:val="center"/>
        <w:ind w:right="3239"/>
        <w:spacing w:after="0"/>
        <w:tabs>
          <w:tab w:leader="none" w:pos="24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The Company shall not acquire any voting rights by reason of ownership of</w:t>
      </w:r>
    </w:p>
    <w:p>
      <w:pPr>
        <w:spacing w:after="0" w:line="5"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shares of its stock and, in connection with any general meeting of shareholders, shares owned by the Company shall not be counted as outstanding, or as present or represented, for the purpose of determining a quorum or for any other purpose.</w:t>
      </w:r>
    </w:p>
    <w:p>
      <w:pPr>
        <w:spacing w:after="0" w:line="7" w:lineRule="exact"/>
        <w:rPr>
          <w:sz w:val="20"/>
          <w:szCs w:val="20"/>
          <w:color w:val="auto"/>
        </w:rPr>
      </w:pPr>
    </w:p>
    <w:p>
      <w:pPr>
        <w:jc w:val="both"/>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6.3.</w:t>
        <w:tab/>
        <w:t>Shares of its stock owned by the Company may be sold at such times, under such conditions and for such consideration as may be determined from time to time by the Board of Directors.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7</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The shares shall be in registered form.</w:t>
      </w:r>
    </w:p>
    <w:p>
      <w:pPr>
        <w:spacing w:after="0" w:line="5" w:lineRule="exact"/>
        <w:rPr>
          <w:sz w:val="20"/>
          <w:szCs w:val="20"/>
          <w:color w:val="auto"/>
        </w:rPr>
      </w:pPr>
    </w:p>
    <w:p>
      <w:pPr>
        <w:ind w:left="620" w:right="331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7.2.</w:t>
        <w:tab/>
        <w:t>Share certificates for common shares may be issued at the request of the shareholder.</w:t>
      </w:r>
    </w:p>
    <w:p>
      <w:pPr>
        <w:spacing w:after="0" w:line="5" w:lineRule="exact"/>
        <w:rPr>
          <w:sz w:val="20"/>
          <w:szCs w:val="20"/>
          <w:color w:val="auto"/>
        </w:rPr>
      </w:pPr>
    </w:p>
    <w:p>
      <w:pPr>
        <w:ind w:left="620" w:right="3239" w:hanging="611"/>
        <w:spacing w:after="0" w:line="237" w:lineRule="auto"/>
        <w:tabs>
          <w:tab w:leader="none" w:pos="600" w:val="left"/>
        </w:tabs>
        <w:rPr>
          <w:sz w:val="20"/>
          <w:szCs w:val="20"/>
          <w:color w:val="auto"/>
        </w:rPr>
      </w:pPr>
      <w:r>
        <w:rPr>
          <w:rFonts w:ascii="Courier New" w:cs="Courier New" w:eastAsia="Courier New" w:hAnsi="Courier New"/>
          <w:sz w:val="15"/>
          <w:szCs w:val="15"/>
          <w:color w:val="auto"/>
        </w:rPr>
        <w:t>7.3.</w:t>
        <w:tab/>
        <w:t>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shareholder, his residence or his elected domicile, the quantity of his shares and the numbers of the share certificates, if any, representing such shares. The Register shall not be open for inspection by third parties or shareholders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6"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Every transfer and devolution of a share shall be entered in the Register and every such entry shall be signed or otherwise acknowledged by or on behalf of the Board of Directors or by the Registrar.</w:t>
      </w:r>
    </w:p>
    <w:p>
      <w:pPr>
        <w:spacing w:after="0" w:line="1"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The transfer of shares shall be effected either by serving a deed of transfer upon the Company or by written acknowledgment of the transfer by the Company, which acknowledgement can only take place by an annotation on the share certificate, if share certificates have been issued.</w:t>
      </w:r>
    </w:p>
    <w:p>
      <w:pPr>
        <w:spacing w:after="0" w:line="1"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7.6.</w:t>
        <w:tab/>
        <w:t>The entry in the Register provided for in paragraphs 3 and 4 of this Article shall have the effect of a written acknowledgment of the transfer by the Company in the event no share certificate has been issued for the shares concerned.</w:t>
      </w:r>
    </w:p>
    <w:p>
      <w:pPr>
        <w:spacing w:after="0" w:line="7" w:lineRule="exact"/>
        <w:rPr>
          <w:sz w:val="20"/>
          <w:szCs w:val="20"/>
          <w:color w:val="auto"/>
        </w:rPr>
      </w:pPr>
    </w:p>
    <w:p>
      <w:pPr>
        <w:ind w:left="620" w:right="3239" w:hanging="611"/>
        <w:spacing w:after="0" w:line="255" w:lineRule="auto"/>
        <w:tabs>
          <w:tab w:leader="none" w:pos="60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If any shareholder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w:t>
      </w:r>
    </w:p>
    <w:p>
      <w:pPr>
        <w:sectPr>
          <w:pgSz w:w="11900" w:h="16838" w:orient="portrait"/>
          <w:cols w:equalWidth="0" w:num="1">
            <w:col w:w="10239"/>
          </w:cols>
          <w:pgMar w:left="220" w:top="624" w:right="1440" w:bottom="0" w:gutter="0" w:footer="0" w:header="0"/>
        </w:sectPr>
      </w:pPr>
    </w:p>
    <w:bookmarkStart w:id="20" w:name="page21"/>
    <w:bookmarkEnd w:id="20"/>
    <w:p>
      <w:pPr>
        <w:ind w:right="3839"/>
        <w:spacing w:after="0" w:line="234" w:lineRule="auto"/>
        <w:rPr>
          <w:sz w:val="20"/>
          <w:szCs w:val="20"/>
          <w:color w:val="auto"/>
        </w:rPr>
      </w:pPr>
      <w:r>
        <w:rPr>
          <w:rFonts w:ascii="Courier New" w:cs="Courier New" w:eastAsia="Courier New" w:hAnsi="Courier New"/>
          <w:sz w:val="15"/>
          <w:szCs w:val="15"/>
          <w:color w:val="auto"/>
        </w:rPr>
        <w:t>as the Board of Directors or the Registrar shall determine. By the issuance of the new share certificates on which shall be</w:t>
      </w:r>
    </w:p>
    <w:p>
      <w:pPr>
        <w:sectPr>
          <w:pgSz w:w="11900" w:h="16838" w:orient="portrait"/>
          <w:cols w:equalWidth="0" w:num="1">
            <w:col w:w="9619"/>
          </w:cols>
          <w:pgMar w:left="840" w:top="141" w:right="1440" w:bottom="1440" w:gutter="0" w:footer="0" w:header="0"/>
        </w:sectPr>
      </w:pPr>
    </w:p>
    <w:bookmarkStart w:id="21" w:name="page22"/>
    <w:bookmarkEnd w:id="21"/>
    <w:p>
      <w:pPr>
        <w:ind w:left="620" w:right="3239"/>
        <w:spacing w:after="0" w:line="236" w:lineRule="auto"/>
        <w:rPr>
          <w:sz w:val="20"/>
          <w:szCs w:val="20"/>
          <w:color w:val="auto"/>
        </w:rPr>
      </w:pPr>
      <w:r>
        <w:rPr>
          <w:rFonts w:ascii="Courier New" w:cs="Courier New" w:eastAsia="Courier New" w:hAnsi="Courier New"/>
          <w:sz w:val="15"/>
          <w:szCs w:val="15"/>
          <w:color w:val="auto"/>
        </w:rPr>
        <w:t>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shareholder.</w:t>
      </w:r>
    </w:p>
    <w:p>
      <w:pPr>
        <w:spacing w:after="0" w:line="340"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MANAGEMENT</w:t>
      </w:r>
    </w:p>
    <w:p>
      <w:pPr>
        <w:jc w:val="right"/>
        <w:ind w:right="6299"/>
        <w:spacing w:after="0" w:line="237" w:lineRule="auto"/>
        <w:rPr>
          <w:sz w:val="20"/>
          <w:szCs w:val="20"/>
          <w:color w:val="auto"/>
        </w:rPr>
      </w:pPr>
      <w:r>
        <w:rPr>
          <w:rFonts w:ascii="Courier New" w:cs="Courier New" w:eastAsia="Courier New" w:hAnsi="Courier New"/>
          <w:sz w:val="15"/>
          <w:szCs w:val="15"/>
          <w:color w:val="auto"/>
        </w:rPr>
        <w:t>Article 8</w:t>
      </w:r>
    </w:p>
    <w:p>
      <w:pPr>
        <w:spacing w:after="0" w:line="173" w:lineRule="exact"/>
        <w:rPr>
          <w:sz w:val="20"/>
          <w:szCs w:val="20"/>
          <w:color w:val="auto"/>
        </w:rPr>
      </w:pPr>
    </w:p>
    <w:p>
      <w:pPr>
        <w:jc w:val="both"/>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8.1.</w:t>
        <w:tab/>
        <w:t>The management of all the affairs, property and business of the Company shall be vested in a Board of Directors, who shall have and may exercise all powers except such as are exclusively conferred upon the shareholders by law or by these Articles of Association.</w:t>
      </w:r>
    </w:p>
    <w:p>
      <w:pPr>
        <w:spacing w:after="0" w:line="7"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The directors shall be elected at a general meeting of shareholders by a majority of votes cast, in person or by proxy, by the shareholders entitled to vote. The number of persons constituting the whole Board of Directors shall be not less than five nor more than twenty-four, as fixed and elected by the general meeting of shareholders. The number of persons constituting the whole Board of Directors shall, until changed at any succeeding general meeting of shareholders, be the number so fixed and elected. Directors may be suspended or dismissed at any general meeting of shareholders. At any general meeting of shareholders at which action is taken to increase the number of the whole Board of Directors or to suspend or dismiss a director, or at any subsequent general meeting, the shareholders may fill any vacancy or vacancies created by such action.</w:t>
      </w:r>
    </w:p>
    <w:p>
      <w:pPr>
        <w:spacing w:after="0" w:line="4" w:lineRule="exact"/>
        <w:rPr>
          <w:sz w:val="20"/>
          <w:szCs w:val="20"/>
          <w:color w:val="auto"/>
        </w:rPr>
      </w:pPr>
    </w:p>
    <w:p>
      <w:pPr>
        <w:jc w:val="both"/>
        <w:ind w:left="620" w:right="357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8.3.</w:t>
        <w:tab/>
        <w:t>Each director shall be elected to serve until the next annual general meeting of shareholders and until his successor shall be elected and qualify, or until his death, resignation or removal.</w:t>
      </w:r>
    </w:p>
    <w:p>
      <w:pPr>
        <w:spacing w:after="0" w:line="5" w:lineRule="exact"/>
        <w:rPr>
          <w:sz w:val="20"/>
          <w:szCs w:val="20"/>
          <w:color w:val="auto"/>
        </w:rPr>
      </w:pPr>
    </w:p>
    <w:p>
      <w:pPr>
        <w:ind w:left="620" w:right="339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8.4.</w:t>
        <w:tab/>
        <w:t>Directors need not be Netherlands Antilles citizens or residents of the Netherlands Antilles or shareholders of the Company.</w:t>
      </w:r>
    </w:p>
    <w:p>
      <w:pPr>
        <w:spacing w:after="0" w:line="5"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shareholders for the purpose of electing a Board of Directors. Until such general meeting of shareholders is held the person so designated shall only take such acts of management that can not suffer any delay.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pacing w:after="0" w:line="1" w:lineRule="exact"/>
        <w:rPr>
          <w:sz w:val="20"/>
          <w:szCs w:val="20"/>
          <w:color w:val="auto"/>
        </w:rPr>
      </w:pPr>
    </w:p>
    <w:p>
      <w:pPr>
        <w:jc w:val="center"/>
        <w:ind w:right="3319"/>
        <w:spacing w:after="0"/>
        <w:tabs>
          <w:tab w:leader="none" w:pos="24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A majority of the whole Board of Directors shall constitute a quorum for</w:t>
      </w:r>
    </w:p>
    <w:p>
      <w:pPr>
        <w:spacing w:after="0" w:line="5"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the conduct of any business and the action of the majority of the directors present in person or by proxy as hereinafter provided, at a meeting at which a quorum is so present, shall constitute the action of the Board of Directors.</w:t>
      </w:r>
    </w:p>
    <w:p>
      <w:pPr>
        <w:spacing w:after="0" w:line="7" w:lineRule="exact"/>
        <w:rPr>
          <w:sz w:val="20"/>
          <w:szCs w:val="20"/>
          <w:color w:val="auto"/>
        </w:rPr>
      </w:pPr>
    </w:p>
    <w:p>
      <w:pPr>
        <w:ind w:left="620" w:right="401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8.7.</w:t>
        <w:tab/>
        <w:t>Meetings of the Board of Directors may be held in or outside the Netherlands Antilles.</w:t>
      </w:r>
    </w:p>
    <w:p>
      <w:pPr>
        <w:spacing w:after="0" w:line="5" w:lineRule="exact"/>
        <w:rPr>
          <w:sz w:val="20"/>
          <w:szCs w:val="20"/>
          <w:color w:val="auto"/>
        </w:rPr>
      </w:pPr>
    </w:p>
    <w:p>
      <w:pPr>
        <w:ind w:left="620" w:right="331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2"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Directors may in writing, by telegram, cable, telex,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2" w:lineRule="exact"/>
        <w:rPr>
          <w:sz w:val="20"/>
          <w:szCs w:val="20"/>
          <w:color w:val="auto"/>
        </w:rPr>
      </w:pPr>
    </w:p>
    <w:p>
      <w:pPr>
        <w:ind w:left="620" w:right="3239" w:hanging="611"/>
        <w:spacing w:after="0" w:line="255" w:lineRule="auto"/>
        <w:tabs>
          <w:tab w:leader="none" w:pos="60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When action by the Board of Directors is required or permitted to be taken, action at a meeting may be dispensed with if all commercially reasonable efforts have been taken to notify all the directors and if three fourth of the directors shall consent in writing, by telegram, cable, telex, telefax, electronic mail or other communication device to such action taken or being taken, and provided further that all directors are promptly notified of such action being taken or having been taken.</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9</w:t>
      </w:r>
    </w:p>
    <w:p>
      <w:pPr>
        <w:spacing w:after="0" w:line="173"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9.1.</w:t>
        <w:tab/>
        <w:t>The Board of Directors shall at least annually elect or appoint the following officers: a Chairman, a Chief Executive Officer, a Secretary and a Treasurer, each to serve until his successor is elected and qualified.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w:t>
      </w:r>
    </w:p>
    <w:p>
      <w:pPr>
        <w:sectPr>
          <w:pgSz w:w="11900" w:h="16838" w:orient="portrait"/>
          <w:cols w:equalWidth="0" w:num="1">
            <w:col w:w="10239"/>
          </w:cols>
          <w:pgMar w:left="220" w:top="624" w:right="1440" w:bottom="18" w:gutter="0" w:footer="0" w:header="0"/>
        </w:sectPr>
      </w:pPr>
    </w:p>
    <w:bookmarkStart w:id="22" w:name="page23"/>
    <w:bookmarkEnd w:id="22"/>
    <w:p>
      <w:pPr>
        <w:ind w:left="620" w:right="3319"/>
        <w:spacing w:after="0" w:line="236" w:lineRule="auto"/>
        <w:rPr>
          <w:sz w:val="20"/>
          <w:szCs w:val="20"/>
          <w:color w:val="auto"/>
        </w:rPr>
      </w:pPr>
      <w:r>
        <w:rPr>
          <w:rFonts w:ascii="Courier New" w:cs="Courier New" w:eastAsia="Courier New" w:hAnsi="Courier New"/>
          <w:sz w:val="15"/>
          <w:szCs w:val="15"/>
          <w:color w:val="auto"/>
        </w:rPr>
        <w:t>the pleasure of the Board of Directors. The same person may hold any two or more of the aforesaid offices but no officer shall execute, acknowledge or verify an instrument in more than one capacity if such instrument is required by law or by these Articles of Association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9" w:lineRule="exact"/>
        <w:rPr>
          <w:sz w:val="20"/>
          <w:szCs w:val="20"/>
          <w:color w:val="auto"/>
        </w:rPr>
      </w:pPr>
    </w:p>
    <w:p>
      <w:pPr>
        <w:ind w:left="620" w:right="323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9.2.</w:t>
        <w:tab/>
        <w:t>The Company shall be represented at law and otherwise, and shall be bound with respect to third parties, by the Board of Directors and by:</w:t>
      </w:r>
    </w:p>
    <w:p>
      <w:pPr>
        <w:spacing w:after="0" w:line="5" w:lineRule="exact"/>
        <w:rPr>
          <w:sz w:val="20"/>
          <w:szCs w:val="20"/>
          <w:color w:val="auto"/>
        </w:rPr>
      </w:pPr>
    </w:p>
    <w:p>
      <w:pPr>
        <w:ind w:left="1240" w:right="3319" w:hanging="618"/>
        <w:spacing w:after="0" w:line="235" w:lineRule="auto"/>
        <w:tabs>
          <w:tab w:leader="none" w:pos="12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directors authorized by the Board of Directors to represent the Company, who shall have the following titles and occupy the following offices:</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Vice-Chairman;</w:t>
      </w:r>
    </w:p>
    <w:p>
      <w:pPr>
        <w:spacing w:after="0" w:line="5" w:lineRule="exact"/>
        <w:rPr>
          <w:rFonts w:ascii="Courier New" w:cs="Courier New" w:eastAsia="Courier New" w:hAnsi="Courier New"/>
          <w:sz w:val="15"/>
          <w:szCs w:val="15"/>
          <w:color w:val="auto"/>
        </w:rPr>
      </w:pPr>
    </w:p>
    <w:p>
      <w:pPr>
        <w:ind w:left="1240" w:right="3239" w:hanging="618"/>
        <w:spacing w:after="0" w:line="254" w:lineRule="auto"/>
        <w:tabs>
          <w:tab w:leader="none" w:pos="12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who may, but are not required to, be directors, authorized by the Board of Directors to represent the Company, who shall have the following titles and occupy the following offices:</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Executive Vice Presidents;</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Vice Presidents;</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Operating Officer;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Controller;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or</w:t>
      </w:r>
    </w:p>
    <w:p>
      <w:pPr>
        <w:ind w:left="1840" w:hanging="606"/>
        <w:spacing w:after="0" w:line="237" w:lineRule="auto"/>
        <w:tabs>
          <w:tab w:leader="none" w:pos="18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w:t>
      </w:r>
    </w:p>
    <w:p>
      <w:pPr>
        <w:spacing w:after="0" w:line="5"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9.3.</w:t>
        <w:tab/>
        <w:t>The Board of Directors may also from time to time authorize other persons, who may or may not be directors, to represent the Company, who shall have such titles and occupy such additional offices as the Board of Directors may determine.</w:t>
      </w:r>
    </w:p>
    <w:p>
      <w:pPr>
        <w:spacing w:after="0" w:line="7" w:lineRule="exact"/>
        <w:rPr>
          <w:sz w:val="20"/>
          <w:szCs w:val="20"/>
          <w:color w:val="auto"/>
        </w:rPr>
      </w:pPr>
    </w:p>
    <w:p>
      <w:pPr>
        <w:ind w:left="620" w:right="331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9.4.</w:t>
        <w:tab/>
        <w:t>The general meeting of shareholders may grant specific authority to the Chief Executive Officer, the President or any member of the Board of Directors to represent the Company with respect to any particular matter as specified by such general meeting of shareholders.</w:t>
      </w:r>
    </w:p>
    <w:p>
      <w:pPr>
        <w:spacing w:after="0" w:line="7" w:lineRule="exact"/>
        <w:rPr>
          <w:sz w:val="20"/>
          <w:szCs w:val="20"/>
          <w:color w:val="auto"/>
        </w:rPr>
      </w:pPr>
    </w:p>
    <w:p>
      <w:pPr>
        <w:ind w:left="620" w:right="331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9.5.</w:t>
        <w:tab/>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6"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9.6.</w:t>
        <w:tab/>
        <w:t>The Board of Directors may grant general or specific authority to additional agents or to committees, giving such agents or committees such general or limited powers or duties as it may deem appropriate.</w:t>
      </w:r>
    </w:p>
    <w:p>
      <w:pPr>
        <w:spacing w:after="0" w:line="5" w:lineRule="exact"/>
        <w:rPr>
          <w:sz w:val="20"/>
          <w:szCs w:val="20"/>
          <w:color w:val="auto"/>
        </w:rPr>
      </w:pPr>
    </w:p>
    <w:p>
      <w:pPr>
        <w:ind w:left="620" w:right="331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9.7.</w:t>
        <w:tab/>
        <w:t>In the event of a conflict of interest between the Company and one or more directors, the Company shall be represented as determined from time to time by the Board of Directors.</w:t>
      </w:r>
    </w:p>
    <w:p>
      <w:pPr>
        <w:jc w:val="center"/>
        <w:ind w:right="3579"/>
        <w:spacing w:after="0"/>
        <w:tabs>
          <w:tab w:leader="none" w:pos="24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The Board of Directors may adopt and may amend and repeal such rules,</w:t>
      </w:r>
    </w:p>
    <w:p>
      <w:pPr>
        <w:spacing w:after="0" w:line="5"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Association.</w:t>
      </w:r>
    </w:p>
    <w:p>
      <w:pPr>
        <w:spacing w:after="0" w:line="8" w:lineRule="exact"/>
        <w:rPr>
          <w:sz w:val="20"/>
          <w:szCs w:val="20"/>
          <w:color w:val="auto"/>
        </w:rPr>
      </w:pPr>
    </w:p>
    <w:p>
      <w:pPr>
        <w:ind w:left="620" w:right="33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10</w:t>
      </w:r>
    </w:p>
    <w:p>
      <w:pPr>
        <w:spacing w:after="0" w:line="173"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in Control" means a change in control of the Company which shall be deemed to have occurred if at any time (i) any entity, person or organization is or becomes the legal or</w:t>
      </w:r>
    </w:p>
    <w:p>
      <w:pPr>
        <w:sectPr>
          <w:pgSz w:w="11900" w:h="16838" w:orient="portrait"/>
          <w:cols w:equalWidth="0" w:num="1">
            <w:col w:w="10239"/>
          </w:cols>
          <w:pgMar w:left="220" w:top="624" w:right="1440" w:bottom="858" w:gutter="0" w:footer="0" w:header="0"/>
        </w:sectPr>
      </w:pPr>
    </w:p>
    <w:bookmarkStart w:id="23" w:name="page24"/>
    <w:bookmarkEnd w:id="23"/>
    <w:p>
      <w:pPr>
        <w:ind w:right="3239"/>
        <w:spacing w:after="0" w:line="254" w:lineRule="auto"/>
        <w:rPr>
          <w:sz w:val="20"/>
          <w:szCs w:val="20"/>
          <w:color w:val="auto"/>
        </w:rPr>
      </w:pPr>
      <w:r>
        <w:rPr>
          <w:rFonts w:ascii="Courier New" w:cs="Courier New" w:eastAsia="Courier New" w:hAnsi="Courier New"/>
          <w:sz w:val="14"/>
          <w:szCs w:val="14"/>
          <w:color w:val="auto"/>
        </w:rPr>
        <w:t>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w:t>
      </w:r>
    </w:p>
    <w:p>
      <w:pPr>
        <w:spacing w:after="0" w:line="2" w:lineRule="exact"/>
        <w:rPr>
          <w:sz w:val="20"/>
          <w:szCs w:val="20"/>
          <w:color w:val="auto"/>
        </w:rPr>
      </w:pPr>
    </w:p>
    <w:p>
      <w:pPr>
        <w:ind w:right="3399" w:firstLine="2"/>
        <w:spacing w:after="0" w:line="237" w:lineRule="auto"/>
        <w:tabs>
          <w:tab w:leader="none" w:pos="4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5" w:lineRule="exact"/>
        <w:rPr>
          <w:sz w:val="20"/>
          <w:szCs w:val="20"/>
          <w:color w:val="auto"/>
        </w:rPr>
      </w:pPr>
    </w:p>
    <w:p>
      <w:pPr>
        <w:ind w:right="3239" w:hanging="611"/>
        <w:spacing w:after="0" w:line="237" w:lineRule="auto"/>
        <w:rPr>
          <w:sz w:val="20"/>
          <w:szCs w:val="20"/>
          <w:color w:val="auto"/>
        </w:rPr>
      </w:pPr>
      <w:r>
        <w:rPr>
          <w:rFonts w:ascii="Courier New" w:cs="Courier New" w:eastAsia="Courier New" w:hAnsi="Courier New"/>
          <w:sz w:val="15"/>
          <w:szCs w:val="15"/>
          <w:color w:val="auto"/>
        </w:rPr>
        <w:t>10.2.</w:t>
      </w:r>
      <w:r>
        <w:rPr>
          <w:sz w:val="20"/>
          <w:szCs w:val="20"/>
          <w:color w:val="auto"/>
        </w:rPr>
        <w:t xml:space="preserve"> </w:t>
      </w:r>
      <w:r>
        <w:rPr>
          <w:rFonts w:ascii="Courier New" w:cs="Courier New" w:eastAsia="Courier New" w:hAnsi="Courier New"/>
          <w:sz w:val="15"/>
          <w:szCs w:val="15"/>
          <w:color w:val="auto"/>
        </w:rPr>
        <w:t>The Company shall have the power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in Control, as defined in paragraph 1 of this Article.</w:t>
      </w:r>
    </w:p>
    <w:p>
      <w:pPr>
        <w:spacing w:after="0" w:line="11" w:lineRule="exact"/>
        <w:rPr>
          <w:sz w:val="20"/>
          <w:szCs w:val="20"/>
          <w:color w:val="auto"/>
        </w:rPr>
      </w:pPr>
    </w:p>
    <w:p>
      <w:pPr>
        <w:ind w:right="3239" w:hanging="611"/>
        <w:spacing w:after="0" w:line="254" w:lineRule="auto"/>
        <w:rPr>
          <w:sz w:val="20"/>
          <w:szCs w:val="20"/>
          <w:color w:val="auto"/>
        </w:rPr>
      </w:pPr>
      <w:r>
        <w:rPr>
          <w:rFonts w:ascii="Courier New" w:cs="Courier New" w:eastAsia="Courier New" w:hAnsi="Courier New"/>
          <w:sz w:val="15"/>
          <w:szCs w:val="15"/>
          <w:color w:val="auto"/>
        </w:rPr>
        <w:t>10.3.</w:t>
      </w:r>
      <w:r>
        <w:rPr>
          <w:sz w:val="20"/>
          <w:szCs w:val="20"/>
          <w:color w:val="auto"/>
        </w:rPr>
        <w:t xml:space="preserve"> </w:t>
      </w:r>
      <w:r>
        <w:rPr>
          <w:rFonts w:ascii="Courier New" w:cs="Courier New" w:eastAsia="Courier New" w:hAnsi="Courier New"/>
          <w:sz w:val="14"/>
          <w:szCs w:val="14"/>
          <w:color w:val="auto"/>
        </w:rPr>
        <w:t>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2" w:lineRule="exact"/>
        <w:rPr>
          <w:sz w:val="20"/>
          <w:szCs w:val="20"/>
          <w:color w:val="auto"/>
        </w:rPr>
      </w:pPr>
    </w:p>
    <w:p>
      <w:pPr>
        <w:ind w:right="3239" w:hanging="611"/>
        <w:spacing w:after="0" w:line="236" w:lineRule="auto"/>
        <w:rPr>
          <w:sz w:val="20"/>
          <w:szCs w:val="20"/>
          <w:color w:val="auto"/>
        </w:rPr>
      </w:pPr>
      <w:r>
        <w:rPr>
          <w:rFonts w:ascii="Courier New" w:cs="Courier New" w:eastAsia="Courier New" w:hAnsi="Courier New"/>
          <w:sz w:val="15"/>
          <w:szCs w:val="15"/>
          <w:color w:val="auto"/>
        </w:rPr>
        <w:t>10.4.</w:t>
      </w:r>
      <w:r>
        <w:rPr>
          <w:sz w:val="20"/>
          <w:szCs w:val="20"/>
          <w:color w:val="auto"/>
        </w:rPr>
        <w:t xml:space="preserve"> </w:t>
      </w:r>
      <w:r>
        <w:rPr>
          <w:rFonts w:ascii="Courier New" w:cs="Courier New" w:eastAsia="Courier New" w:hAnsi="Courier New"/>
          <w:sz w:val="15"/>
          <w:szCs w:val="15"/>
          <w:color w:val="auto"/>
        </w:rPr>
        <w:t>Any indemnification under paragraphs 1 and 2 of this Article (unless ordered by a court) shall be made by the Company only as authorized by contract approved, or by-laws, resolution or other action adopted or taken, by the Board of Directors or by the shareholders or as required by the last sentences of paragraphs 1 and 2 of this Article.</w:t>
      </w:r>
    </w:p>
    <w:p>
      <w:pPr>
        <w:spacing w:after="0" w:line="6" w:lineRule="exact"/>
        <w:rPr>
          <w:sz w:val="20"/>
          <w:szCs w:val="20"/>
          <w:color w:val="auto"/>
        </w:rPr>
      </w:pPr>
    </w:p>
    <w:p>
      <w:pPr>
        <w:ind w:right="3239" w:hanging="611"/>
        <w:spacing w:after="0" w:line="254" w:lineRule="auto"/>
        <w:rPr>
          <w:sz w:val="20"/>
          <w:szCs w:val="20"/>
          <w:color w:val="auto"/>
        </w:rPr>
      </w:pPr>
      <w:r>
        <w:rPr>
          <w:rFonts w:ascii="Courier New" w:cs="Courier New" w:eastAsia="Courier New" w:hAnsi="Courier New"/>
          <w:sz w:val="15"/>
          <w:szCs w:val="15"/>
          <w:color w:val="auto"/>
        </w:rPr>
        <w:t>10.5.</w:t>
      </w:r>
      <w:r>
        <w:rPr>
          <w:sz w:val="20"/>
          <w:szCs w:val="20"/>
          <w:color w:val="auto"/>
        </w:rPr>
        <w:t xml:space="preserve"> </w:t>
      </w:r>
      <w:r>
        <w:rPr>
          <w:rFonts w:ascii="Courier New" w:cs="Courier New" w:eastAsia="Courier New" w:hAnsi="Courier New"/>
          <w:sz w:val="14"/>
          <w:szCs w:val="14"/>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3" w:lineRule="exact"/>
        <w:rPr>
          <w:sz w:val="20"/>
          <w:szCs w:val="20"/>
          <w:color w:val="auto"/>
        </w:rPr>
      </w:pPr>
    </w:p>
    <w:p>
      <w:pPr>
        <w:ind w:right="3239" w:hanging="611"/>
        <w:spacing w:after="0" w:line="254" w:lineRule="auto"/>
        <w:rPr>
          <w:sz w:val="20"/>
          <w:szCs w:val="20"/>
          <w:color w:val="auto"/>
        </w:rPr>
      </w:pPr>
      <w:r>
        <w:rPr>
          <w:rFonts w:ascii="Courier New" w:cs="Courier New" w:eastAsia="Courier New" w:hAnsi="Courier New"/>
          <w:sz w:val="15"/>
          <w:szCs w:val="15"/>
          <w:color w:val="auto"/>
        </w:rPr>
        <w:t>10.6.</w:t>
      </w:r>
      <w:r>
        <w:rPr>
          <w:sz w:val="20"/>
          <w:szCs w:val="20"/>
          <w:color w:val="auto"/>
        </w:rPr>
        <w:t xml:space="preserve"> </w:t>
      </w:r>
      <w:r>
        <w:rPr>
          <w:rFonts w:ascii="Courier New" w:cs="Courier New" w:eastAsia="Courier New" w:hAnsi="Courier New"/>
          <w:sz w:val="14"/>
          <w:szCs w:val="14"/>
          <w:color w:val="auto"/>
        </w:rPr>
        <w:t>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3" w:lineRule="exact"/>
        <w:rPr>
          <w:sz w:val="20"/>
          <w:szCs w:val="20"/>
          <w:color w:val="auto"/>
        </w:rPr>
      </w:pPr>
    </w:p>
    <w:p>
      <w:pPr>
        <w:ind w:right="3239" w:hanging="611"/>
        <w:spacing w:after="0" w:line="254" w:lineRule="auto"/>
        <w:rPr>
          <w:sz w:val="20"/>
          <w:szCs w:val="20"/>
          <w:color w:val="auto"/>
        </w:rPr>
      </w:pPr>
      <w:r>
        <w:rPr>
          <w:rFonts w:ascii="Courier New" w:cs="Courier New" w:eastAsia="Courier New" w:hAnsi="Courier New"/>
          <w:sz w:val="15"/>
          <w:szCs w:val="15"/>
          <w:color w:val="auto"/>
        </w:rPr>
        <w:t>10.7.</w:t>
      </w:r>
      <w:r>
        <w:rPr>
          <w:sz w:val="20"/>
          <w:szCs w:val="20"/>
          <w:color w:val="auto"/>
        </w:rPr>
        <w:t xml:space="preserve"> </w:t>
      </w:r>
      <w:r>
        <w:rPr>
          <w:rFonts w:ascii="Courier New" w:cs="Courier New" w:eastAsia="Courier New" w:hAnsi="Courier New"/>
          <w:sz w:val="14"/>
          <w:szCs w:val="14"/>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3" w:lineRule="exact"/>
        <w:rPr>
          <w:sz w:val="20"/>
          <w:szCs w:val="20"/>
          <w:color w:val="auto"/>
        </w:rPr>
      </w:pPr>
    </w:p>
    <w:p>
      <w:pPr>
        <w:ind w:right="3239" w:hanging="611"/>
        <w:spacing w:after="0" w:line="236" w:lineRule="auto"/>
        <w:rPr>
          <w:sz w:val="20"/>
          <w:szCs w:val="20"/>
          <w:color w:val="auto"/>
        </w:rPr>
      </w:pPr>
      <w:r>
        <w:rPr>
          <w:rFonts w:ascii="Courier New" w:cs="Courier New" w:eastAsia="Courier New" w:hAnsi="Courier New"/>
          <w:sz w:val="15"/>
          <w:szCs w:val="15"/>
          <w:color w:val="auto"/>
        </w:rPr>
        <w:t>10.8.</w:t>
      </w:r>
      <w:r>
        <w:rPr>
          <w:sz w:val="20"/>
          <w:szCs w:val="20"/>
          <w:color w:val="auto"/>
        </w:rPr>
        <w:t xml:space="preserve"> </w:t>
      </w:r>
      <w:r>
        <w:rPr>
          <w:rFonts w:ascii="Courier New" w:cs="Courier New" w:eastAsia="Courier New" w:hAnsi="Courier New"/>
          <w:sz w:val="15"/>
          <w:szCs w:val="15"/>
          <w:color w:val="auto"/>
        </w:rPr>
        <w:t>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shall stand in</w:t>
      </w:r>
    </w:p>
    <w:p>
      <w:pPr>
        <w:sectPr>
          <w:pgSz w:w="11900" w:h="16838" w:orient="portrait"/>
          <w:cols w:equalWidth="0" w:num="1">
            <w:col w:w="9619"/>
          </w:cols>
          <w:pgMar w:left="840" w:top="624" w:right="1440" w:bottom="0" w:gutter="0" w:footer="0" w:header="0"/>
        </w:sectPr>
      </w:pPr>
    </w:p>
    <w:bookmarkStart w:id="24" w:name="page25"/>
    <w:bookmarkEnd w:id="24"/>
    <w:p>
      <w:pPr>
        <w:ind w:left="620" w:right="3499"/>
        <w:spacing w:after="0" w:line="235" w:lineRule="auto"/>
        <w:rPr>
          <w:sz w:val="20"/>
          <w:szCs w:val="20"/>
          <w:color w:val="auto"/>
        </w:rPr>
      </w:pPr>
      <w:r>
        <w:rPr>
          <w:rFonts w:ascii="Courier New" w:cs="Courier New" w:eastAsia="Courier New" w:hAnsi="Courier New"/>
          <w:sz w:val="15"/>
          <w:szCs w:val="15"/>
          <w:color w:val="auto"/>
        </w:rPr>
        <w:t>the same position under the provisions of this Article with respect to the resulting or surviving corporation if its separate existence had continued.</w:t>
      </w:r>
    </w:p>
    <w:p>
      <w:pPr>
        <w:spacing w:after="0" w:line="5" w:lineRule="exact"/>
        <w:rPr>
          <w:sz w:val="20"/>
          <w:szCs w:val="20"/>
          <w:color w:val="auto"/>
        </w:rPr>
      </w:pPr>
    </w:p>
    <w:p>
      <w:pPr>
        <w:ind w:left="620" w:right="3319" w:hanging="611"/>
        <w:spacing w:after="0" w:line="255" w:lineRule="auto"/>
        <w:tabs>
          <w:tab w:leader="none" w:pos="6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MEETINGS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Article 11</w:t>
      </w:r>
    </w:p>
    <w:p>
      <w:pPr>
        <w:spacing w:after="0" w:line="173" w:lineRule="exact"/>
        <w:rPr>
          <w:sz w:val="20"/>
          <w:szCs w:val="20"/>
          <w:color w:val="auto"/>
        </w:rPr>
      </w:pPr>
    </w:p>
    <w:p>
      <w:pPr>
        <w:ind w:left="620" w:right="34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11.1.</w:t>
        <w:tab/>
        <w:t>All general meetings of shareholders shall be held in the Netherlands Antilles on Curacao, Bonaire, St. Eustatius, Saba or the Dutch part of St. Maarten.</w:t>
      </w:r>
    </w:p>
    <w:p>
      <w:pPr>
        <w:spacing w:after="0" w:line="5"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11.2.</w:t>
        <w:tab/>
        <w:t>The annual general meeting of shareholders shall be held within nine months after the end of the preceding fiscal year, on a date determined from year to year by the Board of Directors, for the purpose of electing directors, reporting on the course of business during the preceding fiscal year, adopting of the balance sheet and the profit and loss account for the preceding fiscal year and for any other purposes required by law, and for such additional purposes as may be specified in the notice of such meeting.</w:t>
      </w:r>
    </w:p>
    <w:p>
      <w:pPr>
        <w:spacing w:after="0" w:line="9" w:lineRule="exact"/>
        <w:rPr>
          <w:sz w:val="20"/>
          <w:szCs w:val="20"/>
          <w:color w:val="auto"/>
        </w:rPr>
      </w:pPr>
    </w:p>
    <w:p>
      <w:pPr>
        <w:ind w:left="620" w:right="339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11.3.</w:t>
        <w:tab/>
        <w:t>Special general meetings of shareholders may be called at any time upon the direction of the Chairman, the Vice Chairman, the Chief Executive Officer, the President or the Board of Directors or in the manner provided for in Article 82 of the Code of Commerce of the Netherlands Antilles, or by one or more holders of shares representing in the aggregate a majority of the shares then outstanding, or as provided for in Article 8.5.</w:t>
      </w:r>
    </w:p>
    <w:p>
      <w:pPr>
        <w:spacing w:after="0" w:line="8"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Notice of meetings of shareholders, whether annual general meetings or special general meetings, stating the time and place of the meeting, shall be given to the shareholders not less than twenty (20) or more than sixty (60) days prior to the date of the meeting in question by notice to each shareholder at the address thereof appearing in the Register.</w:t>
      </w:r>
    </w:p>
    <w:p>
      <w:pPr>
        <w:spacing w:after="0" w:line="2" w:lineRule="exact"/>
        <w:rPr>
          <w:sz w:val="20"/>
          <w:szCs w:val="20"/>
          <w:color w:val="auto"/>
        </w:rPr>
      </w:pPr>
    </w:p>
    <w:p>
      <w:pPr>
        <w:ind w:left="620" w:right="339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11.5.</w:t>
        <w:tab/>
        <w:t>All notices of general meetings of shareholders shall state the matters to be considered at the meeting.</w:t>
      </w:r>
    </w:p>
    <w:p>
      <w:pPr>
        <w:spacing w:after="0" w:line="5"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Without limiting the manner by which notice otherwise may be given effectively to shareholders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2" w:lineRule="exact"/>
        <w:rPr>
          <w:sz w:val="20"/>
          <w:szCs w:val="20"/>
          <w:color w:val="auto"/>
        </w:rPr>
      </w:pPr>
    </w:p>
    <w:p>
      <w:pPr>
        <w:ind w:left="620" w:right="3239" w:hanging="611"/>
        <w:spacing w:after="0" w:line="237" w:lineRule="auto"/>
        <w:tabs>
          <w:tab w:leader="none" w:pos="600" w:val="left"/>
        </w:tabs>
        <w:rPr>
          <w:sz w:val="20"/>
          <w:szCs w:val="20"/>
          <w:color w:val="auto"/>
        </w:rPr>
      </w:pPr>
      <w:r>
        <w:rPr>
          <w:rFonts w:ascii="Courier New" w:cs="Courier New" w:eastAsia="Courier New" w:hAnsi="Courier New"/>
          <w:sz w:val="15"/>
          <w:szCs w:val="15"/>
          <w:color w:val="auto"/>
        </w:rPr>
        <w:t>11.7.</w:t>
        <w:tab/>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5" w:lineRule="exact"/>
        <w:rPr>
          <w:sz w:val="20"/>
          <w:szCs w:val="20"/>
          <w:color w:val="auto"/>
        </w:rPr>
      </w:pPr>
    </w:p>
    <w:p>
      <w:pPr>
        <w:ind w:left="620" w:right="331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11.8.</w:t>
        <w:tab/>
        <w:t>For purposes of these articles of association, "electronic transmission" means any form of communication, not directly involving the physical transmission of paper, that creates a record that may be retained, retrieved, and reviewed by a recipient thereof.</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12</w:t>
      </w:r>
    </w:p>
    <w:p>
      <w:pPr>
        <w:spacing w:after="0" w:line="173"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Every shareholder has the right to attend any general meeting in person or by proxy, which proxy to the extent permitted by applicable law may be given by electronic transmission, and to address the meeting.</w:t>
      </w:r>
    </w:p>
    <w:p>
      <w:pPr>
        <w:spacing w:after="0" w:line="1" w:lineRule="exact"/>
        <w:rPr>
          <w:sz w:val="20"/>
          <w:szCs w:val="20"/>
          <w:color w:val="auto"/>
        </w:rPr>
      </w:pPr>
    </w:p>
    <w:p>
      <w:pPr>
        <w:ind w:left="620" w:right="323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12.2.</w:t>
        <w:tab/>
        <w:t>Each holder of common shares and each holder of preferred shares shall be entitled to one vote for each common share or preferred share held.</w:t>
      </w:r>
    </w:p>
    <w:p>
      <w:pPr>
        <w:spacing w:after="0" w:line="5" w:lineRule="exact"/>
        <w:rPr>
          <w:sz w:val="20"/>
          <w:szCs w:val="20"/>
          <w:color w:val="auto"/>
        </w:rPr>
      </w:pPr>
    </w:p>
    <w:p>
      <w:pPr>
        <w:ind w:left="620" w:right="3239" w:hanging="611"/>
        <w:spacing w:after="0" w:line="237" w:lineRule="auto"/>
        <w:tabs>
          <w:tab w:leader="none" w:pos="600" w:val="left"/>
        </w:tabs>
        <w:rPr>
          <w:sz w:val="20"/>
          <w:szCs w:val="20"/>
          <w:color w:val="auto"/>
        </w:rPr>
      </w:pPr>
      <w:r>
        <w:rPr>
          <w:rFonts w:ascii="Courier New" w:cs="Courier New" w:eastAsia="Courier New" w:hAnsi="Courier New"/>
          <w:sz w:val="15"/>
          <w:szCs w:val="15"/>
          <w:color w:val="auto"/>
        </w:rPr>
        <w:t>12.3.</w:t>
        <w:tab/>
        <w:t>For the purpose of determining shareholders entitled to notice of and to vote at any general meeting of shareholders, or entitled to receive payment of any dividend, or in order to make a determination of shareholders for any other proper purpose, the Board of Directors of the Company may provide that the stock transfer books shall be closed for a stated period but not to exceed, in any case, sixty (60) days. If the stock transfer books shall be closed for the purpose of determining shareholders entitled to notice of or to vote at a general meeting of shareholders, such books shall be closed for at least ten (10) days immediately preceding such meeting. In lieu of closing the stock transfer books, the Board of Directors may fix in advance a date as the record date for any such determination of shareholders, such date in any case to be not more than sixty (60) days and, in case of a general meeting of shareholders, not less than ten (10) days prior to the date on which the particular action requiring such determination of shareholders is to be taken. If the stock transfer books are not closed and no record date is fixed 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w:t>
      </w:r>
    </w:p>
    <w:p>
      <w:pPr>
        <w:sectPr>
          <w:pgSz w:w="11900" w:h="16838" w:orient="portrait"/>
          <w:cols w:equalWidth="0" w:num="1">
            <w:col w:w="10239"/>
          </w:cols>
          <w:pgMar w:left="220" w:top="624" w:right="1440" w:bottom="0" w:gutter="0" w:footer="0" w:header="0"/>
        </w:sectPr>
      </w:pPr>
    </w:p>
    <w:bookmarkStart w:id="25" w:name="page26"/>
    <w:bookmarkEnd w:id="25"/>
    <w:p>
      <w:pPr>
        <w:jc w:val="both"/>
        <w:ind w:left="620" w:right="3319"/>
        <w:spacing w:after="0" w:line="236" w:lineRule="auto"/>
        <w:rPr>
          <w:sz w:val="20"/>
          <w:szCs w:val="20"/>
          <w:color w:val="auto"/>
        </w:rPr>
      </w:pPr>
      <w:r>
        <w:rPr>
          <w:rFonts w:ascii="Courier New" w:cs="Courier New" w:eastAsia="Courier New" w:hAnsi="Courier New"/>
          <w:sz w:val="15"/>
          <w:szCs w:val="15"/>
          <w:color w:val="auto"/>
        </w:rPr>
        <w:t>such determination of shareholders. When a determination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13</w:t>
      </w:r>
    </w:p>
    <w:p>
      <w:pPr>
        <w:spacing w:after="0" w:line="173"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13.1.</w:t>
        <w:tab/>
        <w:t>Except as otherwise provided herein, no action may be taken at any general meeting of shareholders unless a quorum consisting of the holders of at least one-half of the outstanding shares are present at such meeting in person or by proxy.</w:t>
      </w:r>
    </w:p>
    <w:p>
      <w:pPr>
        <w:spacing w:after="0" w:line="175"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13.2.</w:t>
        <w:tab/>
        <w:t>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shareholders despite the absence of a quorum.</w:t>
      </w:r>
    </w:p>
    <w:p>
      <w:pPr>
        <w:spacing w:after="0" w:line="178" w:lineRule="exact"/>
        <w:rPr>
          <w:sz w:val="20"/>
          <w:szCs w:val="20"/>
          <w:color w:val="auto"/>
        </w:rPr>
      </w:pPr>
    </w:p>
    <w:p>
      <w:pPr>
        <w:ind w:left="620" w:right="3239" w:hanging="611"/>
        <w:spacing w:after="0" w:line="258" w:lineRule="auto"/>
        <w:tabs>
          <w:tab w:leader="none" w:pos="60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Subject to the provisions of Articles 18, 19 and 21, the vote in favor by a majority of the votes cast (excluding any abstentions) shall be necessary to adopt any resolution at any general meeting of shareholders.</w:t>
      </w:r>
    </w:p>
    <w:p>
      <w:pPr>
        <w:spacing w:after="0" w:line="161" w:lineRule="exact"/>
        <w:rPr>
          <w:sz w:val="20"/>
          <w:szCs w:val="20"/>
          <w:color w:val="auto"/>
        </w:rPr>
      </w:pPr>
    </w:p>
    <w:p>
      <w:pPr>
        <w:ind w:left="620" w:right="383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13.4.</w:t>
        <w:tab/>
        <w:t>The Board of Directors from time to time shall appoint a person to preside at general meetings of shareholders.</w:t>
      </w:r>
    </w:p>
    <w:p>
      <w:pPr>
        <w:spacing w:after="0" w:line="173" w:lineRule="exact"/>
        <w:rPr>
          <w:sz w:val="20"/>
          <w:szCs w:val="20"/>
          <w:color w:val="auto"/>
        </w:rPr>
      </w:pPr>
    </w:p>
    <w:p>
      <w:pPr>
        <w:ind w:left="620" w:right="331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13.5.</w:t>
        <w:tab/>
        <w:t>At any general meeting of shareholders, a shareholder may vote upon all matters before the meeting, even if the decision to be taken would grant him, in a capacity other than as a shareholder, any right against the Company or would in such other capacity relieve him of any obligation to the Company.</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SEPARATE MEETINGS</w:t>
      </w:r>
    </w:p>
    <w:p>
      <w:pPr>
        <w:ind w:left="3080"/>
        <w:spacing w:after="0" w:line="237" w:lineRule="auto"/>
        <w:rPr>
          <w:sz w:val="20"/>
          <w:szCs w:val="20"/>
          <w:color w:val="auto"/>
        </w:rPr>
      </w:pPr>
      <w:r>
        <w:rPr>
          <w:rFonts w:ascii="Courier New" w:cs="Courier New" w:eastAsia="Courier New" w:hAnsi="Courier New"/>
          <w:sz w:val="15"/>
          <w:szCs w:val="15"/>
          <w:color w:val="auto"/>
        </w:rPr>
        <w:t>Article 14</w:t>
      </w:r>
    </w:p>
    <w:p>
      <w:pPr>
        <w:spacing w:after="0" w:line="173" w:lineRule="exact"/>
        <w:rPr>
          <w:sz w:val="20"/>
          <w:szCs w:val="20"/>
          <w:color w:val="auto"/>
        </w:rPr>
      </w:pPr>
    </w:p>
    <w:p>
      <w:pPr>
        <w:ind w:left="620" w:right="33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14.1.</w:t>
        <w:tab/>
        <w:t>Separate meetings of holders of each series of preferred shares (each a "Series Meeting") can be held and may be convened by any two or more members of the Board of Directors.</w:t>
      </w: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Notice of Series Meeting shall be given not less than ten (10) days prior</w:t>
      </w:r>
    </w:p>
    <w:p>
      <w:pPr>
        <w:spacing w:after="0" w:line="5" w:lineRule="exact"/>
        <w:rPr>
          <w:sz w:val="20"/>
          <w:szCs w:val="20"/>
          <w:color w:val="auto"/>
        </w:rPr>
      </w:pPr>
    </w:p>
    <w:p>
      <w:pPr>
        <w:jc w:val="both"/>
        <w:ind w:left="620" w:right="3839"/>
        <w:spacing w:after="0" w:line="254" w:lineRule="auto"/>
        <w:rPr>
          <w:sz w:val="20"/>
          <w:szCs w:val="20"/>
          <w:color w:val="auto"/>
        </w:rPr>
      </w:pPr>
      <w:r>
        <w:rPr>
          <w:rFonts w:ascii="Courier New" w:cs="Courier New" w:eastAsia="Courier New" w:hAnsi="Courier New"/>
          <w:sz w:val="14"/>
          <w:szCs w:val="14"/>
          <w:color w:val="auto"/>
        </w:rPr>
        <w:t>to the date of the Series Meeting to the address of each holder of preferred shares of the relevant series appearing in the Register.</w:t>
      </w:r>
    </w:p>
    <w:p>
      <w:pPr>
        <w:spacing w:after="0" w:line="1"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14.3.</w:t>
        <w:tab/>
        <w:t>The notice shall contain the agenda of the Series Meeting or shall mention that it is deposited for inspection by the holder of the relevant shares at the offices of the Company.</w:t>
      </w:r>
    </w:p>
    <w:p>
      <w:pPr>
        <w:spacing w:after="0" w:line="5" w:lineRule="exact"/>
        <w:rPr>
          <w:sz w:val="20"/>
          <w:szCs w:val="20"/>
          <w:color w:val="auto"/>
        </w:rPr>
      </w:pPr>
    </w:p>
    <w:p>
      <w:pPr>
        <w:ind w:left="620" w:right="331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4"/>
          <w:szCs w:val="14"/>
          <w:color w:val="auto"/>
        </w:rPr>
        <w:t>The Series Meetings do not have to be held in the Netherlands Antilles but may be held in conjunction with any general meeting of shareholders.</w:t>
      </w:r>
    </w:p>
    <w:p>
      <w:pPr>
        <w:spacing w:after="0" w:line="1" w:lineRule="exact"/>
        <w:rPr>
          <w:sz w:val="20"/>
          <w:szCs w:val="20"/>
          <w:color w:val="auto"/>
        </w:rPr>
      </w:pPr>
    </w:p>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14.5.</w:t>
        <w:tab/>
        <w:t>To a Series Meeting all the provisions of these Articles of Association and the laws of the Netherlands Antilles as to General Meetings of Shareholders shall, mutatis mutandis, apply, if not otherwise provided in this Article.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FISCAL YEAR</w:t>
      </w:r>
    </w:p>
    <w:p>
      <w:pPr>
        <w:ind w:left="3080"/>
        <w:spacing w:after="0" w:line="237" w:lineRule="auto"/>
        <w:rPr>
          <w:sz w:val="20"/>
          <w:szCs w:val="20"/>
          <w:color w:val="auto"/>
        </w:rPr>
      </w:pPr>
      <w:r>
        <w:rPr>
          <w:rFonts w:ascii="Courier New" w:cs="Courier New" w:eastAsia="Courier New" w:hAnsi="Courier New"/>
          <w:sz w:val="15"/>
          <w:szCs w:val="15"/>
          <w:color w:val="auto"/>
        </w:rPr>
        <w:t>Article 15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of the Company shall be the calendar year.</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BALANCE SHEET AND PROFIT AND LOSS ACCOUNT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Article 16</w:t>
      </w:r>
    </w:p>
    <w:p>
      <w:pPr>
        <w:spacing w:after="0" w:line="173"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4"/>
          <w:szCs w:val="14"/>
          <w:color w:val="auto"/>
        </w:rPr>
        <w:t>Within eight months after the end of the fiscal year of the Company, the Board of Directors shall prepare the balance sheet and profit and loss account with respect to the preceding fiscal year. Subsequently, the balance sheet and profit and loss account shall be submitted to the shareholders for inspection and adoption at the annual general meeting of shareholders in accordance with paragraph 2 of Article 11. From the date at which the notice of the annual general meeting of shareholders is sent until the close of the annual general meeting of shareholders, the balance sheet and profit and loss account shall be available for inspection by the shareholders at the office of the Company, and at any additional place, if specified in the notice of such meeting.</w:t>
      </w:r>
    </w:p>
    <w:p>
      <w:pPr>
        <w:spacing w:after="0" w:line="4" w:lineRule="exact"/>
        <w:rPr>
          <w:sz w:val="20"/>
          <w:szCs w:val="20"/>
          <w:color w:val="auto"/>
        </w:rPr>
      </w:pPr>
    </w:p>
    <w:p>
      <w:pPr>
        <w:jc w:val="both"/>
        <w:ind w:left="620" w:right="33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16.2.</w:t>
        <w:tab/>
        <w:t>The Board of Directors, with due observance of dividend entitlements of the holders of preferred shares, is authorized to allocate such part of the profits to the retained earning reserves as it deems fit.</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DISTRIBUTION OF PROFITS</w:t>
      </w:r>
    </w:p>
    <w:p>
      <w:pPr>
        <w:ind w:left="3080"/>
        <w:spacing w:after="0" w:line="237" w:lineRule="auto"/>
        <w:rPr>
          <w:sz w:val="20"/>
          <w:szCs w:val="20"/>
          <w:color w:val="auto"/>
        </w:rPr>
      </w:pPr>
      <w:r>
        <w:rPr>
          <w:rFonts w:ascii="Courier New" w:cs="Courier New" w:eastAsia="Courier New" w:hAnsi="Courier New"/>
          <w:sz w:val="15"/>
          <w:szCs w:val="15"/>
          <w:color w:val="auto"/>
        </w:rPr>
        <w:t>Article 17</w:t>
      </w:r>
    </w:p>
    <w:p>
      <w:pPr>
        <w:spacing w:after="0" w:line="173" w:lineRule="exact"/>
        <w:rPr>
          <w:sz w:val="20"/>
          <w:szCs w:val="20"/>
          <w:color w:val="auto"/>
        </w:rPr>
      </w:pPr>
    </w:p>
    <w:p>
      <w:pPr>
        <w:ind w:left="620" w:right="339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4"/>
          <w:szCs w:val="14"/>
          <w:color w:val="auto"/>
        </w:rPr>
        <w:t>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3" w:lineRule="exact"/>
        <w:rPr>
          <w:sz w:val="20"/>
          <w:szCs w:val="20"/>
          <w:color w:val="auto"/>
        </w:rPr>
      </w:pPr>
    </w:p>
    <w:p>
      <w:pPr>
        <w:ind w:left="620" w:right="3239" w:hanging="611"/>
        <w:spacing w:after="0" w:line="236" w:lineRule="auto"/>
        <w:tabs>
          <w:tab w:leader="none" w:pos="600" w:val="left"/>
        </w:tabs>
        <w:rPr>
          <w:sz w:val="20"/>
          <w:szCs w:val="20"/>
          <w:color w:val="auto"/>
        </w:rPr>
      </w:pPr>
      <w:r>
        <w:rPr>
          <w:rFonts w:ascii="Courier New" w:cs="Courier New" w:eastAsia="Courier New" w:hAnsi="Courier New"/>
          <w:sz w:val="15"/>
          <w:szCs w:val="15"/>
          <w:color w:val="auto"/>
        </w:rPr>
        <w:t>17.2.</w:t>
        <w:tab/>
        <w:t>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shareholders.</w:t>
      </w:r>
    </w:p>
    <w:p>
      <w:pPr>
        <w:spacing w:after="0"/>
        <w:tabs>
          <w:tab w:leader="none" w:pos="600"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4"/>
          <w:szCs w:val="14"/>
          <w:color w:val="auto"/>
        </w:rPr>
        <w:t>If, as appears from the adopted profit and loss statement, a loss has</w:t>
      </w:r>
    </w:p>
    <w:p>
      <w:pPr>
        <w:sectPr>
          <w:pgSz w:w="11900" w:h="16838" w:orient="portrait"/>
          <w:cols w:equalWidth="0" w:num="1">
            <w:col w:w="10239"/>
          </w:cols>
          <w:pgMar w:left="220" w:top="624" w:right="1440" w:bottom="0" w:gutter="0" w:footer="0" w:header="0"/>
        </w:sectPr>
      </w:pPr>
    </w:p>
    <w:bookmarkStart w:id="26" w:name="page27"/>
    <w:bookmarkEnd w:id="26"/>
    <w:p>
      <w:pPr>
        <w:ind w:right="3239"/>
        <w:spacing w:after="0" w:line="256" w:lineRule="auto"/>
        <w:rPr>
          <w:sz w:val="20"/>
          <w:szCs w:val="20"/>
          <w:color w:val="auto"/>
        </w:rPr>
      </w:pPr>
      <w:r>
        <w:rPr>
          <w:rFonts w:ascii="Courier New" w:cs="Courier New" w:eastAsia="Courier New" w:hAnsi="Courier New"/>
          <w:sz w:val="14"/>
          <w:szCs w:val="14"/>
          <w:color w:val="auto"/>
        </w:rPr>
        <w:t>been suffered which cannot be covered by a reserve or which cannot be extinguished through the application of undistributed profits from previous years or otherwise, no distribution of profits shall be effected in subsequent years so long as such loss has not been made good.</w:t>
      </w:r>
    </w:p>
    <w:p>
      <w:pPr>
        <w:sectPr>
          <w:pgSz w:w="11900" w:h="16838" w:orient="portrait"/>
          <w:cols w:equalWidth="0" w:num="1">
            <w:col w:w="9619"/>
          </w:cols>
          <w:pgMar w:left="840" w:top="141" w:right="1440" w:bottom="1440" w:gutter="0" w:footer="0" w:header="0"/>
        </w:sectPr>
      </w:pPr>
    </w:p>
    <w:bookmarkStart w:id="27" w:name="page28"/>
    <w:bookmarkEnd w:id="27"/>
    <w:p>
      <w:pPr>
        <w:ind w:left="620" w:right="323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17.4.</w:t>
        <w:tab/>
        <w:t>If dividends are to be distributed, the holders of preferred shares shall have preference as to such dividends in accordance with the preferences of such shares as determined at the issuance thereof.</w:t>
      </w:r>
    </w:p>
    <w:p>
      <w:pPr>
        <w:spacing w:after="0" w:line="5" w:lineRule="exact"/>
        <w:rPr>
          <w:sz w:val="20"/>
          <w:szCs w:val="20"/>
          <w:color w:val="auto"/>
        </w:rPr>
      </w:pPr>
    </w:p>
    <w:p>
      <w:pPr>
        <w:ind w:left="620" w:right="331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17.5.</w:t>
        <w:tab/>
        <w:t>The Board of Directors may resolve at any time to distribute one or more interim dividends as an advance payment of the dividend expected to be determined by the shareholders at the annual general meeting.</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DISPOSITION OF THE COMPANY'S ASSETS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Article 18</w:t>
      </w:r>
    </w:p>
    <w:p>
      <w:pPr>
        <w:spacing w:after="0" w:line="173"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shareholders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shareholders of the Company in such assets.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LIQUIDATION</w:t>
      </w:r>
    </w:p>
    <w:p>
      <w:pPr>
        <w:ind w:left="3080"/>
        <w:spacing w:after="0" w:line="237" w:lineRule="auto"/>
        <w:rPr>
          <w:sz w:val="20"/>
          <w:szCs w:val="20"/>
          <w:color w:val="auto"/>
        </w:rPr>
      </w:pPr>
      <w:r>
        <w:rPr>
          <w:rFonts w:ascii="Courier New" w:cs="Courier New" w:eastAsia="Courier New" w:hAnsi="Courier New"/>
          <w:sz w:val="15"/>
          <w:szCs w:val="15"/>
          <w:color w:val="auto"/>
        </w:rPr>
        <w:t>Article 19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Notwithstanding any provision of Article 13, any resolution providing for the dissolution, liquidation or winding up of the Company shall be valid only if duly adopted at a general meeting of shareholders by the holder or holders of at least a majority of the shares at the time outstanding and entitled to vote, the notice of which meeting shall have specified the nature of any such resolution to be voted upon at such meeting.</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ACTION BY SHAREHOLDERS WITHOUT MEETING</w:t>
      </w:r>
    </w:p>
    <w:p>
      <w:pPr>
        <w:jc w:val="center"/>
        <w:ind w:right="3239"/>
        <w:spacing w:after="0" w:line="237" w:lineRule="auto"/>
        <w:rPr>
          <w:sz w:val="20"/>
          <w:szCs w:val="20"/>
          <w:color w:val="auto"/>
        </w:rPr>
      </w:pPr>
      <w:r>
        <w:rPr>
          <w:rFonts w:ascii="Courier New" w:cs="Courier New" w:eastAsia="Courier New" w:hAnsi="Courier New"/>
          <w:sz w:val="15"/>
          <w:szCs w:val="15"/>
          <w:color w:val="auto"/>
        </w:rPr>
        <w:t>Article 20</w:t>
      </w:r>
    </w:p>
    <w:p>
      <w:pPr>
        <w:spacing w:after="0" w:line="173" w:lineRule="exact"/>
        <w:rPr>
          <w:sz w:val="20"/>
          <w:szCs w:val="20"/>
          <w:color w:val="auto"/>
        </w:rPr>
      </w:pPr>
    </w:p>
    <w:p>
      <w:pPr>
        <w:ind w:left="620" w:right="323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Notwithstanding any provision of Article 13, 18, 19 or 21, any action which by law or by these Articles of Association is required or permitted to be taken at a general meeting of shareholders may be taken without a meeting if taken by the written consent of the holder or holders of at least the majority of the shares of the Company outstanding and entitled to vote. Each shareholder may evidence his consent by separate instrument which may be executed by himself or on his behalf by a duly appointed proxy. Notice of any action proposed to be taken under this Article 20 shall be communicated to each shareholder at his address appearing in the share register, such notice to designate the date on or before which such written consent must be received by the Secretary of the Company in order to be counted. Any shareholder may revoke his consent by instrument received by the Secretary of the Company on or before the date so designated, or before written consents from the holders of the majority of the shares outstanding and entitled to vote have been received by the Secretary of the Company, whichever first occurs, and not thereafter.</w:t>
      </w:r>
    </w:p>
    <w:p>
      <w:pPr>
        <w:spacing w:after="0" w:line="6" w:lineRule="exact"/>
        <w:rPr>
          <w:sz w:val="20"/>
          <w:szCs w:val="20"/>
          <w:color w:val="auto"/>
        </w:rPr>
      </w:pPr>
    </w:p>
    <w:p>
      <w:pPr>
        <w:ind w:left="620" w:right="3319" w:hanging="611"/>
        <w:spacing w:after="0" w:line="255" w:lineRule="auto"/>
        <w:tabs>
          <w:tab w:leader="none" w:pos="60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For the purpose of determining shareholders entitled to notice of and or to give written consent to any action proposed to be taken under this Article 20, the Board of Directors of the Company may provide that the stock transfer books shall be closed for a stated period not to exceed sixty (60) days. Such books shall be closed for at least ten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in any case to be not earlier than sixty (60)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mailed shall be the record date for such determination of shareholders.</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ind w:left="3080"/>
        <w:spacing w:after="0" w:line="237" w:lineRule="auto"/>
        <w:rPr>
          <w:sz w:val="20"/>
          <w:szCs w:val="20"/>
          <w:color w:val="auto"/>
        </w:rPr>
      </w:pPr>
      <w:r>
        <w:rPr>
          <w:rFonts w:ascii="Courier New" w:cs="Courier New" w:eastAsia="Courier New" w:hAnsi="Courier New"/>
          <w:sz w:val="15"/>
          <w:szCs w:val="15"/>
          <w:color w:val="auto"/>
        </w:rPr>
        <w:t>Article 21</w:t>
      </w:r>
    </w:p>
    <w:p>
      <w:pPr>
        <w:spacing w:after="0" w:line="173" w:lineRule="exact"/>
        <w:rPr>
          <w:sz w:val="20"/>
          <w:szCs w:val="20"/>
          <w:color w:val="auto"/>
        </w:rPr>
      </w:pPr>
    </w:p>
    <w:p>
      <w:pPr>
        <w:ind w:left="620" w:right="3319" w:hanging="611"/>
        <w:spacing w:after="0" w:line="254" w:lineRule="auto"/>
        <w:tabs>
          <w:tab w:leader="none" w:pos="6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Notwithstanding any provision of Article 13, these Articles of Association may be amended only pursuant to a resolution duly adopted at a general meeting of shareholders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Curacao for inspection by the shareholders of the Company, and shall remain available for inspection until the conclusion of said meeting.</w:t>
      </w:r>
    </w:p>
    <w:p>
      <w:pPr>
        <w:spacing w:after="0" w:line="3" w:lineRule="exact"/>
        <w:rPr>
          <w:sz w:val="20"/>
          <w:szCs w:val="20"/>
          <w:color w:val="auto"/>
        </w:rPr>
      </w:pPr>
    </w:p>
    <w:p>
      <w:pPr>
        <w:ind w:left="620" w:right="3319" w:hanging="611"/>
        <w:spacing w:after="0" w:line="255" w:lineRule="auto"/>
        <w:tabs>
          <w:tab w:leader="none" w:pos="60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Any amendment to these Articles of Association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ectPr>
          <w:pgSz w:w="11900" w:h="16838" w:orient="portrait"/>
          <w:cols w:equalWidth="0" w:num="1">
            <w:col w:w="10239"/>
          </w:cols>
          <w:pgMar w:left="220" w:top="624" w:right="1440" w:bottom="678" w:gutter="0" w:footer="0" w:header="0"/>
        </w:sectPr>
      </w:pPr>
    </w:p>
    <w:bookmarkStart w:id="28" w:name="page29"/>
    <w:bookmarkEnd w:id="28"/>
    <w:p>
      <w:pPr>
        <w:jc w:val="right"/>
        <w:ind w:right="3239"/>
        <w:spacing w:after="0"/>
        <w:rPr>
          <w:sz w:val="20"/>
          <w:szCs w:val="20"/>
          <w:color w:val="auto"/>
        </w:rPr>
      </w:pPr>
      <w:r>
        <w:rPr>
          <w:rFonts w:ascii="Courier New" w:cs="Courier New" w:eastAsia="Courier New" w:hAnsi="Courier New"/>
          <w:sz w:val="15"/>
          <w:szCs w:val="15"/>
          <w:color w:val="auto"/>
        </w:rPr>
        <w:t>Exhibit 3(b)</w:t>
      </w:r>
    </w:p>
    <w:p>
      <w:pPr>
        <w:jc w:val="center"/>
        <w:ind w:right="3239"/>
        <w:spacing w:after="0" w:line="237" w:lineRule="auto"/>
        <w:rPr>
          <w:sz w:val="20"/>
          <w:szCs w:val="20"/>
          <w:color w:val="auto"/>
        </w:rPr>
      </w:pPr>
      <w:r>
        <w:rPr>
          <w:rFonts w:ascii="Courier New" w:cs="Courier New" w:eastAsia="Courier New" w:hAnsi="Courier New"/>
          <w:sz w:val="15"/>
          <w:szCs w:val="15"/>
          <w:color w:val="auto"/>
        </w:rPr>
        <w:t>Appendix B</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ind w:left="3240"/>
        <w:spacing w:after="0" w:line="237" w:lineRule="auto"/>
        <w:rPr>
          <w:sz w:val="20"/>
          <w:szCs w:val="20"/>
          <w:color w:val="auto"/>
        </w:rPr>
      </w:pPr>
      <w:r>
        <w:rPr>
          <w:rFonts w:ascii="Courier New" w:cs="Courier New" w:eastAsia="Courier New" w:hAnsi="Courier New"/>
          <w:sz w:val="15"/>
          <w:szCs w:val="15"/>
          <w:color w:val="auto"/>
        </w:rPr>
        <w:t>BY-LAWS</w:t>
      </w:r>
    </w:p>
    <w:p>
      <w:pPr>
        <w:ind w:left="3420"/>
        <w:spacing w:after="0" w:line="238" w:lineRule="auto"/>
        <w:rPr>
          <w:sz w:val="20"/>
          <w:szCs w:val="20"/>
          <w:color w:val="auto"/>
        </w:rPr>
      </w:pPr>
      <w:r>
        <w:rPr>
          <w:rFonts w:ascii="Courier New" w:cs="Courier New" w:eastAsia="Courier New" w:hAnsi="Courier New"/>
          <w:sz w:val="15"/>
          <w:szCs w:val="15"/>
          <w:color w:val="auto"/>
        </w:rPr>
        <w:t>of</w:t>
      </w:r>
    </w:p>
    <w:p>
      <w:pPr>
        <w:spacing w:after="0" w:line="167"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SCHLUMBERGER LIMITED</w:t>
      </w:r>
    </w:p>
    <w:p>
      <w:pPr>
        <w:jc w:val="right"/>
        <w:ind w:right="5859"/>
        <w:spacing w:after="0" w:line="237" w:lineRule="auto"/>
        <w:rPr>
          <w:sz w:val="20"/>
          <w:szCs w:val="20"/>
          <w:color w:val="auto"/>
        </w:rPr>
      </w:pPr>
      <w:r>
        <w:rPr>
          <w:rFonts w:ascii="Courier New" w:cs="Courier New" w:eastAsia="Courier New" w:hAnsi="Courier New"/>
          <w:sz w:val="15"/>
          <w:szCs w:val="15"/>
          <w:color w:val="auto"/>
        </w:rPr>
        <w:t>(Schlumberger N.V.)</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(Certain provisions of the By-Laws correspond to provisions contained in the Deed of Incorporation as amended, and any amendment of such provisions of the By-Laws is subject to an appropriate amendment of the Deed of Incorporation.)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SHAREHOLDERS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1.1</w:t>
      </w:r>
      <w:r>
        <w:rPr>
          <w:sz w:val="20"/>
          <w:szCs w:val="20"/>
          <w:color w:val="auto"/>
        </w:rPr>
        <w:tab/>
      </w:r>
      <w:r>
        <w:rPr>
          <w:rFonts w:ascii="Courier New" w:cs="Courier New" w:eastAsia="Courier New" w:hAnsi="Courier New"/>
          <w:sz w:val="14"/>
          <w:szCs w:val="14"/>
          <w:color w:val="auto"/>
        </w:rPr>
        <w:t>Place of Meetings: Chairmanship of Meetings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All general meetings of shareholders shall be held in Curacao, Bonaire, St. Eustatius, Saba or the Dutch part of St. Maarten. All such general meetings shall be presided over by the Chairman or, in his absence or disability, by the</w:t>
      </w:r>
    </w:p>
    <w:p>
      <w:pPr>
        <w:sectPr>
          <w:pgSz w:w="11900" w:h="16838" w:orient="portrait"/>
          <w:cols w:equalWidth="0" w:num="1">
            <w:col w:w="10239"/>
          </w:cols>
          <w:pgMar w:left="220" w:top="471" w:right="1440" w:bottom="1440" w:gutter="0" w:footer="0" w:header="0"/>
        </w:sectPr>
      </w:pPr>
    </w:p>
    <w:bookmarkStart w:id="29" w:name="page30"/>
    <w:bookmarkEnd w:id="29"/>
    <w:p>
      <w:pPr>
        <w:jc w:val="both"/>
        <w:ind w:right="3499"/>
        <w:spacing w:after="0" w:line="235" w:lineRule="auto"/>
        <w:rPr>
          <w:sz w:val="20"/>
          <w:szCs w:val="20"/>
          <w:color w:val="auto"/>
        </w:rPr>
      </w:pPr>
      <w:r>
        <w:rPr>
          <w:rFonts w:ascii="Courier New" w:cs="Courier New" w:eastAsia="Courier New" w:hAnsi="Courier New"/>
          <w:sz w:val="15"/>
          <w:szCs w:val="15"/>
          <w:color w:val="auto"/>
        </w:rPr>
        <w:t>Vice Chairman. In the absence or disability of both the Chairman and the Vice Chairman, such meetings shall be presided over by such other person as may be designated by the Board of Directors.</w:t>
      </w:r>
    </w:p>
    <w:p>
      <w:pPr>
        <w:spacing w:after="0" w:line="167"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1.2</w:t>
      </w:r>
      <w:r>
        <w:rPr>
          <w:sz w:val="20"/>
          <w:szCs w:val="20"/>
          <w:color w:val="auto"/>
        </w:rPr>
        <w:tab/>
      </w:r>
      <w:r>
        <w:rPr>
          <w:rFonts w:ascii="Courier New" w:cs="Courier New" w:eastAsia="Courier New" w:hAnsi="Courier New"/>
          <w:sz w:val="14"/>
          <w:szCs w:val="14"/>
          <w:color w:val="auto"/>
        </w:rPr>
        <w:t>Annual Meeting</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annual general meeting of shareholders shall be held within the period required by applicable law, on a date determined from year to year by the Board of Directors, for the purpose of electing directors, reporting on the course of business during the preceding fiscal year, adopting of the balance sheet and the profit and loss accounts for the preceding fiscal year and for any other purposes required by law, and for such additional purposes as may be specified in the notice of such meeting.</w:t>
      </w:r>
    </w:p>
    <w:p>
      <w:pPr>
        <w:spacing w:after="0" w:line="169"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1.3</w:t>
      </w:r>
      <w:r>
        <w:rPr>
          <w:sz w:val="20"/>
          <w:szCs w:val="20"/>
          <w:color w:val="auto"/>
        </w:rPr>
        <w:tab/>
      </w:r>
      <w:r>
        <w:rPr>
          <w:rFonts w:ascii="Courier New" w:cs="Courier New" w:eastAsia="Courier New" w:hAnsi="Courier New"/>
          <w:sz w:val="14"/>
          <w:szCs w:val="14"/>
          <w:color w:val="auto"/>
        </w:rPr>
        <w:t>Special Meetings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Special general meetings of shareholders may be called at any time upon the direction of the Chairman, the Vice Chairman, the Chief Executive Officer, the President or the Board of Directors or in the manner provided in Article 82 of the Code of Commerce of the Netherlands Antilles, or by one or more holders of shares representing in the aggregate a majority of the shares of stock then outstanding, or as provided for in Article 8.5 of the Deed of Incorporation.</w:t>
      </w:r>
    </w:p>
    <w:p>
      <w:pPr>
        <w:spacing w:after="0" w:line="160"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1.4</w:t>
      </w:r>
      <w:r>
        <w:rPr>
          <w:sz w:val="20"/>
          <w:szCs w:val="20"/>
          <w:color w:val="auto"/>
        </w:rPr>
        <w:tab/>
      </w:r>
      <w:r>
        <w:rPr>
          <w:rFonts w:ascii="Courier New" w:cs="Courier New" w:eastAsia="Courier New" w:hAnsi="Courier New"/>
          <w:sz w:val="14"/>
          <w:szCs w:val="14"/>
          <w:color w:val="auto"/>
        </w:rPr>
        <w:t>Notice of Meeting</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notices of general meetings of shareholders shall state the matters to be considered at the meeting. Notice of meetings of shareholders, whether annual general meetings or special general meetings, stating the time and place of the meeting, shall be given to the shareholders not less than 20 and no more than 60 days prior to the date of the meeting in question by notice to each shareholder at the address thereof appearing in the share register.</w:t>
      </w:r>
    </w:p>
    <w:p>
      <w:pPr>
        <w:spacing w:after="0" w:line="168" w:lineRule="exact"/>
        <w:rPr>
          <w:sz w:val="20"/>
          <w:szCs w:val="20"/>
          <w:color w:val="auto"/>
        </w:rPr>
      </w:pPr>
    </w:p>
    <w:p>
      <w:pPr>
        <w:ind w:left="1060"/>
        <w:spacing w:after="0"/>
        <w:tabs>
          <w:tab w:leader="none" w:pos="1920" w:val="left"/>
          <w:tab w:leader="none" w:pos="2360" w:val="left"/>
        </w:tabs>
        <w:rPr>
          <w:sz w:val="20"/>
          <w:szCs w:val="20"/>
          <w:color w:val="auto"/>
        </w:rPr>
      </w:pPr>
      <w:r>
        <w:rPr>
          <w:rFonts w:ascii="Courier New" w:cs="Courier New" w:eastAsia="Courier New" w:hAnsi="Courier New"/>
          <w:sz w:val="15"/>
          <w:szCs w:val="15"/>
          <w:color w:val="auto"/>
        </w:rPr>
        <w:t>SECTION</w:t>
        <w:tab/>
        <w:t>1.5</w:t>
      </w:r>
      <w:r>
        <w:rPr>
          <w:sz w:val="20"/>
          <w:szCs w:val="20"/>
          <w:color w:val="auto"/>
        </w:rPr>
        <w:tab/>
      </w:r>
      <w:r>
        <w:rPr>
          <w:rFonts w:ascii="Courier New" w:cs="Courier New" w:eastAsia="Courier New" w:hAnsi="Courier New"/>
          <w:sz w:val="14"/>
          <w:szCs w:val="14"/>
          <w:color w:val="auto"/>
        </w:rPr>
        <w:t>Closing of Transfer Books or Fixing of Record Date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the purpose of determining shareholders entitled to notice of or to vote at any general meeting of shareholders, or entitled to receive payment of any dividend, or in order to make a determination of shareholders for any other proper purpose (but excluding determinations made as provided in Section 1.7 of these By-Laws with respect to action by shareholders without meeting), the Board of Directors of the Company may provide that the stock transfer books shall be closed for a stated period but not to exceed, in any case, 60 days. If the stock transfer books shall be closed for the purpose of determining shareholders entitled to notice of or to vote at a general meeting of shareholders, such books shall be closed for at least 10 days immediately preceding such meeting. In lieu of closing the stock transfer books, the Board of Directors may fix in advance a date as the record date for any such determination of shareholders, such date in any case to be not more than 60 days and, in case of a general meeting of shareholders, not less than 10 days prior to the date on which the particular action requiring such determination of shareholders is to be taken. If the stock transfer books are not closed and no record date is fixed</w:t>
      </w:r>
    </w:p>
    <w:p>
      <w:pPr>
        <w:sectPr>
          <w:pgSz w:w="11900" w:h="16838" w:orient="portrait"/>
          <w:cols w:equalWidth="0" w:num="1">
            <w:col w:w="10239"/>
          </w:cols>
          <w:pgMar w:left="220" w:top="624" w:right="1440" w:bottom="1440" w:gutter="0" w:footer="0" w:header="0"/>
        </w:sectPr>
      </w:pPr>
    </w:p>
    <w:bookmarkStart w:id="30" w:name="page31"/>
    <w:bookmarkEnd w:id="30"/>
    <w:p>
      <w:pPr>
        <w:ind w:right="3239"/>
        <w:spacing w:after="0" w:line="236" w:lineRule="auto"/>
        <w:rPr>
          <w:sz w:val="20"/>
          <w:szCs w:val="20"/>
          <w:color w:val="auto"/>
        </w:rPr>
      </w:pPr>
      <w:r>
        <w:rPr>
          <w:rFonts w:ascii="Courier New" w:cs="Courier New" w:eastAsia="Courier New" w:hAnsi="Courier New"/>
          <w:sz w:val="15"/>
          <w:szCs w:val="15"/>
          <w:color w:val="auto"/>
        </w:rPr>
        <w:t>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general meeting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173"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1.6</w:t>
      </w:r>
      <w:r>
        <w:rPr>
          <w:sz w:val="20"/>
          <w:szCs w:val="20"/>
          <w:color w:val="auto"/>
        </w:rPr>
        <w:tab/>
      </w:r>
      <w:r>
        <w:rPr>
          <w:rFonts w:ascii="Courier New" w:cs="Courier New" w:eastAsia="Courier New" w:hAnsi="Courier New"/>
          <w:sz w:val="14"/>
          <w:szCs w:val="14"/>
          <w:color w:val="auto"/>
        </w:rPr>
        <w:t>Quorum</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Except as otherwise provided herein, no action may be taken at any general meeting of shareholders unless a quorum consisting of the holders of at least one-half of the outstanding shares is present at such meeting in person or by proxy. 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18, 19 and 21 of the Deed of Incorporation), valid resolutions may be adopted with respect to any matter stated in the notice of the original meeting and also in the notice of such second meeting or which, by law, is required to be brought before the shareholders despite the absence of a quorum. Subject to the provisions of Articles 18, 19 and 21 of the Deed of Incorporation, a majority of the votes cast (excluding any abstentions) shall be necessary to adopt any resolution at any general meeting of shareholders.</w:t>
      </w:r>
    </w:p>
    <w:p>
      <w:pPr>
        <w:spacing w:after="0" w:line="157"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1.7</w:t>
      </w:r>
      <w:r>
        <w:rPr>
          <w:sz w:val="20"/>
          <w:szCs w:val="20"/>
          <w:color w:val="auto"/>
        </w:rPr>
        <w:tab/>
      </w:r>
      <w:r>
        <w:rPr>
          <w:rFonts w:ascii="Courier New" w:cs="Courier New" w:eastAsia="Courier New" w:hAnsi="Courier New"/>
          <w:sz w:val="14"/>
          <w:szCs w:val="14"/>
          <w:color w:val="auto"/>
        </w:rPr>
        <w:t>Action by Shareholders Without Meeting</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provided in Article 20 of the Deed of Incorporation, any action which, by law or by the Deed of Incorporation, is required or permitted to be taken at a general meeting of shareholders may be taken without a meeting if taken by the written consent of the holder or holders of at least the majority of the shares of the Company outstanding and entitled to vote. Each shareholder may evidence such consent by separate instrument which may be executed by the shareholder or by a duly appointed proxy on behalf of the shareholder. Notice of any action proposed to be taken under said Article 20 shall be given to each shareholder at the address appearing in the share register, such notice to designate the date on or before which such written consent must be received by the Secretary of the Company in order to be counted. Any shareholder may revoke his or her consent by instrument received by the Secretary of the Company on or before the date so designated or before written consents from the holders of the absolute majority of the shares outstanding and entitled to vote have been received by the Secretary of the Company, whichever first occurs, and not thereafter. For the purpose of determining shareholders entitled to notice of and or give written consent to any action proposed to be taken under said Article 20, the Board of Directors of the Company may provide that the stock transfer books shall be closed for a stated period not to exceed 60 days.</w:t>
      </w:r>
    </w:p>
    <w:p>
      <w:pPr>
        <w:sectPr>
          <w:pgSz w:w="11900" w:h="16838" w:orient="portrait"/>
          <w:cols w:equalWidth="0" w:num="1">
            <w:col w:w="10239"/>
          </w:cols>
          <w:pgMar w:left="220" w:top="624" w:right="1440" w:bottom="1440" w:gutter="0" w:footer="0" w:header="0"/>
        </w:sectPr>
      </w:pPr>
    </w:p>
    <w:bookmarkStart w:id="31" w:name="page32"/>
    <w:bookmarkEnd w:id="31"/>
    <w:p>
      <w:pPr>
        <w:ind w:right="3239"/>
        <w:spacing w:after="0" w:line="255" w:lineRule="auto"/>
        <w:rPr>
          <w:sz w:val="20"/>
          <w:szCs w:val="20"/>
          <w:color w:val="auto"/>
        </w:rPr>
      </w:pPr>
      <w:r>
        <w:rPr>
          <w:rFonts w:ascii="Courier New" w:cs="Courier New" w:eastAsia="Courier New" w:hAnsi="Courier New"/>
          <w:sz w:val="14"/>
          <w:szCs w:val="14"/>
          <w:color w:val="auto"/>
        </w:rPr>
        <w:t>Such books shall be closed for at least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to be not more than 60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given, shall be the record date for such determination of shareholders.</w:t>
      </w:r>
    </w:p>
    <w:p>
      <w:pPr>
        <w:spacing w:after="0" w:line="159"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1.8</w:t>
      </w:r>
      <w:r>
        <w:rPr>
          <w:sz w:val="20"/>
          <w:szCs w:val="20"/>
          <w:color w:val="auto"/>
        </w:rPr>
        <w:tab/>
      </w:r>
      <w:r>
        <w:rPr>
          <w:rFonts w:ascii="Courier New" w:cs="Courier New" w:eastAsia="Courier New" w:hAnsi="Courier New"/>
          <w:sz w:val="14"/>
          <w:szCs w:val="14"/>
          <w:color w:val="auto"/>
        </w:rPr>
        <w:t>Notices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Without limiting the manner by which notice otherwise may be given effectively to shareholders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w:t>
      </w:r>
    </w:p>
    <w:p>
      <w:pPr>
        <w:spacing w:after="0" w:line="3" w:lineRule="exact"/>
        <w:rPr>
          <w:sz w:val="20"/>
          <w:szCs w:val="20"/>
          <w:color w:val="auto"/>
        </w:rPr>
      </w:pPr>
    </w:p>
    <w:p>
      <w:pPr>
        <w:ind w:right="3399" w:firstLine="10"/>
        <w:spacing w:after="0" w:line="254"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a posting on an electronic network together with separate notice to the recipient of such specific posting, upon the later of (A) such posting and</w:t>
      </w: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BOARD OF DIRECTORS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2.1</w:t>
      </w:r>
      <w:r>
        <w:rPr>
          <w:sz w:val="20"/>
          <w:szCs w:val="20"/>
          <w:color w:val="auto"/>
        </w:rPr>
        <w:tab/>
      </w:r>
      <w:r>
        <w:rPr>
          <w:rFonts w:ascii="Courier New" w:cs="Courier New" w:eastAsia="Courier New" w:hAnsi="Courier New"/>
          <w:sz w:val="14"/>
          <w:szCs w:val="14"/>
          <w:color w:val="auto"/>
        </w:rPr>
        <w:t>General Powers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management of all the affairs, property and business of the Company shall be vested in a Board of Directors who shall have and may exercise all powers except such as are exclusively conferred upon shareholders by law or by the Deed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169"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2.2</w:t>
      </w:r>
      <w:r>
        <w:rPr>
          <w:sz w:val="20"/>
          <w:szCs w:val="20"/>
          <w:color w:val="auto"/>
        </w:rPr>
        <w:tab/>
      </w:r>
      <w:r>
        <w:rPr>
          <w:rFonts w:ascii="Courier New" w:cs="Courier New" w:eastAsia="Courier New" w:hAnsi="Courier New"/>
          <w:sz w:val="14"/>
          <w:szCs w:val="14"/>
          <w:color w:val="auto"/>
        </w:rPr>
        <w:t>Number, Tenure and Qualifications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directors shall be elected at the annual general meeting of shareholders by a majority of the votes cast by the shareholders entitled to vote. The number of persons constituting the whole Board of Directors shall not be less</w:t>
      </w:r>
    </w:p>
    <w:p>
      <w:pPr>
        <w:sectPr>
          <w:pgSz w:w="11900" w:h="16838" w:orient="portrait"/>
          <w:cols w:equalWidth="0" w:num="1">
            <w:col w:w="10239"/>
          </w:cols>
          <w:pgMar w:left="220" w:top="624" w:right="1440" w:bottom="1440" w:gutter="0" w:footer="0" w:header="0"/>
        </w:sectPr>
      </w:pPr>
    </w:p>
    <w:bookmarkStart w:id="32" w:name="page33"/>
    <w:bookmarkEnd w:id="32"/>
    <w:p>
      <w:pPr>
        <w:ind w:right="3239"/>
        <w:spacing w:after="0" w:line="255" w:lineRule="auto"/>
        <w:rPr>
          <w:sz w:val="20"/>
          <w:szCs w:val="20"/>
          <w:color w:val="auto"/>
        </w:rPr>
      </w:pPr>
      <w:r>
        <w:rPr>
          <w:rFonts w:ascii="Courier New" w:cs="Courier New" w:eastAsia="Courier New" w:hAnsi="Courier New"/>
          <w:sz w:val="14"/>
          <w:szCs w:val="14"/>
          <w:color w:val="auto"/>
        </w:rPr>
        <w:t>than five nor more than twenty-four as fixed and elected by the general meeting of shareholders. The number of persons constituting the whole Board of Directors shall, until changed at any succeeding general meeting of shareholders, be the number so fixed and elected. Directors may be removed at any general meeting of shareholders. At any general meeting of shareholders at which action is taken to increase the number of the whole Board of Directors or to remove a director, or at any subsequent general meeting, the shareholders may fill any vacancy or vacancies created by such action. Each director shall be elected to serve until the next annual general meeting of shareholders and until his or her successor shall be elected and qualified or until his or her death, resignation or removal. Directors need not be Netherlands citizens or residents of the Netherlands Antilles or shareholders of the Company.</w:t>
      </w:r>
    </w:p>
    <w:p>
      <w:pPr>
        <w:spacing w:after="0" w:line="158"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2.3</w:t>
      </w:r>
      <w:r>
        <w:rPr>
          <w:sz w:val="20"/>
          <w:szCs w:val="20"/>
          <w:color w:val="auto"/>
        </w:rPr>
        <w:tab/>
      </w:r>
      <w:r>
        <w:rPr>
          <w:rFonts w:ascii="Courier New" w:cs="Courier New" w:eastAsia="Courier New" w:hAnsi="Courier New"/>
          <w:sz w:val="14"/>
          <w:szCs w:val="14"/>
          <w:color w:val="auto"/>
        </w:rPr>
        <w:t>Meetings of the Board</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directors may hold their meetings in or outside the Netherlands Antilles.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of Directors. Regular meetings of the Board 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 The first meeting of the Board of Directors following the annual general meeting of shareholders, whether a regular or special meeting of the Board, shall be an organization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71"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2.4</w:t>
      </w:r>
      <w:r>
        <w:rPr>
          <w:sz w:val="20"/>
          <w:szCs w:val="20"/>
          <w:color w:val="auto"/>
        </w:rPr>
        <w:tab/>
      </w:r>
      <w:r>
        <w:rPr>
          <w:rFonts w:ascii="Courier New" w:cs="Courier New" w:eastAsia="Courier New" w:hAnsi="Courier New"/>
          <w:sz w:val="14"/>
          <w:szCs w:val="14"/>
          <w:color w:val="auto"/>
        </w:rPr>
        <w:t>Action by Directors Without Meeting</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When action by the Board of Directors is required or permitted to be taken, action at a meeting may be dispensed with if all commercially reasonable efforts have been taken to notify all the directors and three fourths of the directors shall consent in writing, by telegram, cable, telex, telefax, electronic mail or other communication device to such action taken or being taken, and provided that all directors are promptly notified of such action taken or</w:t>
      </w:r>
    </w:p>
    <w:p>
      <w:pPr>
        <w:sectPr>
          <w:pgSz w:w="11900" w:h="16838" w:orient="portrait"/>
          <w:cols w:equalWidth="0" w:num="1">
            <w:col w:w="10239"/>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having been taken.</w:t>
      </w:r>
    </w:p>
    <w:p>
      <w:pPr>
        <w:spacing w:after="0" w:line="166"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2.5</w:t>
      </w:r>
      <w:r>
        <w:rPr>
          <w:sz w:val="20"/>
          <w:szCs w:val="20"/>
          <w:color w:val="auto"/>
        </w:rPr>
        <w:tab/>
      </w:r>
      <w:r>
        <w:rPr>
          <w:rFonts w:ascii="Courier New" w:cs="Courier New" w:eastAsia="Courier New" w:hAnsi="Courier New"/>
          <w:sz w:val="14"/>
          <w:szCs w:val="14"/>
          <w:color w:val="auto"/>
        </w:rPr>
        <w:t>Quorum</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Directors may, by telegram, cable, telex,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73" w:lineRule="exact"/>
        <w:rPr>
          <w:sz w:val="20"/>
          <w:szCs w:val="20"/>
          <w:color w:val="auto"/>
        </w:rPr>
      </w:pPr>
    </w:p>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2.6</w:t>
      </w:r>
      <w:r>
        <w:rPr>
          <w:sz w:val="20"/>
          <w:szCs w:val="20"/>
          <w:color w:val="auto"/>
        </w:rPr>
        <w:tab/>
      </w:r>
      <w:r>
        <w:rPr>
          <w:rFonts w:ascii="Courier New" w:cs="Courier New" w:eastAsia="Courier New" w:hAnsi="Courier New"/>
          <w:sz w:val="14"/>
          <w:szCs w:val="14"/>
          <w:color w:val="auto"/>
        </w:rPr>
        <w:t>Vacancies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in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shareholders for the purpose of electing a Board of Directors.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ectPr>
          <w:pgSz w:w="11900" w:h="16838" w:orient="portrait"/>
          <w:cols w:equalWidth="0" w:num="1">
            <w:col w:w="10239"/>
          </w:cols>
          <w:pgMar w:left="220" w:top="617" w:right="1440" w:bottom="1440" w:gutter="0" w:footer="0" w:header="0"/>
        </w:sectPr>
      </w:pPr>
    </w:p>
    <w:bookmarkStart w:id="34" w:name="page35"/>
    <w:bookmarkEnd w:id="34"/>
    <w:p>
      <w:pPr>
        <w:ind w:left="106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SECTION</w:t>
        <w:tab/>
        <w:t>2.7</w:t>
      </w:r>
      <w:r>
        <w:rPr>
          <w:sz w:val="20"/>
          <w:szCs w:val="20"/>
          <w:color w:val="auto"/>
        </w:rPr>
        <w:tab/>
      </w:r>
      <w:r>
        <w:rPr>
          <w:rFonts w:ascii="Courier New" w:cs="Courier New" w:eastAsia="Courier New" w:hAnsi="Courier New"/>
          <w:sz w:val="14"/>
          <w:szCs w:val="14"/>
          <w:color w:val="auto"/>
        </w:rPr>
        <w:t>Committees</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hanging="690"/>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consisting of one or more members of the Board may be</w:t>
      </w:r>
    </w:p>
    <w:p>
      <w:pPr>
        <w:spacing w:after="0" w:line="4" w:lineRule="exact"/>
        <w:rPr>
          <w:rFonts w:ascii="Courier New" w:cs="Courier New" w:eastAsia="Courier New" w:hAnsi="Courier New"/>
          <w:sz w:val="15"/>
          <w:szCs w:val="15"/>
          <w:color w:val="auto"/>
        </w:rPr>
      </w:pPr>
    </w:p>
    <w:p>
      <w:pPr>
        <w:ind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telegram, cable, telex,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175" w:lineRule="exact"/>
        <w:rPr>
          <w:rFonts w:ascii="Courier New" w:cs="Courier New" w:eastAsia="Courier New" w:hAnsi="Courier New"/>
          <w:sz w:val="15"/>
          <w:szCs w:val="15"/>
          <w:color w:val="auto"/>
        </w:rPr>
      </w:pPr>
    </w:p>
    <w:p>
      <w:pPr>
        <w:ind w:right="3679" w:firstLine="10"/>
        <w:spacing w:after="0" w:line="261"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have power at any time to change the members of any committee, to fill vacancies thereon, and to discharge any committee.</w:t>
      </w:r>
    </w:p>
    <w:p>
      <w:pPr>
        <w:spacing w:after="0" w:line="159" w:lineRule="exact"/>
        <w:rPr>
          <w:rFonts w:ascii="Courier New" w:cs="Courier New" w:eastAsia="Courier New" w:hAnsi="Courier New"/>
          <w:sz w:val="14"/>
          <w:szCs w:val="14"/>
          <w:color w:val="auto"/>
        </w:rPr>
      </w:pPr>
    </w:p>
    <w:p>
      <w:pPr>
        <w:ind w:right="4199" w:firstLine="10"/>
        <w:spacing w:after="0" w:line="261"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have a standing Audit Committee, Compensation Committee, Finance Committee and Nominating Committee.</w:t>
      </w:r>
    </w:p>
    <w:p>
      <w:pPr>
        <w:spacing w:after="0" w:line="159" w:lineRule="exact"/>
        <w:rPr>
          <w:rFonts w:ascii="Courier New" w:cs="Courier New" w:eastAsia="Courier New" w:hAnsi="Courier New"/>
          <w:sz w:val="14"/>
          <w:szCs w:val="14"/>
          <w:color w:val="auto"/>
        </w:rPr>
      </w:pPr>
    </w:p>
    <w:p>
      <w:pPr>
        <w:ind w:right="3579" w:firstLine="10"/>
        <w:spacing w:after="0" w:line="235"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adopt a charter for each committee for regulating the conduct of its affairs. Such charters must be consistent with these By-Laws and the Deed of Incorporation.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Ill</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OFFICERS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3.1</w:t>
      </w:r>
      <w:r>
        <w:rPr>
          <w:sz w:val="20"/>
          <w:szCs w:val="20"/>
          <w:color w:val="auto"/>
        </w:rPr>
        <w:tab/>
      </w:r>
      <w:r>
        <w:rPr>
          <w:rFonts w:ascii="Courier New" w:cs="Courier New" w:eastAsia="Courier New" w:hAnsi="Courier New"/>
          <w:sz w:val="14"/>
          <w:szCs w:val="14"/>
          <w:color w:val="auto"/>
        </w:rPr>
        <w:t>Election and Term of Office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officers of the Company shall be elected by the Board of Directors and shall be a Chairman, a Chief Executive Officer, a Secretary and a Treasurer. The Board of Directors from time to time may also elect or appoint a Chief Financial Officer, a President, a Vice Chairman of the Board of Directors,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other than the Chairman and the Vice Chairman may but need not be directors. The Board of Directors may designate an officer or officers to be the Chief Financial Officer and the Chief Accounting Officer of the Company. Two or more offices may be held by the same person, provided, however, that no officer shall execute, acknowledge or</w:t>
      </w:r>
    </w:p>
    <w:p>
      <w:pPr>
        <w:sectPr>
          <w:pgSz w:w="11900" w:h="16838" w:orient="portrait"/>
          <w:cols w:equalWidth="0" w:num="1">
            <w:col w:w="10239"/>
          </w:cols>
          <w:pgMar w:left="220" w:top="617" w:right="1440" w:bottom="1440" w:gutter="0" w:footer="0" w:header="0"/>
        </w:sectPr>
      </w:pPr>
    </w:p>
    <w:bookmarkStart w:id="35" w:name="page36"/>
    <w:bookmarkEnd w:id="35"/>
    <w:p>
      <w:pPr>
        <w:ind w:right="3239"/>
        <w:spacing w:after="0" w:line="255" w:lineRule="auto"/>
        <w:rPr>
          <w:sz w:val="20"/>
          <w:szCs w:val="20"/>
          <w:color w:val="auto"/>
        </w:rPr>
      </w:pPr>
      <w:r>
        <w:rPr>
          <w:rFonts w:ascii="Courier New" w:cs="Courier New" w:eastAsia="Courier New" w:hAnsi="Courier New"/>
          <w:sz w:val="14"/>
          <w:szCs w:val="14"/>
          <w:color w:val="auto"/>
        </w:rPr>
        <w:t>verify any instrument in more than one capacity if such instrument is required by law or by these By-Laws to be executed, 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election of their successors or until the elimination of such offices or committees.</w:t>
      </w:r>
    </w:p>
    <w:p>
      <w:pPr>
        <w:spacing w:after="0" w:line="158"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3.2</w:t>
      </w:r>
      <w:r>
        <w:rPr>
          <w:sz w:val="20"/>
          <w:szCs w:val="20"/>
          <w:color w:val="auto"/>
        </w:rPr>
        <w:tab/>
      </w:r>
      <w:r>
        <w:rPr>
          <w:rFonts w:ascii="Courier New" w:cs="Courier New" w:eastAsia="Courier New" w:hAnsi="Courier New"/>
          <w:sz w:val="14"/>
          <w:szCs w:val="14"/>
          <w:color w:val="auto"/>
        </w:rPr>
        <w:t>Chairman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Chairman shall preside at all meetings of the Board, and shall exercise such other powers and discharge such other responsibilities as may be assigned by the Board of Directors. The Chairman shall have the power to sign certificates of stock of the Company.</w:t>
      </w:r>
    </w:p>
    <w:p>
      <w:pPr>
        <w:spacing w:after="0" w:line="16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3.3</w:t>
      </w:r>
      <w:r>
        <w:rPr>
          <w:sz w:val="20"/>
          <w:szCs w:val="20"/>
          <w:color w:val="auto"/>
        </w:rPr>
        <w:tab/>
      </w:r>
      <w:r>
        <w:rPr>
          <w:rFonts w:ascii="Courier New" w:cs="Courier New" w:eastAsia="Courier New" w:hAnsi="Courier New"/>
          <w:sz w:val="14"/>
          <w:szCs w:val="14"/>
          <w:color w:val="auto"/>
        </w:rPr>
        <w:t>Vice Chairman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Board of Directors may, from time to time, designate a director of the Company to be Vice Chairman. The Vice Chairman shall perform such duties as may be assigned by the Chairman or by the Board of Directors, and shall, in the absence or disability of the Chairman, act for the Chairman.</w:t>
      </w:r>
    </w:p>
    <w:p>
      <w:pPr>
        <w:spacing w:after="0" w:line="16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3.4</w:t>
      </w:r>
      <w:r>
        <w:rPr>
          <w:sz w:val="20"/>
          <w:szCs w:val="20"/>
          <w:color w:val="auto"/>
        </w:rPr>
        <w:tab/>
      </w:r>
      <w:r>
        <w:rPr>
          <w:rFonts w:ascii="Courier New" w:cs="Courier New" w:eastAsia="Courier New" w:hAnsi="Courier New"/>
          <w:sz w:val="14"/>
          <w:szCs w:val="14"/>
          <w:color w:val="auto"/>
        </w:rPr>
        <w:t>Chief Executive Officer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Board of Directors shall at least annually elect or appoint a Chief Executive Officer of the Company. The Chief Executive Officer shall have general executive powers and overall responsibility for the management of the business of the Company.</w:t>
      </w:r>
    </w:p>
    <w:p>
      <w:pPr>
        <w:spacing w:after="0" w:line="16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3.5</w:t>
      </w:r>
      <w:r>
        <w:rPr>
          <w:sz w:val="20"/>
          <w:szCs w:val="20"/>
          <w:color w:val="auto"/>
        </w:rPr>
        <w:tab/>
      </w:r>
      <w:r>
        <w:rPr>
          <w:rFonts w:ascii="Courier New" w:cs="Courier New" w:eastAsia="Courier New" w:hAnsi="Courier New"/>
          <w:sz w:val="14"/>
          <w:szCs w:val="14"/>
          <w:color w:val="auto"/>
        </w:rPr>
        <w:t>President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President shall exercise such powers and discharge such responsibilities as may be assigned by the Board of Directors, and shall have the power to sign certificates of stock of the Company.</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3.6</w:t>
      </w:r>
      <w:r>
        <w:rPr>
          <w:sz w:val="20"/>
          <w:szCs w:val="20"/>
          <w:color w:val="auto"/>
        </w:rPr>
        <w:tab/>
      </w:r>
      <w:r>
        <w:rPr>
          <w:rFonts w:ascii="Courier New" w:cs="Courier New" w:eastAsia="Courier New" w:hAnsi="Courier New"/>
          <w:sz w:val="14"/>
          <w:szCs w:val="14"/>
          <w:color w:val="auto"/>
        </w:rPr>
        <w:t>Chief Operating Officer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Board of Directors may, from time to time, designate an officer of the Company to be the Chief Operating Officer of the Company. The Chief Operating Officer shall have general executive powers and responsibility for the management of the operations of the Company.</w:t>
      </w:r>
    </w:p>
    <w:p>
      <w:pPr>
        <w:spacing w:after="0" w:line="16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3.7</w:t>
      </w:r>
      <w:r>
        <w:rPr>
          <w:sz w:val="20"/>
          <w:szCs w:val="20"/>
          <w:color w:val="auto"/>
        </w:rPr>
        <w:tab/>
      </w:r>
      <w:r>
        <w:rPr>
          <w:rFonts w:ascii="Courier New" w:cs="Courier New" w:eastAsia="Courier New" w:hAnsi="Courier New"/>
          <w:sz w:val="14"/>
          <w:szCs w:val="14"/>
          <w:color w:val="auto"/>
        </w:rPr>
        <w:t>Vice Presidents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several Vice Presidents shall do and perform all such duties and services as shall be assigned to or required of them, from time to time, by the Board of Directors, the Chairman, the Vice Chairman or the Chief Executive Officer.</w:t>
      </w:r>
    </w:p>
    <w:p>
      <w:pPr>
        <w:spacing w:after="0" w:line="335"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3.8</w:t>
      </w:r>
      <w:r>
        <w:rPr>
          <w:sz w:val="20"/>
          <w:szCs w:val="20"/>
          <w:color w:val="auto"/>
        </w:rPr>
        <w:tab/>
      </w:r>
      <w:r>
        <w:rPr>
          <w:rFonts w:ascii="Courier New" w:cs="Courier New" w:eastAsia="Courier New" w:hAnsi="Courier New"/>
          <w:sz w:val="14"/>
          <w:szCs w:val="14"/>
          <w:color w:val="auto"/>
        </w:rPr>
        <w:t>Secretary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24" w:right="1440" w:bottom="1440" w:gutter="0" w:footer="0" w:header="0"/>
        </w:sectPr>
      </w:pPr>
    </w:p>
    <w:bookmarkStart w:id="36" w:name="page37"/>
    <w:bookmarkEnd w:id="36"/>
    <w:p>
      <w:pPr>
        <w:ind w:right="3239"/>
        <w:spacing w:after="0" w:line="255" w:lineRule="auto"/>
        <w:rPr>
          <w:sz w:val="20"/>
          <w:szCs w:val="20"/>
          <w:color w:val="auto"/>
        </w:rPr>
      </w:pPr>
      <w:r>
        <w:rPr>
          <w:rFonts w:ascii="Courier New" w:cs="Courier New" w:eastAsia="Courier New" w:hAnsi="Courier New"/>
          <w:sz w:val="14"/>
          <w:szCs w:val="14"/>
          <w:color w:val="auto"/>
        </w:rPr>
        <w:t>The Secretary shall attend to the giving of notice of all meetings of shareholders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shareholders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158"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3.9</w:t>
      </w:r>
      <w:r>
        <w:rPr>
          <w:sz w:val="20"/>
          <w:szCs w:val="20"/>
          <w:color w:val="auto"/>
        </w:rPr>
        <w:tab/>
      </w:r>
      <w:r>
        <w:rPr>
          <w:rFonts w:ascii="Courier New" w:cs="Courier New" w:eastAsia="Courier New" w:hAnsi="Courier New"/>
          <w:sz w:val="14"/>
          <w:szCs w:val="14"/>
          <w:color w:val="auto"/>
        </w:rPr>
        <w:t>Treasurer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therefore,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174" w:lineRule="exact"/>
        <w:rPr>
          <w:sz w:val="20"/>
          <w:szCs w:val="20"/>
          <w:color w:val="auto"/>
        </w:rPr>
      </w:pPr>
    </w:p>
    <w:p>
      <w:pPr>
        <w:ind w:left="440"/>
        <w:spacing w:after="0"/>
        <w:tabs>
          <w:tab w:leader="none" w:pos="1220" w:val="left"/>
          <w:tab w:leader="none" w:pos="1740" w:val="left"/>
        </w:tabs>
        <w:rPr>
          <w:sz w:val="20"/>
          <w:szCs w:val="20"/>
          <w:color w:val="auto"/>
        </w:rPr>
      </w:pPr>
      <w:r>
        <w:rPr>
          <w:rFonts w:ascii="Courier New" w:cs="Courier New" w:eastAsia="Courier New" w:hAnsi="Courier New"/>
          <w:sz w:val="15"/>
          <w:szCs w:val="15"/>
          <w:color w:val="auto"/>
        </w:rPr>
        <w:t>SECTION</w:t>
        <w:tab/>
        <w:t>3.10</w:t>
      </w:r>
      <w:r>
        <w:rPr>
          <w:sz w:val="20"/>
          <w:szCs w:val="20"/>
          <w:color w:val="auto"/>
        </w:rPr>
        <w:tab/>
      </w:r>
      <w:r>
        <w:rPr>
          <w:rFonts w:ascii="Courier New" w:cs="Courier New" w:eastAsia="Courier New" w:hAnsi="Courier New"/>
          <w:sz w:val="14"/>
          <w:szCs w:val="14"/>
          <w:color w:val="auto"/>
        </w:rPr>
        <w:t>Controller</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Controller shall be in charge of the books of account and accounting records of the Company and of its accounting procedures. The Controller shall render an account of the funds of the Company whenever required so to do by the Board of Directors, the Chairman, the Vice Chairman, or the President, and shall generally perform all of the duties usually appertaining to the office of controller of a company. In the absence of the Controller, or if the office is vacant, an Assistant Controller shall perform the duties of the Controller, unless otherwise decided by the Board of Directors.</w:t>
      </w:r>
    </w:p>
    <w:p>
      <w:pPr>
        <w:spacing w:after="0" w:line="171" w:lineRule="exact"/>
        <w:rPr>
          <w:sz w:val="20"/>
          <w:szCs w:val="20"/>
          <w:color w:val="auto"/>
        </w:rPr>
      </w:pPr>
    </w:p>
    <w:p>
      <w:pPr>
        <w:ind w:left="440"/>
        <w:spacing w:after="0"/>
        <w:tabs>
          <w:tab w:leader="none" w:pos="1220" w:val="left"/>
          <w:tab w:leader="none" w:pos="1740" w:val="left"/>
        </w:tabs>
        <w:rPr>
          <w:sz w:val="20"/>
          <w:szCs w:val="20"/>
          <w:color w:val="auto"/>
        </w:rPr>
      </w:pPr>
      <w:r>
        <w:rPr>
          <w:rFonts w:ascii="Courier New" w:cs="Courier New" w:eastAsia="Courier New" w:hAnsi="Courier New"/>
          <w:sz w:val="15"/>
          <w:szCs w:val="15"/>
          <w:color w:val="auto"/>
        </w:rPr>
        <w:t>SECTION</w:t>
        <w:tab/>
        <w:t>3.11</w:t>
      </w:r>
      <w:r>
        <w:rPr>
          <w:sz w:val="20"/>
          <w:szCs w:val="20"/>
          <w:color w:val="auto"/>
        </w:rPr>
        <w:tab/>
      </w:r>
      <w:r>
        <w:rPr>
          <w:rFonts w:ascii="Courier New" w:cs="Courier New" w:eastAsia="Courier New" w:hAnsi="Courier New"/>
          <w:sz w:val="14"/>
          <w:szCs w:val="14"/>
          <w:color w:val="auto"/>
        </w:rPr>
        <w:t>Salaries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salaries of the officers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158" w:lineRule="exact"/>
        <w:rPr>
          <w:sz w:val="20"/>
          <w:szCs w:val="20"/>
          <w:color w:val="auto"/>
        </w:rPr>
      </w:pPr>
    </w:p>
    <w:p>
      <w:pPr>
        <w:ind w:left="440"/>
        <w:spacing w:after="0"/>
        <w:tabs>
          <w:tab w:leader="none" w:pos="1220" w:val="left"/>
          <w:tab w:leader="none" w:pos="1740" w:val="left"/>
        </w:tabs>
        <w:rPr>
          <w:sz w:val="20"/>
          <w:szCs w:val="20"/>
          <w:color w:val="auto"/>
        </w:rPr>
      </w:pPr>
      <w:r>
        <w:rPr>
          <w:rFonts w:ascii="Courier New" w:cs="Courier New" w:eastAsia="Courier New" w:hAnsi="Courier New"/>
          <w:sz w:val="15"/>
          <w:szCs w:val="15"/>
          <w:color w:val="auto"/>
        </w:rPr>
        <w:t>SECTION</w:t>
        <w:tab/>
        <w:t>3.12</w:t>
      </w:r>
      <w:r>
        <w:rPr>
          <w:sz w:val="20"/>
          <w:szCs w:val="20"/>
          <w:color w:val="auto"/>
        </w:rPr>
        <w:tab/>
      </w:r>
      <w:r>
        <w:rPr>
          <w:rFonts w:ascii="Courier New" w:cs="Courier New" w:eastAsia="Courier New" w:hAnsi="Courier New"/>
          <w:sz w:val="14"/>
          <w:szCs w:val="14"/>
          <w:color w:val="auto"/>
        </w:rPr>
        <w:t>Checks. Notes. etc.</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ectPr>
          <w:pgSz w:w="11900" w:h="16838" w:orient="portrait"/>
          <w:cols w:equalWidth="0" w:num="1">
            <w:col w:w="10239"/>
          </w:cols>
          <w:pgMar w:left="220" w:top="6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STOCK</w:t>
      </w:r>
    </w:p>
    <w:p>
      <w:pPr>
        <w:spacing w:after="0" w:line="166"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4.1</w:t>
      </w:r>
      <w:r>
        <w:rPr>
          <w:sz w:val="20"/>
          <w:szCs w:val="20"/>
          <w:color w:val="auto"/>
        </w:rPr>
        <w:tab/>
      </w:r>
      <w:r>
        <w:rPr>
          <w:rFonts w:ascii="Courier New" w:cs="Courier New" w:eastAsia="Courier New" w:hAnsi="Courier New"/>
          <w:sz w:val="14"/>
          <w:szCs w:val="14"/>
          <w:color w:val="auto"/>
        </w:rPr>
        <w:t>Registrar and Stock Certificates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Every shareholder shall be entitled to a certificate representing the shareholder's shares. A Register shall be kept by the Board of Directors or by a Registrar designated thereto by the Board of Directors. Each entry shall mention the name and residence of the shareholder, and the quantity and numbers of the share certificates. The Register shall not be open for inspection by third parties or shareholders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Every transfer and devolution of a share shall be entered in the Register and every such entry shall be signed or otherwise acknowledged by or on behalf of the Board of Directors or by the Registrar. Each certificate shall be signed by the Chairman or the Vice Chairman or the President or any Vice President and by the Secretary or the Treasurer, and bear the corporate seal or a facsimile thereof, certifying the number of shares owned by the shareholder in the Company; provided that,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33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4.2</w:t>
      </w:r>
      <w:r>
        <w:rPr>
          <w:sz w:val="20"/>
          <w:szCs w:val="20"/>
          <w:color w:val="auto"/>
        </w:rPr>
        <w:tab/>
      </w:r>
      <w:r>
        <w:rPr>
          <w:rFonts w:ascii="Courier New" w:cs="Courier New" w:eastAsia="Courier New" w:hAnsi="Courier New"/>
          <w:sz w:val="14"/>
          <w:szCs w:val="14"/>
          <w:color w:val="auto"/>
        </w:rPr>
        <w:t>Lost Certificates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case any certificate of stock shall be lost, stolen or destroyed, the Board of Directors, in its discretion, may authorize the issue of a substitute certificate in place of the certificate of stock so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ectPr>
          <w:pgSz w:w="11900" w:h="16838" w:orient="portrait"/>
          <w:cols w:equalWidth="0" w:num="1">
            <w:col w:w="10239"/>
          </w:cols>
          <w:pgMar w:left="220" w:top="617" w:right="1440" w:bottom="1440" w:gutter="0" w:footer="0" w:header="0"/>
        </w:sectPr>
      </w:pPr>
    </w:p>
    <w:bookmarkStart w:id="38" w:name="page39"/>
    <w:bookmarkEnd w:id="38"/>
    <w:p>
      <w:pPr>
        <w:ind w:left="3160"/>
        <w:spacing w:after="0"/>
        <w:rPr>
          <w:sz w:val="20"/>
          <w:szCs w:val="20"/>
          <w:color w:val="auto"/>
        </w:rPr>
      </w:pPr>
      <w:r>
        <w:rPr>
          <w:rFonts w:ascii="Courier New" w:cs="Courier New" w:eastAsia="Courier New" w:hAnsi="Courier New"/>
          <w:sz w:val="15"/>
          <w:szCs w:val="15"/>
          <w:color w:val="auto"/>
        </w:rPr>
        <w:t>ARTICLE V</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INDEMNIFICATION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5.1</w:t>
      </w:r>
      <w:r>
        <w:rPr>
          <w:sz w:val="20"/>
          <w:szCs w:val="20"/>
          <w:color w:val="auto"/>
        </w:rPr>
        <w:tab/>
      </w:r>
      <w:r>
        <w:rPr>
          <w:rFonts w:ascii="Courier New" w:cs="Courier New" w:eastAsia="Courier New" w:hAnsi="Courier New"/>
          <w:sz w:val="14"/>
          <w:szCs w:val="14"/>
          <w:color w:val="auto"/>
        </w:rPr>
        <w:t>Indemnification in Actions by Third Party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Section 5.1 in the event of a "Change of Control". "Change in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ectPr>
          <w:pgSz w:w="11900" w:h="16838" w:orient="portrait"/>
          <w:cols w:equalWidth="0" w:num="1">
            <w:col w:w="10239"/>
          </w:cols>
          <w:pgMar w:left="220" w:top="617" w:right="1440" w:bottom="1440" w:gutter="0" w:footer="0" w:header="0"/>
        </w:sectPr>
      </w:pPr>
    </w:p>
    <w:bookmarkStart w:id="39" w:name="page40"/>
    <w:bookmarkEnd w:id="39"/>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5.2</w:t>
      </w:r>
      <w:r>
        <w:rPr>
          <w:sz w:val="20"/>
          <w:szCs w:val="20"/>
          <w:color w:val="auto"/>
        </w:rPr>
        <w:tab/>
      </w:r>
      <w:r>
        <w:rPr>
          <w:rFonts w:ascii="Courier New" w:cs="Courier New" w:eastAsia="Courier New" w:hAnsi="Courier New"/>
          <w:sz w:val="14"/>
          <w:szCs w:val="14"/>
          <w:color w:val="auto"/>
        </w:rPr>
        <w:t>Indemnification In Actions by or in the Right of the Company</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shall have the power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in Control, as defined in Section 5.1.</w:t>
      </w:r>
    </w:p>
    <w:p>
      <w:pPr>
        <w:spacing w:after="0" w:line="338"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5.3</w:t>
      </w:r>
      <w:r>
        <w:rPr>
          <w:sz w:val="20"/>
          <w:szCs w:val="20"/>
          <w:color w:val="auto"/>
        </w:rPr>
        <w:tab/>
      </w:r>
      <w:r>
        <w:rPr>
          <w:rFonts w:ascii="Courier New" w:cs="Courier New" w:eastAsia="Courier New" w:hAnsi="Courier New"/>
          <w:sz w:val="14"/>
          <w:szCs w:val="14"/>
          <w:color w:val="auto"/>
        </w:rPr>
        <w:t>Indemnification against Expenses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the extent that a present or former director or officer of the Company has been successful on the merits or otherwise in defense of any action, suit or proceeding referred to in Sections 5.1 and 5.2, or in defense of any claim, issue or matter therein, such person shall be indemnified against expenses (including attorneys' fees) actually and reasonably incurred by such person in connection therewith.</w:t>
      </w:r>
    </w:p>
    <w:p>
      <w:pPr>
        <w:spacing w:after="0" w:line="168"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5.4</w:t>
      </w:r>
      <w:r>
        <w:rPr>
          <w:sz w:val="20"/>
          <w:szCs w:val="20"/>
          <w:color w:val="auto"/>
        </w:rPr>
        <w:tab/>
      </w:r>
      <w:r>
        <w:rPr>
          <w:rFonts w:ascii="Courier New" w:cs="Courier New" w:eastAsia="Courier New" w:hAnsi="Courier New"/>
          <w:sz w:val="14"/>
          <w:szCs w:val="14"/>
          <w:color w:val="auto"/>
        </w:rPr>
        <w:t>Determination of Indemnification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Any indemnification under Sections 5.1 and 5.2 (unless ordered by a court) shall be made by the Company only as authorized by contract approved, or by-laws, resolution or other action adopted or taken, by the Board of Directors or by the shareholders or as required by the last sentences of Sections 5.1 and 5.2.</w:t>
      </w:r>
    </w:p>
    <w:p>
      <w:pPr>
        <w:spacing w:after="0" w:line="158"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5.5</w:t>
      </w:r>
      <w:r>
        <w:rPr>
          <w:sz w:val="20"/>
          <w:szCs w:val="20"/>
          <w:color w:val="auto"/>
        </w:rPr>
        <w:tab/>
      </w:r>
      <w:r>
        <w:rPr>
          <w:rFonts w:ascii="Courier New" w:cs="Courier New" w:eastAsia="Courier New" w:hAnsi="Courier New"/>
          <w:sz w:val="14"/>
          <w:szCs w:val="14"/>
          <w:color w:val="auto"/>
        </w:rPr>
        <w:t>Advance of Reimbursement of Expenses and Undertaking</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w:t>
      </w:r>
    </w:p>
    <w:p>
      <w:pPr>
        <w:sectPr>
          <w:pgSz w:w="11900" w:h="16838" w:orient="portrait"/>
          <w:cols w:equalWidth="0" w:num="1">
            <w:col w:w="10239"/>
          </w:cols>
          <w:pgMar w:left="220" w:top="617" w:right="1440" w:bottom="1440" w:gutter="0" w:footer="0" w:header="0"/>
        </w:sectPr>
      </w:pPr>
    </w:p>
    <w:bookmarkStart w:id="40" w:name="page41"/>
    <w:bookmarkEnd w:id="40"/>
    <w:p>
      <w:pPr>
        <w:ind w:right="3399"/>
        <w:spacing w:after="0" w:line="235" w:lineRule="auto"/>
        <w:rPr>
          <w:sz w:val="20"/>
          <w:szCs w:val="20"/>
          <w:color w:val="auto"/>
        </w:rPr>
      </w:pPr>
      <w:r>
        <w:rPr>
          <w:rFonts w:ascii="Courier New" w:cs="Courier New" w:eastAsia="Courier New" w:hAnsi="Courier New"/>
          <w:sz w:val="15"/>
          <w:szCs w:val="15"/>
          <w:color w:val="auto"/>
        </w:rPr>
        <w:t>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6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5.6</w:t>
      </w:r>
      <w:r>
        <w:rPr>
          <w:sz w:val="20"/>
          <w:szCs w:val="20"/>
          <w:color w:val="auto"/>
        </w:rPr>
        <w:tab/>
      </w:r>
      <w:r>
        <w:rPr>
          <w:rFonts w:ascii="Courier New" w:cs="Courier New" w:eastAsia="Courier New" w:hAnsi="Courier New"/>
          <w:sz w:val="14"/>
          <w:szCs w:val="14"/>
          <w:color w:val="auto"/>
        </w:rPr>
        <w:t>Non-Exclusivity of By-Laws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5.7</w:t>
      </w:r>
      <w:r>
        <w:rPr>
          <w:sz w:val="20"/>
          <w:szCs w:val="20"/>
          <w:color w:val="auto"/>
        </w:rPr>
        <w:tab/>
      </w:r>
      <w:r>
        <w:rPr>
          <w:rFonts w:ascii="Courier New" w:cs="Courier New" w:eastAsia="Courier New" w:hAnsi="Courier New"/>
          <w:sz w:val="14"/>
          <w:szCs w:val="14"/>
          <w:color w:val="auto"/>
        </w:rPr>
        <w:t>Insurance for Indemnification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59"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5.8</w:t>
      </w:r>
      <w:r>
        <w:rPr>
          <w:sz w:val="20"/>
          <w:szCs w:val="20"/>
          <w:color w:val="auto"/>
        </w:rPr>
        <w:tab/>
      </w:r>
      <w:r>
        <w:rPr>
          <w:rFonts w:ascii="Courier New" w:cs="Courier New" w:eastAsia="Courier New" w:hAnsi="Courier New"/>
          <w:sz w:val="14"/>
          <w:szCs w:val="14"/>
          <w:color w:val="auto"/>
        </w:rPr>
        <w:t>Definition of the Company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purposes of this Article V,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shall stand in the same position under the provisions of this Article V with respect to the resulting or surviving corporation if its separate existence had continued.</w:t>
      </w:r>
    </w:p>
    <w:p>
      <w:pPr>
        <w:spacing w:after="0" w:line="174"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5.9</w:t>
      </w:r>
      <w:r>
        <w:rPr>
          <w:sz w:val="20"/>
          <w:szCs w:val="20"/>
          <w:color w:val="auto"/>
        </w:rPr>
        <w:tab/>
      </w:r>
      <w:r>
        <w:rPr>
          <w:rFonts w:ascii="Courier New" w:cs="Courier New" w:eastAsia="Courier New" w:hAnsi="Courier New"/>
          <w:sz w:val="14"/>
          <w:szCs w:val="14"/>
          <w:color w:val="auto"/>
        </w:rPr>
        <w:t>Other Definitions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w:t>
      </w:r>
    </w:p>
    <w:p>
      <w:pPr>
        <w:sectPr>
          <w:pgSz w:w="11900" w:h="16838" w:orient="portrait"/>
          <w:cols w:equalWidth="0" w:num="1">
            <w:col w:w="10239"/>
          </w:cols>
          <w:pgMar w:left="220" w:top="624" w:right="1440" w:bottom="1440" w:gutter="0" w:footer="0" w:header="0"/>
        </w:sectPr>
      </w:pPr>
    </w:p>
    <w:bookmarkStart w:id="41" w:name="page42"/>
    <w:bookmarkEnd w:id="41"/>
    <w:p>
      <w:pPr>
        <w:ind w:right="3239"/>
        <w:spacing w:after="0" w:line="236" w:lineRule="auto"/>
        <w:rPr>
          <w:sz w:val="20"/>
          <w:szCs w:val="20"/>
          <w:color w:val="auto"/>
        </w:rPr>
      </w:pPr>
      <w:r>
        <w:rPr>
          <w:rFonts w:ascii="Courier New" w:cs="Courier New" w:eastAsia="Courier New" w:hAnsi="Courier New"/>
          <w:sz w:val="15"/>
          <w:szCs w:val="15"/>
          <w:color w:val="auto"/>
        </w:rPr>
        <w:t>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MISCELLANEOUS PROVISIONS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6.1</w:t>
      </w:r>
      <w:r>
        <w:rPr>
          <w:sz w:val="20"/>
          <w:szCs w:val="20"/>
          <w:color w:val="auto"/>
        </w:rPr>
        <w:tab/>
      </w:r>
      <w:r>
        <w:rPr>
          <w:rFonts w:ascii="Courier New" w:cs="Courier New" w:eastAsia="Courier New" w:hAnsi="Courier New"/>
          <w:sz w:val="14"/>
          <w:szCs w:val="14"/>
          <w:color w:val="auto"/>
        </w:rPr>
        <w:t>Fiscal Year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fiscal year of the Company shall be the calendar year.</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6.2</w:t>
      </w:r>
      <w:r>
        <w:rPr>
          <w:sz w:val="20"/>
          <w:szCs w:val="20"/>
          <w:color w:val="auto"/>
        </w:rPr>
        <w:tab/>
      </w:r>
      <w:r>
        <w:rPr>
          <w:rFonts w:ascii="Courier New" w:cs="Courier New" w:eastAsia="Courier New" w:hAnsi="Courier New"/>
          <w:sz w:val="14"/>
          <w:szCs w:val="14"/>
          <w:color w:val="auto"/>
        </w:rPr>
        <w:t>Corporate Seal</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shall have a corporate seal which shall have inscribed thereon the name of the Company, the words, "Netherlands Antilles", and the year of its organization.</w:t>
      </w:r>
    </w:p>
    <w:p>
      <w:pPr>
        <w:spacing w:after="0" w:line="167" w:lineRule="exact"/>
        <w:rPr>
          <w:sz w:val="20"/>
          <w:szCs w:val="20"/>
          <w:color w:val="auto"/>
        </w:rPr>
      </w:pPr>
    </w:p>
    <w:p>
      <w:pPr>
        <w:ind w:left="440"/>
        <w:spacing w:after="0"/>
        <w:tabs>
          <w:tab w:leader="none" w:pos="1220" w:val="left"/>
          <w:tab w:leader="none" w:pos="1660" w:val="left"/>
        </w:tabs>
        <w:rPr>
          <w:sz w:val="20"/>
          <w:szCs w:val="20"/>
          <w:color w:val="auto"/>
        </w:rPr>
      </w:pPr>
      <w:r>
        <w:rPr>
          <w:rFonts w:ascii="Courier New" w:cs="Courier New" w:eastAsia="Courier New" w:hAnsi="Courier New"/>
          <w:sz w:val="15"/>
          <w:szCs w:val="15"/>
          <w:color w:val="auto"/>
        </w:rPr>
        <w:t>SECTION</w:t>
        <w:tab/>
        <w:t>6.3</w:t>
      </w:r>
      <w:r>
        <w:rPr>
          <w:sz w:val="20"/>
          <w:szCs w:val="20"/>
          <w:color w:val="auto"/>
        </w:rPr>
        <w:tab/>
      </w:r>
      <w:r>
        <w:rPr>
          <w:rFonts w:ascii="Courier New" w:cs="Courier New" w:eastAsia="Courier New" w:hAnsi="Courier New"/>
          <w:sz w:val="14"/>
          <w:szCs w:val="14"/>
          <w:color w:val="auto"/>
        </w:rPr>
        <w:t>Amendments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These By-Laws may be altered, amended or repealed at any regular or special meeting of the Board of Directors, except, however, that no provision of these By-Laws which is included in, or the substance of which is expressed in, the provisions of the Deed of Incorporation shall be so altered, amended or repealed as to be inconsistent with the Deed of Incorporation. The amendment of these By-Laws to eliminate any provisions hereof the substance of which is also contained in the Deed of Incorporation shall not be deemed to render these By-Laws inconsistent with the Deed of Incorporation or to affect in any way the corresponding provisions of the Deed of Incorporation.</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2"/>
    </w:lvl>
    <w:lvl w:ilvl="1">
      <w:lvlJc w:val="left"/>
      <w:lvlText w:val="%2."/>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
    <w:nsid w:val="7FDCC233"/>
    <w:multiLevelType w:val="hybridMultilevel"/>
    <w:lvl w:ilvl="0">
      <w:lvlJc w:val="left"/>
      <w:lvlText w:val="%1."/>
      <w:numFmt w:val="lowerLetter"/>
      <w:start w:val="6"/>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lowerRoman"/>
      <w:start w:val="2"/>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2019-12-13T06:51:31Z</dcterms:created>
  <dcterms:modified xsi:type="dcterms:W3CDTF">2019-12-13T06:51:31Z</dcterms:modified>
</cp:coreProperties>
</file>