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LIBERTY OILFIELD SERVICES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 $0.01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53115L 104</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Dianne Ralston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February 28, 2022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checking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368"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320" w:type="dxa"/>
            <w:vAlign w:val="bottom"/>
            <w:tcBorders>
              <w:top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Schlumberger N.V. (Schlumberger Limited)</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20" w:type="dxa"/>
            <w:vAlign w:val="bottom"/>
            <w:tcBorders>
              <w:right w:val="single" w:sz="8" w:color="auto"/>
            </w:tcBorders>
            <w:gridSpan w:val="6"/>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2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w w:val="99"/>
              </w:rPr>
              <w:t>(b)</w:t>
            </w:r>
          </w:p>
        </w:tc>
        <w:tc>
          <w:tcPr>
            <w:tcW w:w="910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20" w:type="dxa"/>
            <w:vAlign w:val="bottom"/>
            <w:gridSpan w:val="5"/>
          </w:tcPr>
          <w:p>
            <w:pPr>
              <w:ind w:left="160"/>
              <w:spacing w:after="0"/>
              <w:rPr>
                <w:sz w:val="20"/>
                <w:szCs w:val="20"/>
                <w:color w:val="auto"/>
              </w:rPr>
            </w:pPr>
            <w:r>
              <w:rPr>
                <w:rFonts w:ascii="Arial" w:cs="Arial" w:eastAsia="Arial" w:hAnsi="Arial"/>
                <w:sz w:val="18"/>
                <w:szCs w:val="18"/>
                <w:color w:val="auto"/>
                <w:w w:val="89"/>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2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AF</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CURAÇAO</w:t>
            </w: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49,601,961</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1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1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57" w:lineRule="exact"/>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1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49,601,961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40"/>
              <w:spacing w:after="0"/>
              <w:rPr>
                <w:sz w:val="20"/>
                <w:szCs w:val="20"/>
                <w:color w:val="auto"/>
              </w:rPr>
            </w:pPr>
            <w:r>
              <w:rPr>
                <w:rFonts w:ascii="Arial" w:cs="Arial" w:eastAsia="Arial" w:hAnsi="Arial"/>
                <w:sz w:val="18"/>
                <w:szCs w:val="18"/>
                <w:color w:val="auto"/>
              </w:rPr>
              <w:t>Aggregate</w:t>
            </w:r>
          </w:p>
        </w:tc>
        <w:tc>
          <w:tcPr>
            <w:tcW w:w="9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49,601,961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2"/>
              </w:rPr>
              <w:t>26.7%*</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HC</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an aggregate of 186,094,771 shares of Common Stock, composed of (a) 183,645,580 shares of Class A Common Stock outstanding as of February 18, 2022, as reported in the Issuer’s Annual Report on Form 10-K filed on February 22, 2022 (the “Form 10-K”), and (b) 2,449,191 shares of Class B Common Stock outstanding as of February 18, 2022, as reported in the Form 10-K.</w:t>
      </w:r>
    </w:p>
    <w:p>
      <w:pPr>
        <w:sectPr>
          <w:pgSz w:w="11900" w:h="16838" w:orient="portrait"/>
          <w:cols w:equalWidth="0" w:num="1">
            <w:col w:w="10984"/>
          </w:cols>
          <w:pgMar w:left="436" w:top="268" w:right="47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320" w:type="dxa"/>
            <w:vAlign w:val="bottom"/>
            <w:tcBorders>
              <w:top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Schlumberger B.V.</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20" w:type="dxa"/>
            <w:vAlign w:val="bottom"/>
            <w:tcBorders>
              <w:right w:val="single" w:sz="8" w:color="auto"/>
            </w:tcBorders>
            <w:gridSpan w:val="6"/>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2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w w:val="99"/>
              </w:rPr>
              <w:t>(b)</w:t>
            </w:r>
          </w:p>
        </w:tc>
        <w:tc>
          <w:tcPr>
            <w:tcW w:w="910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20" w:type="dxa"/>
            <w:vAlign w:val="bottom"/>
            <w:gridSpan w:val="5"/>
          </w:tcPr>
          <w:p>
            <w:pPr>
              <w:ind w:left="160"/>
              <w:spacing w:after="0"/>
              <w:rPr>
                <w:sz w:val="20"/>
                <w:szCs w:val="20"/>
                <w:color w:val="auto"/>
              </w:rPr>
            </w:pPr>
            <w:r>
              <w:rPr>
                <w:rFonts w:ascii="Arial" w:cs="Arial" w:eastAsia="Arial" w:hAnsi="Arial"/>
                <w:sz w:val="18"/>
                <w:szCs w:val="18"/>
                <w:color w:val="auto"/>
                <w:w w:val="89"/>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2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AF</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Netherlands</w:t>
            </w: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49,601,961</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1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1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57" w:lineRule="exact"/>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1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49,601,961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40"/>
              <w:spacing w:after="0"/>
              <w:rPr>
                <w:sz w:val="20"/>
                <w:szCs w:val="20"/>
                <w:color w:val="auto"/>
              </w:rPr>
            </w:pPr>
            <w:r>
              <w:rPr>
                <w:rFonts w:ascii="Arial" w:cs="Arial" w:eastAsia="Arial" w:hAnsi="Arial"/>
                <w:sz w:val="18"/>
                <w:szCs w:val="18"/>
                <w:color w:val="auto"/>
              </w:rPr>
              <w:t>Aggregate</w:t>
            </w:r>
          </w:p>
        </w:tc>
        <w:tc>
          <w:tcPr>
            <w:tcW w:w="9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49,601,961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2"/>
              </w:rPr>
              <w:t>26.7%*</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HC</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an aggregate of 186,094,771 shares of Common Stock, composed of (a) 183,645,580 shares of Class A Common Stock outstanding as of February 18, 2022, as reported in the Form 10-K, and (b) 2,449,191 shares of Class B Common Stock outstanding as of February 18, 2022, as reported in the Form 10-K.</w:t>
      </w:r>
    </w:p>
    <w:p>
      <w:pPr>
        <w:sectPr>
          <w:pgSz w:w="11900" w:h="16838" w:orient="portrait"/>
          <w:cols w:equalWidth="0" w:num="1">
            <w:col w:w="10984"/>
          </w:cols>
          <w:pgMar w:left="436" w:top="268" w:right="47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320" w:type="dxa"/>
            <w:vAlign w:val="bottom"/>
            <w:tcBorders>
              <w:top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Schlumberger Holdings Corporation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20" w:type="dxa"/>
            <w:vAlign w:val="bottom"/>
            <w:tcBorders>
              <w:right w:val="single" w:sz="8" w:color="auto"/>
            </w:tcBorders>
            <w:gridSpan w:val="6"/>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2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w w:val="99"/>
              </w:rPr>
              <w:t>(b)</w:t>
            </w:r>
          </w:p>
        </w:tc>
        <w:tc>
          <w:tcPr>
            <w:tcW w:w="910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20" w:type="dxa"/>
            <w:vAlign w:val="bottom"/>
            <w:gridSpan w:val="5"/>
          </w:tcPr>
          <w:p>
            <w:pPr>
              <w:ind w:left="160"/>
              <w:spacing w:after="0"/>
              <w:rPr>
                <w:sz w:val="20"/>
                <w:szCs w:val="20"/>
                <w:color w:val="auto"/>
              </w:rPr>
            </w:pPr>
            <w:r>
              <w:rPr>
                <w:rFonts w:ascii="Arial" w:cs="Arial" w:eastAsia="Arial" w:hAnsi="Arial"/>
                <w:sz w:val="18"/>
                <w:szCs w:val="18"/>
                <w:color w:val="auto"/>
                <w:w w:val="89"/>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2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AF</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Delaware, United States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49,601,961</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1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1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57" w:lineRule="exact"/>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1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49,601,961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40"/>
              <w:spacing w:after="0"/>
              <w:rPr>
                <w:sz w:val="20"/>
                <w:szCs w:val="20"/>
                <w:color w:val="auto"/>
              </w:rPr>
            </w:pPr>
            <w:r>
              <w:rPr>
                <w:rFonts w:ascii="Arial" w:cs="Arial" w:eastAsia="Arial" w:hAnsi="Arial"/>
                <w:sz w:val="18"/>
                <w:szCs w:val="18"/>
                <w:color w:val="auto"/>
              </w:rPr>
              <w:t>Aggregate</w:t>
            </w:r>
          </w:p>
        </w:tc>
        <w:tc>
          <w:tcPr>
            <w:tcW w:w="9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49,601,961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2"/>
              </w:rPr>
              <w:t>26.7%*</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HC</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an aggregate of 186,094,771 shares of Common Stock, composed of (a) 183,645,580 shares of Class A Common Stock outstanding as of February 18, 2022, as reported in the Form 10-K, and (b) 2,449,191 shares of Class B Common Stock outstanding as of February 18, 2022, as reported in the Form 10-K.</w:t>
      </w:r>
    </w:p>
    <w:p>
      <w:pPr>
        <w:sectPr>
          <w:pgSz w:w="11900" w:h="16838" w:orient="portrait"/>
          <w:cols w:equalWidth="0" w:num="1">
            <w:col w:w="10984"/>
          </w:cols>
          <w:pgMar w:left="436" w:top="268" w:right="47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32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Schlumberger Technology Corporation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2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w w:val="99"/>
              </w:rPr>
              <w:t>(b)</w:t>
            </w:r>
          </w:p>
        </w:tc>
        <w:tc>
          <w:tcPr>
            <w:tcW w:w="910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20" w:type="dxa"/>
            <w:vAlign w:val="bottom"/>
            <w:gridSpan w:val="4"/>
          </w:tcPr>
          <w:p>
            <w:pPr>
              <w:ind w:left="160"/>
              <w:spacing w:after="0"/>
              <w:rPr>
                <w:sz w:val="20"/>
                <w:szCs w:val="20"/>
                <w:color w:val="auto"/>
              </w:rPr>
            </w:pPr>
            <w:r>
              <w:rPr>
                <w:rFonts w:ascii="Arial" w:cs="Arial" w:eastAsia="Arial" w:hAnsi="Arial"/>
                <w:sz w:val="18"/>
                <w:szCs w:val="18"/>
                <w:color w:val="auto"/>
                <w:w w:val="89"/>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Texas, United States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49,601,961</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1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1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1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49,601,961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40"/>
              <w:spacing w:after="0"/>
              <w:rPr>
                <w:sz w:val="20"/>
                <w:szCs w:val="20"/>
                <w:color w:val="auto"/>
              </w:rPr>
            </w:pPr>
            <w:r>
              <w:rPr>
                <w:rFonts w:ascii="Arial" w:cs="Arial" w:eastAsia="Arial" w:hAnsi="Arial"/>
                <w:sz w:val="18"/>
                <w:szCs w:val="18"/>
                <w:color w:val="auto"/>
              </w:rPr>
              <w:t>Aggregate</w:t>
            </w:r>
          </w:p>
        </w:tc>
        <w:tc>
          <w:tcPr>
            <w:tcW w:w="9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49,601,961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0"/>
              </w:rPr>
              <w:t>26.7%</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an aggregate of 186,094,771 shares of Common Stock, composed of (a) 183,645,580 shares of Class A Common Stock outstanding as of February 18, 2022, as reported in the Form 10-K, and (b) 2,449,191 shares of Class B Common Stock outstanding as of February 18, 2022, as reported in the Form 10-K.</w:t>
      </w:r>
    </w:p>
    <w:p>
      <w:pPr>
        <w:sectPr>
          <w:pgSz w:w="11900" w:h="16838" w:orient="portrait"/>
          <w:cols w:equalWidth="0" w:num="1">
            <w:col w:w="10984"/>
          </w:cols>
          <w:pgMar w:left="436" w:top="268" w:right="4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Amendment No. 3 to Schedule 13D (this “</w:t>
      </w:r>
      <w:r>
        <w:rPr>
          <w:rFonts w:ascii="Arial" w:cs="Arial" w:eastAsia="Arial" w:hAnsi="Arial"/>
          <w:sz w:val="16"/>
          <w:szCs w:val="16"/>
          <w:b w:val="1"/>
          <w:bCs w:val="1"/>
          <w:color w:val="auto"/>
        </w:rPr>
        <w:t>Amendment No. 3</w:t>
      </w:r>
      <w:r>
        <w:rPr>
          <w:rFonts w:ascii="Arial" w:cs="Arial" w:eastAsia="Arial" w:hAnsi="Arial"/>
          <w:sz w:val="16"/>
          <w:szCs w:val="16"/>
          <w:color w:val="auto"/>
        </w:rPr>
        <w:t>”) amends and supplements the Schedule 13D filed with the Securities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on January 11, 2021, as amended by Amendment No. 1 to Schedule 13D, filed on September 29, 2021, and Amendment No. 2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Schedule 13D, filed on November 9, 2021 (the “</w:t>
      </w:r>
      <w:r>
        <w:rPr>
          <w:rFonts w:ascii="Arial" w:cs="Arial" w:eastAsia="Arial" w:hAnsi="Arial"/>
          <w:sz w:val="17"/>
          <w:szCs w:val="17"/>
          <w:b w:val="1"/>
          <w:bCs w:val="1"/>
          <w:color w:val="auto"/>
        </w:rPr>
        <w:t>Current Schedule 13D</w:t>
      </w:r>
      <w:r>
        <w:rPr>
          <w:rFonts w:ascii="Arial" w:cs="Arial" w:eastAsia="Arial" w:hAnsi="Arial"/>
          <w:sz w:val="17"/>
          <w:szCs w:val="17"/>
          <w:color w:val="auto"/>
        </w:rPr>
        <w:t>”), relating to the Class A common stock, par value $0.01 per share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A Shares</w:t>
      </w:r>
      <w:r>
        <w:rPr>
          <w:rFonts w:ascii="Arial" w:cs="Arial" w:eastAsia="Arial" w:hAnsi="Arial"/>
          <w:sz w:val="16"/>
          <w:szCs w:val="16"/>
          <w:color w:val="auto"/>
        </w:rPr>
        <w:t>”), of Liberty Oilfield Services Inc. (the “</w:t>
      </w:r>
      <w:r>
        <w:rPr>
          <w:rFonts w:ascii="Arial" w:cs="Arial" w:eastAsia="Arial" w:hAnsi="Arial"/>
          <w:sz w:val="16"/>
          <w:szCs w:val="16"/>
          <w:b w:val="1"/>
          <w:bCs w:val="1"/>
          <w:color w:val="auto"/>
        </w:rPr>
        <w:t>Issuer</w:t>
      </w:r>
      <w:r>
        <w:rPr>
          <w:rFonts w:ascii="Arial" w:cs="Arial" w:eastAsia="Arial" w:hAnsi="Arial"/>
          <w:sz w:val="16"/>
          <w:szCs w:val="16"/>
          <w:color w:val="auto"/>
        </w:rPr>
        <w:t>”). The Common A Shares and Class B common stock, par value $0.01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Issuer (the “</w:t>
      </w:r>
      <w:r>
        <w:rPr>
          <w:rFonts w:ascii="Arial" w:cs="Arial" w:eastAsia="Arial" w:hAnsi="Arial"/>
          <w:sz w:val="16"/>
          <w:szCs w:val="16"/>
          <w:b w:val="1"/>
          <w:bCs w:val="1"/>
          <w:color w:val="auto"/>
        </w:rPr>
        <w:t>Common B Shares</w:t>
      </w:r>
      <w:r>
        <w:rPr>
          <w:rFonts w:ascii="Arial" w:cs="Arial" w:eastAsia="Arial" w:hAnsi="Arial"/>
          <w:sz w:val="16"/>
          <w:szCs w:val="16"/>
          <w:color w:val="auto"/>
        </w:rPr>
        <w:t>” and, together with the Common A Shares, the “</w:t>
      </w:r>
      <w:r>
        <w:rPr>
          <w:rFonts w:ascii="Arial" w:cs="Arial" w:eastAsia="Arial" w:hAnsi="Arial"/>
          <w:sz w:val="16"/>
          <w:szCs w:val="16"/>
          <w:b w:val="1"/>
          <w:bCs w:val="1"/>
          <w:color w:val="auto"/>
        </w:rPr>
        <w:t>Common Shares</w:t>
      </w:r>
      <w:r>
        <w:rPr>
          <w:rFonts w:ascii="Arial" w:cs="Arial" w:eastAsia="Arial" w:hAnsi="Arial"/>
          <w:sz w:val="16"/>
          <w:szCs w:val="16"/>
          <w:color w:val="auto"/>
        </w:rPr>
        <w:t>”) are treated as a single class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Schedule 13D because they vote together as a single class. Capitalized terms used herein without definition shall have the meaning set forth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 Schedule 13D.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 of the Current Schedule 13D is hereby amended and restated in its entirety as follows:</w:t>
      </w:r>
    </w:p>
    <w:p>
      <w:pPr>
        <w:spacing w:after="0" w:line="131" w:lineRule="exact"/>
        <w:rPr>
          <w:sz w:val="20"/>
          <w:szCs w:val="20"/>
          <w:color w:val="auto"/>
        </w:rPr>
      </w:pPr>
    </w:p>
    <w:p>
      <w:pPr>
        <w:ind w:left="960" w:right="80" w:hanging="532"/>
        <w:spacing w:after="0" w:line="291"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the date hereof, STC directly holds 49,601,961 Common A Shares, constituting approximately 26.7% of the 186,094,771 outstanding Common Shares. Since SHC controls STC, it is deemed to beneficially own the Common A Shares held directly by STC. Since Schlumberger BV controls SHC, it is deemed to beneficially own the Common A Shares held directly by STC. Since Schlumberger Limited controls Schlumberger BV, it is deemed to beneficially own the Common A Shares held directly by STC. The 186,094,771 outstanding Common Shares are composed of (a) 183,645,580 Common A Shares outstanding as of February 18, 2022, as reported in the Issuer’s Annual Report on Form 10-K filed on February 22, 2022, and (b) 2,449,191 shares of Class B Common Stock outstanding as of February 18, 2022, as reported in the Issuer’s Annual Report on Form 10-K filed on February 22, 2022.</w:t>
      </w:r>
    </w:p>
    <w:p>
      <w:pPr>
        <w:spacing w:after="0" w:line="71" w:lineRule="exact"/>
        <w:rPr>
          <w:rFonts w:ascii="Arial" w:cs="Arial" w:eastAsia="Arial" w:hAnsi="Arial"/>
          <w:sz w:val="16"/>
          <w:szCs w:val="16"/>
          <w:color w:val="auto"/>
        </w:rPr>
      </w:pPr>
    </w:p>
    <w:p>
      <w:pPr>
        <w:ind w:left="960" w:right="34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Limited, Schlumberger BV, SHC and STC have shared voting power and shared dispositive power over the Common A Shares held directly by STC.</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February 28, 2022, STC sold 7,224,173 Common A Shares at a price of $11.60 per share pursuant to Rule 144 under the Securities Act of 1933, as amended, for aggregate consideration of $83,800,406.80.</w:t>
      </w:r>
    </w:p>
    <w:p>
      <w:pPr>
        <w:spacing w:after="0" w:line="75" w:lineRule="exact"/>
        <w:rPr>
          <w:rFonts w:ascii="Arial" w:cs="Arial" w:eastAsia="Arial" w:hAnsi="Arial"/>
          <w:sz w:val="18"/>
          <w:szCs w:val="18"/>
          <w:color w:val="auto"/>
        </w:rPr>
      </w:pPr>
    </w:p>
    <w:p>
      <w:pPr>
        <w:ind w:left="960" w:right="120" w:hanging="532"/>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Persons have the right to receive distributions from, or proceeds from the sale of, the Common A Shares reported herein. Except as set forth in the preceding sentence, no other person is known by the Reporting Persons to have the right to receive or the power to direct the receipt of distributions from, or the proceeds from the sale of, Common A Shares beneficially owned by the Reporting Persons.</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0980"/>
          </w:cols>
          <w:pgMar w:left="440" w:top="270"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Samantha Blons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Samantha Blons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Schlumberger B.V.</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Astrid Posthumus Meijjes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Astrid Posthumus Meijjes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Holdings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Corrie Merchant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Corrie Merchant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Treasurer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Technology Corporation</w:t>
      </w:r>
    </w:p>
    <w:p>
      <w:pPr>
        <w:spacing w:after="0" w:line="229"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3020" w:type="dxa"/>
            <w:vAlign w:val="bottom"/>
          </w:tcPr>
          <w:p>
            <w:pPr>
              <w:ind w:left="244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Corrie Merchant</w:t>
            </w:r>
          </w:p>
        </w:tc>
      </w:tr>
      <w:tr>
        <w:trPr>
          <w:trHeight w:val="209"/>
        </w:trPr>
        <w:tc>
          <w:tcPr>
            <w:tcW w:w="3020" w:type="dxa"/>
            <w:vAlign w:val="bottom"/>
          </w:tcPr>
          <w:p>
            <w:pPr>
              <w:ind w:left="2440"/>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Corrie Merchant</w:t>
            </w:r>
          </w:p>
        </w:tc>
      </w:tr>
      <w:tr>
        <w:trPr>
          <w:trHeight w:val="230"/>
        </w:trPr>
        <w:tc>
          <w:tcPr>
            <w:tcW w:w="3020" w:type="dxa"/>
            <w:vAlign w:val="bottom"/>
          </w:tcPr>
          <w:p>
            <w:pPr>
              <w:ind w:left="2440"/>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Treasurer</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[Signature Page to Schedule 13D/A]</w:t>
            </w:r>
          </w:p>
        </w:tc>
        <w:tc>
          <w:tcPr>
            <w:tcW w:w="38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2022-03-03T15:15:50Z</dcterms:created>
  <dcterms:modified xsi:type="dcterms:W3CDTF">2022-03-03T15:15:50Z</dcterms:modified>
</cp:coreProperties>
</file>