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140"/>
        <w:spacing w:after="0"/>
        <w:rPr>
          <w:sz w:val="20"/>
          <w:szCs w:val="20"/>
          <w:color w:val="auto"/>
        </w:rPr>
      </w:pPr>
      <w:r>
        <w:rPr>
          <w:rFonts w:ascii="Arial" w:cs="Arial" w:eastAsia="Arial" w:hAnsi="Arial"/>
          <w:sz w:val="24"/>
          <w:szCs w:val="24"/>
          <w:b w:val="1"/>
          <w:bCs w:val="1"/>
          <w:color w:val="auto"/>
        </w:rPr>
        <w:t>CURRENT REPORT</w:t>
      </w:r>
    </w:p>
    <w:p>
      <w:pPr>
        <w:spacing w:after="0" w:line="170"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4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Date of Report (date of earliest event reported): June 12, 2003</w:t>
      </w:r>
    </w:p>
    <w:p>
      <w:pPr>
        <w:spacing w:after="0" w:line="131"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jc w:val="center"/>
              <w:ind w:right="1778"/>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22"/>
              <w:spacing w:after="0"/>
              <w:rPr>
                <w:sz w:val="20"/>
                <w:szCs w:val="20"/>
                <w:color w:val="auto"/>
              </w:rPr>
            </w:pPr>
            <w:r>
              <w:rPr>
                <w:rFonts w:ascii="Arial" w:cs="Arial" w:eastAsia="Arial" w:hAnsi="Arial"/>
                <w:sz w:val="18"/>
                <w:szCs w:val="18"/>
                <w:b w:val="1"/>
                <w:bCs w:val="1"/>
                <w:color w:val="auto"/>
              </w:rPr>
              <w:t>1-4601</w:t>
            </w:r>
          </w:p>
        </w:tc>
        <w:tc>
          <w:tcPr>
            <w:tcW w:w="2840" w:type="dxa"/>
            <w:vAlign w:val="bottom"/>
          </w:tcPr>
          <w:p>
            <w:pPr>
              <w:jc w:val="center"/>
              <w:ind w:left="17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00" w:type="dxa"/>
            <w:vAlign w:val="bottom"/>
          </w:tcPr>
          <w:p>
            <w:pPr>
              <w:jc w:val="center"/>
              <w:ind w:right="177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28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00" w:type="dxa"/>
            <w:vAlign w:val="bottom"/>
          </w:tcPr>
          <w:p>
            <w:pPr>
              <w:jc w:val="center"/>
              <w:ind w:right="1758"/>
              <w:spacing w:after="0"/>
              <w:rPr>
                <w:sz w:val="20"/>
                <w:szCs w:val="20"/>
                <w:color w:val="auto"/>
              </w:rPr>
            </w:pPr>
            <w:r>
              <w:rPr>
                <w:rFonts w:ascii="Arial" w:cs="Arial" w:eastAsia="Arial" w:hAnsi="Arial"/>
                <w:sz w:val="14"/>
                <w:szCs w:val="14"/>
                <w:b w:val="1"/>
                <w:bCs w:val="1"/>
                <w:color w:val="auto"/>
                <w:w w:val="89"/>
              </w:rPr>
              <w:t>of incorporation)</w:t>
            </w:r>
          </w:p>
        </w:tc>
        <w:tc>
          <w:tcPr>
            <w:tcW w:w="2820" w:type="dxa"/>
            <w:vAlign w:val="bottom"/>
          </w:tcPr>
          <w:p>
            <w:pPr>
              <w:spacing w:after="0"/>
              <w:rPr>
                <w:sz w:val="15"/>
                <w:szCs w:val="15"/>
                <w:color w:val="auto"/>
              </w:rPr>
            </w:pPr>
          </w:p>
        </w:tc>
        <w:tc>
          <w:tcPr>
            <w:tcW w:w="2840" w:type="dxa"/>
            <w:vAlign w:val="bottom"/>
          </w:tcPr>
          <w:p>
            <w:pPr>
              <w:jc w:val="center"/>
              <w:ind w:left="170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2840" w:type="dxa"/>
            <w:vAlign w:val="bottom"/>
          </w:tcPr>
          <w:p>
            <w:pPr>
              <w:jc w:val="right"/>
              <w:ind w:right="98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2840" w:type="dxa"/>
            <w:vAlign w:val="bottom"/>
          </w:tcPr>
          <w:p>
            <w:pPr>
              <w:jc w:val="right"/>
              <w:ind w:right="1181"/>
              <w:spacing w:after="0"/>
              <w:rPr>
                <w:sz w:val="20"/>
                <w:szCs w:val="20"/>
                <w:color w:val="auto"/>
              </w:rPr>
            </w:pPr>
            <w:r>
              <w:rPr>
                <w:rFonts w:ascii="Arial" w:cs="Arial" w:eastAsia="Arial" w:hAnsi="Arial"/>
                <w:sz w:val="18"/>
                <w:szCs w:val="18"/>
                <w:b w:val="1"/>
                <w:bCs w:val="1"/>
                <w:color w:val="auto"/>
              </w:rPr>
              <w:t>75007</w:t>
            </w:r>
          </w:p>
        </w:tc>
      </w:tr>
      <w:tr>
        <w:trPr>
          <w:trHeight w:val="420"/>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8"/>
                <w:szCs w:val="18"/>
                <w:color w:val="auto"/>
              </w:rPr>
            </w:pPr>
          </w:p>
        </w:tc>
        <w:tc>
          <w:tcPr>
            <w:tcW w:w="2840" w:type="dxa"/>
            <w:vAlign w:val="bottom"/>
          </w:tcPr>
          <w:p>
            <w:pPr>
              <w:jc w:val="center"/>
              <w:ind w:right="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20" w:type="dxa"/>
            <w:vAlign w:val="bottom"/>
          </w:tcPr>
          <w:p>
            <w:pPr>
              <w:spacing w:after="0"/>
              <w:rPr>
                <w:sz w:val="15"/>
                <w:szCs w:val="15"/>
                <w:color w:val="auto"/>
              </w:rPr>
            </w:pPr>
          </w:p>
        </w:tc>
        <w:tc>
          <w:tcPr>
            <w:tcW w:w="284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121"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175895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59"/>
          </w:cols>
          <w:pgMar w:left="1300" w:top="503" w:right="1440"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FINANCIAL STATEMENTS AND EXHIBITS</w:t>
      </w:r>
    </w:p>
    <w:p>
      <w:pPr>
        <w:spacing w:after="0" w:line="8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color w:val="auto"/>
        </w:rPr>
        <w:t>(c )</w:t>
      </w:r>
      <w:r>
        <w:rPr>
          <w:sz w:val="20"/>
          <w:szCs w:val="20"/>
          <w:color w:val="auto"/>
        </w:rPr>
        <w:tab/>
      </w:r>
      <w:r>
        <w:rPr>
          <w:rFonts w:ascii="Arial" w:cs="Arial" w:eastAsia="Arial" w:hAnsi="Arial"/>
          <w:sz w:val="16"/>
          <w:szCs w:val="16"/>
          <w:color w:val="auto"/>
        </w:rPr>
        <w:t>Exhibits</w:t>
      </w:r>
    </w:p>
    <w:p>
      <w:pPr>
        <w:spacing w:after="0" w:line="77" w:lineRule="exact"/>
        <w:rPr>
          <w:sz w:val="20"/>
          <w:szCs w:val="20"/>
          <w:color w:val="auto"/>
        </w:rPr>
      </w:pPr>
    </w:p>
    <w:p>
      <w:pPr>
        <w:ind w:left="1120"/>
        <w:spacing w:after="0"/>
        <w:tabs>
          <w:tab w:leader="none" w:pos="1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June 12, 2003 Schlumberger S.A. and Schlumberger PLC press release.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REGULATION FD DISCLOSURE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12, 2003, Schlumberger S.A. and Schlumberger PLC, both wholly owned subsidiaries of Schlumberger Limited, commenced tender offers to purchase certain of their outstanding debt securities. A press release relating to the tender offers is attached as exhibit 99.1 and is incorporated by reference herein.</w:t>
      </w:r>
    </w:p>
    <w:p>
      <w:pPr>
        <w:sectPr>
          <w:pgSz w:w="11900" w:h="16838" w:orient="portrait"/>
          <w:cols w:equalWidth="0" w:num="1">
            <w:col w:w="11000"/>
          </w:cols>
          <w:pgMar w:left="240" w:top="274" w:right="6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2003</w:t>
      </w:r>
    </w:p>
    <w:p>
      <w:pPr>
        <w:sectPr>
          <w:pgSz w:w="11900" w:h="16838" w:orient="portrait"/>
          <w:cols w:equalWidth="0" w:num="1">
            <w:col w:w="11400"/>
          </w:cols>
          <w:pgMar w:left="240" w:top="274" w:right="25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187"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Press Release</w:t>
      </w:r>
      <w:r>
        <w:rPr>
          <w:sz w:val="20"/>
          <w:szCs w:val="20"/>
          <w:color w:val="auto"/>
        </w:rPr>
        <w:tab/>
      </w:r>
      <w:r>
        <w:rPr>
          <w:rFonts w:ascii="Arial" w:cs="Arial" w:eastAsia="Arial" w:hAnsi="Arial"/>
          <w:sz w:val="15"/>
          <w:szCs w:val="15"/>
          <w:color w:val="auto"/>
        </w:rPr>
        <w:t>Schlumberger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subsidiaries announce Tender Offers for their bonds</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Paris, 12 June 2003, Schlumberger S.A. (“SSA”) is offering to purchase for cash any and all of its outstanding €850,000,000 5.25% Guaranteed Bonds due 2008 (the “SSA Series A Bonds”) and up to €200 million in Total Consideration of its outstanding €500,000,000 5.875% Guaranteed Bonds due 2011 (the “SSA Series B Bonds”).</w:t>
      </w:r>
    </w:p>
    <w:p>
      <w:pPr>
        <w:spacing w:after="0" w:line="12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London, 12 June 2003, Schlumberger PLC (“SPLC”) is offering to purchase for cash up to £100 million in Total Consideration of its outstanding £250,000,000 6.25% Guaranteed Bonds due 2008 (the “SPLC Series A Bonds”) (and together with the SSA Series A Bonds and the SSA Series B Bonds, the “Bonds”). Each offer (an “Offer” and together, the “Offers”) is made upon the terms and subject to the conditions contained in the Tender Offer Document.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price payable for each series (the “Purchase Price”) will be based upon a fixed spread over the yield to maturity of the reference government bond as described in the table below, based on the average of the bid and the offer price for such reference government bond as reported by Bloomberg (pages PXGB and PXUK, as applicable) at 2:00 PM CET on the date which is two business days prior to the applicable expiration date of the Offer for that series using standard market practice.</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Early Tender</w:t>
            </w:r>
          </w:p>
        </w:tc>
      </w:tr>
      <w:tr>
        <w:trPr>
          <w:trHeight w:val="149"/>
        </w:trPr>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Premium (per</w:t>
            </w:r>
          </w:p>
        </w:tc>
      </w:tr>
      <w:tr>
        <w:trPr>
          <w:trHeight w:val="149"/>
        </w:trPr>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Principal</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Subject</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€1,000/€1,000 in</w:t>
            </w: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Security Description</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Code/ISIN</w:t>
            </w:r>
          </w:p>
        </w:tc>
        <w:tc>
          <w:tcPr>
            <w:tcW w:w="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to Offer</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Bond(s)</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3"/>
              </w:rPr>
              <w:t>Spread(s)</w:t>
            </w: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principal amount)</w:t>
            </w:r>
          </w:p>
        </w:tc>
      </w:tr>
      <w:tr>
        <w:trPr>
          <w:trHeight w:val="95"/>
        </w:trPr>
        <w:tc>
          <w:tcPr>
            <w:tcW w:w="1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309"/>
        </w:trPr>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4.125% German</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Any and all of the</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Government Bund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6"/>
              </w:rPr>
              <w:t>5.25% Guaranteed</w:t>
            </w:r>
          </w:p>
        </w:tc>
        <w:tc>
          <w:tcPr>
            <w:tcW w:w="160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013665605</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SSA Series</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due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1760" w:type="dxa"/>
            <w:vAlign w:val="bottom"/>
          </w:tcPr>
          <w:p>
            <w:pPr>
              <w:jc w:val="center"/>
              <w:spacing w:after="0"/>
              <w:rPr>
                <w:sz w:val="20"/>
                <w:szCs w:val="20"/>
                <w:color w:val="auto"/>
              </w:rPr>
            </w:pPr>
            <w:r>
              <w:rPr>
                <w:rFonts w:ascii="Arial" w:cs="Arial" w:eastAsia="Arial" w:hAnsi="Arial"/>
                <w:sz w:val="18"/>
                <w:szCs w:val="18"/>
                <w:color w:val="auto"/>
                <w:w w:val="86"/>
              </w:rPr>
              <w:t>Bonds due 2008</w:t>
            </w: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XS0136656054</w:t>
            </w: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€850,000,000</w:t>
            </w:r>
          </w:p>
        </w:tc>
        <w:tc>
          <w:tcPr>
            <w:tcW w:w="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A Bonds</w:t>
            </w:r>
          </w:p>
        </w:tc>
        <w:tc>
          <w:tcPr>
            <w:tcW w:w="2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4 July 2008</w:t>
            </w:r>
          </w:p>
        </w:tc>
        <w:tc>
          <w:tcPr>
            <w:tcW w:w="160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0.15%</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385"/>
        </w:trPr>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Up to €200 million</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in Total</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5.0% German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Consideration of</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Government Bund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5"/>
              </w:rPr>
              <w:t>5.875% Guaranteed</w:t>
            </w:r>
          </w:p>
        </w:tc>
        <w:tc>
          <w:tcPr>
            <w:tcW w:w="160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013665699</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the SSA</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due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1760" w:type="dxa"/>
            <w:vAlign w:val="bottom"/>
          </w:tcPr>
          <w:p>
            <w:pPr>
              <w:jc w:val="center"/>
              <w:spacing w:after="0"/>
              <w:rPr>
                <w:sz w:val="20"/>
                <w:szCs w:val="20"/>
                <w:color w:val="auto"/>
              </w:rPr>
            </w:pPr>
            <w:r>
              <w:rPr>
                <w:rFonts w:ascii="Arial" w:cs="Arial" w:eastAsia="Arial" w:hAnsi="Arial"/>
                <w:sz w:val="18"/>
                <w:szCs w:val="18"/>
                <w:color w:val="auto"/>
                <w:w w:val="86"/>
              </w:rPr>
              <w:t>Bonds due 2011</w:t>
            </w: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XS0136656997</w:t>
            </w: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€500,000,000</w:t>
            </w:r>
          </w:p>
        </w:tc>
        <w:tc>
          <w:tcPr>
            <w:tcW w:w="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Series B Bonds</w:t>
            </w:r>
          </w:p>
        </w:tc>
        <w:tc>
          <w:tcPr>
            <w:tcW w:w="2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4 July 2011</w:t>
            </w:r>
          </w:p>
        </w:tc>
        <w:tc>
          <w:tcPr>
            <w:tcW w:w="160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0.35%</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€15.00</w:t>
            </w:r>
          </w:p>
        </w:tc>
      </w:tr>
      <w:tr>
        <w:trPr>
          <w:trHeight w:val="385"/>
        </w:trPr>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Up to £100 million</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in Total</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Consideration of</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5.0% U.K.</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6"/>
              </w:rPr>
              <w:t>6.25% Guaranteed</w:t>
            </w:r>
          </w:p>
        </w:tc>
        <w:tc>
          <w:tcPr>
            <w:tcW w:w="160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013665788</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the SPLC</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Treasury Gilt due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1760" w:type="dxa"/>
            <w:vAlign w:val="bottom"/>
          </w:tcPr>
          <w:p>
            <w:pPr>
              <w:jc w:val="center"/>
              <w:spacing w:after="0"/>
              <w:rPr>
                <w:sz w:val="20"/>
                <w:szCs w:val="20"/>
                <w:color w:val="auto"/>
              </w:rPr>
            </w:pPr>
            <w:r>
              <w:rPr>
                <w:rFonts w:ascii="Arial" w:cs="Arial" w:eastAsia="Arial" w:hAnsi="Arial"/>
                <w:sz w:val="18"/>
                <w:szCs w:val="18"/>
                <w:color w:val="auto"/>
                <w:w w:val="86"/>
              </w:rPr>
              <w:t>Bonds due 2008</w:t>
            </w: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XS0136657888</w:t>
            </w:r>
          </w:p>
        </w:tc>
        <w:tc>
          <w:tcPr>
            <w:tcW w:w="158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£250,000,000</w:t>
            </w:r>
          </w:p>
        </w:tc>
        <w:tc>
          <w:tcPr>
            <w:tcW w:w="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Series A Bonds</w:t>
            </w:r>
          </w:p>
        </w:tc>
        <w:tc>
          <w:tcPr>
            <w:tcW w:w="2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7 March 2008</w:t>
            </w:r>
          </w:p>
        </w:tc>
        <w:tc>
          <w:tcPr>
            <w:tcW w:w="160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0.50%</w:t>
            </w:r>
          </w:p>
        </w:tc>
        <w:tc>
          <w:tcPr>
            <w:tcW w:w="1640" w:type="dxa"/>
            <w:vAlign w:val="bottom"/>
            <w:gridSpan w:val="2"/>
          </w:tcPr>
          <w:p>
            <w:pPr>
              <w:jc w:val="right"/>
              <w:ind w:right="446"/>
              <w:spacing w:after="0"/>
              <w:rPr>
                <w:sz w:val="20"/>
                <w:szCs w:val="20"/>
                <w:color w:val="auto"/>
              </w:rPr>
            </w:pPr>
            <w:r>
              <w:rPr>
                <w:rFonts w:ascii="Arial" w:cs="Arial" w:eastAsia="Arial" w:hAnsi="Arial"/>
                <w:sz w:val="18"/>
                <w:szCs w:val="18"/>
                <w:color w:val="auto"/>
              </w:rPr>
              <w:t>£7.50</w:t>
            </w: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Terms of the Offers</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SSA and SPLC are seeking to retire Bonds for an aggregate Total Consideration not to exceed U.S.$1.4 billion (based on exchange rates on the relevant price determination date).</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Offer by SSA for the SSA Series A Bonds expires at 5:00 PM CET on 27 June 2003 unless extended or terminated by SSA. The Offer by SSA for the Series B Bonds and the Offer by SLPC for the SPLC Series A Bonds each expire at 5:00 PM CET on 15 July 2003 unless extended or terminated by SSA or SPLC, respectively.</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Pricing will be determined two business days prior to the applicable expiration date for each Offer. The settlement date for each Offer will be four business days after the relevant expiration date for an Offer.</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of SSA Series B Bonds and SPLC Series A Bonds who validly tender (and do not withdraw) their respective Bonds prior to 5:00 PM CET on 27 June 2003 will receive an additional €15.00 per €1,000 of SSA Series B Bonds accepted and £7.50 per £1,000 of SPLC Series A Bonds accepted (each an “Early Tender Premium”) in addition to the Purchase Price and accrued interest under the relevant Bonds. There is no Early Tender Premium in respect of the SSA Series A Bonds.</w:t>
      </w:r>
    </w:p>
    <w:p>
      <w:pPr>
        <w:spacing w:after="0" w:line="13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Each of the Offers may be amended, terminated or cancelled by SSA or SPLC, as applicable, in its sole discretion. Payment of the Purchase Price, accrued interest and Early Tender Premium, if applicable, will only become payable upon acceptance of the relevant Bonds tendered in the Offer.</w:t>
      </w:r>
    </w:p>
    <w:p>
      <w:pPr>
        <w:spacing w:after="0" w:line="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Under no circumstances shall the Offers constitute, or be construed, as a public offer of securities. In particular, the Offers are not being made to the public in the Republic of France. The Tender Offer Document is not meant to be transmitted into the Republic of France to any person who is not a qualified investor (as defined in article L.411-2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Decree No. 98-888 dated 1 October 1998). The Offers shall not be made nor tenders of Bonds accepted in circumstances which are unlawful.</w:t>
      </w:r>
    </w:p>
    <w:p>
      <w:pPr>
        <w:spacing w:after="0" w:line="130" w:lineRule="exact"/>
        <w:rPr>
          <w:sz w:val="20"/>
          <w:szCs w:val="20"/>
          <w:color w:val="auto"/>
        </w:rPr>
      </w:pPr>
    </w:p>
    <w:p>
      <w:pPr>
        <w:ind w:right="1540"/>
        <w:spacing w:after="0" w:line="375" w:lineRule="auto"/>
        <w:rPr>
          <w:sz w:val="20"/>
          <w:szCs w:val="20"/>
          <w:color w:val="auto"/>
        </w:rPr>
      </w:pPr>
      <w:r>
        <w:rPr>
          <w:rFonts w:ascii="Arial" w:cs="Arial" w:eastAsia="Arial" w:hAnsi="Arial"/>
          <w:sz w:val="18"/>
          <w:szCs w:val="18"/>
          <w:color w:val="auto"/>
        </w:rPr>
        <w:t xml:space="preserve">Bondholders who wish to accept the Offers should refer to the Tender Offer Document for the procedures which must be followed to accept. </w:t>
      </w:r>
      <w:r>
        <w:rPr>
          <w:rFonts w:ascii="Arial" w:cs="Arial" w:eastAsia="Arial" w:hAnsi="Arial"/>
          <w:sz w:val="18"/>
          <w:szCs w:val="18"/>
          <w:b w:val="1"/>
          <w:bCs w:val="1"/>
          <w:color w:val="auto"/>
        </w:rPr>
        <w:t>Pro Ration</w:t>
      </w:r>
    </w:p>
    <w:p>
      <w:pPr>
        <w:spacing w:after="0" w:line="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Total Consideration shall be the maximum amount payable by each of SSA and/or SPLC, as applicable, with respect to each series of Bonds to be accepted for payment, and shall include the Purchase Price for such series, accrued interest and Early Tender Premium, if applicable.</w:t>
      </w:r>
    </w:p>
    <w:p>
      <w:pPr>
        <w:spacing w:after="0" w:line="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Acceptance of the SSA Series B Bonds or SPLC Series A Bonds may be subject to proration if the amount tendered is greater than the amount SSA or SPLC, respectively, has offered to purchase.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83"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The Tender Offers are described in the Tender Offer Document dated 12 June 2003 which is available for collection from the Tender Agent to current bondholders. BNP Paribas, Citigroup Global Markets Limited and Goldman Sachs are Dealer Managers for the Tender Offers.</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Requests for the Tender Offer Document or related documents and other relevant information in relation to the tenders should be directed to:</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900" w:type="dxa"/>
            <w:vAlign w:val="bottom"/>
          </w:tcPr>
          <w:p>
            <w:pPr>
              <w:ind w:left="900"/>
              <w:spacing w:after="0"/>
              <w:rPr>
                <w:sz w:val="20"/>
                <w:szCs w:val="20"/>
                <w:color w:val="auto"/>
              </w:rPr>
            </w:pPr>
            <w:r>
              <w:rPr>
                <w:rFonts w:ascii="Arial" w:cs="Arial" w:eastAsia="Arial" w:hAnsi="Arial"/>
                <w:sz w:val="18"/>
                <w:szCs w:val="18"/>
                <w:b w:val="1"/>
                <w:bCs w:val="1"/>
                <w:color w:val="auto"/>
              </w:rPr>
              <w:t>The Tender Agents</w:t>
            </w:r>
          </w:p>
        </w:tc>
      </w:tr>
      <w:tr>
        <w:trPr>
          <w:trHeight w:val="352"/>
        </w:trPr>
        <w:tc>
          <w:tcPr>
            <w:tcW w:w="480" w:type="dxa"/>
            <w:vAlign w:val="bottom"/>
          </w:tcPr>
          <w:p>
            <w:pPr>
              <w:spacing w:after="0"/>
              <w:rPr>
                <w:sz w:val="24"/>
                <w:szCs w:val="24"/>
                <w:color w:val="auto"/>
              </w:rPr>
            </w:pPr>
          </w:p>
        </w:tc>
        <w:tc>
          <w:tcPr>
            <w:tcW w:w="2180" w:type="dxa"/>
            <w:vAlign w:val="bottom"/>
          </w:tcPr>
          <w:p>
            <w:pPr>
              <w:jc w:val="center"/>
              <w:ind w:right="392"/>
              <w:spacing w:after="0"/>
              <w:rPr>
                <w:sz w:val="20"/>
                <w:szCs w:val="20"/>
                <w:color w:val="auto"/>
              </w:rPr>
            </w:pPr>
            <w:r>
              <w:rPr>
                <w:rFonts w:ascii="Arial" w:cs="Arial" w:eastAsia="Arial" w:hAnsi="Arial"/>
                <w:sz w:val="18"/>
                <w:szCs w:val="18"/>
                <w:b w:val="1"/>
                <w:bCs w:val="1"/>
                <w:color w:val="auto"/>
                <w:w w:val="93"/>
              </w:rPr>
              <w:t>Citibank, N.A.</w:t>
            </w:r>
          </w:p>
        </w:tc>
        <w:tc>
          <w:tcPr>
            <w:tcW w:w="5900" w:type="dxa"/>
            <w:vAlign w:val="bottom"/>
          </w:tcPr>
          <w:p>
            <w:pPr>
              <w:jc w:val="center"/>
              <w:ind w:left="3112"/>
              <w:spacing w:after="0"/>
              <w:rPr>
                <w:sz w:val="20"/>
                <w:szCs w:val="20"/>
                <w:color w:val="auto"/>
              </w:rPr>
            </w:pPr>
            <w:r>
              <w:rPr>
                <w:rFonts w:ascii="Arial" w:cs="Arial" w:eastAsia="Arial" w:hAnsi="Arial"/>
                <w:sz w:val="18"/>
                <w:szCs w:val="18"/>
                <w:b w:val="1"/>
                <w:bCs w:val="1"/>
                <w:color w:val="auto"/>
                <w:w w:val="89"/>
              </w:rPr>
              <w:t>Dexia Banque Internationale à</w:t>
            </w:r>
          </w:p>
        </w:tc>
      </w:tr>
      <w:tr>
        <w:trPr>
          <w:trHeight w:val="222"/>
        </w:trPr>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900" w:type="dxa"/>
            <w:vAlign w:val="bottom"/>
          </w:tcPr>
          <w:p>
            <w:pPr>
              <w:jc w:val="center"/>
              <w:ind w:left="3092"/>
              <w:spacing w:after="0"/>
              <w:rPr>
                <w:sz w:val="20"/>
                <w:szCs w:val="20"/>
                <w:color w:val="auto"/>
              </w:rPr>
            </w:pPr>
            <w:r>
              <w:rPr>
                <w:rFonts w:ascii="Arial" w:cs="Arial" w:eastAsia="Arial" w:hAnsi="Arial"/>
                <w:sz w:val="18"/>
                <w:szCs w:val="18"/>
                <w:b w:val="1"/>
                <w:bCs w:val="1"/>
                <w:color w:val="auto"/>
                <w:w w:val="85"/>
              </w:rPr>
              <w:t>Luxembourg, société anonyme</w:t>
            </w:r>
          </w:p>
        </w:tc>
      </w:tr>
      <w:tr>
        <w:trPr>
          <w:trHeight w:val="216"/>
        </w:trPr>
        <w:tc>
          <w:tcPr>
            <w:tcW w:w="480" w:type="dxa"/>
            <w:vAlign w:val="bottom"/>
          </w:tcPr>
          <w:p>
            <w:pPr>
              <w:spacing w:after="0"/>
              <w:rPr>
                <w:sz w:val="18"/>
                <w:szCs w:val="18"/>
                <w:color w:val="auto"/>
              </w:rPr>
            </w:pPr>
          </w:p>
        </w:tc>
        <w:tc>
          <w:tcPr>
            <w:tcW w:w="2180" w:type="dxa"/>
            <w:vAlign w:val="bottom"/>
          </w:tcPr>
          <w:p>
            <w:pPr>
              <w:jc w:val="center"/>
              <w:ind w:right="392"/>
              <w:spacing w:after="0"/>
              <w:rPr>
                <w:sz w:val="20"/>
                <w:szCs w:val="20"/>
                <w:color w:val="auto"/>
              </w:rPr>
            </w:pPr>
            <w:r>
              <w:rPr>
                <w:rFonts w:ascii="Arial" w:cs="Arial" w:eastAsia="Arial" w:hAnsi="Arial"/>
                <w:sz w:val="18"/>
                <w:szCs w:val="18"/>
                <w:color w:val="auto"/>
                <w:w w:val="86"/>
              </w:rPr>
              <w:t>P.O. Box 180555</w:t>
            </w:r>
          </w:p>
        </w:tc>
        <w:tc>
          <w:tcPr>
            <w:tcW w:w="5900" w:type="dxa"/>
            <w:vAlign w:val="bottom"/>
          </w:tcPr>
          <w:p>
            <w:pPr>
              <w:jc w:val="center"/>
              <w:ind w:left="3092"/>
              <w:spacing w:after="0"/>
              <w:rPr>
                <w:sz w:val="20"/>
                <w:szCs w:val="20"/>
                <w:color w:val="auto"/>
              </w:rPr>
            </w:pPr>
            <w:r>
              <w:rPr>
                <w:rFonts w:ascii="Arial" w:cs="Arial" w:eastAsia="Arial" w:hAnsi="Arial"/>
                <w:sz w:val="18"/>
                <w:szCs w:val="18"/>
                <w:color w:val="auto"/>
                <w:w w:val="89"/>
              </w:rPr>
              <w:t>69, route d’Esch</w:t>
            </w:r>
          </w:p>
        </w:tc>
      </w:tr>
      <w:tr>
        <w:trPr>
          <w:trHeight w:val="216"/>
        </w:trPr>
        <w:tc>
          <w:tcPr>
            <w:tcW w:w="480" w:type="dxa"/>
            <w:vAlign w:val="bottom"/>
          </w:tcPr>
          <w:p>
            <w:pPr>
              <w:spacing w:after="0"/>
              <w:rPr>
                <w:sz w:val="18"/>
                <w:szCs w:val="18"/>
                <w:color w:val="auto"/>
              </w:rPr>
            </w:pPr>
          </w:p>
        </w:tc>
        <w:tc>
          <w:tcPr>
            <w:tcW w:w="2180" w:type="dxa"/>
            <w:vAlign w:val="bottom"/>
          </w:tcPr>
          <w:p>
            <w:pPr>
              <w:jc w:val="center"/>
              <w:ind w:right="392"/>
              <w:spacing w:after="0"/>
              <w:rPr>
                <w:sz w:val="20"/>
                <w:szCs w:val="20"/>
                <w:color w:val="auto"/>
              </w:rPr>
            </w:pPr>
            <w:r>
              <w:rPr>
                <w:rFonts w:ascii="Arial" w:cs="Arial" w:eastAsia="Arial" w:hAnsi="Arial"/>
                <w:sz w:val="18"/>
                <w:szCs w:val="18"/>
                <w:color w:val="auto"/>
                <w:w w:val="86"/>
              </w:rPr>
              <w:t>5 Carmelite Street</w:t>
            </w:r>
          </w:p>
        </w:tc>
        <w:tc>
          <w:tcPr>
            <w:tcW w:w="5900" w:type="dxa"/>
            <w:vAlign w:val="bottom"/>
          </w:tcPr>
          <w:p>
            <w:pPr>
              <w:jc w:val="center"/>
              <w:ind w:left="3112"/>
              <w:spacing w:after="0"/>
              <w:rPr>
                <w:sz w:val="20"/>
                <w:szCs w:val="20"/>
                <w:color w:val="auto"/>
              </w:rPr>
            </w:pPr>
            <w:r>
              <w:rPr>
                <w:rFonts w:ascii="Arial" w:cs="Arial" w:eastAsia="Arial" w:hAnsi="Arial"/>
                <w:sz w:val="18"/>
                <w:szCs w:val="18"/>
                <w:color w:val="auto"/>
                <w:w w:val="90"/>
              </w:rPr>
              <w:t>L-2953 Luxembourg</w:t>
            </w:r>
          </w:p>
        </w:tc>
      </w:tr>
      <w:tr>
        <w:trPr>
          <w:trHeight w:val="216"/>
        </w:trPr>
        <w:tc>
          <w:tcPr>
            <w:tcW w:w="480" w:type="dxa"/>
            <w:vAlign w:val="bottom"/>
          </w:tcPr>
          <w:p>
            <w:pPr>
              <w:spacing w:after="0"/>
              <w:rPr>
                <w:sz w:val="18"/>
                <w:szCs w:val="18"/>
                <w:color w:val="auto"/>
              </w:rPr>
            </w:pPr>
          </w:p>
        </w:tc>
        <w:tc>
          <w:tcPr>
            <w:tcW w:w="2180" w:type="dxa"/>
            <w:vAlign w:val="bottom"/>
          </w:tcPr>
          <w:p>
            <w:pPr>
              <w:jc w:val="center"/>
              <w:ind w:right="392"/>
              <w:spacing w:after="0"/>
              <w:rPr>
                <w:sz w:val="20"/>
                <w:szCs w:val="20"/>
                <w:color w:val="auto"/>
              </w:rPr>
            </w:pPr>
            <w:r>
              <w:rPr>
                <w:rFonts w:ascii="Arial" w:cs="Arial" w:eastAsia="Arial" w:hAnsi="Arial"/>
                <w:sz w:val="18"/>
                <w:szCs w:val="18"/>
                <w:color w:val="auto"/>
                <w:w w:val="89"/>
              </w:rPr>
              <w:t>London</w:t>
            </w:r>
          </w:p>
        </w:tc>
        <w:tc>
          <w:tcPr>
            <w:tcW w:w="5900" w:type="dxa"/>
            <w:vAlign w:val="bottom"/>
          </w:tcPr>
          <w:p>
            <w:pPr>
              <w:jc w:val="center"/>
              <w:ind w:left="3112"/>
              <w:spacing w:after="0"/>
              <w:rPr>
                <w:sz w:val="20"/>
                <w:szCs w:val="20"/>
                <w:color w:val="auto"/>
              </w:rPr>
            </w:pPr>
            <w:r>
              <w:rPr>
                <w:rFonts w:ascii="Arial" w:cs="Arial" w:eastAsia="Arial" w:hAnsi="Arial"/>
                <w:sz w:val="18"/>
                <w:szCs w:val="18"/>
                <w:color w:val="auto"/>
                <w:w w:val="89"/>
              </w:rPr>
              <w:t>Luxembourg</w:t>
            </w:r>
          </w:p>
        </w:tc>
      </w:tr>
      <w:tr>
        <w:trPr>
          <w:trHeight w:val="216"/>
        </w:trPr>
        <w:tc>
          <w:tcPr>
            <w:tcW w:w="480" w:type="dxa"/>
            <w:vAlign w:val="bottom"/>
          </w:tcPr>
          <w:p>
            <w:pPr>
              <w:spacing w:after="0"/>
              <w:rPr>
                <w:sz w:val="18"/>
                <w:szCs w:val="18"/>
                <w:color w:val="auto"/>
              </w:rPr>
            </w:pPr>
          </w:p>
        </w:tc>
        <w:tc>
          <w:tcPr>
            <w:tcW w:w="2180" w:type="dxa"/>
            <w:vAlign w:val="bottom"/>
          </w:tcPr>
          <w:p>
            <w:pPr>
              <w:jc w:val="center"/>
              <w:ind w:right="392"/>
              <w:spacing w:after="0"/>
              <w:rPr>
                <w:sz w:val="20"/>
                <w:szCs w:val="20"/>
                <w:color w:val="auto"/>
              </w:rPr>
            </w:pPr>
            <w:r>
              <w:rPr>
                <w:rFonts w:ascii="Arial" w:cs="Arial" w:eastAsia="Arial" w:hAnsi="Arial"/>
                <w:sz w:val="18"/>
                <w:szCs w:val="18"/>
                <w:color w:val="auto"/>
                <w:w w:val="90"/>
              </w:rPr>
              <w:t>EC4Y 0PA</w:t>
            </w:r>
          </w:p>
        </w:tc>
        <w:tc>
          <w:tcPr>
            <w:tcW w:w="590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2180" w:type="dxa"/>
            <w:vAlign w:val="bottom"/>
          </w:tcPr>
          <w:p>
            <w:pPr>
              <w:jc w:val="center"/>
              <w:ind w:right="392"/>
              <w:spacing w:after="0"/>
              <w:rPr>
                <w:sz w:val="20"/>
                <w:szCs w:val="20"/>
                <w:color w:val="auto"/>
              </w:rPr>
            </w:pPr>
            <w:r>
              <w:rPr>
                <w:rFonts w:ascii="Arial" w:cs="Arial" w:eastAsia="Arial" w:hAnsi="Arial"/>
                <w:sz w:val="18"/>
                <w:szCs w:val="18"/>
                <w:color w:val="auto"/>
                <w:w w:val="92"/>
              </w:rPr>
              <w:t>United Kingdom</w:t>
            </w:r>
          </w:p>
        </w:tc>
        <w:tc>
          <w:tcPr>
            <w:tcW w:w="5900" w:type="dxa"/>
            <w:vAlign w:val="bottom"/>
          </w:tcPr>
          <w:p>
            <w:pPr>
              <w:spacing w:after="0"/>
              <w:rPr>
                <w:sz w:val="19"/>
                <w:szCs w:val="19"/>
                <w:color w:val="auto"/>
              </w:rPr>
            </w:pPr>
          </w:p>
        </w:tc>
      </w:tr>
      <w:tr>
        <w:trPr>
          <w:trHeight w:val="385"/>
        </w:trPr>
        <w:tc>
          <w:tcPr>
            <w:tcW w:w="480" w:type="dxa"/>
            <w:vAlign w:val="bottom"/>
          </w:tcPr>
          <w:p>
            <w:pPr>
              <w:spacing w:after="0"/>
              <w:rPr>
                <w:sz w:val="24"/>
                <w:szCs w:val="24"/>
                <w:color w:val="auto"/>
              </w:rPr>
            </w:pPr>
          </w:p>
        </w:tc>
        <w:tc>
          <w:tcPr>
            <w:tcW w:w="2180" w:type="dxa"/>
            <w:vAlign w:val="bottom"/>
          </w:tcPr>
          <w:p>
            <w:pPr>
              <w:jc w:val="center"/>
              <w:ind w:right="392"/>
              <w:spacing w:after="0"/>
              <w:rPr>
                <w:sz w:val="20"/>
                <w:szCs w:val="20"/>
                <w:color w:val="auto"/>
              </w:rPr>
            </w:pPr>
            <w:r>
              <w:rPr>
                <w:rFonts w:ascii="Arial" w:cs="Arial" w:eastAsia="Arial" w:hAnsi="Arial"/>
                <w:sz w:val="18"/>
                <w:szCs w:val="18"/>
                <w:color w:val="auto"/>
                <w:w w:val="88"/>
              </w:rPr>
              <w:t>Attn: Exchange Team</w:t>
            </w:r>
          </w:p>
        </w:tc>
        <w:tc>
          <w:tcPr>
            <w:tcW w:w="5900" w:type="dxa"/>
            <w:vAlign w:val="bottom"/>
          </w:tcPr>
          <w:p>
            <w:pPr>
              <w:jc w:val="center"/>
              <w:ind w:left="3112"/>
              <w:spacing w:after="0"/>
              <w:rPr>
                <w:sz w:val="20"/>
                <w:szCs w:val="20"/>
                <w:color w:val="auto"/>
              </w:rPr>
            </w:pPr>
            <w:r>
              <w:rPr>
                <w:rFonts w:ascii="Arial" w:cs="Arial" w:eastAsia="Arial" w:hAnsi="Arial"/>
                <w:sz w:val="18"/>
                <w:szCs w:val="18"/>
                <w:color w:val="auto"/>
                <w:w w:val="91"/>
              </w:rPr>
              <w:t>Attn: Fiscal and Listing Agencies, ref:</w:t>
            </w:r>
          </w:p>
        </w:tc>
      </w:tr>
      <w:tr>
        <w:trPr>
          <w:trHeight w:val="216"/>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9"/>
              </w:rPr>
              <w:t>Tel: +44 (0) 207 508 3867</w:t>
            </w:r>
          </w:p>
        </w:tc>
        <w:tc>
          <w:tcPr>
            <w:tcW w:w="5900" w:type="dxa"/>
            <w:vAlign w:val="bottom"/>
          </w:tcPr>
          <w:p>
            <w:pPr>
              <w:jc w:val="center"/>
              <w:ind w:left="3112"/>
              <w:spacing w:after="0"/>
              <w:rPr>
                <w:sz w:val="20"/>
                <w:szCs w:val="20"/>
                <w:color w:val="auto"/>
              </w:rPr>
            </w:pPr>
            <w:r>
              <w:rPr>
                <w:rFonts w:ascii="Arial" w:cs="Arial" w:eastAsia="Arial" w:hAnsi="Arial"/>
                <w:sz w:val="18"/>
                <w:szCs w:val="18"/>
                <w:color w:val="auto"/>
                <w:w w:val="88"/>
              </w:rPr>
              <w:t>Tender Offer/Schlumberger</w:t>
            </w:r>
          </w:p>
        </w:tc>
      </w:tr>
      <w:tr>
        <w:trPr>
          <w:trHeight w:val="216"/>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9"/>
              </w:rPr>
              <w:t>Fax: +44 (0) 207 508 3866</w:t>
            </w:r>
          </w:p>
        </w:tc>
        <w:tc>
          <w:tcPr>
            <w:tcW w:w="5900" w:type="dxa"/>
            <w:vAlign w:val="bottom"/>
          </w:tcPr>
          <w:p>
            <w:pPr>
              <w:jc w:val="center"/>
              <w:ind w:left="3112"/>
              <w:spacing w:after="0"/>
              <w:rPr>
                <w:sz w:val="20"/>
                <w:szCs w:val="20"/>
                <w:color w:val="auto"/>
              </w:rPr>
            </w:pPr>
            <w:r>
              <w:rPr>
                <w:rFonts w:ascii="Arial" w:cs="Arial" w:eastAsia="Arial" w:hAnsi="Arial"/>
                <w:sz w:val="18"/>
                <w:szCs w:val="18"/>
                <w:color w:val="auto"/>
                <w:w w:val="88"/>
              </w:rPr>
              <w:t>Tel: +352 4590 3550</w:t>
            </w:r>
          </w:p>
        </w:tc>
      </w:tr>
      <w:tr>
        <w:trPr>
          <w:trHeight w:val="184"/>
        </w:trPr>
        <w:tc>
          <w:tcPr>
            <w:tcW w:w="2660" w:type="dxa"/>
            <w:vAlign w:val="bottom"/>
            <w:gridSpan w:val="2"/>
          </w:tcPr>
          <w:p>
            <w:pPr>
              <w:jc w:val="center"/>
              <w:spacing w:after="0" w:line="184" w:lineRule="exact"/>
              <w:rPr>
                <w:sz w:val="20"/>
                <w:szCs w:val="20"/>
                <w:color w:val="auto"/>
              </w:rPr>
            </w:pPr>
            <w:r>
              <w:rPr>
                <w:rFonts w:ascii="Arial" w:cs="Arial" w:eastAsia="Arial" w:hAnsi="Arial"/>
                <w:sz w:val="18"/>
                <w:szCs w:val="18"/>
                <w:color w:val="auto"/>
                <w:w w:val="89"/>
              </w:rPr>
              <w:t>Email: exchange.gats@citigroup.com</w:t>
            </w:r>
          </w:p>
        </w:tc>
        <w:tc>
          <w:tcPr>
            <w:tcW w:w="5900" w:type="dxa"/>
            <w:vAlign w:val="bottom"/>
          </w:tcPr>
          <w:p>
            <w:pPr>
              <w:jc w:val="center"/>
              <w:ind w:left="3112"/>
              <w:spacing w:after="0" w:line="184" w:lineRule="exact"/>
              <w:rPr>
                <w:sz w:val="20"/>
                <w:szCs w:val="20"/>
                <w:color w:val="auto"/>
              </w:rPr>
            </w:pPr>
            <w:r>
              <w:rPr>
                <w:rFonts w:ascii="Arial" w:cs="Arial" w:eastAsia="Arial" w:hAnsi="Arial"/>
                <w:sz w:val="18"/>
                <w:szCs w:val="18"/>
                <w:color w:val="auto"/>
                <w:w w:val="87"/>
              </w:rPr>
              <w:t>Fax: +352 4590 4227</w:t>
            </w:r>
          </w:p>
        </w:tc>
      </w:tr>
      <w:tr>
        <w:trPr>
          <w:trHeight w:val="20"/>
        </w:trPr>
        <w:tc>
          <w:tcPr>
            <w:tcW w:w="4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Requests for all other information in relation to the Tender Offers should be directed to:</w:t>
      </w:r>
    </w:p>
    <w:p>
      <w:pPr>
        <w:spacing w:after="0" w:line="152" w:lineRule="exact"/>
        <w:rPr>
          <w:sz w:val="20"/>
          <w:szCs w:val="20"/>
          <w:color w:val="auto"/>
        </w:rPr>
      </w:pPr>
    </w:p>
    <w:tbl>
      <w:tblPr>
        <w:tblLayout w:type="fixed"/>
        <w:tblInd w:w="42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42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The Dealer Managers</w:t>
            </w:r>
          </w:p>
        </w:tc>
        <w:tc>
          <w:tcPr>
            <w:tcW w:w="2920" w:type="dxa"/>
            <w:vAlign w:val="bottom"/>
          </w:tcPr>
          <w:p>
            <w:pPr>
              <w:spacing w:after="0"/>
              <w:rPr>
                <w:sz w:val="19"/>
                <w:szCs w:val="19"/>
                <w:color w:val="auto"/>
              </w:rPr>
            </w:pPr>
          </w:p>
        </w:tc>
      </w:tr>
      <w:tr>
        <w:trPr>
          <w:trHeight w:val="358"/>
        </w:trPr>
        <w:tc>
          <w:tcPr>
            <w:tcW w:w="3220" w:type="dxa"/>
            <w:vAlign w:val="bottom"/>
          </w:tcPr>
          <w:p>
            <w:pPr>
              <w:jc w:val="center"/>
              <w:ind w:right="292"/>
              <w:spacing w:after="0"/>
              <w:rPr>
                <w:sz w:val="20"/>
                <w:szCs w:val="20"/>
                <w:color w:val="auto"/>
              </w:rPr>
            </w:pPr>
            <w:r>
              <w:rPr>
                <w:rFonts w:ascii="Arial" w:cs="Arial" w:eastAsia="Arial" w:hAnsi="Arial"/>
                <w:sz w:val="18"/>
                <w:szCs w:val="18"/>
                <w:b w:val="1"/>
                <w:bCs w:val="1"/>
                <w:color w:val="auto"/>
                <w:w w:val="88"/>
              </w:rPr>
              <w:t>BNP Paribas</w:t>
            </w:r>
          </w:p>
        </w:tc>
        <w:tc>
          <w:tcPr>
            <w:tcW w:w="426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Citigroup Global Markets Limited</w:t>
            </w:r>
          </w:p>
        </w:tc>
        <w:tc>
          <w:tcPr>
            <w:tcW w:w="2920" w:type="dxa"/>
            <w:vAlign w:val="bottom"/>
          </w:tcPr>
          <w:p>
            <w:pPr>
              <w:jc w:val="center"/>
              <w:ind w:left="372"/>
              <w:spacing w:after="0"/>
              <w:rPr>
                <w:sz w:val="20"/>
                <w:szCs w:val="20"/>
                <w:color w:val="auto"/>
              </w:rPr>
            </w:pPr>
            <w:r>
              <w:rPr>
                <w:rFonts w:ascii="Arial" w:cs="Arial" w:eastAsia="Arial" w:hAnsi="Arial"/>
                <w:sz w:val="18"/>
                <w:szCs w:val="18"/>
                <w:b w:val="1"/>
                <w:bCs w:val="1"/>
                <w:color w:val="auto"/>
                <w:w w:val="89"/>
              </w:rPr>
              <w:t>Goldman Sachs International</w:t>
            </w:r>
          </w:p>
        </w:tc>
      </w:tr>
      <w:tr>
        <w:trPr>
          <w:trHeight w:val="216"/>
        </w:trPr>
        <w:tc>
          <w:tcPr>
            <w:tcW w:w="3220" w:type="dxa"/>
            <w:vAlign w:val="bottom"/>
          </w:tcPr>
          <w:p>
            <w:pPr>
              <w:jc w:val="center"/>
              <w:ind w:right="292"/>
              <w:spacing w:after="0"/>
              <w:rPr>
                <w:sz w:val="20"/>
                <w:szCs w:val="20"/>
                <w:color w:val="auto"/>
              </w:rPr>
            </w:pPr>
            <w:r>
              <w:rPr>
                <w:rFonts w:ascii="Arial" w:cs="Arial" w:eastAsia="Arial" w:hAnsi="Arial"/>
                <w:sz w:val="18"/>
                <w:szCs w:val="18"/>
                <w:color w:val="auto"/>
                <w:w w:val="87"/>
              </w:rPr>
              <w:t>10 Harewood Avenue</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Citigroup Centre</w:t>
            </w:r>
          </w:p>
        </w:tc>
        <w:tc>
          <w:tcPr>
            <w:tcW w:w="2920" w:type="dxa"/>
            <w:vAlign w:val="bottom"/>
          </w:tcPr>
          <w:p>
            <w:pPr>
              <w:jc w:val="center"/>
              <w:ind w:left="392"/>
              <w:spacing w:after="0"/>
              <w:rPr>
                <w:sz w:val="20"/>
                <w:szCs w:val="20"/>
                <w:color w:val="auto"/>
              </w:rPr>
            </w:pPr>
            <w:r>
              <w:rPr>
                <w:rFonts w:ascii="Arial" w:cs="Arial" w:eastAsia="Arial" w:hAnsi="Arial"/>
                <w:sz w:val="18"/>
                <w:szCs w:val="18"/>
                <w:color w:val="auto"/>
                <w:w w:val="88"/>
              </w:rPr>
              <w:t>Peterborough Court</w:t>
            </w:r>
          </w:p>
        </w:tc>
      </w:tr>
      <w:tr>
        <w:trPr>
          <w:trHeight w:val="216"/>
        </w:trPr>
        <w:tc>
          <w:tcPr>
            <w:tcW w:w="3220" w:type="dxa"/>
            <w:vAlign w:val="bottom"/>
          </w:tcPr>
          <w:p>
            <w:pPr>
              <w:jc w:val="center"/>
              <w:ind w:right="292"/>
              <w:spacing w:after="0"/>
              <w:rPr>
                <w:sz w:val="20"/>
                <w:szCs w:val="20"/>
                <w:color w:val="auto"/>
              </w:rPr>
            </w:pPr>
            <w:r>
              <w:rPr>
                <w:rFonts w:ascii="Arial" w:cs="Arial" w:eastAsia="Arial" w:hAnsi="Arial"/>
                <w:sz w:val="18"/>
                <w:szCs w:val="18"/>
                <w:color w:val="auto"/>
                <w:w w:val="94"/>
              </w:rPr>
              <w:t>London NW1 6AA</w:t>
            </w:r>
          </w:p>
        </w:tc>
        <w:tc>
          <w:tcPr>
            <w:tcW w:w="4260" w:type="dxa"/>
            <w:vAlign w:val="bottom"/>
          </w:tcPr>
          <w:p>
            <w:pPr>
              <w:jc w:val="center"/>
              <w:ind w:right="12"/>
              <w:spacing w:after="0"/>
              <w:rPr>
                <w:sz w:val="20"/>
                <w:szCs w:val="20"/>
                <w:color w:val="auto"/>
              </w:rPr>
            </w:pPr>
            <w:r>
              <w:rPr>
                <w:rFonts w:ascii="Arial" w:cs="Arial" w:eastAsia="Arial" w:hAnsi="Arial"/>
                <w:sz w:val="18"/>
                <w:szCs w:val="18"/>
                <w:color w:val="auto"/>
                <w:w w:val="84"/>
              </w:rPr>
              <w:t>33 Canada Square</w:t>
            </w:r>
          </w:p>
        </w:tc>
        <w:tc>
          <w:tcPr>
            <w:tcW w:w="2920" w:type="dxa"/>
            <w:vAlign w:val="bottom"/>
          </w:tcPr>
          <w:p>
            <w:pPr>
              <w:jc w:val="center"/>
              <w:ind w:left="392"/>
              <w:spacing w:after="0"/>
              <w:rPr>
                <w:sz w:val="20"/>
                <w:szCs w:val="20"/>
                <w:color w:val="auto"/>
              </w:rPr>
            </w:pPr>
            <w:r>
              <w:rPr>
                <w:rFonts w:ascii="Arial" w:cs="Arial" w:eastAsia="Arial" w:hAnsi="Arial"/>
                <w:sz w:val="18"/>
                <w:szCs w:val="18"/>
                <w:color w:val="auto"/>
                <w:w w:val="87"/>
              </w:rPr>
              <w:t>133 Fleet Street</w:t>
            </w:r>
          </w:p>
        </w:tc>
      </w:tr>
      <w:tr>
        <w:trPr>
          <w:trHeight w:val="216"/>
        </w:trPr>
        <w:tc>
          <w:tcPr>
            <w:tcW w:w="3220" w:type="dxa"/>
            <w:vAlign w:val="bottom"/>
          </w:tcPr>
          <w:p>
            <w:pPr>
              <w:jc w:val="center"/>
              <w:ind w:right="292"/>
              <w:spacing w:after="0"/>
              <w:rPr>
                <w:sz w:val="20"/>
                <w:szCs w:val="20"/>
                <w:color w:val="auto"/>
              </w:rPr>
            </w:pPr>
            <w:r>
              <w:rPr>
                <w:rFonts w:ascii="Arial" w:cs="Arial" w:eastAsia="Arial" w:hAnsi="Arial"/>
                <w:sz w:val="18"/>
                <w:szCs w:val="18"/>
                <w:color w:val="auto"/>
                <w:w w:val="93"/>
              </w:rPr>
              <w:t>United Kingdom</w:t>
            </w:r>
          </w:p>
        </w:tc>
        <w:tc>
          <w:tcPr>
            <w:tcW w:w="4260" w:type="dxa"/>
            <w:vAlign w:val="bottom"/>
          </w:tcPr>
          <w:p>
            <w:pPr>
              <w:jc w:val="center"/>
              <w:ind w:right="12"/>
              <w:spacing w:after="0"/>
              <w:rPr>
                <w:sz w:val="20"/>
                <w:szCs w:val="20"/>
                <w:color w:val="auto"/>
              </w:rPr>
            </w:pPr>
            <w:r>
              <w:rPr>
                <w:rFonts w:ascii="Arial" w:cs="Arial" w:eastAsia="Arial" w:hAnsi="Arial"/>
                <w:sz w:val="18"/>
                <w:szCs w:val="18"/>
                <w:color w:val="auto"/>
                <w:w w:val="90"/>
              </w:rPr>
              <w:t>Canary Wharf</w:t>
            </w:r>
          </w:p>
        </w:tc>
        <w:tc>
          <w:tcPr>
            <w:tcW w:w="2920" w:type="dxa"/>
            <w:vAlign w:val="bottom"/>
          </w:tcPr>
          <w:p>
            <w:pPr>
              <w:jc w:val="center"/>
              <w:ind w:left="392"/>
              <w:spacing w:after="0"/>
              <w:rPr>
                <w:sz w:val="20"/>
                <w:szCs w:val="20"/>
                <w:color w:val="auto"/>
              </w:rPr>
            </w:pPr>
            <w:r>
              <w:rPr>
                <w:rFonts w:ascii="Arial" w:cs="Arial" w:eastAsia="Arial" w:hAnsi="Arial"/>
                <w:sz w:val="18"/>
                <w:szCs w:val="18"/>
                <w:color w:val="auto"/>
                <w:w w:val="92"/>
              </w:rPr>
              <w:t>London EC4A 2BB</w:t>
            </w:r>
          </w:p>
        </w:tc>
      </w:tr>
      <w:tr>
        <w:trPr>
          <w:trHeight w:val="216"/>
        </w:trPr>
        <w:tc>
          <w:tcPr>
            <w:tcW w:w="3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London E14 5LB</w:t>
            </w:r>
          </w:p>
        </w:tc>
        <w:tc>
          <w:tcPr>
            <w:tcW w:w="2920" w:type="dxa"/>
            <w:vAlign w:val="bottom"/>
          </w:tcPr>
          <w:p>
            <w:pPr>
              <w:jc w:val="center"/>
              <w:ind w:left="372"/>
              <w:spacing w:after="0"/>
              <w:rPr>
                <w:sz w:val="20"/>
                <w:szCs w:val="20"/>
                <w:color w:val="auto"/>
              </w:rPr>
            </w:pPr>
            <w:r>
              <w:rPr>
                <w:rFonts w:ascii="Arial" w:cs="Arial" w:eastAsia="Arial" w:hAnsi="Arial"/>
                <w:sz w:val="18"/>
                <w:szCs w:val="18"/>
                <w:color w:val="auto"/>
                <w:w w:val="92"/>
              </w:rPr>
              <w:t>United Kingdom</w:t>
            </w:r>
          </w:p>
        </w:tc>
      </w:tr>
      <w:tr>
        <w:trPr>
          <w:trHeight w:val="222"/>
        </w:trPr>
        <w:tc>
          <w:tcPr>
            <w:tcW w:w="322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2920" w:type="dxa"/>
            <w:vAlign w:val="bottom"/>
          </w:tcPr>
          <w:p>
            <w:pPr>
              <w:spacing w:after="0"/>
              <w:rPr>
                <w:sz w:val="19"/>
                <w:szCs w:val="19"/>
                <w:color w:val="auto"/>
              </w:rPr>
            </w:pPr>
          </w:p>
        </w:tc>
      </w:tr>
      <w:tr>
        <w:trPr>
          <w:trHeight w:val="385"/>
        </w:trPr>
        <w:tc>
          <w:tcPr>
            <w:tcW w:w="3220" w:type="dxa"/>
            <w:vAlign w:val="bottom"/>
          </w:tcPr>
          <w:p>
            <w:pPr>
              <w:jc w:val="center"/>
              <w:ind w:right="292"/>
              <w:spacing w:after="0"/>
              <w:rPr>
                <w:sz w:val="20"/>
                <w:szCs w:val="20"/>
                <w:color w:val="auto"/>
              </w:rPr>
            </w:pPr>
            <w:r>
              <w:rPr>
                <w:rFonts w:ascii="Arial" w:cs="Arial" w:eastAsia="Arial" w:hAnsi="Arial"/>
                <w:sz w:val="18"/>
                <w:szCs w:val="18"/>
                <w:color w:val="auto"/>
                <w:w w:val="90"/>
              </w:rPr>
              <w:t>Attn: Fixed Income Syndicate</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Attn: The Liability Management Group Tel: +44</w:t>
            </w:r>
          </w:p>
        </w:tc>
        <w:tc>
          <w:tcPr>
            <w:tcW w:w="2920" w:type="dxa"/>
            <w:vAlign w:val="bottom"/>
          </w:tcPr>
          <w:p>
            <w:pPr>
              <w:jc w:val="center"/>
              <w:ind w:left="392"/>
              <w:spacing w:after="0"/>
              <w:rPr>
                <w:sz w:val="20"/>
                <w:szCs w:val="20"/>
                <w:color w:val="auto"/>
              </w:rPr>
            </w:pPr>
            <w:r>
              <w:rPr>
                <w:rFonts w:ascii="Arial" w:cs="Arial" w:eastAsia="Arial" w:hAnsi="Arial"/>
                <w:sz w:val="18"/>
                <w:szCs w:val="18"/>
                <w:color w:val="auto"/>
                <w:w w:val="92"/>
              </w:rPr>
              <w:t>Attn: Ronan McCullough</w:t>
            </w:r>
          </w:p>
        </w:tc>
      </w:tr>
      <w:tr>
        <w:trPr>
          <w:trHeight w:val="216"/>
        </w:trPr>
        <w:tc>
          <w:tcPr>
            <w:tcW w:w="3220" w:type="dxa"/>
            <w:vAlign w:val="bottom"/>
          </w:tcPr>
          <w:p>
            <w:pPr>
              <w:jc w:val="center"/>
              <w:ind w:right="292"/>
              <w:spacing w:after="0"/>
              <w:rPr>
                <w:sz w:val="20"/>
                <w:szCs w:val="20"/>
                <w:color w:val="auto"/>
              </w:rPr>
            </w:pPr>
            <w:r>
              <w:rPr>
                <w:rFonts w:ascii="Arial" w:cs="Arial" w:eastAsia="Arial" w:hAnsi="Arial"/>
                <w:sz w:val="18"/>
                <w:szCs w:val="18"/>
                <w:color w:val="auto"/>
                <w:w w:val="88"/>
              </w:rPr>
              <w:t>Tel: +44 (0) 20 7595 8222</w:t>
            </w:r>
          </w:p>
        </w:tc>
        <w:tc>
          <w:tcPr>
            <w:tcW w:w="4260" w:type="dxa"/>
            <w:vAlign w:val="bottom"/>
          </w:tcPr>
          <w:p>
            <w:pPr>
              <w:jc w:val="center"/>
              <w:spacing w:after="0"/>
              <w:rPr>
                <w:sz w:val="20"/>
                <w:szCs w:val="20"/>
                <w:color w:val="auto"/>
              </w:rPr>
            </w:pPr>
            <w:r>
              <w:rPr>
                <w:rFonts w:ascii="Arial" w:cs="Arial" w:eastAsia="Arial" w:hAnsi="Arial"/>
                <w:sz w:val="18"/>
                <w:szCs w:val="18"/>
                <w:color w:val="auto"/>
                <w:w w:val="88"/>
              </w:rPr>
              <w:t>(0) 20 7986 8969</w:t>
            </w:r>
          </w:p>
        </w:tc>
        <w:tc>
          <w:tcPr>
            <w:tcW w:w="2920" w:type="dxa"/>
            <w:vAlign w:val="bottom"/>
          </w:tcPr>
          <w:p>
            <w:pPr>
              <w:jc w:val="center"/>
              <w:ind w:left="392"/>
              <w:spacing w:after="0"/>
              <w:rPr>
                <w:sz w:val="20"/>
                <w:szCs w:val="20"/>
                <w:color w:val="auto"/>
              </w:rPr>
            </w:pPr>
            <w:r>
              <w:rPr>
                <w:rFonts w:ascii="Arial" w:cs="Arial" w:eastAsia="Arial" w:hAnsi="Arial"/>
                <w:sz w:val="18"/>
                <w:szCs w:val="18"/>
                <w:color w:val="auto"/>
                <w:w w:val="88"/>
              </w:rPr>
              <w:t>Tel: +44 (0) 20 7774 5172</w:t>
            </w:r>
          </w:p>
        </w:tc>
      </w:tr>
      <w:tr>
        <w:trPr>
          <w:trHeight w:val="216"/>
        </w:trPr>
        <w:tc>
          <w:tcPr>
            <w:tcW w:w="3220" w:type="dxa"/>
            <w:vAlign w:val="bottom"/>
          </w:tcPr>
          <w:p>
            <w:pPr>
              <w:jc w:val="center"/>
              <w:ind w:right="292"/>
              <w:spacing w:after="0"/>
              <w:rPr>
                <w:sz w:val="20"/>
                <w:szCs w:val="20"/>
                <w:color w:val="auto"/>
              </w:rPr>
            </w:pPr>
            <w:r>
              <w:rPr>
                <w:rFonts w:ascii="Arial" w:cs="Arial" w:eastAsia="Arial" w:hAnsi="Arial"/>
                <w:sz w:val="18"/>
                <w:szCs w:val="18"/>
                <w:color w:val="auto"/>
                <w:w w:val="88"/>
              </w:rPr>
              <w:t>Fax: +44 (0) 20 7595 2555</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Fax: +44 (0) 20 7986 1912</w:t>
            </w:r>
          </w:p>
        </w:tc>
        <w:tc>
          <w:tcPr>
            <w:tcW w:w="2920" w:type="dxa"/>
            <w:vAlign w:val="bottom"/>
          </w:tcPr>
          <w:p>
            <w:pPr>
              <w:jc w:val="center"/>
              <w:ind w:left="392"/>
              <w:spacing w:after="0"/>
              <w:rPr>
                <w:sz w:val="20"/>
                <w:szCs w:val="20"/>
                <w:color w:val="auto"/>
              </w:rPr>
            </w:pPr>
            <w:r>
              <w:rPr>
                <w:rFonts w:ascii="Arial" w:cs="Arial" w:eastAsia="Arial" w:hAnsi="Arial"/>
                <w:sz w:val="18"/>
                <w:szCs w:val="18"/>
                <w:color w:val="auto"/>
                <w:w w:val="88"/>
              </w:rPr>
              <w:t>Fax: +44 (0) 20 7774 2330</w:t>
            </w:r>
          </w:p>
        </w:tc>
      </w:tr>
      <w:tr>
        <w:trPr>
          <w:trHeight w:val="222"/>
        </w:trPr>
        <w:tc>
          <w:tcPr>
            <w:tcW w:w="3220" w:type="dxa"/>
            <w:vAlign w:val="bottom"/>
          </w:tcPr>
          <w:p>
            <w:pPr>
              <w:jc w:val="center"/>
              <w:ind w:right="312"/>
              <w:spacing w:after="0"/>
              <w:rPr>
                <w:sz w:val="20"/>
                <w:szCs w:val="20"/>
                <w:color w:val="auto"/>
              </w:rPr>
            </w:pPr>
            <w:r>
              <w:rPr>
                <w:rFonts w:ascii="Arial" w:cs="Arial" w:eastAsia="Arial" w:hAnsi="Arial"/>
                <w:sz w:val="18"/>
                <w:szCs w:val="18"/>
                <w:color w:val="auto"/>
                <w:w w:val="88"/>
              </w:rPr>
              <w:t>Email: mary.chapman@bnpparibas.com</w:t>
            </w:r>
          </w:p>
        </w:tc>
        <w:tc>
          <w:tcPr>
            <w:tcW w:w="4260" w:type="dxa"/>
            <w:vAlign w:val="bottom"/>
          </w:tcPr>
          <w:p>
            <w:pPr>
              <w:jc w:val="center"/>
              <w:ind w:right="12"/>
              <w:spacing w:after="0"/>
              <w:rPr>
                <w:sz w:val="20"/>
                <w:szCs w:val="20"/>
                <w:color w:val="auto"/>
              </w:rPr>
            </w:pPr>
            <w:r>
              <w:rPr>
                <w:rFonts w:ascii="Arial" w:cs="Arial" w:eastAsia="Arial" w:hAnsi="Arial"/>
                <w:sz w:val="18"/>
                <w:szCs w:val="18"/>
                <w:color w:val="auto"/>
                <w:w w:val="89"/>
              </w:rPr>
              <w:t>Email: graham.bahan@citigroup.com</w:t>
            </w:r>
          </w:p>
        </w:tc>
        <w:tc>
          <w:tcPr>
            <w:tcW w:w="2920" w:type="dxa"/>
            <w:vAlign w:val="bottom"/>
          </w:tcPr>
          <w:p>
            <w:pPr>
              <w:jc w:val="center"/>
              <w:ind w:left="392"/>
              <w:spacing w:after="0"/>
              <w:rPr>
                <w:sz w:val="20"/>
                <w:szCs w:val="20"/>
                <w:color w:val="auto"/>
              </w:rPr>
            </w:pPr>
            <w:r>
              <w:rPr>
                <w:rFonts w:ascii="Arial" w:cs="Arial" w:eastAsia="Arial" w:hAnsi="Arial"/>
                <w:sz w:val="18"/>
                <w:szCs w:val="18"/>
                <w:color w:val="auto"/>
                <w:w w:val="89"/>
              </w:rPr>
              <w:t>Email: ronan.mccullough@gs.com</w:t>
            </w:r>
          </w:p>
        </w:tc>
      </w:tr>
    </w:tbl>
    <w:p>
      <w:pPr>
        <w:spacing w:after="0" w:line="1" w:lineRule="exact"/>
        <w:rPr>
          <w:sz w:val="20"/>
          <w:szCs w:val="20"/>
          <w:color w:val="auto"/>
        </w:rPr>
      </w:pPr>
    </w:p>
    <w:sectPr>
      <w:pgSz w:w="11900" w:h="16838" w:orient="portrait"/>
      <w:cols w:equalWidth="0" w:num="1">
        <w:col w:w="10820"/>
      </w:cols>
      <w:pgMar w:left="240" w:top="28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2019-12-13T06:30:18Z</dcterms:created>
  <dcterms:modified xsi:type="dcterms:W3CDTF">2019-12-13T06:30:18Z</dcterms:modified>
</cp:coreProperties>
</file>