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060" w:right="2380" w:hanging="4052"/>
        <w:spacing w:after="0" w:line="291" w:lineRule="auto"/>
        <w:tabs>
          <w:tab w:leader="none" w:pos="4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4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1-4601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7"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8"/>
              </w:rPr>
              <w:t>Curaçao</w:t>
            </w:r>
          </w:p>
        </w:tc>
        <w:tc>
          <w:tcPr>
            <w:tcW w:w="4980" w:type="dxa"/>
            <w:vAlign w:val="bottom"/>
          </w:tcPr>
          <w:p>
            <w:pPr>
              <w:spacing w:after="0"/>
              <w:rPr>
                <w:sz w:val="18"/>
                <w:szCs w:val="18"/>
                <w:color w:val="auto"/>
              </w:rPr>
            </w:pPr>
          </w:p>
        </w:tc>
      </w:tr>
      <w:tr>
        <w:trPr>
          <w:trHeight w:val="216"/>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9"/>
              </w:rPr>
              <w:t>(State or other jurisdiction of</w:t>
            </w:r>
          </w:p>
        </w:tc>
        <w:tc>
          <w:tcPr>
            <w:tcW w:w="4980" w:type="dxa"/>
            <w:vAlign w:val="bottom"/>
          </w:tcPr>
          <w:p>
            <w:pPr>
              <w:jc w:val="center"/>
              <w:ind w:left="2334"/>
              <w:spacing w:after="0"/>
              <w:rPr>
                <w:sz w:val="20"/>
                <w:szCs w:val="20"/>
                <w:color w:val="auto"/>
              </w:rPr>
            </w:pPr>
            <w:r>
              <w:rPr>
                <w:rFonts w:ascii="Arial" w:cs="Arial" w:eastAsia="Arial" w:hAnsi="Arial"/>
                <w:sz w:val="18"/>
                <w:szCs w:val="18"/>
                <w:b w:val="1"/>
                <w:bCs w:val="1"/>
                <w:color w:val="auto"/>
                <w:w w:val="87"/>
              </w:rPr>
              <w:t>52-0684746</w:t>
            </w:r>
          </w:p>
        </w:tc>
      </w:tr>
      <w:tr>
        <w:trPr>
          <w:trHeight w:val="230"/>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8"/>
              </w:rPr>
              <w:t>incorporation or organization)</w:t>
            </w:r>
          </w:p>
        </w:tc>
        <w:tc>
          <w:tcPr>
            <w:tcW w:w="4980" w:type="dxa"/>
            <w:vAlign w:val="bottom"/>
          </w:tcPr>
          <w:p>
            <w:pPr>
              <w:jc w:val="center"/>
              <w:ind w:left="2334"/>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16"/>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9"/>
              </w:rPr>
              <w:t>42, rue Saint-Dominique</w:t>
            </w:r>
          </w:p>
        </w:tc>
        <w:tc>
          <w:tcPr>
            <w:tcW w:w="4980" w:type="dxa"/>
            <w:vAlign w:val="bottom"/>
          </w:tcPr>
          <w:p>
            <w:pPr>
              <w:spacing w:after="0"/>
              <w:rPr>
                <w:sz w:val="18"/>
                <w:szCs w:val="18"/>
                <w:color w:val="auto"/>
              </w:rPr>
            </w:pPr>
          </w:p>
        </w:tc>
      </w:tr>
      <w:tr>
        <w:trPr>
          <w:trHeight w:val="216"/>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8"/>
              </w:rPr>
              <w:t>Paris, France</w:t>
            </w:r>
          </w:p>
        </w:tc>
        <w:tc>
          <w:tcPr>
            <w:tcW w:w="4980" w:type="dxa"/>
            <w:vAlign w:val="bottom"/>
          </w:tcPr>
          <w:p>
            <w:pPr>
              <w:jc w:val="center"/>
              <w:ind w:left="2334"/>
              <w:spacing w:after="0"/>
              <w:rPr>
                <w:sz w:val="20"/>
                <w:szCs w:val="20"/>
                <w:color w:val="auto"/>
              </w:rPr>
            </w:pPr>
            <w:r>
              <w:rPr>
                <w:rFonts w:ascii="Arial" w:cs="Arial" w:eastAsia="Arial" w:hAnsi="Arial"/>
                <w:sz w:val="18"/>
                <w:szCs w:val="18"/>
                <w:b w:val="1"/>
                <w:bCs w:val="1"/>
                <w:color w:val="auto"/>
                <w:w w:val="87"/>
              </w:rPr>
              <w:t>75007</w:t>
            </w:r>
          </w:p>
        </w:tc>
      </w:tr>
      <w:tr>
        <w:trPr>
          <w:trHeight w:val="216"/>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8"/>
              </w:rPr>
              <w:t>5599 San Felipe, 17</w:t>
            </w:r>
            <w:r>
              <w:rPr>
                <w:rFonts w:ascii="Arial" w:cs="Arial" w:eastAsia="Arial" w:hAnsi="Arial"/>
                <w:sz w:val="11"/>
                <w:szCs w:val="11"/>
                <w:b w:val="1"/>
                <w:bCs w:val="1"/>
                <w:color w:val="auto"/>
                <w:w w:val="88"/>
              </w:rPr>
              <w:t>th</w:t>
            </w:r>
            <w:r>
              <w:rPr>
                <w:rFonts w:ascii="Arial" w:cs="Arial" w:eastAsia="Arial" w:hAnsi="Arial"/>
                <w:sz w:val="18"/>
                <w:szCs w:val="18"/>
                <w:b w:val="1"/>
                <w:bCs w:val="1"/>
                <w:color w:val="auto"/>
                <w:w w:val="88"/>
              </w:rPr>
              <w:t xml:space="preserve"> Floor</w:t>
            </w:r>
          </w:p>
        </w:tc>
        <w:tc>
          <w:tcPr>
            <w:tcW w:w="4980" w:type="dxa"/>
            <w:vAlign w:val="bottom"/>
          </w:tcPr>
          <w:p>
            <w:pPr>
              <w:spacing w:after="0"/>
              <w:rPr>
                <w:sz w:val="18"/>
                <w:szCs w:val="18"/>
                <w:color w:val="auto"/>
              </w:rPr>
            </w:pPr>
          </w:p>
        </w:tc>
      </w:tr>
      <w:tr>
        <w:trPr>
          <w:trHeight w:val="216"/>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7"/>
              </w:rPr>
              <w:t>Houston, Texas, United States of America</w:t>
            </w:r>
          </w:p>
        </w:tc>
        <w:tc>
          <w:tcPr>
            <w:tcW w:w="4980" w:type="dxa"/>
            <w:vAlign w:val="bottom"/>
          </w:tcPr>
          <w:p>
            <w:pPr>
              <w:jc w:val="center"/>
              <w:ind w:left="2334"/>
              <w:spacing w:after="0"/>
              <w:rPr>
                <w:sz w:val="20"/>
                <w:szCs w:val="20"/>
                <w:color w:val="auto"/>
              </w:rPr>
            </w:pPr>
            <w:r>
              <w:rPr>
                <w:rFonts w:ascii="Arial" w:cs="Arial" w:eastAsia="Arial" w:hAnsi="Arial"/>
                <w:sz w:val="18"/>
                <w:szCs w:val="18"/>
                <w:b w:val="1"/>
                <w:bCs w:val="1"/>
                <w:color w:val="auto"/>
                <w:w w:val="87"/>
              </w:rPr>
              <w:t>77056</w:t>
            </w:r>
          </w:p>
        </w:tc>
      </w:tr>
      <w:tr>
        <w:trPr>
          <w:trHeight w:val="216"/>
        </w:trPr>
        <w:tc>
          <w:tcPr>
            <w:tcW w:w="3680" w:type="dxa"/>
            <w:vAlign w:val="bottom"/>
          </w:tcPr>
          <w:p>
            <w:pPr>
              <w:jc w:val="center"/>
              <w:ind w:right="454"/>
              <w:spacing w:after="0"/>
              <w:rPr>
                <w:sz w:val="20"/>
                <w:szCs w:val="20"/>
                <w:color w:val="auto"/>
              </w:rPr>
            </w:pPr>
            <w:r>
              <w:rPr>
                <w:rFonts w:ascii="Arial" w:cs="Arial" w:eastAsia="Arial" w:hAnsi="Arial"/>
                <w:sz w:val="18"/>
                <w:szCs w:val="18"/>
                <w:b w:val="1"/>
                <w:bCs w:val="1"/>
                <w:color w:val="auto"/>
                <w:w w:val="89"/>
              </w:rPr>
              <w:t>Parkstraat 83, The Hague,</w:t>
            </w:r>
          </w:p>
        </w:tc>
        <w:tc>
          <w:tcPr>
            <w:tcW w:w="4980" w:type="dxa"/>
            <w:vAlign w:val="bottom"/>
          </w:tcPr>
          <w:p>
            <w:pPr>
              <w:spacing w:after="0"/>
              <w:rPr>
                <w:sz w:val="18"/>
                <w:szCs w:val="18"/>
                <w:color w:val="auto"/>
              </w:rPr>
            </w:pPr>
          </w:p>
        </w:tc>
      </w:tr>
      <w:tr>
        <w:trPr>
          <w:trHeight w:val="216"/>
        </w:trPr>
        <w:tc>
          <w:tcPr>
            <w:tcW w:w="3680" w:type="dxa"/>
            <w:vAlign w:val="bottom"/>
          </w:tcPr>
          <w:p>
            <w:pPr>
              <w:jc w:val="center"/>
              <w:ind w:right="454"/>
              <w:spacing w:after="0"/>
              <w:rPr>
                <w:sz w:val="20"/>
                <w:szCs w:val="20"/>
                <w:color w:val="auto"/>
              </w:rPr>
            </w:pPr>
            <w:r>
              <w:rPr>
                <w:rFonts w:ascii="Arial" w:cs="Arial" w:eastAsia="Arial" w:hAnsi="Arial"/>
                <w:sz w:val="18"/>
                <w:szCs w:val="18"/>
                <w:b w:val="1"/>
                <w:bCs w:val="1"/>
                <w:color w:val="auto"/>
                <w:w w:val="89"/>
              </w:rPr>
              <w:t>The Netherlands</w:t>
            </w:r>
          </w:p>
        </w:tc>
        <w:tc>
          <w:tcPr>
            <w:tcW w:w="4980" w:type="dxa"/>
            <w:vAlign w:val="bottom"/>
          </w:tcPr>
          <w:p>
            <w:pPr>
              <w:jc w:val="center"/>
              <w:ind w:left="2314"/>
              <w:spacing w:after="0"/>
              <w:rPr>
                <w:sz w:val="20"/>
                <w:szCs w:val="20"/>
                <w:color w:val="auto"/>
              </w:rPr>
            </w:pPr>
            <w:r>
              <w:rPr>
                <w:rFonts w:ascii="Arial" w:cs="Arial" w:eastAsia="Arial" w:hAnsi="Arial"/>
                <w:sz w:val="18"/>
                <w:szCs w:val="18"/>
                <w:b w:val="1"/>
                <w:bCs w:val="1"/>
                <w:color w:val="auto"/>
                <w:w w:val="89"/>
              </w:rPr>
              <w:t>2514 JG</w:t>
            </w:r>
          </w:p>
        </w:tc>
      </w:tr>
      <w:tr>
        <w:trPr>
          <w:trHeight w:val="222"/>
        </w:trPr>
        <w:tc>
          <w:tcPr>
            <w:tcW w:w="3680" w:type="dxa"/>
            <w:vAlign w:val="bottom"/>
          </w:tcPr>
          <w:p>
            <w:pPr>
              <w:jc w:val="center"/>
              <w:ind w:right="474"/>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980" w:type="dxa"/>
            <w:vAlign w:val="bottom"/>
          </w:tcPr>
          <w:p>
            <w:pPr>
              <w:jc w:val="center"/>
              <w:ind w:left="2334"/>
              <w:spacing w:after="0"/>
              <w:rPr>
                <w:sz w:val="20"/>
                <w:szCs w:val="20"/>
                <w:color w:val="auto"/>
              </w:rPr>
            </w:pPr>
            <w:r>
              <w:rPr>
                <w:rFonts w:ascii="Arial" w:cs="Arial" w:eastAsia="Arial" w:hAnsi="Arial"/>
                <w:sz w:val="18"/>
                <w:szCs w:val="18"/>
                <w:b w:val="1"/>
                <w:bCs w:val="1"/>
                <w:color w:val="auto"/>
                <w:w w:val="88"/>
              </w:rPr>
              <w:t>(Zip Codes)</w:t>
            </w:r>
          </w:p>
        </w:tc>
      </w:tr>
      <w:tr>
        <w:trPr>
          <w:trHeight w:val="210"/>
        </w:trPr>
        <w:tc>
          <w:tcPr>
            <w:tcW w:w="8660" w:type="dxa"/>
            <w:vAlign w:val="bottom"/>
            <w:gridSpan w:val="2"/>
          </w:tcPr>
          <w:p>
            <w:pPr>
              <w:jc w:val="center"/>
              <w:ind w:left="94"/>
              <w:spacing w:after="0"/>
              <w:rPr>
                <w:sz w:val="20"/>
                <w:szCs w:val="20"/>
                <w:color w:val="auto"/>
              </w:rPr>
            </w:pPr>
            <w:r>
              <w:rPr>
                <w:rFonts w:ascii="Arial" w:cs="Arial" w:eastAsia="Arial" w:hAnsi="Arial"/>
                <w:sz w:val="18"/>
                <w:szCs w:val="18"/>
                <w:color w:val="auto"/>
                <w:w w:val="87"/>
              </w:rPr>
              <w:t>Registrant’s telephone number in the United States, including area code, is:</w:t>
            </w:r>
          </w:p>
        </w:tc>
      </w:tr>
      <w:tr>
        <w:trPr>
          <w:trHeight w:val="222"/>
        </w:trPr>
        <w:tc>
          <w:tcPr>
            <w:tcW w:w="3680" w:type="dxa"/>
            <w:vAlign w:val="bottom"/>
          </w:tcPr>
          <w:p>
            <w:pPr>
              <w:spacing w:after="0"/>
              <w:rPr>
                <w:sz w:val="19"/>
                <w:szCs w:val="19"/>
                <w:color w:val="auto"/>
              </w:rPr>
            </w:pPr>
          </w:p>
        </w:tc>
        <w:tc>
          <w:tcPr>
            <w:tcW w:w="4980" w:type="dxa"/>
            <w:vAlign w:val="bottom"/>
          </w:tcPr>
          <w:p>
            <w:pPr>
              <w:jc w:val="center"/>
              <w:ind w:right="3434"/>
              <w:spacing w:after="0"/>
              <w:rPr>
                <w:sz w:val="20"/>
                <w:szCs w:val="20"/>
                <w:color w:val="auto"/>
              </w:rPr>
            </w:pPr>
            <w:r>
              <w:rPr>
                <w:rFonts w:ascii="Arial" w:cs="Arial" w:eastAsia="Arial" w:hAnsi="Arial"/>
                <w:sz w:val="18"/>
                <w:szCs w:val="18"/>
                <w:b w:val="1"/>
                <w:bCs w:val="1"/>
                <w:color w:val="auto"/>
                <w:w w:val="89"/>
              </w:rPr>
              <w:t>(713) 375-3400</w:t>
            </w:r>
          </w:p>
        </w:tc>
      </w:tr>
      <w:tr>
        <w:trPr>
          <w:trHeight w:val="222"/>
        </w:trPr>
        <w:tc>
          <w:tcPr>
            <w:tcW w:w="8660" w:type="dxa"/>
            <w:vAlign w:val="bottom"/>
            <w:gridSpan w:val="2"/>
          </w:tcPr>
          <w:p>
            <w:pPr>
              <w:jc w:val="center"/>
              <w:ind w:left="94"/>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223"/>
        </w:trPr>
        <w:tc>
          <w:tcPr>
            <w:tcW w:w="3680" w:type="dxa"/>
            <w:vAlign w:val="bottom"/>
          </w:tcPr>
          <w:p>
            <w:pPr>
              <w:jc w:val="center"/>
              <w:ind w:right="454"/>
              <w:spacing w:after="0"/>
              <w:rPr>
                <w:sz w:val="20"/>
                <w:szCs w:val="20"/>
                <w:color w:val="auto"/>
              </w:rPr>
            </w:pPr>
            <w:r>
              <w:rPr>
                <w:rFonts w:ascii="Arial" w:cs="Arial" w:eastAsia="Arial" w:hAnsi="Arial"/>
                <w:sz w:val="14"/>
                <w:szCs w:val="14"/>
                <w:b w:val="1"/>
                <w:bCs w:val="1"/>
                <w:color w:val="auto"/>
                <w:w w:val="84"/>
              </w:rPr>
              <w:t>Title of each class</w:t>
            </w:r>
          </w:p>
        </w:tc>
        <w:tc>
          <w:tcPr>
            <w:tcW w:w="4980" w:type="dxa"/>
            <w:vAlign w:val="bottom"/>
          </w:tcPr>
          <w:p>
            <w:pPr>
              <w:jc w:val="center"/>
              <w:ind w:left="2334"/>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22"/>
        </w:trPr>
        <w:tc>
          <w:tcPr>
            <w:tcW w:w="3680" w:type="dxa"/>
            <w:vAlign w:val="bottom"/>
          </w:tcPr>
          <w:p>
            <w:pPr>
              <w:ind w:left="520"/>
              <w:spacing w:after="0"/>
              <w:rPr>
                <w:sz w:val="20"/>
                <w:szCs w:val="20"/>
                <w:color w:val="auto"/>
              </w:rPr>
            </w:pPr>
            <w:r>
              <w:rPr>
                <w:rFonts w:ascii="Arial" w:cs="Arial" w:eastAsia="Arial" w:hAnsi="Arial"/>
                <w:sz w:val="18"/>
                <w:szCs w:val="18"/>
                <w:color w:val="auto"/>
                <w:w w:val="92"/>
              </w:rPr>
              <w:t>Common Stock, par value $0.01 per share</w:t>
            </w:r>
          </w:p>
        </w:tc>
        <w:tc>
          <w:tcPr>
            <w:tcW w:w="4980" w:type="dxa"/>
            <w:vAlign w:val="bottom"/>
          </w:tcPr>
          <w:p>
            <w:pPr>
              <w:ind w:left="1820"/>
              <w:spacing w:after="0"/>
              <w:rPr>
                <w:sz w:val="20"/>
                <w:szCs w:val="20"/>
                <w:color w:val="auto"/>
              </w:rPr>
            </w:pPr>
            <w:r>
              <w:rPr>
                <w:rFonts w:ascii="Arial" w:cs="Arial" w:eastAsia="Arial" w:hAnsi="Arial"/>
                <w:sz w:val="18"/>
                <w:szCs w:val="18"/>
                <w:color w:val="auto"/>
              </w:rPr>
              <w:t>New York Stock Exchange</w:t>
            </w:r>
          </w:p>
        </w:tc>
      </w:tr>
    </w:tbl>
    <w:p>
      <w:pPr>
        <w:ind w:left="6800"/>
        <w:spacing w:after="0"/>
        <w:rPr>
          <w:sz w:val="20"/>
          <w:szCs w:val="20"/>
          <w:color w:val="auto"/>
        </w:rPr>
      </w:pPr>
      <w:r>
        <w:rPr>
          <w:rFonts w:ascii="Arial" w:cs="Arial" w:eastAsia="Arial" w:hAnsi="Arial"/>
          <w:sz w:val="18"/>
          <w:szCs w:val="18"/>
          <w:color w:val="auto"/>
        </w:rPr>
        <w:t>Euronext Paris</w:t>
      </w:r>
    </w:p>
    <w:p>
      <w:pPr>
        <w:spacing w:after="0" w:line="9" w:lineRule="exact"/>
        <w:rPr>
          <w:sz w:val="24"/>
          <w:szCs w:val="24"/>
          <w:color w:val="auto"/>
        </w:rPr>
      </w:pPr>
    </w:p>
    <w:p>
      <w:pPr>
        <w:ind w:left="6800"/>
        <w:spacing w:after="0"/>
        <w:rPr>
          <w:sz w:val="20"/>
          <w:szCs w:val="20"/>
          <w:color w:val="auto"/>
        </w:rPr>
      </w:pPr>
      <w:r>
        <w:rPr>
          <w:rFonts w:ascii="Arial" w:cs="Arial" w:eastAsia="Arial" w:hAnsi="Arial"/>
          <w:sz w:val="18"/>
          <w:szCs w:val="18"/>
          <w:color w:val="auto"/>
        </w:rPr>
        <w:t>The London Stock Exchange</w:t>
      </w:r>
    </w:p>
    <w:p>
      <w:pPr>
        <w:spacing w:after="0" w:line="9" w:lineRule="exact"/>
        <w:rPr>
          <w:sz w:val="24"/>
          <w:szCs w:val="24"/>
          <w:color w:val="auto"/>
        </w:rPr>
      </w:pPr>
    </w:p>
    <w:p>
      <w:pPr>
        <w:ind w:left="6800"/>
        <w:spacing w:after="0"/>
        <w:rPr>
          <w:sz w:val="20"/>
          <w:szCs w:val="20"/>
          <w:color w:val="auto"/>
        </w:rPr>
      </w:pPr>
      <w:r>
        <w:rPr>
          <w:rFonts w:ascii="Arial" w:cs="Arial" w:eastAsia="Arial" w:hAnsi="Arial"/>
          <w:sz w:val="18"/>
          <w:szCs w:val="18"/>
          <w:color w:val="auto"/>
        </w:rPr>
        <w:t>SIX Swiss Exchange</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ind w:right="1860"/>
        <w:spacing w:after="0" w:line="2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18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20"/>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400"/>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As of June 30, 2012, the aggregate market value of the common stock of the registrant held by non-affiliates of the registrant was approximately $86.1 billion.</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31, 2012, the number of shares of common stock outstanding was 1,328,255,773.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 w:lineRule="exact"/>
        <w:rPr>
          <w:sz w:val="24"/>
          <w:szCs w:val="24"/>
          <w:color w:val="auto"/>
        </w:rPr>
      </w:pPr>
    </w:p>
    <w:p>
      <w:pPr>
        <w:ind w:right="180"/>
        <w:spacing w:after="0" w:line="302" w:lineRule="auto"/>
        <w:rPr>
          <w:sz w:val="20"/>
          <w:szCs w:val="20"/>
          <w:color w:val="auto"/>
        </w:rPr>
      </w:pPr>
      <w:r>
        <w:rPr>
          <w:rFonts w:ascii="Arial" w:cs="Arial" w:eastAsia="Arial" w:hAnsi="Arial"/>
          <w:sz w:val="16"/>
          <w:szCs w:val="16"/>
          <w:color w:val="auto"/>
        </w:rPr>
        <w:t>Certain information required to be furnished pursuant to Part III of this Form 10-K is set forth in, and is hereby incorporated by reference herein from, Schlumberger’s definitive proxy statement for its 2013 Annual General Meeting of Stockholders, to be filed by Schlumberger with the Securities and Exchange Commission pursuant to Regulation 14A within 120 days after December 31, 2012 (the “2013 Proxy Statement”).</w:t>
      </w:r>
    </w:p>
    <w:p>
      <w:pPr>
        <w:sectPr>
          <w:pgSz w:w="11900" w:h="16838" w:orient="portrait"/>
          <w:cols w:equalWidth="0" w:num="1">
            <w:col w:w="11400"/>
          </w:cols>
          <w:pgMar w:left="240" w:top="280"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40" w:type="dxa"/>
            <w:vAlign w:val="bottom"/>
            <w:gridSpan w:val="10"/>
          </w:tcPr>
          <w:p>
            <w:pPr>
              <w:jc w:val="center"/>
              <w:ind w:right="4020"/>
              <w:spacing w:after="0"/>
              <w:rPr>
                <w:sz w:val="20"/>
                <w:szCs w:val="20"/>
                <w:color w:val="auto"/>
              </w:rPr>
            </w:pPr>
            <w:r>
              <w:rPr>
                <w:rFonts w:ascii="Arial" w:cs="Arial" w:eastAsia="Arial" w:hAnsi="Arial"/>
                <w:sz w:val="18"/>
                <w:szCs w:val="18"/>
                <w:color w:val="auto"/>
                <w:w w:val="95"/>
              </w:rPr>
              <w:t>SCHLUMBERGER LIMITED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0" w:type="dxa"/>
            <w:vAlign w:val="bottom"/>
            <w:gridSpan w:val="8"/>
          </w:tcPr>
          <w:p>
            <w:pPr>
              <w:jc w:val="center"/>
              <w:ind w:right="444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0" w:type="dxa"/>
            <w:vAlign w:val="bottom"/>
            <w:gridSpan w:val="8"/>
          </w:tcPr>
          <w:p>
            <w:pPr>
              <w:jc w:val="center"/>
              <w:ind w:right="4440"/>
              <w:spacing w:after="0"/>
              <w:rPr>
                <w:sz w:val="20"/>
                <w:szCs w:val="20"/>
                <w:color w:val="auto"/>
              </w:rPr>
            </w:pPr>
            <w:r>
              <w:rPr>
                <w:rFonts w:ascii="Arial" w:cs="Arial" w:eastAsia="Arial" w:hAnsi="Arial"/>
                <w:sz w:val="24"/>
                <w:szCs w:val="24"/>
                <w:b w:val="1"/>
                <w:bCs w:val="1"/>
                <w:color w:val="auto"/>
                <w:w w:val="97"/>
              </w:rPr>
              <w:t>Form 10-K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020" w:type="dxa"/>
            <w:vAlign w:val="bottom"/>
            <w:gridSpan w:val="4"/>
            <w:vMerge w:val="restart"/>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4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4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Unresolved Staff Comments</w:t>
              </w:r>
            </w:hyperlink>
          </w:p>
        </w:tc>
        <w:tc>
          <w:tcPr>
            <w:tcW w:w="74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Properties</w:t>
              </w:r>
            </w:hyperlink>
          </w:p>
        </w:tc>
        <w:tc>
          <w:tcPr>
            <w:tcW w:w="87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4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00" w:type="dxa"/>
            <w:vAlign w:val="bottom"/>
            <w:gridSpan w:val="5"/>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960" w:type="dxa"/>
            <w:vAlign w:val="bottom"/>
            <w:gridSpan w:val="3"/>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Market for Schlumberger’s Common Stock,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Selected Financial Data</w:t>
              </w:r>
            </w:hyperlink>
          </w:p>
        </w:tc>
        <w:tc>
          <w:tcPr>
            <w:tcW w:w="1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44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1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44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Financial Statements and Supplementary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44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31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77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8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52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Directors, Executive Officers and Corporate Governance of Schlumberger</w:t>
              </w:r>
            </w:hyperlink>
          </w:p>
        </w:tc>
        <w:tc>
          <w:tcPr>
            <w:tcW w:w="42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44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Security Ownership of Certain Beneficial Owners and Management and Related Stockholder Matters</w:t>
              </w:r>
            </w:hyperlink>
          </w:p>
        </w:tc>
        <w:tc>
          <w:tcPr>
            <w:tcW w:w="23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Certain Relationships and Related Transactions, and Director Independence</w:t>
              </w:r>
            </w:hyperlink>
          </w:p>
        </w:tc>
        <w:tc>
          <w:tcPr>
            <w:tcW w:w="41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44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0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900" w:type="dxa"/>
            <w:vAlign w:val="bottom"/>
            <w:gridSpan w:val="2"/>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Exhibits and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63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70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Certifications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gridSpan w:val="13"/>
          </w:tcPr>
          <w:p>
            <w:pPr>
              <w:jc w:val="center"/>
              <w:ind w:left="3873"/>
              <w:spacing w:after="0"/>
              <w:rPr>
                <w:sz w:val="20"/>
                <w:szCs w:val="20"/>
                <w:color w:val="auto"/>
              </w:rPr>
            </w:pPr>
            <w:r>
              <w:rPr>
                <w:rFonts w:ascii="Arial" w:cs="Arial" w:eastAsia="Arial" w:hAnsi="Arial"/>
                <w:sz w:val="14"/>
                <w:szCs w:val="14"/>
                <w:color w:val="auto"/>
                <w:w w:val="76"/>
              </w:rPr>
              <w:t>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2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96"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All references in this report to “Registrant,” “Company,” “Schlumberger,” “we” or “our” are to Schlumberger Limited (Schlumberger N.V., incorporated in Curaçao) and its consolidated subsidiaries.</w:t>
      </w:r>
    </w:p>
    <w:p>
      <w:pPr>
        <w:ind w:right="40" w:firstLine="228"/>
        <w:spacing w:after="0" w:line="250" w:lineRule="auto"/>
        <w:rPr>
          <w:sz w:val="20"/>
          <w:szCs w:val="20"/>
          <w:color w:val="auto"/>
        </w:rPr>
      </w:pPr>
      <w:r>
        <w:rPr>
          <w:rFonts w:ascii="Arial" w:cs="Arial" w:eastAsia="Arial" w:hAnsi="Arial"/>
          <w:sz w:val="18"/>
          <w:szCs w:val="18"/>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2012, the Company employed approximately 118,000 people of over 140 nationalities operating in approximately 85 countries. Schlumberger has principal executive offices in Paris, Houston and The Hague.</w:t>
      </w:r>
    </w:p>
    <w:p>
      <w:pPr>
        <w:spacing w:after="0" w:line="2"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Schlumberger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Schlumberger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2" w:lineRule="exact"/>
        <w:rPr>
          <w:sz w:val="20"/>
          <w:szCs w:val="20"/>
          <w:color w:val="auto"/>
        </w:rPr>
      </w:pPr>
    </w:p>
    <w:p>
      <w:pPr>
        <w:ind w:right="60" w:firstLine="228"/>
        <w:spacing w:after="0" w:line="292" w:lineRule="auto"/>
        <w:rPr>
          <w:sz w:val="20"/>
          <w:szCs w:val="20"/>
          <w:color w:val="auto"/>
        </w:rPr>
      </w:pPr>
      <w:r>
        <w:rPr>
          <w:rFonts w:ascii="Arial" w:cs="Arial" w:eastAsia="Arial" w:hAnsi="Arial"/>
          <w:sz w:val="16"/>
          <w:szCs w:val="16"/>
          <w:color w:val="auto"/>
        </w:rPr>
        <w:t>The role of the Groups and Technologies is to ensure that Schlumberger provides the best possible service to customers and that it remains at the forefront of technology development. The Groups and Technologies are collectively responsible for driving excellence in execution throughout their businesses, overseeing operational processes, resource allocation, personnel and delivering superior financial results. 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as follows: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Reservoir Characterization Group </w:t>
      </w:r>
      <w:r>
        <w:rPr>
          <w:rFonts w:ascii="Arial" w:cs="Arial" w:eastAsia="Arial" w:hAnsi="Arial"/>
          <w:sz w:val="18"/>
          <w:szCs w:val="18"/>
          <w:color w:val="auto"/>
        </w:rPr>
        <w:t>– Consists of the principal Technologies involved in finding and defining hydrocarbon resources. These include WesternGeco,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Wireline, Testing Services, Schlumberger Information Solutions and PetroTechnical Services.</w:t>
      </w:r>
    </w:p>
    <w:p>
      <w:pPr>
        <w:spacing w:after="0" w:line="51" w:lineRule="exact"/>
        <w:rPr>
          <w:sz w:val="20"/>
          <w:szCs w:val="20"/>
          <w:color w:val="auto"/>
        </w:rPr>
      </w:pPr>
    </w:p>
    <w:p>
      <w:pPr>
        <w:ind w:left="780" w:right="84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WesternGeco</w:t>
      </w:r>
      <w:r>
        <w:rPr>
          <w:rFonts w:ascii="Arial" w:cs="Arial" w:eastAsia="Arial" w:hAnsi="Arial"/>
          <w:sz w:val="18"/>
          <w:szCs w:val="18"/>
          <w:color w:val="auto"/>
        </w:rPr>
        <w:t xml:space="preserve"> is the world’s leading geophysical services company, providing comprehensive worldwide reservoir imaging, monitoring and development services. WesternGeco offers the industry’s most extensive multiclient data library.</w:t>
      </w:r>
    </w:p>
    <w:p>
      <w:pPr>
        <w:spacing w:after="0" w:line="50" w:lineRule="exact"/>
        <w:rPr>
          <w:sz w:val="20"/>
          <w:szCs w:val="20"/>
          <w:color w:val="auto"/>
        </w:rPr>
      </w:pPr>
    </w:p>
    <w:p>
      <w:pPr>
        <w:ind w:left="780" w:right="22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Wireline</w:t>
      </w:r>
      <w:r>
        <w:rPr>
          <w:rFonts w:ascii="Arial" w:cs="Arial" w:eastAsia="Arial" w:hAnsi="Arial"/>
          <w:sz w:val="18"/>
          <w:szCs w:val="18"/>
          <w:color w:val="auto"/>
        </w:rPr>
        <w:t xml:space="preserve"> provides the information necessary to evaluate subsurface formation rocks and fluids to plan and monitor well construction, and to monitor and evaluate well production. Wireline offers both openhole and cased-hole services including wireline perforating.</w:t>
      </w:r>
    </w:p>
    <w:p>
      <w:pPr>
        <w:spacing w:after="0" w:line="50" w:lineRule="exact"/>
        <w:rPr>
          <w:sz w:val="20"/>
          <w:szCs w:val="20"/>
          <w:color w:val="auto"/>
        </w:rPr>
      </w:pPr>
    </w:p>
    <w:p>
      <w:pPr>
        <w:ind w:left="780" w:right="10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Testing Services</w:t>
      </w:r>
      <w:r>
        <w:rPr>
          <w:rFonts w:ascii="Arial" w:cs="Arial" w:eastAsia="Arial" w:hAnsi="Arial"/>
          <w:sz w:val="18"/>
          <w:szCs w:val="18"/>
          <w:color w:val="auto"/>
        </w:rPr>
        <w:t xml:space="preserve"> provides exploration and production pressure and flow-rate measurement services both at the surface and downhole. The Technology also provides tubing-conveyed perforating services.</w:t>
      </w:r>
    </w:p>
    <w:p>
      <w:pPr>
        <w:spacing w:after="0" w:line="50" w:lineRule="exact"/>
        <w:rPr>
          <w:sz w:val="20"/>
          <w:szCs w:val="20"/>
          <w:color w:val="auto"/>
        </w:rPr>
      </w:pPr>
    </w:p>
    <w:p>
      <w:pPr>
        <w:ind w:left="780" w:right="24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Schlumberger Information Solutions</w:t>
      </w:r>
      <w:r>
        <w:rPr>
          <w:rFonts w:ascii="Arial" w:cs="Arial" w:eastAsia="Arial" w:hAnsi="Arial"/>
          <w:sz w:val="18"/>
          <w:szCs w:val="18"/>
          <w:color w:val="auto"/>
        </w:rPr>
        <w:t xml:space="preserve"> provides software, consulting, information management and IT infrastructure services that support core oil and gas industry operational processes.</w:t>
      </w:r>
    </w:p>
    <w:p>
      <w:pPr>
        <w:spacing w:after="0" w:line="50" w:lineRule="exact"/>
        <w:rPr>
          <w:sz w:val="20"/>
          <w:szCs w:val="20"/>
          <w:color w:val="auto"/>
        </w:rPr>
      </w:pPr>
    </w:p>
    <w:p>
      <w:pPr>
        <w:ind w:left="780" w:right="220" w:hanging="324"/>
        <w:spacing w:after="0" w:line="25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PetroTechnical Services</w:t>
      </w:r>
      <w:r>
        <w:rPr>
          <w:rFonts w:ascii="Arial" w:cs="Arial" w:eastAsia="Arial" w:hAnsi="Arial"/>
          <w:sz w:val="18"/>
          <w:szCs w:val="18"/>
          <w:color w:val="auto"/>
        </w:rPr>
        <w:t xml:space="preserve"> supplies interpretation and integration of all exploration and production data types, as well as expert consulting services for reservoir characterization, field development planning production enhancement and multi-disciplinary reservoir and production solutions. PetroTechnical Services also provides industry petrotechnical training solutions.</w:t>
      </w:r>
    </w:p>
    <w:p>
      <w:pPr>
        <w:spacing w:after="0" w:line="5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 xml:space="preserve">Drilling Group </w:t>
      </w:r>
      <w:r>
        <w:rPr>
          <w:rFonts w:ascii="Arial" w:cs="Arial" w:eastAsia="Arial" w:hAnsi="Arial"/>
          <w:sz w:val="18"/>
          <w:szCs w:val="18"/>
          <w:color w:val="auto"/>
        </w:rPr>
        <w:t>– Consists of the principal Technologies involved in the drilling and positioning of oil and gas wells and comprises Bits &amp;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M-I SWACO, Geoservices, Drilling &amp; Measurements, PathFinder, Drilling Tools &amp; Remedial Services, Dynamic Pressure Management and Integrated Project Management well construction projects.</w:t>
      </w:r>
    </w:p>
    <w:p>
      <w:pPr>
        <w:spacing w:after="0" w:line="59" w:lineRule="exact"/>
        <w:rPr>
          <w:sz w:val="20"/>
          <w:szCs w:val="20"/>
          <w:color w:val="auto"/>
        </w:rPr>
      </w:pPr>
    </w:p>
    <w:p>
      <w:pPr>
        <w:ind w:left="780" w:right="36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Bits &amp; Advanced Technologies</w:t>
      </w:r>
      <w:r>
        <w:rPr>
          <w:rFonts w:ascii="Arial" w:cs="Arial" w:eastAsia="Arial" w:hAnsi="Arial"/>
          <w:sz w:val="18"/>
          <w:szCs w:val="18"/>
          <w:color w:val="auto"/>
        </w:rPr>
        <w:t xml:space="preserve"> designs, manufactures and markets roller cone and fixed cutter drill bits for all environments. The drill bits include designs for premium market segments where faster penetration rates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increased footage provide significant economic benefits in lowering overall well costs. The technologies leverage proprietary modeling and simulation software for the design of application-specific bits and cutting structures.</w:t>
      </w:r>
    </w:p>
    <w:p>
      <w:pPr>
        <w:spacing w:after="0" w:line="51" w:lineRule="exact"/>
        <w:rPr>
          <w:sz w:val="20"/>
          <w:szCs w:val="20"/>
          <w:color w:val="auto"/>
        </w:rPr>
      </w:pPr>
    </w:p>
    <w:p>
      <w:pPr>
        <w:ind w:left="780" w:right="100" w:hanging="324"/>
        <w:spacing w:after="0" w:line="335"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M-I SWACO</w:t>
      </w:r>
      <w:r>
        <w:rPr>
          <w:rFonts w:ascii="Arial" w:cs="Arial" w:eastAsia="Arial" w:hAnsi="Arial"/>
          <w:sz w:val="15"/>
          <w:szCs w:val="15"/>
          <w:color w:val="auto"/>
        </w:rPr>
        <w:t xml:space="preserve"> is the leading supplier of drilling fluid systems engineered to improve drilling performance by anticipating fluids-related problems, fluid systems and specialty equipment designed to optimize wellbore productivity and production technology solutions formulated to maximize production rates. The Technology also includes environmental solutions that safely manage waste volumes generated in both drilling and production operations.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Geoservices</w:t>
      </w:r>
      <w:r>
        <w:rPr>
          <w:rFonts w:ascii="Arial" w:cs="Arial" w:eastAsia="Arial" w:hAnsi="Arial"/>
          <w:sz w:val="18"/>
          <w:szCs w:val="18"/>
          <w:color w:val="auto"/>
        </w:rPr>
        <w:t xml:space="preserve"> supplies mud logging services for geological and drilling surveillance.</w:t>
      </w:r>
    </w:p>
    <w:p>
      <w:pPr>
        <w:spacing w:after="0" w:line="90" w:lineRule="exact"/>
        <w:rPr>
          <w:sz w:val="20"/>
          <w:szCs w:val="20"/>
          <w:color w:val="auto"/>
        </w:rPr>
      </w:pPr>
    </w:p>
    <w:p>
      <w:pPr>
        <w:ind w:left="780" w:right="34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Drilling &amp; Measurements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PathFinder</w:t>
      </w:r>
      <w:r>
        <w:rPr>
          <w:rFonts w:ascii="Arial" w:cs="Arial" w:eastAsia="Arial" w:hAnsi="Arial"/>
          <w:sz w:val="18"/>
          <w:szCs w:val="18"/>
          <w:color w:val="auto"/>
        </w:rPr>
        <w:t xml:space="preserve"> provide directional-drilling, measurement-while-drilling and logging-while-drilling services for all well profiles as well as engineering support.</w:t>
      </w:r>
    </w:p>
    <w:p>
      <w:pPr>
        <w:spacing w:after="0" w:line="50" w:lineRule="exact"/>
        <w:rPr>
          <w:sz w:val="20"/>
          <w:szCs w:val="20"/>
          <w:color w:val="auto"/>
        </w:rPr>
      </w:pPr>
    </w:p>
    <w:p>
      <w:pPr>
        <w:ind w:left="780" w:right="2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Drilling Tools &amp; Remedial</w:t>
      </w:r>
      <w:r>
        <w:rPr>
          <w:rFonts w:ascii="Arial" w:cs="Arial" w:eastAsia="Arial" w:hAnsi="Arial"/>
          <w:sz w:val="18"/>
          <w:szCs w:val="18"/>
          <w:color w:val="auto"/>
        </w:rPr>
        <w:t xml:space="preserve"> provides a wide variety of bottom hole assembly drilling tools, borehole enlargement technologies and impact tools, as well as a comprehensive collection of tubulars and tubular services for oil and gas drilling operations.</w:t>
      </w:r>
    </w:p>
    <w:p>
      <w:pPr>
        <w:spacing w:after="0" w:line="50" w:lineRule="exact"/>
        <w:rPr>
          <w:sz w:val="20"/>
          <w:szCs w:val="20"/>
          <w:color w:val="auto"/>
        </w:rPr>
      </w:pPr>
    </w:p>
    <w:p>
      <w:pPr>
        <w:ind w:left="780" w:right="20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Dynamic Pressure Management</w:t>
      </w:r>
      <w:r>
        <w:rPr>
          <w:rFonts w:ascii="Arial" w:cs="Arial" w:eastAsia="Arial" w:hAnsi="Arial"/>
          <w:sz w:val="18"/>
          <w:szCs w:val="18"/>
          <w:color w:val="auto"/>
        </w:rPr>
        <w:t xml:space="preserve"> consolidates managed pressure drilling and underbalanced drilling into a single provider of engineered solutions for pressure drilling services.</w:t>
      </w:r>
    </w:p>
    <w:p>
      <w:pPr>
        <w:spacing w:after="0" w:line="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 xml:space="preserve">Production Group </w:t>
      </w:r>
      <w:r>
        <w:rPr>
          <w:rFonts w:ascii="Arial" w:cs="Arial" w:eastAsia="Arial" w:hAnsi="Arial"/>
          <w:sz w:val="16"/>
          <w:szCs w:val="16"/>
          <w:color w:val="auto"/>
        </w:rPr>
        <w:t>– Consists of the principal Technologies involved in the lifetime production of oil and gas reservoirs and includes Well Services, Completions,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Artificial Lift, Well Intervention, Subsea, Water Services, Carbon Services and Schlumberger Production Management field production projects.</w:t>
      </w:r>
    </w:p>
    <w:p>
      <w:pPr>
        <w:spacing w:after="0" w:line="4" w:lineRule="exact"/>
        <w:rPr>
          <w:sz w:val="20"/>
          <w:szCs w:val="20"/>
          <w:color w:val="auto"/>
        </w:rPr>
      </w:pPr>
    </w:p>
    <w:p>
      <w:pPr>
        <w:ind w:left="780" w:right="180" w:hanging="324"/>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Well Services</w:t>
      </w:r>
      <w:r>
        <w:rPr>
          <w:rFonts w:ascii="Arial" w:cs="Arial" w:eastAsia="Arial" w:hAnsi="Arial"/>
          <w:sz w:val="16"/>
          <w:szCs w:val="16"/>
          <w:color w:val="auto"/>
        </w:rPr>
        <w:t xml:space="preserve"> provides services used during oil and gas well drilling and completion as well as those used to maintain optimal production throughout the life of a well. The services include pressure pumping, well cementing and stimulation operations as well as intervention activities.</w:t>
      </w:r>
    </w:p>
    <w:p>
      <w:pPr>
        <w:spacing w:after="0" w:line="4" w:lineRule="exact"/>
        <w:rPr>
          <w:sz w:val="20"/>
          <w:szCs w:val="20"/>
          <w:color w:val="auto"/>
        </w:rPr>
      </w:pPr>
    </w:p>
    <w:p>
      <w:pPr>
        <w:ind w:left="780" w:right="54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Completions</w:t>
      </w:r>
      <w:r>
        <w:rPr>
          <w:rFonts w:ascii="Arial" w:cs="Arial" w:eastAsia="Arial" w:hAnsi="Arial"/>
          <w:sz w:val="18"/>
          <w:szCs w:val="18"/>
          <w:color w:val="auto"/>
        </w:rPr>
        <w:t xml:space="preserve"> supplies well completion services and equipment that include packers, safety valves, sand control technology as well as a range of intelligent well completions technology and equipment.</w:t>
      </w:r>
    </w:p>
    <w:p>
      <w:pPr>
        <w:spacing w:after="0" w:line="50" w:lineRule="exact"/>
        <w:rPr>
          <w:sz w:val="20"/>
          <w:szCs w:val="20"/>
          <w:color w:val="auto"/>
        </w:rPr>
      </w:pPr>
    </w:p>
    <w:p>
      <w:pPr>
        <w:ind w:left="780" w:right="18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Artificial Lift</w:t>
      </w:r>
      <w:r>
        <w:rPr>
          <w:rFonts w:ascii="Arial" w:cs="Arial" w:eastAsia="Arial" w:hAnsi="Arial"/>
          <w:sz w:val="18"/>
          <w:szCs w:val="18"/>
          <w:color w:val="auto"/>
        </w:rPr>
        <w:t xml:space="preserve"> provides production equipment and optimization services using electrical submersible pumps and gas lift equipment, as well as surface horizontal pumping systems.</w:t>
      </w:r>
    </w:p>
    <w:p>
      <w:pPr>
        <w:spacing w:after="0" w:line="50" w:lineRule="exact"/>
        <w:rPr>
          <w:sz w:val="20"/>
          <w:szCs w:val="20"/>
          <w:color w:val="auto"/>
        </w:rPr>
      </w:pPr>
    </w:p>
    <w:p>
      <w:pPr>
        <w:ind w:left="780" w:right="120" w:hanging="324"/>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Well Intervention</w:t>
      </w:r>
      <w:r>
        <w:rPr>
          <w:rFonts w:ascii="Arial" w:cs="Arial" w:eastAsia="Arial" w:hAnsi="Arial"/>
          <w:sz w:val="18"/>
          <w:szCs w:val="18"/>
          <w:color w:val="auto"/>
        </w:rPr>
        <w:t xml:space="preserve"> develops coiled tubing equipment and services and provides slickline services for downhole mechanical well intervention, reservoir monitoring and downhole data acquisition.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Subsea</w:t>
      </w:r>
      <w:r>
        <w:rPr>
          <w:rFonts w:ascii="Arial" w:cs="Arial" w:eastAsia="Arial" w:hAnsi="Arial"/>
          <w:sz w:val="16"/>
          <w:szCs w:val="16"/>
          <w:color w:val="auto"/>
        </w:rPr>
        <w:t xml:space="preserve"> offers solutions that are designed to improve reservoir recovery, optimize production and maximize production uptime of subsea assets.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Water Services</w:t>
      </w:r>
      <w:r>
        <w:rPr>
          <w:rFonts w:ascii="Arial" w:cs="Arial" w:eastAsia="Arial" w:hAnsi="Arial"/>
          <w:sz w:val="18"/>
          <w:szCs w:val="18"/>
          <w:color w:val="auto"/>
        </w:rPr>
        <w:t xml:space="preserve"> specializes in the development, management and environmental protection of water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Carbon Services</w:t>
      </w:r>
      <w:r>
        <w:rPr>
          <w:rFonts w:ascii="Arial" w:cs="Arial" w:eastAsia="Arial" w:hAnsi="Arial"/>
          <w:sz w:val="18"/>
          <w:szCs w:val="18"/>
          <w:color w:val="auto"/>
        </w:rPr>
        <w:t xml:space="preserve"> provides comprehensive geological storage solutions including storage site characterization for carbon dioxide.</w:t>
      </w:r>
    </w:p>
    <w:p>
      <w:pPr>
        <w:spacing w:after="0" w:line="90" w:lineRule="exact"/>
        <w:rPr>
          <w:sz w:val="20"/>
          <w:szCs w:val="20"/>
          <w:color w:val="auto"/>
        </w:rPr>
      </w:pPr>
    </w:p>
    <w:p>
      <w:pPr>
        <w:ind w:right="120" w:firstLine="228"/>
        <w:spacing w:after="0" w:line="289" w:lineRule="auto"/>
        <w:rPr>
          <w:sz w:val="20"/>
          <w:szCs w:val="20"/>
          <w:color w:val="auto"/>
        </w:rPr>
      </w:pPr>
      <w:r>
        <w:rPr>
          <w:rFonts w:ascii="Arial" w:cs="Arial" w:eastAsia="Arial" w:hAnsi="Arial"/>
          <w:sz w:val="16"/>
          <w:szCs w:val="16"/>
          <w:color w:val="auto"/>
        </w:rPr>
        <w:t>Schlumberger also offers customers its services through business models known as Integrated Project Management (for well construction projects) and Schlumberger Production Management (for field production projects). These models combine the required services and products of the Technologies with both drilling rig management expertise and project management skills to provide a complete solution to well construction and production improvement. Projects are typically of multiyear duration and include start-up costs and significant third-party components that cover services that Schlumberger does not provide directly. Projects may be fixed price in nature, contain penalties for non-performance and may also offer opportunities for bonus payments where performance exceeds agreed targets. Integrated Project Management and Schlumberger Production Management also provide specialized engineering and project management expertise when Schlumberger is requested to include these capabilities with services and products across the Technologies in a single contract. In no circumstances does Schlumberger take any stake in the ownership of oil or gas reserves.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280" w:right="259" w:bottom="1440" w:gutter="0" w:footer="0" w:header="0"/>
        </w:sectPr>
      </w:pPr>
    </w:p>
    <w:bookmarkStart w:id="4" w:name="page5"/>
    <w:bookmarkEnd w:id="4"/>
    <w:p>
      <w:pPr>
        <w:jc w:val="both"/>
        <w:ind w:right="38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Supporting the Technologies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ind w:right="440" w:firstLine="228"/>
        <w:spacing w:after="0" w:line="250" w:lineRule="auto"/>
        <w:rPr>
          <w:sz w:val="20"/>
          <w:szCs w:val="20"/>
          <w:color w:val="auto"/>
        </w:rPr>
      </w:pPr>
      <w:r>
        <w:rPr>
          <w:rFonts w:ascii="Arial" w:cs="Arial" w:eastAsia="Arial" w:hAnsi="Arial"/>
          <w:sz w:val="18"/>
          <w:szCs w:val="18"/>
          <w:color w:val="auto"/>
        </w:rPr>
        <w:t>Managed outside the Group structure is Schlumberger Business Consulting, which helps oil and gas companies achieve fast and sustainable performance improvements.</w:t>
      </w:r>
    </w:p>
    <w:p>
      <w:pPr>
        <w:spacing w:after="0" w:line="1"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Schlumberger primarily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wireline logging, well testing, drilling and completion fluids, coiled-tubing, drill bits, measurement-while-drilling, logging-while-drilling and directional-drilling services, mud logging, as well as fully computerized logging and geoscience software and computing services. A large proportion of Schlumberger offerings is non-rig related; consequently, revenue does not necessarily correlate to rig count fluctuations.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 xml:space="preserve">Schlumberger completed a number of acquisitions during 2012, none of which were significant. Information about acquisitions made by Schlumberger appears in Note 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90" w:lineRule="exact"/>
        <w:rPr>
          <w:sz w:val="20"/>
          <w:szCs w:val="20"/>
          <w:color w:val="auto"/>
        </w:rPr>
      </w:pPr>
    </w:p>
    <w:p>
      <w:pPr>
        <w:jc w:val="both"/>
        <w:ind w:right="300" w:firstLine="228"/>
        <w:spacing w:after="0" w:line="306" w:lineRule="auto"/>
        <w:rPr>
          <w:sz w:val="20"/>
          <w:szCs w:val="20"/>
          <w:color w:val="auto"/>
        </w:rPr>
      </w:pPr>
      <w:r>
        <w:rPr>
          <w:rFonts w:ascii="Arial" w:cs="Arial" w:eastAsia="Arial" w:hAnsi="Arial"/>
          <w:sz w:val="16"/>
          <w:szCs w:val="16"/>
          <w:color w:val="auto"/>
        </w:rPr>
        <w:t>Schlumberger and its affiliates own and control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considered material to Schlumberger’s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which typically result in reduced levels of activity. Hurricanes and typhoons can disrupt coastal and offshore operations. Additionally, customer spending patterns for multiclient data, software and other oilfield services and products generally result in higher activity in the fourth quarter of each year as clients seek to utilize their annual budgets.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90"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For the year ended December 31, 2012, no single customer exceeded 10% of consolidated revenue. Other than WesternGeco, Schlumberger has no significant backlog due to the nature of its businesses. The WesternGeco backlog, which is based on signed contracts with customers, was $1.0 billion at December 31, 2012 ($1.0 billion at December 31,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90"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 xml:space="preserve">Financial information by business segment and geographic area for the years ended December 31, 2012, 2011 and 2010 is provided in Note 17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of Schlumberger</w:t>
      </w:r>
    </w:p>
    <w:p>
      <w:pPr>
        <w:spacing w:after="0" w:line="9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following table sets forth, as of January 31, 2013, the names and ages of the executive officers of Schlumberger, including all offices and positions held by each for at least the past five years.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right"/>
              <w:ind w:right="133"/>
              <w:spacing w:after="0"/>
              <w:rPr>
                <w:sz w:val="20"/>
                <w:szCs w:val="20"/>
                <w:color w:val="auto"/>
              </w:rPr>
            </w:pPr>
            <w:r>
              <w:rPr>
                <w:rFonts w:ascii="Arial" w:cs="Arial" w:eastAsia="Arial" w:hAnsi="Arial"/>
                <w:sz w:val="14"/>
                <w:szCs w:val="14"/>
                <w:b w:val="1"/>
                <w:bCs w:val="1"/>
                <w:color w:val="auto"/>
              </w:rPr>
              <w:t>Age</w:t>
            </w:r>
          </w:p>
        </w:tc>
        <w:tc>
          <w:tcPr>
            <w:tcW w:w="8200" w:type="dxa"/>
            <w:vAlign w:val="bottom"/>
          </w:tcPr>
          <w:p>
            <w:pPr>
              <w:ind w:left="220"/>
              <w:spacing w:after="0"/>
              <w:rPr>
                <w:sz w:val="20"/>
                <w:szCs w:val="20"/>
                <w:color w:val="auto"/>
              </w:rPr>
            </w:pPr>
            <w:r>
              <w:rPr>
                <w:rFonts w:ascii="Arial" w:cs="Arial" w:eastAsia="Arial" w:hAnsi="Arial"/>
                <w:sz w:val="14"/>
                <w:szCs w:val="14"/>
                <w:b w:val="1"/>
                <w:bCs w:val="1"/>
                <w:color w:val="auto"/>
              </w:rPr>
              <w:t>Current Position and Five-Year Business Experience</w:t>
            </w:r>
          </w:p>
        </w:tc>
      </w:tr>
      <w:tr>
        <w:trPr>
          <w:trHeight w:val="149"/>
        </w:trPr>
        <w:tc>
          <w:tcPr>
            <w:tcW w:w="2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200" w:type="dxa"/>
            <w:vAlign w:val="bottom"/>
            <w:tcBorders>
              <w:bottom w:val="single" w:sz="8" w:color="auto"/>
            </w:tcBorders>
          </w:tcPr>
          <w:p>
            <w:pPr>
              <w:spacing w:after="0"/>
              <w:rPr>
                <w:sz w:val="12"/>
                <w:szCs w:val="12"/>
                <w:color w:val="auto"/>
              </w:rPr>
            </w:pPr>
          </w:p>
        </w:tc>
      </w:tr>
      <w:tr>
        <w:trPr>
          <w:trHeight w:val="296"/>
        </w:trPr>
        <w:tc>
          <w:tcPr>
            <w:tcW w:w="2200" w:type="dxa"/>
            <w:vAlign w:val="bottom"/>
          </w:tcPr>
          <w:p>
            <w:pPr>
              <w:spacing w:after="0"/>
              <w:rPr>
                <w:sz w:val="20"/>
                <w:szCs w:val="20"/>
                <w:color w:val="auto"/>
              </w:rPr>
            </w:pPr>
            <w:r>
              <w:rPr>
                <w:rFonts w:ascii="Arial" w:cs="Arial" w:eastAsia="Arial" w:hAnsi="Arial"/>
                <w:sz w:val="18"/>
                <w:szCs w:val="18"/>
                <w:color w:val="auto"/>
              </w:rPr>
              <w:t>Paal Kibsgaard</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45</w:t>
            </w:r>
          </w:p>
        </w:tc>
        <w:tc>
          <w:tcPr>
            <w:tcW w:w="8200" w:type="dxa"/>
            <w:vAlign w:val="bottom"/>
          </w:tcPr>
          <w:p>
            <w:pPr>
              <w:ind w:left="220"/>
              <w:spacing w:after="0"/>
              <w:rPr>
                <w:sz w:val="20"/>
                <w:szCs w:val="20"/>
                <w:color w:val="auto"/>
              </w:rPr>
            </w:pPr>
            <w:r>
              <w:rPr>
                <w:rFonts w:ascii="Arial" w:cs="Arial" w:eastAsia="Arial" w:hAnsi="Arial"/>
                <w:sz w:val="18"/>
                <w:szCs w:val="18"/>
                <w:color w:val="auto"/>
                <w:w w:val="91"/>
              </w:rPr>
              <w:t>Chief Executive Officer, since August 2011; Director since April 2011; Chief Operating Officer, February 2010</w:t>
            </w:r>
          </w:p>
        </w:tc>
      </w:tr>
      <w:tr>
        <w:trPr>
          <w:trHeight w:val="216"/>
        </w:trPr>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w w:val="93"/>
              </w:rPr>
              <w:t>to July 2011; President Reservoir Characterization Group, May 2009 to February 2010; and Vice President</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Engineering, Manufacturing and Sustaining, November 2007 to May 2009.</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Simon Ayat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8200" w:type="dxa"/>
            <w:vAlign w:val="bottom"/>
          </w:tcPr>
          <w:p>
            <w:pPr>
              <w:ind w:left="220"/>
              <w:spacing w:after="0"/>
              <w:rPr>
                <w:sz w:val="20"/>
                <w:szCs w:val="20"/>
                <w:color w:val="auto"/>
              </w:rPr>
            </w:pPr>
            <w:r>
              <w:rPr>
                <w:rFonts w:ascii="Arial" w:cs="Arial" w:eastAsia="Arial" w:hAnsi="Arial"/>
                <w:sz w:val="18"/>
                <w:szCs w:val="18"/>
                <w:color w:val="auto"/>
                <w:w w:val="88"/>
              </w:rPr>
              <w:t>Executive Vice President and Chief Financial Officer, since March 2007; and Vice President Treasurer, February</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2005 to March 2007.</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Alexander Juden</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52</w:t>
            </w:r>
          </w:p>
        </w:tc>
        <w:tc>
          <w:tcPr>
            <w:tcW w:w="8200" w:type="dxa"/>
            <w:vAlign w:val="bottom"/>
          </w:tcPr>
          <w:p>
            <w:pPr>
              <w:ind w:left="220"/>
              <w:spacing w:after="0"/>
              <w:rPr>
                <w:sz w:val="20"/>
                <w:szCs w:val="20"/>
                <w:color w:val="auto"/>
              </w:rPr>
            </w:pPr>
            <w:r>
              <w:rPr>
                <w:rFonts w:ascii="Arial" w:cs="Arial" w:eastAsia="Arial" w:hAnsi="Arial"/>
                <w:sz w:val="18"/>
                <w:szCs w:val="18"/>
                <w:color w:val="auto"/>
                <w:w w:val="96"/>
              </w:rPr>
              <w:t>Secretary and General Counsel, since April 2009; Director of Compliance, February 2005 to April 2009.</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Satish Pai</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8200" w:type="dxa"/>
            <w:vAlign w:val="bottom"/>
          </w:tcPr>
          <w:p>
            <w:pPr>
              <w:ind w:left="220"/>
              <w:spacing w:after="0"/>
              <w:rPr>
                <w:sz w:val="20"/>
                <w:szCs w:val="20"/>
                <w:color w:val="auto"/>
              </w:rPr>
            </w:pPr>
            <w:r>
              <w:rPr>
                <w:rFonts w:ascii="Arial" w:cs="Arial" w:eastAsia="Arial" w:hAnsi="Arial"/>
                <w:sz w:val="18"/>
                <w:szCs w:val="18"/>
                <w:color w:val="auto"/>
                <w:w w:val="90"/>
              </w:rPr>
              <w:t>Executive Vice President Operations, since April 2009; Vice President Operations, Oilfield Services, May 2008</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to April 2009; and President Europe Africa &amp; Caspian, March 2006 to May 2008.</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Ashok Belani</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8200" w:type="dxa"/>
            <w:vAlign w:val="bottom"/>
          </w:tcPr>
          <w:p>
            <w:pPr>
              <w:ind w:left="220"/>
              <w:spacing w:after="0"/>
              <w:rPr>
                <w:sz w:val="20"/>
                <w:szCs w:val="20"/>
                <w:color w:val="auto"/>
              </w:rPr>
            </w:pPr>
            <w:r>
              <w:rPr>
                <w:rFonts w:ascii="Arial" w:cs="Arial" w:eastAsia="Arial" w:hAnsi="Arial"/>
                <w:sz w:val="18"/>
                <w:szCs w:val="18"/>
                <w:color w:val="auto"/>
                <w:w w:val="95"/>
              </w:rPr>
              <w:t>Executive Vice President, Technology, since January 2011; President, Reservoir Characterization Group,</w:t>
            </w:r>
          </w:p>
        </w:tc>
      </w:tr>
      <w:tr>
        <w:trPr>
          <w:trHeight w:val="216"/>
        </w:trPr>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w w:val="90"/>
              </w:rPr>
              <w:t>February 2010 to August 2011; Vice President and Chief Technology Officer, April 2006 to February 2010; and</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Senior Advisor, Technology, January 2006 to April 2006.</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Kjell-Erik Oestdahl</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48</w:t>
            </w:r>
          </w:p>
        </w:tc>
        <w:tc>
          <w:tcPr>
            <w:tcW w:w="8200" w:type="dxa"/>
            <w:vAlign w:val="bottom"/>
          </w:tcPr>
          <w:p>
            <w:pPr>
              <w:ind w:left="220"/>
              <w:spacing w:after="0"/>
              <w:rPr>
                <w:sz w:val="20"/>
                <w:szCs w:val="20"/>
                <w:color w:val="auto"/>
              </w:rPr>
            </w:pPr>
            <w:r>
              <w:rPr>
                <w:rFonts w:ascii="Arial" w:cs="Arial" w:eastAsia="Arial" w:hAnsi="Arial"/>
                <w:sz w:val="18"/>
                <w:szCs w:val="18"/>
                <w:color w:val="auto"/>
                <w:w w:val="92"/>
              </w:rPr>
              <w:t>Executive Vice President Shared Services, Infrastructure and Distribution, since March 2012; Executive Vice</w:t>
            </w:r>
          </w:p>
        </w:tc>
      </w:tr>
      <w:tr>
        <w:trPr>
          <w:trHeight w:val="216"/>
        </w:trPr>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w w:val="95"/>
              </w:rPr>
              <w:t>President Operations, January 2011 to March 2012; Vice President Supply Chain Services, May 2009 to</w:t>
            </w:r>
          </w:p>
        </w:tc>
      </w:tr>
      <w:tr>
        <w:trPr>
          <w:trHeight w:val="216"/>
        </w:trPr>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w w:val="90"/>
              </w:rPr>
              <w:t>December 2010; Vice President Operations WesternGeco, January 2008 to April 2009; and Chief Procurement</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Officer at StatoilHydro ASA, March 2006 to November 2007.</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Jean-Francois Poupeau</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8200" w:type="dxa"/>
            <w:vAlign w:val="bottom"/>
          </w:tcPr>
          <w:p>
            <w:pPr>
              <w:ind w:left="220"/>
              <w:spacing w:after="0"/>
              <w:rPr>
                <w:sz w:val="20"/>
                <w:szCs w:val="20"/>
                <w:color w:val="auto"/>
              </w:rPr>
            </w:pPr>
            <w:r>
              <w:rPr>
                <w:rFonts w:ascii="Arial" w:cs="Arial" w:eastAsia="Arial" w:hAnsi="Arial"/>
                <w:sz w:val="18"/>
                <w:szCs w:val="18"/>
                <w:color w:val="auto"/>
                <w:w w:val="92"/>
              </w:rPr>
              <w:t>Executive Vice President Corporate Development and Communications, since June 2012; President Drilling</w:t>
            </w:r>
          </w:p>
        </w:tc>
      </w:tr>
      <w:tr>
        <w:trPr>
          <w:trHeight w:val="216"/>
        </w:trPr>
        <w:tc>
          <w:tcPr>
            <w:tcW w:w="2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w w:val="89"/>
              </w:rPr>
              <w:t>Group, May 2010 to June 2012; President Drilling &amp; Measurements, July 2007 to April 2010; and Vice President</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Communications and Investor Relations, April 2006 to June 2007.</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Stephanie Cox</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8200" w:type="dxa"/>
            <w:vAlign w:val="bottom"/>
          </w:tcPr>
          <w:p>
            <w:pPr>
              <w:ind w:left="220"/>
              <w:spacing w:after="0"/>
              <w:rPr>
                <w:sz w:val="20"/>
                <w:szCs w:val="20"/>
                <w:color w:val="auto"/>
              </w:rPr>
            </w:pPr>
            <w:r>
              <w:rPr>
                <w:rFonts w:ascii="Arial" w:cs="Arial" w:eastAsia="Arial" w:hAnsi="Arial"/>
                <w:sz w:val="18"/>
                <w:szCs w:val="18"/>
                <w:color w:val="auto"/>
                <w:w w:val="91"/>
              </w:rPr>
              <w:t>Vice President Human Resources, since May 2009; and North Gulf Coast GeoMarket Manager, April 2006 to</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May 2009.</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Mark Danton</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8200" w:type="dxa"/>
            <w:vAlign w:val="bottom"/>
          </w:tcPr>
          <w:p>
            <w:pPr>
              <w:ind w:left="220"/>
              <w:spacing w:after="0"/>
              <w:rPr>
                <w:sz w:val="20"/>
                <w:szCs w:val="20"/>
                <w:color w:val="auto"/>
              </w:rPr>
            </w:pPr>
            <w:r>
              <w:rPr>
                <w:rFonts w:ascii="Arial" w:cs="Arial" w:eastAsia="Arial" w:hAnsi="Arial"/>
                <w:sz w:val="18"/>
                <w:szCs w:val="18"/>
                <w:color w:val="auto"/>
              </w:rPr>
              <w:t>Vice President – Director of Taxes, since January 1999.</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Aaron Gatt Floridia</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8200" w:type="dxa"/>
            <w:vAlign w:val="bottom"/>
          </w:tcPr>
          <w:p>
            <w:pPr>
              <w:ind w:left="220"/>
              <w:spacing w:after="0"/>
              <w:rPr>
                <w:sz w:val="20"/>
                <w:szCs w:val="20"/>
                <w:color w:val="auto"/>
              </w:rPr>
            </w:pPr>
            <w:r>
              <w:rPr>
                <w:rFonts w:ascii="Arial" w:cs="Arial" w:eastAsia="Arial" w:hAnsi="Arial"/>
                <w:sz w:val="18"/>
                <w:szCs w:val="18"/>
                <w:color w:val="auto"/>
                <w:w w:val="89"/>
              </w:rPr>
              <w:t>President, Reservoir Characterization Group, since August 2011; President Middle East, May 2009 to July 2011;</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and General Manager – AOG, January 2007 to April 2009.</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Howard Guild</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8200" w:type="dxa"/>
            <w:vAlign w:val="bottom"/>
          </w:tcPr>
          <w:p>
            <w:pPr>
              <w:ind w:left="220"/>
              <w:spacing w:after="0"/>
              <w:rPr>
                <w:sz w:val="20"/>
                <w:szCs w:val="20"/>
                <w:color w:val="auto"/>
              </w:rPr>
            </w:pPr>
            <w:r>
              <w:rPr>
                <w:rFonts w:ascii="Arial" w:cs="Arial" w:eastAsia="Arial" w:hAnsi="Arial"/>
                <w:sz w:val="18"/>
                <w:szCs w:val="18"/>
                <w:color w:val="auto"/>
              </w:rPr>
              <w:t>Chief Accounting Officer, since July 2005.</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Rodney Nelson</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8200" w:type="dxa"/>
            <w:vAlign w:val="bottom"/>
          </w:tcPr>
          <w:p>
            <w:pPr>
              <w:ind w:left="220"/>
              <w:spacing w:after="0"/>
              <w:rPr>
                <w:sz w:val="20"/>
                <w:szCs w:val="20"/>
                <w:color w:val="auto"/>
              </w:rPr>
            </w:pPr>
            <w:r>
              <w:rPr>
                <w:rFonts w:ascii="Arial" w:cs="Arial" w:eastAsia="Arial" w:hAnsi="Arial"/>
                <w:sz w:val="18"/>
                <w:szCs w:val="18"/>
                <w:color w:val="auto"/>
                <w:w w:val="91"/>
              </w:rPr>
              <w:t>Vice President Government &amp; Community Relations, since August 2011; and Vice President Communications</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Innovation and Collaboration, October 2007 to July 2011.</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Stephen Orr</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49</w:t>
            </w:r>
          </w:p>
        </w:tc>
        <w:tc>
          <w:tcPr>
            <w:tcW w:w="8200" w:type="dxa"/>
            <w:vAlign w:val="bottom"/>
          </w:tcPr>
          <w:p>
            <w:pPr>
              <w:ind w:left="220"/>
              <w:spacing w:after="0"/>
              <w:rPr>
                <w:sz w:val="20"/>
                <w:szCs w:val="20"/>
                <w:color w:val="auto"/>
              </w:rPr>
            </w:pPr>
            <w:r>
              <w:rPr>
                <w:rFonts w:ascii="Arial" w:cs="Arial" w:eastAsia="Arial" w:hAnsi="Arial"/>
                <w:sz w:val="18"/>
                <w:szCs w:val="18"/>
                <w:color w:val="auto"/>
                <w:w w:val="90"/>
              </w:rPr>
              <w:t>President Drilling Group, since June 2012; President M-I SWACO, September 2010 to June 2012; President –</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w w:val="94"/>
              </w:rPr>
              <w:t>Artificial Lift, July 2008 to August 2010; and Marketing and Technology Manager, July 2006 to June 2008.</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Patrick Schorn</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8200" w:type="dxa"/>
            <w:vAlign w:val="bottom"/>
          </w:tcPr>
          <w:p>
            <w:pPr>
              <w:ind w:left="220"/>
              <w:spacing w:after="0"/>
              <w:rPr>
                <w:sz w:val="20"/>
                <w:szCs w:val="20"/>
                <w:color w:val="auto"/>
              </w:rPr>
            </w:pPr>
            <w:r>
              <w:rPr>
                <w:rFonts w:ascii="Arial" w:cs="Arial" w:eastAsia="Arial" w:hAnsi="Arial"/>
                <w:sz w:val="18"/>
                <w:szCs w:val="18"/>
                <w:color w:val="auto"/>
                <w:w w:val="88"/>
              </w:rPr>
              <w:t>President Reservoir Production Group, since January 2011; President Well Services, May 2008 to January 2011;</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rPr>
              <w:t>and President Completions, April 2006 to April 2008.</w:t>
            </w:r>
          </w:p>
        </w:tc>
      </w:tr>
      <w:tr>
        <w:trPr>
          <w:trHeight w:val="318"/>
        </w:trPr>
        <w:tc>
          <w:tcPr>
            <w:tcW w:w="2200" w:type="dxa"/>
            <w:vAlign w:val="bottom"/>
          </w:tcPr>
          <w:p>
            <w:pPr>
              <w:spacing w:after="0"/>
              <w:rPr>
                <w:sz w:val="20"/>
                <w:szCs w:val="20"/>
                <w:color w:val="auto"/>
              </w:rPr>
            </w:pPr>
            <w:r>
              <w:rPr>
                <w:rFonts w:ascii="Arial" w:cs="Arial" w:eastAsia="Arial" w:hAnsi="Arial"/>
                <w:sz w:val="18"/>
                <w:szCs w:val="18"/>
                <w:color w:val="auto"/>
              </w:rPr>
              <w:t>Krishna Shivram</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8200" w:type="dxa"/>
            <w:vAlign w:val="bottom"/>
          </w:tcPr>
          <w:p>
            <w:pPr>
              <w:ind w:left="220"/>
              <w:spacing w:after="0"/>
              <w:rPr>
                <w:sz w:val="20"/>
                <w:szCs w:val="20"/>
                <w:color w:val="auto"/>
              </w:rPr>
            </w:pPr>
            <w:r>
              <w:rPr>
                <w:rFonts w:ascii="Arial" w:cs="Arial" w:eastAsia="Arial" w:hAnsi="Arial"/>
                <w:sz w:val="18"/>
                <w:szCs w:val="18"/>
                <w:color w:val="auto"/>
                <w:w w:val="91"/>
              </w:rPr>
              <w:t>Vice President Treasurer, since January 2011; Controller Drilling Group, May 2010 to January 2011; Manager</w:t>
            </w:r>
          </w:p>
        </w:tc>
      </w:tr>
      <w:tr>
        <w:trPr>
          <w:trHeight w:val="222"/>
        </w:trPr>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Arial" w:cs="Arial" w:eastAsia="Arial" w:hAnsi="Arial"/>
                <w:sz w:val="18"/>
                <w:szCs w:val="18"/>
                <w:color w:val="auto"/>
                <w:w w:val="92"/>
              </w:rPr>
              <w:t>Mergers &amp; Acquisitions, May 2009 to April 2010; and Controller Oilfield Services, August 2006 to April 2009.</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Malcolm Theobald</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8200" w:type="dxa"/>
            <w:vAlign w:val="bottom"/>
          </w:tcPr>
          <w:p>
            <w:pPr>
              <w:ind w:left="220"/>
              <w:spacing w:after="0"/>
              <w:rPr>
                <w:sz w:val="20"/>
                <w:szCs w:val="20"/>
                <w:color w:val="auto"/>
              </w:rPr>
            </w:pPr>
            <w:r>
              <w:rPr>
                <w:rFonts w:ascii="Arial" w:cs="Arial" w:eastAsia="Arial" w:hAnsi="Arial"/>
                <w:sz w:val="18"/>
                <w:szCs w:val="18"/>
                <w:color w:val="auto"/>
              </w:rPr>
              <w:t>Vice President Investor Relations, since June 2007.</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 xml:space="preserve">The Schlumberger Internet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Schlumberger uses its Investor Relations website,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as a channel for routine distribution of important information, including news releases, analyst presentations, and financial information. Schlumberger makes available free of charge on or through its Investor Relations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access to its Annual Reports on Form 10-K, Quarterly Reports on Form 10-Q, Current Reports 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right="3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jc w:val="both"/>
        <w:ind w:right="80"/>
        <w:spacing w:after="0" w:line="250" w:lineRule="auto"/>
        <w:rPr>
          <w:sz w:val="20"/>
          <w:szCs w:val="20"/>
          <w:color w:val="auto"/>
        </w:rPr>
      </w:pPr>
      <w:r>
        <w:rPr>
          <w:rFonts w:ascii="Arial" w:cs="Arial" w:eastAsia="Arial" w:hAnsi="Arial"/>
          <w:sz w:val="18"/>
          <w:szCs w:val="18"/>
          <w:color w:val="auto"/>
        </w:rPr>
        <w:t xml:space="preserve">Schlumberger’s corporate governance materials, including Board Committee Charters, Corporate Governance Guidelines and Code of Ethics, may also be found at </w:t>
      </w:r>
      <w:r>
        <w:rPr>
          <w:rFonts w:ascii="Arial" w:cs="Arial" w:eastAsia="Arial" w:hAnsi="Arial"/>
          <w:sz w:val="18"/>
          <w:szCs w:val="18"/>
          <w:u w:val="single" w:color="auto"/>
          <w:color w:val="auto"/>
        </w:rPr>
        <w:t>www.slb.com/ir</w:t>
      </w:r>
      <w:r>
        <w:rPr>
          <w:rFonts w:ascii="Arial" w:cs="Arial" w:eastAsia="Arial" w:hAnsi="Arial"/>
          <w:sz w:val="18"/>
          <w:szCs w:val="18"/>
          <w:color w:val="auto"/>
        </w:rPr>
        <w:t>. From time to time, corporate governance materials on our website may be updated to comply with rules issued by the SEC and the New York Stock Exchange (“NYSE”) or as desirable to promote the effective governance of Schlumberger.</w:t>
      </w:r>
    </w:p>
    <w:p>
      <w:pPr>
        <w:spacing w:after="0" w:line="1"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Any stockholder wishing to receive, without charge, a copy of any of Schlumberger’s SEC filings should write to the Secretary, Schlumberger Limited, 5599 San Felipe, 17</w:t>
      </w:r>
      <w:r>
        <w:rPr>
          <w:rFonts w:ascii="Arial" w:cs="Arial" w:eastAsia="Arial" w:hAnsi="Arial"/>
          <w:sz w:val="11"/>
          <w:szCs w:val="11"/>
          <w:color w:val="auto"/>
        </w:rPr>
        <w:t>th</w:t>
      </w:r>
      <w:r>
        <w:rPr>
          <w:rFonts w:ascii="Arial" w:cs="Arial" w:eastAsia="Arial" w:hAnsi="Arial"/>
          <w:sz w:val="18"/>
          <w:szCs w:val="18"/>
          <w:color w:val="auto"/>
        </w:rPr>
        <w:t xml:space="preserve"> Floor, Houston, Texas 77056, USA.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Schlumberger has filed the required certifications under Section 302 of the Sarbanes-Oxley Act of 2002 as Exhibits 31.1 and 31.2 to this Form 10-K.</w:t>
      </w:r>
    </w:p>
    <w:p>
      <w:pPr>
        <w:spacing w:after="0" w:line="32"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information on our website or any other website is not incorporated by reference in this Form 10-K and should not be considered part of this Form 10-K or any other filing Schlumberger makes with the SEC.</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The following discussion of risk factors are important information in understanding our “forward-looking statements,” which are discussed immediately following Item 7A. of this Form 10-K and elsewhere. These risk factors should also be read in conjunction with Item 7. Management’s Discussion and Analysis of Financial Condition and Results of Operations, and the consolidated financial statements and related notes included in this Form 10-K.</w:t>
      </w:r>
    </w:p>
    <w:p>
      <w:pPr>
        <w:spacing w:after="0" w:line="2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Demand for the majority of our services is substantially dependent on the levels of expenditures by the oil and gas industry. A substantial or an extended decline in oil and gas prices could result in lower expenditures by the oil and gas industry, which could have a material adverse effect on our financial condition, results of operations and cash flows.</w:t>
      </w:r>
    </w:p>
    <w:p>
      <w:pPr>
        <w:spacing w:after="0" w:line="57" w:lineRule="exact"/>
        <w:rPr>
          <w:sz w:val="20"/>
          <w:szCs w:val="20"/>
          <w:color w:val="auto"/>
        </w:rPr>
      </w:pPr>
    </w:p>
    <w:p>
      <w:pPr>
        <w:ind w:right="60" w:firstLine="228"/>
        <w:spacing w:after="0" w:line="283" w:lineRule="auto"/>
        <w:rPr>
          <w:sz w:val="20"/>
          <w:szCs w:val="20"/>
          <w:color w:val="auto"/>
        </w:rPr>
      </w:pPr>
      <w:r>
        <w:rPr>
          <w:rFonts w:ascii="Arial" w:cs="Arial" w:eastAsia="Arial" w:hAnsi="Arial"/>
          <w:sz w:val="16"/>
          <w:szCs w:val="16"/>
          <w:color w:val="auto"/>
        </w:rPr>
        <w:t>Demand for the majority of our services depends substantially on the level of expenditures by the oil and gas industry for the exploration, development and production of oil and natural gas reserves. These expenditures are generally dependent on the industry’s view of future oil and natural gas prices and are sensitive to the industry’s view of future economic growth and the resulting impact on demand for oil and natural gas. Declines, as well as anticipated declines, in oil and gas prices could also result in project modifications, delays or cancellations, general business disruptions, and delays in payment of, or nonpayment of, amounts that are owed to us. These effects could have a material adverse effect on our financial condition, results of operations and cash flows.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prices for oil and natural gas have historically been volatile and can be affected by a variety of factors, including:</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demand for hydrocarbons, which is affected by general economic and business conditions;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ability of the Organization of Petroleum Exporting Countries (“OPEC”) to set and maintain production levels for oil;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oil and gas production levels by non-OPEC countries;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level of excess production capacity;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political and economic uncertainty and geopolitical unrest;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level of worldwide oil and gas exploration and production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access to potential resources;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governmental policies and subsidies;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costs of exploring for, producing and delivering oil and 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technological advances affecting energy consumption;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weather conditions.</w:t>
      </w:r>
    </w:p>
    <w:p>
      <w:pPr>
        <w:spacing w:after="0" w:line="90" w:lineRule="exact"/>
        <w:rPr>
          <w:sz w:val="20"/>
          <w:szCs w:val="20"/>
          <w:color w:val="auto"/>
        </w:rPr>
      </w:pPr>
    </w:p>
    <w:p>
      <w:pPr>
        <w:jc w:val="both"/>
        <w:ind w:right="380" w:firstLine="228"/>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A significant downturn in the oil and gas industry could result in a reduction in demand for oilfield services and could adversely affect our financial condition, results of operations and cash flows.</w:t>
      </w:r>
    </w:p>
    <w:p>
      <w:pPr>
        <w:spacing w:after="0" w:line="5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85 countries in which we operate.</w:t>
      </w:r>
    </w:p>
    <w:p>
      <w:pPr>
        <w:spacing w:after="0" w:line="45"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Our non-United States operations accounted for approximately 72% of our consolidated revenue in 2012, 71% in 2011 and 78% in 2010. Operations in countries other than the United States are subject to various risks, including: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political and economic conditions in certain areas;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exposure to possible expropriation of our assets or other governmental 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social unrest, acts of terrorism, war or other armed conflict;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confiscatory taxation or other adverse tax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deprivation of contract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trade restrictions or embargoes imposed by the United States or other countries;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restrictions under the United States Foreign Corrupt Practices Act or similar legislation in other countries;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restrictions on the repatriation of income or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currency exchange controls;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inflation;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currency exchange rate fluctuations and devaluations.</w:t>
      </w:r>
    </w:p>
    <w:p>
      <w:pPr>
        <w:spacing w:after="0" w:line="90" w:lineRule="exact"/>
        <w:rPr>
          <w:sz w:val="20"/>
          <w:szCs w:val="20"/>
          <w:color w:val="auto"/>
        </w:rPr>
      </w:pPr>
    </w:p>
    <w:p>
      <w:pPr>
        <w:ind w:right="140" w:firstLine="228"/>
        <w:spacing w:after="0" w:line="283" w:lineRule="auto"/>
        <w:rPr>
          <w:sz w:val="20"/>
          <w:szCs w:val="20"/>
          <w:color w:val="auto"/>
        </w:rPr>
      </w:pPr>
      <w:r>
        <w:rPr>
          <w:rFonts w:ascii="Arial" w:cs="Arial" w:eastAsia="Arial" w:hAnsi="Arial"/>
          <w:sz w:val="16"/>
          <w:szCs w:val="16"/>
          <w:color w:val="auto"/>
        </w:rPr>
        <w:t>In addition, we are subject to risks associated with our operations in countries, including Iran, Syria, North Sudan and Cuba, that are subject to trade and economic sanctions or other restrictions imposed by the United States or other governments or organizations. United States law enforcement authorities are currently conducting a grand jury investigation and an associated regulatory inquiry related to our operations in certain of these countries. Additionally, in 2009 prior to being acquired by Schlumberger, Smith International, Inc. received an administrative subpoena with respect to its historical business practices in certain countries that are subject to United States trade and economic sanctions. If any of the risks described above materialize, or if any governmental investigation results in criminal or civil penalties or other remedial measures, it could reduce our earnings and our cash available for operations.</w:t>
      </w:r>
    </w:p>
    <w:p>
      <w:pPr>
        <w:spacing w:after="0" w:line="1" w:lineRule="exact"/>
        <w:rPr>
          <w:sz w:val="20"/>
          <w:szCs w:val="20"/>
          <w:color w:val="auto"/>
        </w:rPr>
      </w:pPr>
    </w:p>
    <w:p>
      <w:pPr>
        <w:ind w:right="280" w:firstLine="228"/>
        <w:spacing w:after="0" w:line="250" w:lineRule="auto"/>
        <w:rPr>
          <w:sz w:val="20"/>
          <w:szCs w:val="20"/>
          <w:color w:val="auto"/>
        </w:rPr>
      </w:pPr>
      <w:r>
        <w:rPr>
          <w:rFonts w:ascii="Arial" w:cs="Arial" w:eastAsia="Arial" w:hAnsi="Arial"/>
          <w:sz w:val="18"/>
          <w:szCs w:val="18"/>
          <w:color w:val="auto"/>
        </w:rPr>
        <w:t>We are also subject to risks related to investment in our common stock in connection with certain US state divestment or investment limitation legislation applicable to companies with operations in these countries, and similar actions by some private investors, which could adversely affect the market price of our common stock.</w:t>
      </w:r>
    </w:p>
    <w:p>
      <w:pPr>
        <w:spacing w:after="0" w:line="1" w:lineRule="exact"/>
        <w:rPr>
          <w:sz w:val="20"/>
          <w:szCs w:val="20"/>
          <w:color w:val="auto"/>
        </w:rPr>
      </w:pPr>
    </w:p>
    <w:p>
      <w:pPr>
        <w:ind w:right="380" w:firstLine="228"/>
        <w:spacing w:after="0" w:line="287" w:lineRule="auto"/>
        <w:rPr>
          <w:sz w:val="20"/>
          <w:szCs w:val="20"/>
          <w:color w:val="auto"/>
        </w:rPr>
      </w:pPr>
      <w:r>
        <w:rPr>
          <w:rFonts w:ascii="Arial" w:cs="Arial" w:eastAsia="Arial" w:hAnsi="Arial"/>
          <w:sz w:val="16"/>
          <w:szCs w:val="16"/>
          <w:color w:val="auto"/>
        </w:rPr>
        <w:t>During 2012, certain non-U.S. subsidiaries of Schlumberger provided oilfield services to the National Iranian Oil Company and certain of its affiliates (“NIOC”). Schlumberger has not bid on any new contracts relating to Iran’s petroleum production since March 2009. Schlumberger’s full-year 2012 revenue attributable to this activity was $418 million, which resulted in net income of $208 million in its consolidated financial statements. Schlumberger intends to discontinue such activity in Iran in 2013 and is currently winding down its operations there. In this regard, during the fourth quarter of 2012, Schlumberger recorded revenue relating to this activity in Iran of $92 million and net income of $48 million in its consolidated financial statements. This activity included obtaining services from and engaging in other dealings with the government of Iran that are incidental to operating in Iran, and the expenses of which are reflected in the net income disclosed above. These services and other dealings consisted of paying taxes, duties, license fees and other typical governmental charges, along with payments for utilities, transportation, hotel accommodations, facility rentals,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280" w:right="259" w:bottom="1440" w:gutter="0" w:footer="0" w:header="0"/>
        </w:sectPr>
      </w:pPr>
    </w:p>
    <w:bookmarkStart w:id="8" w:name="page9"/>
    <w:bookmarkEnd w:id="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telecommunications services, newspaper advertisements, recreational and fitness memberships, and the purchase of routine office and similar supplies from entities associated with the government of Iran. Collections of amounts owed to Schlumberger were received in part by depository accounts held by two non-U.S. subsidiaries of Schlumberger at a branch of Bank Saderat Iran (“Saderat”), and in part by a depositary account held by one of such non-U.S. subsidiaries at Bank Tejarat (“Tejarat”) in Tehran. The accounts at Saderat are maintained solely for the deposit by NIOC of amounts owed to non-U.S. subsidiaries of Schlumberger. The account at Tejarat is maintained also for payment of expenses in connection with operating in Iran, such as payroll expenses, rental payments and taxes. In addition, NIOC maintains bank accounts at Bank Melli Iran (“Melli”) through which it made payments to a non-U.S. subsidiary of Schlumberger for services provided in Iran under letters of credit issued by Melli. Schlumberger maintains no bank accounts at Melli. Schlumberger will discontinue its dealings with Melli, Saderat and Tejarat following the receipt of all amounts owed to Schlumberger for services in Iran.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96"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We are subject to increasingly stringent laws and regulations relating to importation and use of hazardous materials, radioactive materials and explosives and to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subject to substantial liability claims, which could adversely affect our financial condition, results of operations and cash flows.</w:t>
      </w:r>
    </w:p>
    <w:p>
      <w:pPr>
        <w:spacing w:after="0" w:line="119"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The technical complexities of our operations are such that we are exposed to a wide range of significant health, safety and environmental risks. Our offerings involve production-related activities, radioactive materials, explosives and other equipment and services that are deployed in challenging exploration, development and production environments. An accident involving these services or equipment, or a failure of a product, could cause personal injury, loss of life, damage to or destruction of property, equipment or the environment, or suspension of operations. Our insurance may not protect us against liability for some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are subject to substantial deductibles, could adversely affect our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products and services could be reduced by changes in governmental regulations or in the law.</w:t>
      </w:r>
    </w:p>
    <w:p>
      <w:pPr>
        <w:spacing w:after="0" w:line="96" w:lineRule="exact"/>
        <w:rPr>
          <w:sz w:val="20"/>
          <w:szCs w:val="20"/>
          <w:color w:val="auto"/>
        </w:rPr>
      </w:pPr>
    </w:p>
    <w:p>
      <w:pPr>
        <w:ind w:firstLine="228"/>
        <w:spacing w:after="0" w:line="283" w:lineRule="auto"/>
        <w:rPr>
          <w:sz w:val="20"/>
          <w:szCs w:val="20"/>
          <w:color w:val="auto"/>
        </w:rPr>
      </w:pPr>
      <w:r>
        <w:rPr>
          <w:rFonts w:ascii="Arial" w:cs="Arial" w:eastAsia="Arial" w:hAnsi="Arial"/>
          <w:sz w:val="16"/>
          <w:szCs w:val="16"/>
          <w:color w:val="auto"/>
        </w:rPr>
        <w:t>Some international, national and state governments and agencies are currently evaluating and promulgating climate-related legislation and regulations that are focused on restricting greenhouse gas emissions. Such legislation, as well as government initiatives to conserve energy or to promote the use of alternative energy sources, may significantly curtail demand for and production of fossil fuels such as oil and gas in areas of the world where our customers operate and thus adversely affect future demand for our services, which may in turn adversely affect our financial condition, results of operations and cash flows.</w:t>
      </w:r>
    </w:p>
    <w:p>
      <w:pPr>
        <w:spacing w:after="0" w:line="3" w:lineRule="exact"/>
        <w:rPr>
          <w:sz w:val="20"/>
          <w:szCs w:val="20"/>
          <w:color w:val="auto"/>
        </w:rPr>
      </w:pPr>
    </w:p>
    <w:p>
      <w:pPr>
        <w:jc w:val="both"/>
        <w:ind w:firstLine="228"/>
        <w:spacing w:after="0" w:line="302" w:lineRule="auto"/>
        <w:rPr>
          <w:sz w:val="20"/>
          <w:szCs w:val="20"/>
          <w:color w:val="auto"/>
        </w:rPr>
      </w:pPr>
      <w:r>
        <w:rPr>
          <w:rFonts w:ascii="Arial" w:cs="Arial" w:eastAsia="Arial" w:hAnsi="Arial"/>
          <w:sz w:val="16"/>
          <w:szCs w:val="16"/>
          <w:color w:val="auto"/>
        </w:rPr>
        <w:t>Some international, national and state governments and agencies have also adopted laws and regulations or are evaluating proposed legislation and regulations that are focused on the extraction of shale gas or oil using hydraulic fracturing. Hydraulic fracturing is a stimulation treatment routinely performed on oil and gas wells in low-permeability reservoirs. Specially engineered fluids are pumped at high pressure and rate into the reservoir interval to be treated,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40" w:top="280" w:right="279" w:bottom="1440" w:gutter="0" w:footer="0" w:header="0"/>
        </w:sectPr>
      </w:pPr>
    </w:p>
    <w:bookmarkStart w:id="9" w:name="page10"/>
    <w:bookmarkEnd w:id="9"/>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causing cracks in the target formation. Proppant, such as sand of a particular size, is mixed with the treatment fluid to keep the cracks open when the treatment is complete. Future hydraulic fracturing-related legislation or regulations could lead to operational delays and increased costs and, therefore, reduce demand for our pressure pumping services. If such additional international, national or state legislation or regulations are enacted, it could adversely affect our financial condition,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technology leadership, this could adversely affect any competitive advantage we hold.</w:t>
      </w:r>
    </w:p>
    <w:p>
      <w:pPr>
        <w:spacing w:after="0" w:line="9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If we are unable to continue to develop and produce competitive technology or deliver it to our clients in a timely and cost-competitive manner in the various markets we serve, it could adversely affect our financial condition, results of operations and cash flows.</w:t>
      </w:r>
    </w:p>
    <w:p>
      <w:pPr>
        <w:spacing w:after="0" w:line="126"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45"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96"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service or product, which could adversely affect our financial condition, results of operations and cash flows. Additionally, developing non-infringing technologies would increase our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96"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96"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5"/>
          <w:szCs w:val="15"/>
          <w:b w:val="1"/>
          <w:bCs w:val="1"/>
          <w:u w:val="single" w:color="auto"/>
          <w:color w:val="auto"/>
        </w:rPr>
        <w:t>Unresolved Staff Comments.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96"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sets forth Schlumberger’s principal owned or leased facilities:</w:t>
      </w:r>
    </w:p>
    <w:p>
      <w:pPr>
        <w:spacing w:after="0" w:line="15"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Beijing, China; Clamart, France; Mumbai, India; Fuchinobe, Japan; Oslo, Norway; Singapore; Abingdon, Cambridge and Stonehouse, United Kingdom; Moscow, Russia; and within the United States: Boston, Massachusetts; Houston, Rosharon and Sugar Land, Texas; Battle Mountain, Nevada; Greybull, Wyoming and Florence, Kentucky.</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information with respect to Item 3. Legal Proceedings is set forth in Note 16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Form 10-K.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5"/>
          <w:szCs w:val="15"/>
          <w:b w:val="1"/>
          <w:bCs w:val="1"/>
          <w:u w:val="single" w:color="auto"/>
          <w:color w:val="auto"/>
        </w:rPr>
        <w:t>Market for Schlumberger’s Common Stock, Related Stockholder Matters and Issuer Purchases of Equity Securities.</w:t>
      </w:r>
    </w:p>
    <w:p>
      <w:pPr>
        <w:spacing w:after="0" w:line="96"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As of December 31, 2012, there were approximately 22,455 stockholders of record. The principal United States market for Schlumberger’s common stock is the NYSE, where it is traded under the symbol “SLB,” although it is traded on other exchanges in and outside the United States, including the Euronext Paris, the London Stock Exchange and the SIX Swiss Exchange.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Common Stock, Market Prices and Dividends Declared per Share</w:t>
      </w:r>
    </w:p>
    <w:p>
      <w:pPr>
        <w:spacing w:after="0" w:line="90"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Quarterly high and low prices for Schlumberger’s common stock as reported by the NYSE (composite transactions), together with dividends declared per share in each quarter of 2012 and 2011,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Price Range</w:t>
            </w:r>
          </w:p>
        </w:tc>
        <w:tc>
          <w:tcPr>
            <w:tcW w:w="4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Dividends</w:t>
            </w:r>
          </w:p>
        </w:tc>
        <w:tc>
          <w:tcPr>
            <w:tcW w:w="0" w:type="dxa"/>
            <w:vAlign w:val="bottom"/>
          </w:tcPr>
          <w:p>
            <w:pPr>
              <w:spacing w:after="0"/>
              <w:rPr>
                <w:sz w:val="1"/>
                <w:szCs w:val="1"/>
                <w:color w:val="auto"/>
              </w:rPr>
            </w:pPr>
          </w:p>
        </w:tc>
      </w:tr>
      <w:tr>
        <w:trPr>
          <w:trHeight w:val="82"/>
        </w:trPr>
        <w:tc>
          <w:tcPr>
            <w:tcW w:w="88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21"/>
                <w:szCs w:val="21"/>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QUARTERS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First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$ 80.78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$ 67.12</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0.275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b w:val="1"/>
                <w:bCs w:val="1"/>
                <w:color w:val="auto"/>
              </w:rPr>
              <w:t>Second</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76.19</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59.12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0.275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Third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0.275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b w:val="1"/>
                <w:bCs w:val="1"/>
                <w:color w:val="auto"/>
              </w:rPr>
              <w:t>Fourth</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75.70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66.85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0.275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QUARTERS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$ 95.64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$ 79.74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Second</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95.00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tcPr>
          <w:p>
            <w:pPr>
              <w:ind w:left="440"/>
              <w:spacing w:after="0"/>
              <w:rPr>
                <w:sz w:val="20"/>
                <w:szCs w:val="20"/>
                <w:color w:val="auto"/>
              </w:rPr>
            </w:pPr>
            <w:r>
              <w:rPr>
                <w:rFonts w:ascii="Arial" w:cs="Arial" w:eastAsia="Arial" w:hAnsi="Arial"/>
                <w:sz w:val="18"/>
                <w:szCs w:val="18"/>
                <w:color w:val="auto"/>
              </w:rPr>
              <w:t>Fourth</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77.65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54.79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40" w:right="340"/>
        <w:spacing w:after="0" w:line="305" w:lineRule="auto"/>
        <w:rPr>
          <w:sz w:val="20"/>
          <w:szCs w:val="20"/>
          <w:color w:val="auto"/>
        </w:rPr>
      </w:pPr>
      <w:r>
        <w:rPr>
          <w:rFonts w:ascii="Arial" w:cs="Arial" w:eastAsia="Arial" w:hAnsi="Arial"/>
          <w:sz w:val="15"/>
          <w:szCs w:val="15"/>
          <w:color w:val="auto"/>
        </w:rPr>
        <w:t>On January 17, 2013, Schlumberger announced that its Board of Directors had approved an increase in the quarterly dividend of 13.6%, to $0.3125. There are no legal restrictions on the payment of dividends or ownership or voting of such shares, except as to shares held as treasury stock. Under current</w:t>
      </w:r>
    </w:p>
    <w:p>
      <w:pPr>
        <w:spacing w:after="0"/>
        <w:rPr>
          <w:sz w:val="20"/>
          <w:szCs w:val="20"/>
          <w:color w:val="auto"/>
        </w:rPr>
      </w:pPr>
      <w:r>
        <w:rPr>
          <w:rFonts w:ascii="Arial" w:cs="Arial" w:eastAsia="Arial" w:hAnsi="Arial"/>
          <w:sz w:val="18"/>
          <w:szCs w:val="18"/>
          <w:color w:val="auto"/>
        </w:rPr>
        <w:t>legislation, stockholders are not subject to any Curaçao withholding or other Curaçao taxes attributable to the ownership of such shares.</w:t>
      </w:r>
    </w:p>
    <w:p>
      <w:pPr>
        <w:spacing w:after="0" w:line="9"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The following graph compares the cumulative total stockholder return on Schlumberger common stock, assuming reinvestment of dividends on the last day of the month of payment into common stock of Schlumberger, with the cumulative total return on the Standard &amp; Poor’s 500 Index (S&amp;P 500 Index) and the cumulative total return on the Philadelphia Oil Service Index (OSX) over the five-year period ended December 31, 2012.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five-year cumulative total return among</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Schlumberger common stock, the S&amp;P 500 Index and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Oil Service Index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135890</wp:posOffset>
            </wp:positionV>
            <wp:extent cx="4519295" cy="2855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1929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Assumes $100 invested on December 31, 2007 in Schlumberger common stock, in the S&amp;P 500 Index and in the Philadelphia Oil Service Index (OSX) and reinvestment of dividends on the last day of the month of payment.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96" w:lineRule="exact"/>
        <w:rPr>
          <w:sz w:val="20"/>
          <w:szCs w:val="20"/>
          <w:color w:val="auto"/>
        </w:rPr>
      </w:pPr>
    </w:p>
    <w:p>
      <w:pPr>
        <w:ind w:right="80" w:firstLine="228"/>
        <w:spacing w:after="0" w:line="305" w:lineRule="auto"/>
        <w:rPr>
          <w:sz w:val="20"/>
          <w:szCs w:val="20"/>
          <w:color w:val="auto"/>
        </w:rPr>
      </w:pPr>
      <w:r>
        <w:rPr>
          <w:rFonts w:ascii="Arial" w:cs="Arial" w:eastAsia="Arial" w:hAnsi="Arial"/>
          <w:sz w:val="15"/>
          <w:szCs w:val="15"/>
          <w:color w:val="auto"/>
        </w:rPr>
        <w:t>On April 17, 2008, the Schlumberger Board of Directors approved an $8 billion share repurchase program for Schlumberger common stock, to be acquired in the open market before December 31, 2011. On July 21, 2011, the Board of Directors approved an extension of this repurchase program to December 31, 2013.</w:t>
      </w:r>
    </w:p>
    <w:p>
      <w:pPr>
        <w:ind w:right="20" w:firstLine="228"/>
        <w:spacing w:after="0" w:line="250" w:lineRule="auto"/>
        <w:rPr>
          <w:sz w:val="20"/>
          <w:szCs w:val="20"/>
          <w:color w:val="auto"/>
        </w:rPr>
      </w:pPr>
      <w:r>
        <w:rPr>
          <w:rFonts w:ascii="Arial" w:cs="Arial" w:eastAsia="Arial" w:hAnsi="Arial"/>
          <w:sz w:val="18"/>
          <w:szCs w:val="18"/>
          <w:color w:val="auto"/>
        </w:rPr>
        <w:t>Schlumberger did not repurchase any common stock during the three months ended December 31, 2012. The maximum value of shares that may be purchased under this program as of December 31, 2012 was $879 million.</w:t>
      </w:r>
    </w:p>
    <w:p>
      <w:pPr>
        <w:spacing w:after="0" w:line="1" w:lineRule="exact"/>
        <w:rPr>
          <w:sz w:val="20"/>
          <w:szCs w:val="20"/>
          <w:color w:val="auto"/>
        </w:rPr>
      </w:pPr>
    </w:p>
    <w:p>
      <w:pPr>
        <w:jc w:val="both"/>
        <w:ind w:right="100" w:firstLine="228"/>
        <w:spacing w:after="0" w:line="302"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9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 xml:space="preserve">As discussed in Note 13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Schlumberger maintains a Discounted Stock Purchase Plan (the “DSPP”), which was established in 1988. The DSPP provides for two purchase periods each calendar year: January 1 to June 30 and July 1 to December 31. Schlumberger filed registration statements with the SEC to register the shares initially available for purchase under the DSPP as well as to register additional shares that were approved by Schlumberger stockholders in 2005. In 2010, Schlumberger stockholders approved an amendment to the DSPP that, among other things, increased the number of shares available for purchase under the DSPP by 10,000,000 shares. In December 2012, Schlumberger discovered that it had inadvertently failed to file a registration statement with the SEC to register the additional DSPP shares approved in 2010. In December 2012, Schlumberger registered the sale of the shares that remain available for purchase under the DSPP. Prior to such registration, however, some of the shares Schlumberger sold under the DSPP were unregistered. With respect to the six-month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period ending June 30, 2012, 2,197,151 unregistered shares were sold at a discounted purchase price of $59.89 per share, resulting in cash proceeds of approximately $132 million. The Company believes that it has historically provided participants in the DSPP with the same information they would have received had the registration statement been filed. Nonetheless, original purchasers of the unregistered shares may have rescission rights with respect to the shares purchased by them with respect to the six-month purchase period ended June 30, 2012. Schlumberger believes that any liability resulting from a potential rescission would be immaterial, particularly in light of the fact that the market price of Schlumberger’s common stock has exceeded the participants’ discounted purchase price since the date of purchase.</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Selected Financial Data.</w:t>
      </w:r>
    </w:p>
    <w:p>
      <w:pPr>
        <w:spacing w:after="0" w:line="96" w:lineRule="exact"/>
        <w:rPr>
          <w:sz w:val="20"/>
          <w:szCs w:val="20"/>
          <w:color w:val="auto"/>
        </w:rPr>
      </w:pPr>
    </w:p>
    <w:p>
      <w:pPr>
        <w:jc w:val="both"/>
        <w:ind w:right="460" w:firstLine="228"/>
        <w:spacing w:after="0" w:line="306" w:lineRule="auto"/>
        <w:rPr>
          <w:sz w:val="20"/>
          <w:szCs w:val="20"/>
          <w:color w:val="auto"/>
        </w:rPr>
      </w:pPr>
      <w:r>
        <w:rPr>
          <w:rFonts w:ascii="Arial" w:cs="Arial" w:eastAsia="Arial" w:hAnsi="Arial"/>
          <w:sz w:val="16"/>
          <w:szCs w:val="16"/>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13"/>
          </w:tcPr>
          <w:p>
            <w:pPr>
              <w:ind w:left="140"/>
              <w:spacing w:after="0"/>
              <w:rPr>
                <w:sz w:val="20"/>
                <w:szCs w:val="20"/>
                <w:color w:val="auto"/>
              </w:rPr>
            </w:pPr>
            <w:r>
              <w:rPr>
                <w:rFonts w:ascii="Arial" w:cs="Arial" w:eastAsia="Arial" w:hAnsi="Arial"/>
                <w:sz w:val="14"/>
                <w:szCs w:val="14"/>
                <w:b w:val="1"/>
                <w:bCs w:val="1"/>
                <w:color w:val="auto"/>
                <w:w w:val="87"/>
              </w:rPr>
              <w:t>(Stated in millions, except per share amounts)</w:t>
            </w:r>
          </w:p>
        </w:tc>
      </w:tr>
      <w:tr>
        <w:trPr>
          <w:trHeight w:val="298"/>
        </w:trPr>
        <w:tc>
          <w:tcPr>
            <w:tcW w:w="5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4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142"/>
        </w:trPr>
        <w:tc>
          <w:tcPr>
            <w:tcW w:w="5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25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42,149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36,959</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26,672</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22,702</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27,163</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5,468</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4,730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4,253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3,164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5,422</w:t>
            </w:r>
          </w:p>
        </w:tc>
        <w:tc>
          <w:tcPr>
            <w:tcW w:w="60" w:type="dxa"/>
            <w:vAlign w:val="bottom"/>
          </w:tcPr>
          <w:p>
            <w:pPr>
              <w:spacing w:after="0"/>
              <w:rPr>
                <w:sz w:val="12"/>
                <w:szCs w:val="12"/>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 from continuing operations</w:t>
            </w:r>
          </w:p>
        </w:tc>
        <w:tc>
          <w:tcPr>
            <w:tcW w:w="2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4.06</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60" w:type="dxa"/>
            <w:vAlign w:val="bottom"/>
            <w:shd w:val="clear" w:color="auto" w:fill="CCEEFF"/>
          </w:tcPr>
          <w:p>
            <w:pPr>
              <w:spacing w:after="0"/>
              <w:rPr>
                <w:sz w:val="12"/>
                <w:szCs w:val="12"/>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Working capital</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11,788</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10,001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7,233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6,391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4,811</w:t>
            </w:r>
          </w:p>
        </w:tc>
        <w:tc>
          <w:tcPr>
            <w:tcW w:w="60" w:type="dxa"/>
            <w:vAlign w:val="bottom"/>
          </w:tcPr>
          <w:p>
            <w:pPr>
              <w:spacing w:after="0"/>
              <w:rPr>
                <w:sz w:val="12"/>
                <w:szCs w:val="12"/>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61,547</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55,201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51,767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33,465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32,094</w:t>
            </w:r>
          </w:p>
        </w:tc>
        <w:tc>
          <w:tcPr>
            <w:tcW w:w="60" w:type="dxa"/>
            <w:vAlign w:val="bottom"/>
            <w:shd w:val="clear" w:color="auto" w:fill="CCEEFF"/>
          </w:tcPr>
          <w:p>
            <w:pPr>
              <w:spacing w:after="0"/>
              <w:rPr>
                <w:sz w:val="12"/>
                <w:szCs w:val="12"/>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1"/>
                <w:szCs w:val="11"/>
                <w:color w:val="auto"/>
              </w:rPr>
              <w:t xml:space="preserve">Net debt </w:t>
            </w:r>
            <w:r>
              <w:rPr>
                <w:rFonts w:ascii="Arial" w:cs="Arial" w:eastAsia="Arial" w:hAnsi="Arial"/>
                <w:sz w:val="17"/>
                <w:szCs w:val="17"/>
                <w:color w:val="auto"/>
                <w:vertAlign w:val="superscript"/>
              </w:rPr>
              <w:t>(1)</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5,111</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4,850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2,638</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1,129</w:t>
            </w:r>
          </w:p>
        </w:tc>
        <w:tc>
          <w:tcPr>
            <w:tcW w:w="60" w:type="dxa"/>
            <w:vAlign w:val="bottom"/>
          </w:tcPr>
          <w:p>
            <w:pPr>
              <w:spacing w:after="0"/>
              <w:rPr>
                <w:sz w:val="12"/>
                <w:szCs w:val="12"/>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9,509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8,556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3,694</w:t>
            </w:r>
          </w:p>
        </w:tc>
        <w:tc>
          <w:tcPr>
            <w:tcW w:w="60" w:type="dxa"/>
            <w:vAlign w:val="bottom"/>
            <w:shd w:val="clear" w:color="auto" w:fill="CCEEFF"/>
          </w:tcPr>
          <w:p>
            <w:pPr>
              <w:spacing w:after="0"/>
              <w:rPr>
                <w:sz w:val="12"/>
                <w:szCs w:val="12"/>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Schlumberger stockholders’ equity</w:t>
            </w:r>
          </w:p>
        </w:tc>
        <w:tc>
          <w:tcPr>
            <w:tcW w:w="2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34,751</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31,263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31,226</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19,120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16,862</w:t>
            </w:r>
          </w:p>
        </w:tc>
        <w:tc>
          <w:tcPr>
            <w:tcW w:w="60" w:type="dxa"/>
            <w:vAlign w:val="bottom"/>
          </w:tcPr>
          <w:p>
            <w:pPr>
              <w:spacing w:after="0"/>
              <w:rPr>
                <w:sz w:val="12"/>
                <w:szCs w:val="12"/>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2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1.10</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0.84</w:t>
            </w:r>
          </w:p>
        </w:tc>
        <w:tc>
          <w:tcPr>
            <w:tcW w:w="60" w:type="dxa"/>
            <w:vAlign w:val="bottom"/>
            <w:shd w:val="clear" w:color="auto" w:fill="CCEEFF"/>
          </w:tcPr>
          <w:p>
            <w:pPr>
              <w:spacing w:after="0"/>
              <w:rPr>
                <w:sz w:val="12"/>
                <w:szCs w:val="12"/>
                <w:color w:val="auto"/>
              </w:rPr>
            </w:pPr>
          </w:p>
        </w:tc>
      </w:tr>
    </w:tbl>
    <w:p>
      <w:pPr>
        <w:spacing w:after="0" w:line="70" w:lineRule="exact"/>
        <w:rPr>
          <w:sz w:val="20"/>
          <w:szCs w:val="20"/>
          <w:color w:val="auto"/>
        </w:rPr>
      </w:pPr>
    </w:p>
    <w:p>
      <w:pPr>
        <w:ind w:left="220" w:right="300" w:hanging="212"/>
        <w:spacing w:after="0" w:line="186"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0" w:firstLine="228"/>
        <w:spacing w:after="0" w:line="259"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96" w:lineRule="exact"/>
        <w:rPr>
          <w:sz w:val="20"/>
          <w:szCs w:val="20"/>
          <w:color w:val="auto"/>
        </w:rPr>
      </w:pPr>
    </w:p>
    <w:p>
      <w:pPr>
        <w:jc w:val="both"/>
        <w:ind w:right="340" w:firstLine="228"/>
        <w:spacing w:after="0" w:line="253" w:lineRule="auto"/>
        <w:rPr>
          <w:sz w:val="20"/>
          <w:szCs w:val="20"/>
          <w:color w:val="auto"/>
        </w:rPr>
      </w:pPr>
      <w:r>
        <w:rPr>
          <w:rFonts w:ascii="Arial" w:cs="Arial" w:eastAsia="Arial" w:hAnsi="Arial"/>
          <w:sz w:val="18"/>
          <w:szCs w:val="18"/>
          <w:color w:val="auto"/>
        </w:rPr>
        <w:t>Schlumberger revenue reached a new high of $42.15 billion in 2012 – an increase of 14% over 2011 – driven by robust exploration and development both offshore and in key land markets. Outside North America, revenue grew 16%, while North America revenue grew 9%, with strong offshore activity in the US Gulf of Mexico outweighing a challenging land market.</w:t>
      </w:r>
    </w:p>
    <w:p>
      <w:pPr>
        <w:ind w:right="20" w:firstLine="228"/>
        <w:spacing w:after="0" w:line="281" w:lineRule="auto"/>
        <w:rPr>
          <w:sz w:val="20"/>
          <w:szCs w:val="20"/>
          <w:color w:val="auto"/>
        </w:rPr>
      </w:pPr>
      <w:r>
        <w:rPr>
          <w:rFonts w:ascii="Arial" w:cs="Arial" w:eastAsia="Arial" w:hAnsi="Arial"/>
          <w:sz w:val="16"/>
          <w:szCs w:val="16"/>
          <w:color w:val="auto"/>
        </w:rPr>
        <w:t>Global demand for oil recorded annual growth of some 0.8 million barrels per day for the second year running following the exceptionally strong recovery of 2010. Lower demand in the OECD countries through energy efficiency gains tempered stronger growth in the non-OECD economies and in China in particular. Oil supply grew by more than one million barrels per day in North America as light tight oil production accelerated although this was partially offset by decline in a number of non-OPEC countries. Within OPEC, production in Libya continued to recover leading to a slight increase in spare capacity, which remained relatively slim. This, together with ongoing geopolitical tension and the associated risk of supply disruption, continued to support oil prices.</w:t>
      </w:r>
    </w:p>
    <w:p>
      <w:pPr>
        <w:spacing w:after="0" w:line="3"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For natural gas, the three main markets continued to behave independently. In North America, storage levels remained at record highs throughout the year as a result of growing domestic production and mild weather that pushed spot prices to 10-year lows in April. Toward the end of the year, however, storage levels returned closer to historical averages. In Asia, natural gas prices remained close to oil parity, supported by sustained high demand in Japan following the 2011 nuclear incident and by strong demand in China. In Europe, lower demand was offset by declining domestic supply and the effect of demand in Asia.</w:t>
      </w:r>
    </w:p>
    <w:p>
      <w:pPr>
        <w:spacing w:after="0" w:line="3"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In this environment, Schlumberger achieved a record high for revenue, with strong contributions from all Areas. International performance was led by the Europe/CIS/Africa Area, where revenue was up 18%, mainly from strength in Russia and in the Nigeria &amp; Gulf of Guinea, Angola, East Africa and North Sea GeoMarkets. In Latin America, revenue grew by 17%, driven by Integrated Project Management contracts on land, and activity for Wireline services and Drilling Group product and services offshore – mainly in the Mexico &amp; Central America; Venezuela, Trinidad &amp; Tobago; and Ecuador GeoMarkets. Revenue in the Middle East &amp; Asia Area increased by 13% on strong results in the Saudi Arabia &amp; Bahrain, Australasia, Brunei, Malaysia &amp; Philippines, and China GeoMarkets. And in North America, revenue grew by $1.2 billion to reach $13.5 billion, driven by a robust 38% increase in demand for deepwater and exploration services offshore, particularly in the US Gulf of Mexico. Revenue from North America land also improved a modest 4% on strong demand for Production Group technology, although this was tempered by weakness in the hydraulic fracturing market.</w:t>
      </w:r>
    </w:p>
    <w:p>
      <w:pPr>
        <w:spacing w:after="0" w:line="5"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All Product Groups recorded double-digit revenue growth. Reservoir Characterization revenue of $11.4 billion increased by 15%, with all Technologies also posting double-digit growth driven by offshore exploration activity across the Areas. Drilling Group revenue increased 15% to $16.0 billion, led by strong growth in M-I SWACO, Drilling &amp; Measurements, and Drilling Tools &amp; Remedial technologies. Production Group revenue of $14.9 billion increased 13%, with double-digit growth in Well Intervention, Completions and Artificial Lift Technologies. Well Services revenue also increased, primarily from offshore activity.</w:t>
      </w:r>
    </w:p>
    <w:p>
      <w:pPr>
        <w:spacing w:after="0" w:line="3"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Entering 2013, the world macroeconomic environment remains uncertain with the GDP growth outlook unchanged. However, global oil demand is expected to grow at similar levels to those seen in 2012 and 2011 and supply will see further growth in North America as light tight oil production increases. Other non-OPEC production, however, can be expected to continue to face delays and decline challenges. As a result, global spare capacity should remain largely unchanged absent any unexpected macroeconomic or geopolitical events, and this will support oil prices within the band we have seen since 2011. For natural gas, little change is expected in the behavior of the main geographical markets in 2013.</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Fourth Quarter 2012 Results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Fourth Quarter 2012</w:t>
            </w:r>
          </w:p>
        </w:tc>
        <w:tc>
          <w:tcPr>
            <w:tcW w:w="100" w:type="dxa"/>
            <w:vAlign w:val="bottom"/>
          </w:tcPr>
          <w:p>
            <w:pPr>
              <w:spacing w:after="0"/>
              <w:rPr>
                <w:sz w:val="21"/>
                <w:szCs w:val="21"/>
                <w:color w:val="auto"/>
              </w:rPr>
            </w:pPr>
          </w:p>
        </w:tc>
        <w:tc>
          <w:tcPr>
            <w:tcW w:w="1460" w:type="dxa"/>
            <w:vAlign w:val="bottom"/>
            <w:gridSpan w:val="5"/>
          </w:tcPr>
          <w:p>
            <w:pPr>
              <w:jc w:val="right"/>
              <w:ind w:right="80"/>
              <w:spacing w:after="0"/>
              <w:rPr>
                <w:sz w:val="20"/>
                <w:szCs w:val="20"/>
                <w:color w:val="auto"/>
              </w:rPr>
            </w:pPr>
            <w:r>
              <w:rPr>
                <w:rFonts w:ascii="Arial" w:cs="Arial" w:eastAsia="Arial" w:hAnsi="Arial"/>
                <w:sz w:val="14"/>
                <w:szCs w:val="14"/>
                <w:color w:val="auto"/>
              </w:rPr>
              <w:t>Third Quarter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Income</w:t>
            </w: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7"/>
              </w:rPr>
              <w:t>Income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before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Revenue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taxes</w:t>
            </w:r>
          </w:p>
        </w:tc>
        <w:tc>
          <w:tcPr>
            <w:tcW w:w="1000" w:type="dxa"/>
            <w:vAlign w:val="bottom"/>
            <w:gridSpan w:val="3"/>
          </w:tcPr>
          <w:p>
            <w:pPr>
              <w:jc w:val="right"/>
              <w:ind w:right="500"/>
              <w:spacing w:after="0"/>
              <w:rPr>
                <w:sz w:val="20"/>
                <w:szCs w:val="20"/>
                <w:color w:val="auto"/>
              </w:rPr>
            </w:pPr>
            <w:r>
              <w:rPr>
                <w:rFonts w:ascii="Arial" w:cs="Arial" w:eastAsia="Arial" w:hAnsi="Arial"/>
                <w:sz w:val="14"/>
                <w:szCs w:val="14"/>
                <w:color w:val="auto"/>
                <w:w w:val="85"/>
              </w:rPr>
              <w:t>Revenue</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Oilfield Services</w:t>
            </w:r>
          </w:p>
        </w:tc>
        <w:tc>
          <w:tcPr>
            <w:tcW w:w="29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Reservoir Characterization</w:t>
            </w:r>
          </w:p>
        </w:tc>
        <w:tc>
          <w:tcPr>
            <w:tcW w:w="3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3,150</w:t>
            </w:r>
          </w:p>
        </w:tc>
        <w:tc>
          <w:tcPr>
            <w:tcW w:w="2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917</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2,910</w:t>
            </w:r>
          </w:p>
        </w:tc>
        <w:tc>
          <w:tcPr>
            <w:tcW w:w="5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Drilling</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4,137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4,048</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Production</w:t>
            </w: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3,924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3,675</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&amp; other</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11,174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2,164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10,608</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2,142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Corporate &amp; other </w:t>
            </w:r>
            <w:r>
              <w:rPr>
                <w:rFonts w:ascii="Arial" w:cs="Arial" w:eastAsia="Arial" w:hAnsi="Arial"/>
                <w:sz w:val="17"/>
                <w:szCs w:val="17"/>
                <w:b w:val="1"/>
                <w:bCs w:val="1"/>
                <w:color w:val="auto"/>
                <w:vertAlign w:val="superscript"/>
              </w:rPr>
              <w:t>(1)</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Interest income </w:t>
            </w:r>
            <w:r>
              <w:rPr>
                <w:rFonts w:ascii="Arial" w:cs="Arial" w:eastAsia="Arial" w:hAnsi="Arial"/>
                <w:sz w:val="17"/>
                <w:szCs w:val="17"/>
                <w:b w:val="1"/>
                <w:bCs w:val="1"/>
                <w:color w:val="auto"/>
                <w:vertAlign w:val="superscript"/>
              </w:rPr>
              <w:t>(2)</w:t>
            </w: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Interest expense </w:t>
            </w:r>
            <w:r>
              <w:rPr>
                <w:rFonts w:ascii="Arial" w:cs="Arial" w:eastAsia="Arial" w:hAnsi="Arial"/>
                <w:sz w:val="17"/>
                <w:szCs w:val="17"/>
                <w:b w:val="1"/>
                <w:bCs w:val="1"/>
                <w:color w:val="auto"/>
                <w:vertAlign w:val="superscript"/>
              </w:rPr>
              <w:t>(3)</w:t>
            </w: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Charges &amp; credits </w:t>
            </w:r>
            <w:r>
              <w:rPr>
                <w:rFonts w:ascii="Arial" w:cs="Arial" w:eastAsia="Arial" w:hAnsi="Arial"/>
                <w:sz w:val="17"/>
                <w:szCs w:val="17"/>
                <w:color w:val="auto"/>
                <w:vertAlign w:val="superscript"/>
              </w:rPr>
              <w:t>(4)</w:t>
            </w: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11,174</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1,807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10,608</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5"/>
              </w:rPr>
              <w:t>(Stated in millions)</w:t>
            </w:r>
          </w:p>
        </w:tc>
      </w:tr>
      <w:tr>
        <w:trPr>
          <w:trHeight w:val="244"/>
        </w:trPr>
        <w:tc>
          <w:tcPr>
            <w:tcW w:w="8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Fourth Quarter 2012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5"/>
          </w:tcPr>
          <w:p>
            <w:pPr>
              <w:jc w:val="right"/>
              <w:ind w:right="80"/>
              <w:spacing w:after="0"/>
              <w:rPr>
                <w:sz w:val="20"/>
                <w:szCs w:val="20"/>
                <w:color w:val="auto"/>
              </w:rPr>
            </w:pPr>
            <w:r>
              <w:rPr>
                <w:rFonts w:ascii="Arial" w:cs="Arial" w:eastAsia="Arial" w:hAnsi="Arial"/>
                <w:sz w:val="14"/>
                <w:szCs w:val="14"/>
                <w:color w:val="auto"/>
              </w:rPr>
              <w:t>Third Quarter 2012</w:t>
            </w:r>
          </w:p>
        </w:tc>
      </w:tr>
      <w:tr>
        <w:trPr>
          <w:trHeight w:val="129"/>
        </w:trPr>
        <w:tc>
          <w:tcPr>
            <w:tcW w:w="8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1"/>
                <w:szCs w:val="11"/>
                <w:color w:val="auto"/>
              </w:rPr>
            </w:pPr>
          </w:p>
        </w:tc>
      </w:tr>
      <w:tr>
        <w:trPr>
          <w:trHeight w:val="149"/>
        </w:trPr>
        <w:tc>
          <w:tcPr>
            <w:tcW w:w="8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before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before</w:t>
            </w:r>
          </w:p>
        </w:tc>
      </w:tr>
      <w:tr>
        <w:trPr>
          <w:trHeight w:val="161"/>
        </w:trPr>
        <w:tc>
          <w:tcPr>
            <w:tcW w:w="81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taxes</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2"/>
              </w:rPr>
              <w:t>taxes</w:t>
            </w:r>
          </w:p>
        </w:tc>
      </w:tr>
      <w:tr>
        <w:trPr>
          <w:trHeight w:val="129"/>
        </w:trPr>
        <w:tc>
          <w:tcPr>
            <w:tcW w:w="8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Oilfield Services</w:t>
            </w: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8140" w:type="dxa"/>
            <w:vAlign w:val="bottom"/>
          </w:tcPr>
          <w:p>
            <w:pPr>
              <w:ind w:left="440"/>
              <w:spacing w:after="0" w:line="149" w:lineRule="exact"/>
              <w:rPr>
                <w:sz w:val="20"/>
                <w:szCs w:val="20"/>
                <w:color w:val="auto"/>
              </w:rPr>
            </w:pPr>
            <w:r>
              <w:rPr>
                <w:rFonts w:ascii="Arial" w:cs="Arial" w:eastAsia="Arial" w:hAnsi="Arial"/>
                <w:sz w:val="14"/>
                <w:szCs w:val="14"/>
                <w:color w:val="auto"/>
              </w:rPr>
              <w:t>North America</w:t>
            </w:r>
          </w:p>
        </w:tc>
        <w:tc>
          <w:tcPr>
            <w:tcW w:w="120" w:type="dxa"/>
            <w:vAlign w:val="bottom"/>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3,409</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655</w:t>
            </w:r>
          </w:p>
        </w:tc>
        <w:tc>
          <w:tcPr>
            <w:tcW w:w="22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3,290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w:t>
            </w:r>
          </w:p>
        </w:tc>
      </w:tr>
      <w:tr>
        <w:trPr>
          <w:trHeight w:val="149"/>
        </w:trPr>
        <w:tc>
          <w:tcPr>
            <w:tcW w:w="8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Latin America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2,071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1,860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w:t>
            </w:r>
          </w:p>
        </w:tc>
      </w:tr>
      <w:tr>
        <w:trPr>
          <w:trHeight w:val="149"/>
        </w:trPr>
        <w:tc>
          <w:tcPr>
            <w:tcW w:w="8140" w:type="dxa"/>
            <w:vAlign w:val="bottom"/>
          </w:tcPr>
          <w:p>
            <w:pPr>
              <w:ind w:left="440"/>
              <w:spacing w:after="0" w:line="149" w:lineRule="exact"/>
              <w:rPr>
                <w:sz w:val="20"/>
                <w:szCs w:val="20"/>
                <w:color w:val="auto"/>
              </w:rPr>
            </w:pPr>
            <w:r>
              <w:rPr>
                <w:rFonts w:ascii="Arial" w:cs="Arial" w:eastAsia="Arial" w:hAnsi="Arial"/>
                <w:sz w:val="14"/>
                <w:szCs w:val="14"/>
                <w:color w:val="auto"/>
              </w:rPr>
              <w:t>Europe/CIS/Africa</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2,958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2,985</w:t>
            </w: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646</w:t>
            </w:r>
          </w:p>
        </w:tc>
      </w:tr>
      <w:tr>
        <w:trPr>
          <w:trHeight w:val="149"/>
        </w:trPr>
        <w:tc>
          <w:tcPr>
            <w:tcW w:w="81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Middle East &amp; Asia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2,577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2,352</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w:t>
            </w:r>
          </w:p>
        </w:tc>
      </w:tr>
      <w:tr>
        <w:trPr>
          <w:trHeight w:val="156"/>
        </w:trPr>
        <w:tc>
          <w:tcPr>
            <w:tcW w:w="8140" w:type="dxa"/>
            <w:vAlign w:val="bottom"/>
          </w:tcPr>
          <w:p>
            <w:pPr>
              <w:ind w:left="440"/>
              <w:spacing w:after="0" w:line="149" w:lineRule="exact"/>
              <w:rPr>
                <w:sz w:val="20"/>
                <w:szCs w:val="20"/>
                <w:color w:val="auto"/>
              </w:rPr>
            </w:pPr>
            <w:r>
              <w:rPr>
                <w:rFonts w:ascii="Arial" w:cs="Arial" w:eastAsia="Arial" w:hAnsi="Arial"/>
                <w:sz w:val="14"/>
                <w:szCs w:val="14"/>
                <w:color w:val="auto"/>
              </w:rPr>
              <w:t>Eliminations &amp; other</w:t>
            </w:r>
          </w:p>
        </w:tc>
        <w:tc>
          <w:tcPr>
            <w:tcW w:w="120" w:type="dxa"/>
            <w:vAlign w:val="bottom"/>
          </w:tcPr>
          <w:p>
            <w:pPr>
              <w:spacing w:after="0"/>
              <w:rPr>
                <w:sz w:val="13"/>
                <w:szCs w:val="13"/>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3"/>
                <w:szCs w:val="13"/>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r>
      <w:tr>
        <w:trPr>
          <w:trHeight w:val="149"/>
        </w:trPr>
        <w:tc>
          <w:tcPr>
            <w:tcW w:w="8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11,174</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2,164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10,608</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2,142</w:t>
            </w:r>
          </w:p>
        </w:tc>
        <w:tc>
          <w:tcPr>
            <w:tcW w:w="80" w:type="dxa"/>
            <w:vAlign w:val="bottom"/>
            <w:shd w:val="clear" w:color="auto" w:fill="CCEEFF"/>
          </w:tcPr>
          <w:p>
            <w:pPr>
              <w:spacing w:after="0"/>
              <w:rPr>
                <w:sz w:val="12"/>
                <w:szCs w:val="12"/>
                <w:color w:val="auto"/>
              </w:rPr>
            </w:pPr>
          </w:p>
        </w:tc>
      </w:tr>
      <w:tr>
        <w:trPr>
          <w:trHeight w:val="156"/>
        </w:trPr>
        <w:tc>
          <w:tcPr>
            <w:tcW w:w="8140" w:type="dxa"/>
            <w:vAlign w:val="bottom"/>
          </w:tcPr>
          <w:p>
            <w:pPr>
              <w:ind w:left="440"/>
              <w:spacing w:after="0" w:line="156" w:lineRule="exact"/>
              <w:rPr>
                <w:sz w:val="20"/>
                <w:szCs w:val="20"/>
                <w:color w:val="auto"/>
              </w:rPr>
            </w:pPr>
            <w:r>
              <w:rPr>
                <w:rFonts w:ascii="Arial" w:cs="Arial" w:eastAsia="Arial" w:hAnsi="Arial"/>
                <w:sz w:val="12"/>
                <w:szCs w:val="12"/>
                <w:color w:val="auto"/>
              </w:rPr>
              <w:t xml:space="preserve">Corporate &amp; other </w:t>
            </w:r>
            <w:r>
              <w:rPr>
                <w:rFonts w:ascii="Arial" w:cs="Arial" w:eastAsia="Arial" w:hAnsi="Arial"/>
                <w:sz w:val="18"/>
                <w:szCs w:val="18"/>
                <w:color w:val="auto"/>
                <w:vertAlign w:val="superscript"/>
              </w:rPr>
              <w:t>(1)</w:t>
            </w:r>
          </w:p>
        </w:tc>
        <w:tc>
          <w:tcPr>
            <w:tcW w:w="120" w:type="dxa"/>
            <w:vAlign w:val="bottom"/>
          </w:tcPr>
          <w:p>
            <w:pPr>
              <w:spacing w:after="0"/>
              <w:rPr>
                <w:sz w:val="13"/>
                <w:szCs w:val="13"/>
                <w:color w:val="auto"/>
              </w:rPr>
            </w:pPr>
          </w:p>
        </w:tc>
        <w:tc>
          <w:tcPr>
            <w:tcW w:w="8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(180)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(176)</w:t>
            </w:r>
          </w:p>
        </w:tc>
      </w:tr>
      <w:tr>
        <w:trPr>
          <w:trHeight w:val="149"/>
        </w:trPr>
        <w:tc>
          <w:tcPr>
            <w:tcW w:w="814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 xml:space="preserve">Interest income </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r>
      <w:tr>
        <w:trPr>
          <w:trHeight w:val="149"/>
        </w:trPr>
        <w:tc>
          <w:tcPr>
            <w:tcW w:w="8140" w:type="dxa"/>
            <w:vAlign w:val="bottom"/>
          </w:tcPr>
          <w:p>
            <w:pPr>
              <w:ind w:left="440"/>
              <w:spacing w:after="0" w:line="149" w:lineRule="exact"/>
              <w:rPr>
                <w:sz w:val="20"/>
                <w:szCs w:val="20"/>
                <w:color w:val="auto"/>
              </w:rPr>
            </w:pPr>
            <w:r>
              <w:rPr>
                <w:rFonts w:ascii="Arial" w:cs="Arial" w:eastAsia="Arial" w:hAnsi="Arial"/>
                <w:sz w:val="11"/>
                <w:szCs w:val="11"/>
                <w:color w:val="auto"/>
              </w:rPr>
              <w:t xml:space="preserve">Interest expense </w:t>
            </w:r>
            <w:r>
              <w:rPr>
                <w:rFonts w:ascii="Arial" w:cs="Arial" w:eastAsia="Arial" w:hAnsi="Arial"/>
                <w:sz w:val="17"/>
                <w:szCs w:val="17"/>
                <w:color w:val="auto"/>
                <w:vertAlign w:val="superscript"/>
              </w:rPr>
              <w:t>(3)</w:t>
            </w:r>
          </w:p>
        </w:tc>
        <w:tc>
          <w:tcPr>
            <w:tcW w:w="12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w:t>
            </w:r>
          </w:p>
        </w:tc>
      </w:tr>
      <w:tr>
        <w:trPr>
          <w:trHeight w:val="149"/>
        </w:trPr>
        <w:tc>
          <w:tcPr>
            <w:tcW w:w="814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 xml:space="preserve">Charges &amp; credits </w:t>
            </w:r>
            <w:r>
              <w:rPr>
                <w:rFonts w:ascii="Arial" w:cs="Arial" w:eastAsia="Arial" w:hAnsi="Arial"/>
                <w:sz w:val="17"/>
                <w:szCs w:val="17"/>
                <w:color w:val="auto"/>
                <w:vertAlign w:val="superscript"/>
              </w:rPr>
              <w:t>(4)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r>
      <w:tr>
        <w:trPr>
          <w:trHeight w:val="20"/>
        </w:trPr>
        <w:tc>
          <w:tcPr>
            <w:tcW w:w="8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814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11,174</w:t>
            </w:r>
          </w:p>
        </w:tc>
        <w:tc>
          <w:tcPr>
            <w:tcW w:w="3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1,807</w:t>
            </w:r>
          </w:p>
        </w:tc>
        <w:tc>
          <w:tcPr>
            <w:tcW w:w="220" w:type="dxa"/>
            <w:vAlign w:val="bottom"/>
          </w:tcPr>
          <w:p>
            <w:pPr>
              <w:spacing w:after="0"/>
              <w:rPr>
                <w:sz w:val="13"/>
                <w:szCs w:val="13"/>
                <w:color w:val="auto"/>
              </w:rPr>
            </w:pPr>
          </w:p>
        </w:tc>
        <w:tc>
          <w:tcPr>
            <w:tcW w:w="2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88"/>
              </w:rPr>
              <w:t>10,608</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1,857</w:t>
            </w: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240" w:hanging="332"/>
        <w:spacing w:after="0" w:line="189" w:lineRule="auto"/>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Comprised principally of corporate expenses not allocated to the segments, interest on postretirement medical benefits, stock-based compensation costs, amortization expense associated with intangible assets recorded as a result of the 2010 acquisition of Smith International, Inc. (“Smith”) and certain other nonoperating items.</w:t>
      </w:r>
    </w:p>
    <w:p>
      <w:pPr>
        <w:spacing w:after="0" w:line="1"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Excludes interest income included in the segments’ income (fourth quarter 2012 – $- million; third quarter 2012 – $- million).</w:t>
      </w:r>
    </w:p>
    <w:p>
      <w:pPr>
        <w:ind w:left="340" w:hanging="332"/>
        <w:spacing w:after="0" w:line="182" w:lineRule="auto"/>
        <w:tabs>
          <w:tab w:leader="none" w:pos="340"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Excludes interest expense included in the segments’ income (fourth quarter 2012–$3 million; third quarter 2012 – $3 million).</w:t>
      </w:r>
    </w:p>
    <w:p>
      <w:pPr>
        <w:ind w:left="340" w:hanging="332"/>
        <w:spacing w:after="0" w:line="185"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 xml:space="preserve">Charges and credits are described in detail in Note 3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Oilfield Services</w:t>
      </w:r>
    </w:p>
    <w:p>
      <w:pPr>
        <w:spacing w:after="0" w:line="90"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Fourth-quarter revenue of $11.17 billion increased $567 million or 5% sequentially, on robust international activity. Of the revenue increase, approximately 36% came from the typical year-end surge in product and software sales, and 12% came from the increase in WesternGeco multiclient sales. Reservoir Characterization Group revenue grew 8% to reach $3.2 billion, while Drilling Group revenue of $4.1 billion was 2% higher. Production Group revenue increased 7% to $3.9 billion. Geographically, International revenue of $7.6 billion increased $409 million or 6% sequentially, while North America revenue of $3.4 billion grew by $118 million or 4% sequentially.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20" w:firstLine="228"/>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sequential increase in Reservoir Characterization Group revenue resulted mainly from robust international end-of-year Schlumberger Information Solutions (SIS) software sales. Testing Services grew for the third successive quarter from higher activity in the Saudi Arabia &amp; Bahrain GeoMarket. PetroTechnical Services posted double-digit revenue growth on strong consulting activity in the Mexico &amp; Central America GeoMarket. WesternGeco increased slightly as the end-of-year multiclient sales and UniQ* land seismic technology direct sale in Russia were partly offset by a sharp seasonal decline in Marine revenue on lower vessel utilization following the seasonal transits out of the North Sea. Wireline revenue grew from increased activity in the US Gulf of Mexico but this was largely offset by a seasonal activity decline in Asia. Drilling Group revenue increased on international and offshore demand for Drilling &amp; Measurements and M-I SWACO technologies. Drilling Tools &amp; Remedial Services also contributed to growth with the full-quarter revenue from Radius services. IPM improved slightly as the combination of an increase in projects in Australia and new start-ups in Iraq and Argentina was partly offset by project completions in North Africa. The increase in Production Group revenue resulted primarily from stronger Completions and Artificial Lift product year- end sales coupled with new Framo subsea projects in the US Gulf of Mexico and in the North Sea and Angola GeoMarkets. Well Intervention Services revenue also increased on higher activity in the Mexico &amp; Central America and Saudi Arabia &amp; Bahrain GeoMarkets. Well Services revenue grew mainly due to higher activity in international and offshore North America markets. Well Services stage count in North America land also increased, but revenue declined from continued pricing weakness as a result of hydraulic horsepower oversupply.</w:t>
      </w:r>
    </w:p>
    <w:p>
      <w:pPr>
        <w:spacing w:after="0" w:line="5"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Among the Areas, Middle East &amp; Asia revenue of $2.6 billion grew 10% sequentially led by the start of new IPM turnkey projects in Iraq; higher Testing, Well Intervention and Drilling Group services in addition to year-end product sales in the Saudi Arabia &amp; Bahrain GeoMarket; the start of the Jurassic seismic project as well as strong product and year-end software sales in Kuwait; and the increase in IPM onshore projects and strong drilling activity in the Australasia GeoMarket. In Latin America, revenue of $2.1 billion increased 11% sequentially led by robust year-end software and product sales, strong PetroTechnical Services consulting activity, unconventional fracturing and well intervention stimulation activity in the Mexico &amp; Central America GeoMarket. Higher WesternGeco vessel utilization for new seismic acquisition surveys in Brazil, Trinidad and Uruguay, coupled with the start of an IPM project in Argentina, also contributed to the increase. In Europe/CIS/Africa, revenue of $3.0 billion declined 1% mainly due to lower WesternGeco vessel utilization following the seasonal transit of vessels out of the North Sea. Completed IPM projects and service contract delays in North Africa and the completion of the WesternGeco survey in the Kara Sea in Russia also contributed to the decline. The sequential decrease, however, was partially offset by increased activity in Angola and higher product and software sales in the Russia and Central Asia region and the Continental Europe GeoMarket. North America revenue of $3.4 billion increased 4% sequentially— mainly from offshore which rose by 24%, while land fell by 2%. The increase in offshore revenue resulted from both higher drilling activity as the number of deepwater drilling rigs increased and stronger year-end WesternGeco multiclient sales. The decline in land revenue was mainly due to continued pricing weakness for Well Services hydraulic fracturing activities. A seasonal decline in deviated and horizontal land drilling activity paired with pricing weakness also affected the Drilling Group segment in North America.</w:t>
      </w:r>
    </w:p>
    <w:p>
      <w:pPr>
        <w:spacing w:after="0" w:line="9"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On a worldwide basis, fourth-quarter pretax operating income of $2.2 billion increased 1% sequentially. International pretax operating income of $1.6 billion grew 1%, while North America pretax operating income of $655 million increased 7%.</w:t>
      </w:r>
    </w:p>
    <w:p>
      <w:pPr>
        <w:spacing w:after="0" w:line="1" w:lineRule="exact"/>
        <w:rPr>
          <w:sz w:val="20"/>
          <w:szCs w:val="20"/>
          <w:color w:val="auto"/>
        </w:rPr>
      </w:pPr>
    </w:p>
    <w:p>
      <w:pPr>
        <w:ind w:right="20" w:firstLine="228"/>
        <w:spacing w:after="0" w:line="292" w:lineRule="auto"/>
        <w:rPr>
          <w:sz w:val="20"/>
          <w:szCs w:val="20"/>
          <w:color w:val="auto"/>
        </w:rPr>
      </w:pPr>
      <w:r>
        <w:rPr>
          <w:rFonts w:ascii="Arial" w:cs="Arial" w:eastAsia="Arial" w:hAnsi="Arial"/>
          <w:sz w:val="16"/>
          <w:szCs w:val="16"/>
          <w:color w:val="auto"/>
        </w:rPr>
        <w:t>Pretax operating margin of 19.4% declined 83 basis points (bps) sequentially. International pretax operating margin of 20.5% declined 104 bps, which stemmed from a higher-than-usual seasonal slowdown and contractual delays in the Europe/CIS/Africa Area that traditionally attract higher margins. In North America, pretax operating margin of 19.2% increased 65 bps sequentially due to the increased contribution of high-margin offshore services, particularly in the US Gulf of Mexico, which more than offset margin decline in Drilling Group and Well Services activities on land. By segment, Reservoir Characterization Group pretax operating margin reached 29.1% while the pretax operating margins of the Drilling and Production Groups were 16.8% and 15.0%,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left="240"/>
        <w:spacing w:after="0" w:line="305" w:lineRule="auto"/>
        <w:rPr>
          <w:sz w:val="20"/>
          <w:szCs w:val="20"/>
          <w:color w:val="auto"/>
        </w:rPr>
      </w:pPr>
      <w:r>
        <w:rPr>
          <w:rFonts w:ascii="Arial" w:cs="Arial" w:eastAsia="Arial" w:hAnsi="Arial"/>
          <w:sz w:val="15"/>
          <w:szCs w:val="15"/>
          <w:color w:val="auto"/>
        </w:rPr>
        <w:t>Fourth-quarter revenue of $3.15 billion increased $240 million or 8% sequentially. Pretax operating income of $917 million was 9% higher sequentially. Revenue increased mainly through robust international end-of-year SIS software sales while Testing Services grew for the third successive quarter from higher</w:t>
      </w:r>
    </w:p>
    <w:p>
      <w:pPr>
        <w:spacing w:after="0"/>
        <w:rPr>
          <w:sz w:val="20"/>
          <w:szCs w:val="20"/>
          <w:color w:val="auto"/>
        </w:rPr>
      </w:pPr>
      <w:r>
        <w:rPr>
          <w:rFonts w:ascii="Arial" w:cs="Arial" w:eastAsia="Arial" w:hAnsi="Arial"/>
          <w:sz w:val="18"/>
          <w:szCs w:val="18"/>
          <w:color w:val="auto"/>
        </w:rPr>
        <w:t>activity in the Saudi Arabia &amp; Bahrain and Mexico &amp; Central America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GeoMarkets. PetroTechnical Services revenue also posted double-digit growth on strong consulting activity in the Mexico &amp; Central America GeoMarket. WesternGeco increased slightly as the end-of-year multiclient sales and UniQ land seismic technology direct sale in Russia were partly offset by the sharp seasonal decline in Marine revenue on lower vessel utilization following seasonal transits out of the North Sea. Wireline grew slightly on increased activity in the US Gulf of Mexico following the recovery from the activity shut-down associated with Hurricane Isaac in the previous quarter, but this was offset by a seasonal activity decline in Asia, mainly in the Australasia and China GeoMarkets.</w:t>
      </w:r>
    </w:p>
    <w:p>
      <w:pPr>
        <w:spacing w:after="0" w:line="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Pretax operating margin of 29.1% increased 31 bps sequentially. Margin expansion was primarily due to traditionally strong end-of-year sales of Schlumberger Information Services (SIS) software and WesternGeco multiclient licenses. Testing Services, Wireline and PetroTechnical Services margins also expanded on a more favorable technology mix in exploration and development projects. These improvements were, however, subdued by lower WesternGeco Marine margin as a result of lower vessel utilization.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left="240" w:right="280"/>
        <w:spacing w:after="0" w:line="286" w:lineRule="auto"/>
        <w:rPr>
          <w:sz w:val="20"/>
          <w:szCs w:val="20"/>
          <w:color w:val="auto"/>
        </w:rPr>
      </w:pPr>
      <w:r>
        <w:rPr>
          <w:rFonts w:ascii="Arial" w:cs="Arial" w:eastAsia="Arial" w:hAnsi="Arial"/>
          <w:sz w:val="16"/>
          <w:szCs w:val="16"/>
          <w:color w:val="auto"/>
        </w:rPr>
        <w:t>Fourth-quarter revenue of $4.1 billion increased $88 million or 2% sequentially. Pretax operating income of $696 million was 5% lower sequentially. Revenue increased on international and offshore demand for Drilling &amp; Measurements and M-I SWACO products and services. Drilling Tools &amp; Remedial</w:t>
      </w:r>
    </w:p>
    <w:p>
      <w:pPr>
        <w:ind w:right="20"/>
        <w:spacing w:after="0" w:line="281" w:lineRule="auto"/>
        <w:rPr>
          <w:sz w:val="20"/>
          <w:szCs w:val="20"/>
          <w:color w:val="auto"/>
        </w:rPr>
      </w:pPr>
      <w:r>
        <w:rPr>
          <w:rFonts w:ascii="Arial" w:cs="Arial" w:eastAsia="Arial" w:hAnsi="Arial"/>
          <w:sz w:val="16"/>
          <w:szCs w:val="16"/>
          <w:color w:val="auto"/>
        </w:rPr>
        <w:t>Services activity also contributed to growth with a full-quarter of revenue for Radius services. IPM revenue grew slightly, as increased projects in Australia and new start-ups in Iraq and Argentina were partly offset by project completions in North Africa. The overall revenue increase was tempered by a decline in drilling-related services, mainly in North America land, due to a seasonal decline in deviated and horizontal drilling activity coupled with pricing weakness.</w:t>
      </w:r>
    </w:p>
    <w:p>
      <w:pPr>
        <w:spacing w:after="0" w:line="2"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Pretax operating margin of 16.8% decreased 128 bps sequentially. Among the Group Technologies, sequential margins in Drilling &amp; Measurements and Drilling Tools &amp; Remedial Services were flat, while margin contractions were recorded at M-I SWACO and IPM due to geographical mix and operational and start-up delays.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Fourth-quarter revenue of $3.9 billion increased $249 million or 7% sequentially. Pretax operating income of $590 million was 8% higher sequentially.</w:t>
      </w:r>
    </w:p>
    <w:p>
      <w:pPr>
        <w:spacing w:after="0" w:line="38"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 increase in revenue resulted primarily from stronger Completions and Artificial Lift product year-end sales coupled with new Framo subsea projects in the US Gulf of Mexico and in the North Sea and Angola GeoMarkets. Well Intervention Services revenue increased on higher activity in the Mexico &amp; Central America and Saudi Arabia &amp; Bahrain GeoMarkets. Well Services revenue grew mainly due to higher activity in the international and the North America offshore markets. International activities were strong from stimulation vessel operations in Brazil, unconventional fracturing activity in Mexico, and new projects in Kuwait and Iraq. Well Services stage count in North America land also grew but land revenue declined on continued pricing weakness from the oversupply of hydraulic horsepower.</w:t>
      </w:r>
    </w:p>
    <w:p>
      <w:pPr>
        <w:spacing w:after="0" w:line="3" w:lineRule="exact"/>
        <w:rPr>
          <w:sz w:val="20"/>
          <w:szCs w:val="20"/>
          <w:color w:val="auto"/>
        </w:rPr>
      </w:pPr>
    </w:p>
    <w:p>
      <w:pPr>
        <w:jc w:val="both"/>
        <w:ind w:right="400" w:firstLine="228"/>
        <w:spacing w:after="0" w:line="255" w:lineRule="auto"/>
        <w:rPr>
          <w:sz w:val="20"/>
          <w:szCs w:val="20"/>
          <w:color w:val="auto"/>
        </w:rPr>
      </w:pPr>
      <w:r>
        <w:rPr>
          <w:rFonts w:ascii="Arial" w:cs="Arial" w:eastAsia="Arial" w:hAnsi="Arial"/>
          <w:sz w:val="18"/>
          <w:szCs w:val="18"/>
          <w:color w:val="auto"/>
        </w:rPr>
        <w:t>Pretax operating margin increased 13 bps sequentially to 15%. The increase was largely attributable to the favorable impact of year-end Completions and Artificial Lift product sales coupled with improved profitability from new Framo subsea projects. This margin increase was largely offset by continued Well Services pricing weakness.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Full-Year 2012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2"/>
              </w:rPr>
              <w:t>(Stated in millions)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3"/>
              </w:rPr>
              <w:t>2011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before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taxes</w:t>
            </w:r>
          </w:p>
        </w:tc>
        <w:tc>
          <w:tcPr>
            <w:tcW w:w="680" w:type="dxa"/>
            <w:vAlign w:val="bottom"/>
            <w:gridSpan w:val="4"/>
          </w:tcPr>
          <w:p>
            <w:pPr>
              <w:ind w:left="180"/>
              <w:spacing w:after="0"/>
              <w:rPr>
                <w:sz w:val="20"/>
                <w:szCs w:val="20"/>
                <w:color w:val="auto"/>
              </w:rPr>
            </w:pPr>
            <w:r>
              <w:rPr>
                <w:rFonts w:ascii="Arial" w:cs="Arial" w:eastAsia="Arial" w:hAnsi="Arial"/>
                <w:sz w:val="14"/>
                <w:szCs w:val="14"/>
                <w:color w:val="auto"/>
                <w:w w:val="85"/>
              </w:rPr>
              <w:t>Revenue</w:t>
            </w:r>
          </w:p>
        </w:tc>
        <w:tc>
          <w:tcPr>
            <w:tcW w:w="380" w:type="dxa"/>
            <w:vAlign w:val="bottom"/>
          </w:tcPr>
          <w:p>
            <w:pPr>
              <w:spacing w:after="0"/>
              <w:rPr>
                <w:sz w:val="14"/>
                <w:szCs w:val="14"/>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Oilfield Services</w:t>
            </w:r>
          </w:p>
        </w:tc>
        <w:tc>
          <w:tcPr>
            <w:tcW w:w="3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420"/>
              <w:spacing w:after="0" w:line="149" w:lineRule="exact"/>
              <w:rPr>
                <w:sz w:val="20"/>
                <w:szCs w:val="20"/>
                <w:color w:val="auto"/>
              </w:rPr>
            </w:pPr>
            <w:r>
              <w:rPr>
                <w:rFonts w:ascii="Arial" w:cs="Arial" w:eastAsia="Arial" w:hAnsi="Arial"/>
                <w:sz w:val="14"/>
                <w:szCs w:val="14"/>
                <w:color w:val="auto"/>
              </w:rPr>
              <w:t>Reservoir Characterization</w:t>
            </w:r>
          </w:p>
        </w:tc>
        <w:tc>
          <w:tcPr>
            <w:tcW w:w="3320" w:type="dxa"/>
            <w:vAlign w:val="bottom"/>
            <w:gridSpan w:val="2"/>
          </w:tcPr>
          <w:p>
            <w:pPr>
              <w:ind w:left="322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11,424</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$ 3,212</w:t>
            </w:r>
          </w:p>
        </w:tc>
        <w:tc>
          <w:tcPr>
            <w:tcW w:w="22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9,929</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Drilling </w:t>
            </w:r>
            <w:r>
              <w:rPr>
                <w:rFonts w:ascii="Arial" w:cs="Arial" w:eastAsia="Arial" w:hAnsi="Arial"/>
                <w:sz w:val="17"/>
                <w:szCs w:val="17"/>
                <w:color w:val="auto"/>
                <w:vertAlign w:val="superscript"/>
              </w:rPr>
              <w:t>(1)</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15,971</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2,824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13,860</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Production </w:t>
            </w:r>
            <w:r>
              <w:rPr>
                <w:rFonts w:ascii="Arial" w:cs="Arial" w:eastAsia="Arial" w:hAnsi="Arial"/>
                <w:sz w:val="17"/>
                <w:szCs w:val="17"/>
                <w:color w:val="auto"/>
                <w:vertAlign w:val="superscript"/>
              </w:rPr>
              <w:t>(1)</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14,875</w:t>
            </w:r>
          </w:p>
        </w:tc>
        <w:tc>
          <w:tcPr>
            <w:tcW w:w="3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13,136</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&amp; other</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(121)</w:t>
            </w:r>
          </w:p>
        </w:tc>
        <w:tc>
          <w:tcPr>
            <w:tcW w:w="3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8,347</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83"/>
              </w:rPr>
              <w:t>36,959</w:t>
            </w: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7,305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8"/>
              </w:rPr>
              <w:t>42,149</w:t>
            </w: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Corporate &amp; other </w:t>
            </w:r>
            <w:r>
              <w:rPr>
                <w:rFonts w:ascii="Arial" w:cs="Arial" w:eastAsia="Arial" w:hAnsi="Arial"/>
                <w:sz w:val="17"/>
                <w:szCs w:val="17"/>
                <w:b w:val="1"/>
                <w:bCs w:val="1"/>
                <w:color w:val="auto"/>
                <w:vertAlign w:val="superscript"/>
              </w:rPr>
              <w:t>(2)</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(694)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Interest income </w:t>
            </w:r>
            <w:r>
              <w:rPr>
                <w:rFonts w:ascii="Arial" w:cs="Arial" w:eastAsia="Arial" w:hAnsi="Arial"/>
                <w:sz w:val="17"/>
                <w:szCs w:val="17"/>
                <w:b w:val="1"/>
                <w:bCs w:val="1"/>
                <w:color w:val="auto"/>
                <w:vertAlign w:val="superscript"/>
              </w:rPr>
              <w:t>(3)</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Interest expense </w:t>
            </w:r>
            <w:r>
              <w:rPr>
                <w:rFonts w:ascii="Arial" w:cs="Arial" w:eastAsia="Arial" w:hAnsi="Arial"/>
                <w:sz w:val="17"/>
                <w:szCs w:val="17"/>
                <w:b w:val="1"/>
                <w:bCs w:val="1"/>
                <w:color w:val="auto"/>
                <w:vertAlign w:val="superscript"/>
              </w:rPr>
              <w:t>(4)</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(331)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Charges &amp; credits </w:t>
            </w:r>
            <w:r>
              <w:rPr>
                <w:rFonts w:ascii="Arial" w:cs="Arial" w:eastAsia="Arial" w:hAnsi="Arial"/>
                <w:sz w:val="17"/>
                <w:szCs w:val="17"/>
                <w:color w:val="auto"/>
                <w:vertAlign w:val="superscript"/>
              </w:rPr>
              <w:t>(5)</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8"/>
              </w:rPr>
              <w:t>42,149</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$ 7,191</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83"/>
              </w:rPr>
              <w:t>36,959</w:t>
            </w:r>
          </w:p>
        </w:tc>
        <w:tc>
          <w:tcPr>
            <w:tcW w:w="8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$ 6,239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2011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8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before</w:t>
            </w: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Revenue</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taxes</w:t>
            </w:r>
          </w:p>
        </w:tc>
        <w:tc>
          <w:tcPr>
            <w:tcW w:w="1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5"/>
              </w:rPr>
              <w:t>Revenue</w:t>
            </w:r>
          </w:p>
        </w:tc>
        <w:tc>
          <w:tcPr>
            <w:tcW w:w="36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taxes</w:t>
            </w:r>
          </w:p>
        </w:tc>
        <w:tc>
          <w:tcPr>
            <w:tcW w:w="0" w:type="dxa"/>
            <w:vAlign w:val="bottom"/>
          </w:tcPr>
          <w:p>
            <w:pPr>
              <w:spacing w:after="0"/>
              <w:rPr>
                <w:sz w:val="1"/>
                <w:szCs w:val="1"/>
                <w:color w:val="auto"/>
              </w:rPr>
            </w:pPr>
          </w:p>
        </w:tc>
      </w:tr>
      <w:tr>
        <w:trPr>
          <w:trHeight w:val="129"/>
        </w:trPr>
        <w:tc>
          <w:tcPr>
            <w:tcW w:w="8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Oilfield Services</w:t>
            </w: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tcPr>
          <w:p>
            <w:pPr>
              <w:ind w:left="440"/>
              <w:spacing w:after="0" w:line="149" w:lineRule="exact"/>
              <w:rPr>
                <w:sz w:val="20"/>
                <w:szCs w:val="20"/>
                <w:color w:val="auto"/>
              </w:rPr>
            </w:pPr>
            <w:r>
              <w:rPr>
                <w:rFonts w:ascii="Arial" w:cs="Arial" w:eastAsia="Arial" w:hAnsi="Arial"/>
                <w:sz w:val="14"/>
                <w:szCs w:val="14"/>
                <w:color w:val="auto"/>
              </w:rPr>
              <w:t>North America</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$ 13,485</w:t>
            </w:r>
          </w:p>
        </w:tc>
        <w:tc>
          <w:tcPr>
            <w:tcW w:w="2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$ 2,736</w:t>
            </w:r>
          </w:p>
        </w:tc>
        <w:tc>
          <w:tcPr>
            <w:tcW w:w="22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$ 12,323</w:t>
            </w: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$ 3,052</w:t>
            </w:r>
          </w:p>
        </w:tc>
        <w:tc>
          <w:tcPr>
            <w:tcW w:w="0" w:type="dxa"/>
            <w:vAlign w:val="bottom"/>
          </w:tcPr>
          <w:p>
            <w:pPr>
              <w:spacing w:after="0"/>
              <w:rPr>
                <w:sz w:val="1"/>
                <w:szCs w:val="1"/>
                <w:color w:val="auto"/>
              </w:rPr>
            </w:pPr>
          </w:p>
        </w:tc>
      </w:tr>
      <w:tr>
        <w:trPr>
          <w:trHeight w:val="149"/>
        </w:trPr>
        <w:tc>
          <w:tcPr>
            <w:tcW w:w="8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Latin America</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7,554</w:t>
            </w: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1,387</w:t>
            </w: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6,467</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49"/>
        </w:trPr>
        <w:tc>
          <w:tcPr>
            <w:tcW w:w="8280" w:type="dxa"/>
            <w:vAlign w:val="bottom"/>
          </w:tcPr>
          <w:p>
            <w:pPr>
              <w:ind w:left="440"/>
              <w:spacing w:after="0" w:line="149" w:lineRule="exact"/>
              <w:rPr>
                <w:sz w:val="20"/>
                <w:szCs w:val="20"/>
                <w:color w:val="auto"/>
              </w:rPr>
            </w:pPr>
            <w:r>
              <w:rPr>
                <w:rFonts w:ascii="Arial" w:cs="Arial" w:eastAsia="Arial" w:hAnsi="Arial"/>
                <w:sz w:val="14"/>
                <w:szCs w:val="14"/>
                <w:color w:val="auto"/>
              </w:rPr>
              <w:t>Europe/CIS/Africa</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11,443</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2,245</w:t>
            </w:r>
          </w:p>
        </w:tc>
        <w:tc>
          <w:tcPr>
            <w:tcW w:w="22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9,676</w:t>
            </w: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49"/>
        </w:trPr>
        <w:tc>
          <w:tcPr>
            <w:tcW w:w="8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Middle East &amp; Asia</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9,194</w:t>
            </w: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2,152</w:t>
            </w: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8,102</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49"/>
        </w:trPr>
        <w:tc>
          <w:tcPr>
            <w:tcW w:w="8280" w:type="dxa"/>
            <w:vAlign w:val="bottom"/>
          </w:tcPr>
          <w:p>
            <w:pPr>
              <w:ind w:left="440"/>
              <w:spacing w:after="0" w:line="149" w:lineRule="exact"/>
              <w:rPr>
                <w:sz w:val="20"/>
                <w:szCs w:val="20"/>
                <w:color w:val="auto"/>
              </w:rPr>
            </w:pPr>
            <w:r>
              <w:rPr>
                <w:rFonts w:ascii="Arial" w:cs="Arial" w:eastAsia="Arial" w:hAnsi="Arial"/>
                <w:sz w:val="14"/>
                <w:szCs w:val="14"/>
                <w:color w:val="auto"/>
              </w:rPr>
              <w:t>Eliminations &amp; other</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473</w:t>
            </w:r>
          </w:p>
        </w:tc>
        <w:tc>
          <w:tcPr>
            <w:tcW w:w="20" w:type="dxa"/>
            <w:vAlign w:val="bottom"/>
          </w:tcPr>
          <w:p>
            <w:pPr>
              <w:spacing w:after="0"/>
              <w:rPr>
                <w:sz w:val="12"/>
                <w:szCs w:val="12"/>
                <w:color w:val="auto"/>
              </w:rPr>
            </w:pPr>
          </w:p>
        </w:tc>
        <w:tc>
          <w:tcPr>
            <w:tcW w:w="104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rPr>
              <w:t>(173)</w:t>
            </w: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391</w:t>
            </w: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1"/>
        </w:trPr>
        <w:tc>
          <w:tcPr>
            <w:tcW w:w="8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2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42,149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8,347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36,959</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8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Corporate &amp; other </w:t>
            </w:r>
            <w:r>
              <w:rPr>
                <w:rFonts w:ascii="Arial" w:cs="Arial" w:eastAsia="Arial" w:hAnsi="Arial"/>
                <w:sz w:val="18"/>
                <w:szCs w:val="18"/>
                <w:b w:val="1"/>
                <w:bCs w:val="1"/>
                <w:color w:val="auto"/>
                <w:vertAlign w:val="superscript"/>
              </w:rPr>
              <w:t>(2)</w:t>
            </w:r>
          </w:p>
        </w:tc>
        <w:tc>
          <w:tcPr>
            <w:tcW w:w="5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rPr>
              <w:t>(694)</w:t>
            </w:r>
          </w:p>
        </w:tc>
        <w:tc>
          <w:tcPr>
            <w:tcW w:w="180" w:type="dxa"/>
            <w:vAlign w:val="bottom"/>
          </w:tcPr>
          <w:p>
            <w:pPr>
              <w:spacing w:after="0"/>
              <w:rPr>
                <w:sz w:val="13"/>
                <w:szCs w:val="13"/>
                <w:color w:val="auto"/>
              </w:rPr>
            </w:pPr>
          </w:p>
        </w:tc>
        <w:tc>
          <w:tcPr>
            <w:tcW w:w="5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Interest income </w:t>
            </w:r>
            <w:r>
              <w:rPr>
                <w:rFonts w:ascii="Arial" w:cs="Arial" w:eastAsia="Arial" w:hAnsi="Arial"/>
                <w:sz w:val="17"/>
                <w:szCs w:val="17"/>
                <w:b w:val="1"/>
                <w:bCs w:val="1"/>
                <w:color w:val="auto"/>
                <w:vertAlign w:val="superscript"/>
              </w:rPr>
              <w:t>(3)</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828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Interest expense </w:t>
            </w:r>
            <w:r>
              <w:rPr>
                <w:rFonts w:ascii="Arial" w:cs="Arial" w:eastAsia="Arial" w:hAnsi="Arial"/>
                <w:sz w:val="17"/>
                <w:szCs w:val="17"/>
                <w:b w:val="1"/>
                <w:bCs w:val="1"/>
                <w:color w:val="auto"/>
                <w:vertAlign w:val="superscript"/>
              </w:rPr>
              <w:t>(4)</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rPr>
              <w:t>(331)</w:t>
            </w:r>
          </w:p>
        </w:tc>
        <w:tc>
          <w:tcPr>
            <w:tcW w:w="1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828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Charges &amp; credits </w:t>
            </w:r>
            <w:r>
              <w:rPr>
                <w:rFonts w:ascii="Arial" w:cs="Arial" w:eastAsia="Arial" w:hAnsi="Arial"/>
                <w:sz w:val="17"/>
                <w:szCs w:val="17"/>
                <w:b w:val="1"/>
                <w:bCs w:val="1"/>
                <w:color w:val="auto"/>
                <w:vertAlign w:val="superscript"/>
              </w:rPr>
              <w:t>(5)</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(161)</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$ 36,959</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$ 6,239</w:t>
            </w:r>
          </w:p>
        </w:tc>
        <w:tc>
          <w:tcPr>
            <w:tcW w:w="0" w:type="dxa"/>
            <w:vAlign w:val="bottom"/>
          </w:tcPr>
          <w:p>
            <w:pPr>
              <w:spacing w:after="0"/>
              <w:rPr>
                <w:sz w:val="1"/>
                <w:szCs w:val="1"/>
                <w:color w:val="auto"/>
              </w:rPr>
            </w:pPr>
          </w:p>
        </w:tc>
      </w:tr>
      <w:tr>
        <w:trPr>
          <w:trHeight w:val="142"/>
        </w:trPr>
        <w:tc>
          <w:tcPr>
            <w:tcW w:w="8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$ 42,149</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$ 7,191</w:t>
            </w:r>
          </w:p>
        </w:tc>
        <w:tc>
          <w:tcPr>
            <w:tcW w:w="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Effective January 1, 2012, a component of the Drilling Group was reallocated to the Production Group. Historical information has been reclassified to conform to this presentation.</w:t>
      </w:r>
    </w:p>
    <w:p>
      <w:pPr>
        <w:ind w:left="340" w:right="240" w:hanging="332"/>
        <w:spacing w:after="0" w:line="182" w:lineRule="auto"/>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Comprised principally of corporate expenses not allocated to the segments, interest on postretirement medical benefits, stock-based compensation costs, amortization expense associated with intangible assets recorded as a result of the acquisition of Smith and certain other nonoperating items.</w:t>
      </w:r>
    </w:p>
    <w:p>
      <w:pPr>
        <w:ind w:left="340" w:hanging="332"/>
        <w:spacing w:after="0" w:line="182" w:lineRule="auto"/>
        <w:tabs>
          <w:tab w:leader="none" w:pos="34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Excludes interest income included in the segments’ income (2012 – $- million; 2011 – $3 million).</w:t>
      </w:r>
    </w:p>
    <w:p>
      <w:pPr>
        <w:ind w:left="340" w:hanging="332"/>
        <w:spacing w:after="0" w:line="182" w:lineRule="auto"/>
        <w:tabs>
          <w:tab w:leader="none" w:pos="34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Excludes interest expense included in the segments’ income (2012 – $8 million; 2011 – $8 million).</w:t>
      </w:r>
    </w:p>
    <w:p>
      <w:pPr>
        <w:ind w:left="340" w:hanging="332"/>
        <w:spacing w:after="0" w:line="185"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 xml:space="preserve">Charges and credits are described in detail in Note 3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Oilfield Services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Full-year 2012 revenue of $42.15 billion increased 14% versus the same period last year with North America Area 9% higher and international activity 16% higher. Internationally, higher exploration and development activities in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GeoMarkets both offshore and in key land markets contributed to the increase. The increase was led by the Europe/CIS/Africa Area which increased 18%, mainly in Russia and in the Nigeria &amp; Gulf of Guinea, Angola, the East Africa and North Sea Africa GeoMarkets. Latin America was higher by 17%, mainly in the Mexico &amp; Central America; Venezuela, Trinidad &amp; Tobago; and Ecuador GeoMarkets driven by strong Integrated Project Management (IPM) activity on land and robust offshore activity for Wireline and Drilling Group services and products. Middle East &amp; Asia increased 13% on strong results in the Saudi Arabia &amp; Bahrain; Australasia; Brunei, Malaysia &amp; Philippines; and China GeoMarkets. The increase in North America was due to strong growth in North America offshore driven by robust deepwater and exploration activity that benefited the Reservoir Characterization and Drilling Groups Technologies. There was also an improvement in activity in North America land for the Production Group Technologies although the increase slowed in the second half of the year due to the weakness in the hydraulic fracturing market.</w:t>
      </w:r>
    </w:p>
    <w:p>
      <w:pPr>
        <w:spacing w:after="0" w:line="6"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Full-year 2012 pretax operating income of $8.3 billion increased 14% year-on-year as international pretax operating income of $5.8 billion increased 31% while North America pretax operating income of $2.7 billion declined by 10% year-on-year.</w:t>
      </w:r>
    </w:p>
    <w:p>
      <w:pPr>
        <w:spacing w:after="0" w:line="1" w:lineRule="exact"/>
        <w:rPr>
          <w:sz w:val="20"/>
          <w:szCs w:val="20"/>
          <w:color w:val="auto"/>
        </w:rPr>
      </w:pPr>
    </w:p>
    <w:p>
      <w:pPr>
        <w:ind w:right="180" w:firstLine="228"/>
        <w:spacing w:after="0" w:line="254" w:lineRule="auto"/>
        <w:rPr>
          <w:sz w:val="20"/>
          <w:szCs w:val="20"/>
          <w:color w:val="auto"/>
        </w:rPr>
      </w:pPr>
      <w:r>
        <w:rPr>
          <w:rFonts w:ascii="Arial" w:cs="Arial" w:eastAsia="Arial" w:hAnsi="Arial"/>
          <w:sz w:val="18"/>
          <w:szCs w:val="18"/>
          <w:color w:val="auto"/>
        </w:rPr>
        <w:t>Pretax operating margin was essentially flat at 19.8% as international pretax operating margin expanded 226 bps to 20.5% while North America pretax operating margin declined 448 bps to 20.3%. Europe/CIS/Africa posted a 435 bps improvement to reach 19.6% and Latin America increased 175 bps to 18.4% and Middle East &amp; Asia reported a 27 bps increase to 23.4%. North America margin decline was due to Well Services production technologies, as a result of pricing pressure and cost inflation.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Full-year revenue of $11.42 billion was 15% higher than the same period last year led by Wireline, Testing Services, WesternGeco and SIS Technologies driven by improved offshore exploration activities across all Areas Pretax operating margin increased 345 bps to 28.1% largely due to the higher-margin exploration activities that benefited Wireline and Testing Services, higher SIS software sales, higher WesternGeco marine vessel utilization and improved UniQ land seismic productivity.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Full-year revenue of $15.97 billion was 15% higher than the previous year primarily due to the significantly improved exploration and development activities of M-I SWACO, Drilling &amp; Measurements, and the other Drilling Group Technologies in North America offshore and in the international markets.</w:t>
      </w:r>
    </w:p>
    <w:p>
      <w:pPr>
        <w:ind w:right="80"/>
        <w:spacing w:after="0" w:line="255" w:lineRule="auto"/>
        <w:rPr>
          <w:sz w:val="20"/>
          <w:szCs w:val="20"/>
          <w:color w:val="auto"/>
        </w:rPr>
      </w:pPr>
      <w:r>
        <w:rPr>
          <w:rFonts w:ascii="Arial" w:cs="Arial" w:eastAsia="Arial" w:hAnsi="Arial"/>
          <w:sz w:val="18"/>
          <w:szCs w:val="18"/>
          <w:color w:val="auto"/>
        </w:rPr>
        <w:t>Pretax operating margin increased 142 bps to 17.7% primarily due to the increase in higher-margin activities of Drilling &amp; Measurements, M-I SWACO and Drilling Tools &amp; Remedial technologies – all of which benefited from exploration activities in North America offshore and in the international markets – mainly in the Europe/CIS/Africa Area.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Full-year revenue of $14.88 billion increased 13% year-on-year, both in North America and the international markets. Well Intervention, Artificial Lift and Completions Technologies posted strong growth across all Areas. Well Services grew both in North America and internationally, with international growth led by Latin America and by Europe/CIS/Africa.</w:t>
      </w:r>
    </w:p>
    <w:p>
      <w:pPr>
        <w:jc w:val="both"/>
        <w:ind w:right="120"/>
        <w:spacing w:after="0" w:line="255" w:lineRule="auto"/>
        <w:rPr>
          <w:sz w:val="20"/>
          <w:szCs w:val="20"/>
          <w:color w:val="auto"/>
        </w:rPr>
      </w:pPr>
      <w:r>
        <w:rPr>
          <w:rFonts w:ascii="Arial" w:cs="Arial" w:eastAsia="Arial" w:hAnsi="Arial"/>
          <w:sz w:val="18"/>
          <w:szCs w:val="18"/>
          <w:color w:val="auto"/>
        </w:rPr>
        <w:t>Pretax operating margin decreased 414 bps to 15.9% mainly due to a decline in margins for Well Services production technologies, primarily in North America, as a result of pricing pressure and cost inflation. This was mitigated by margin expansion for the other Production Group Technologies led by Well Intervention Services and Completions.</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60"/>
          </w:cols>
          <w:pgMar w:left="240" w:top="280"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Full-Year 2011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2"/>
              </w:rPr>
              <w:t>(Stated in millions)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3"/>
              </w:rPr>
              <w:t>2010</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before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40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taxes</w:t>
            </w:r>
          </w:p>
        </w:tc>
        <w:tc>
          <w:tcPr>
            <w:tcW w:w="680" w:type="dxa"/>
            <w:vAlign w:val="bottom"/>
            <w:gridSpan w:val="4"/>
          </w:tcPr>
          <w:p>
            <w:pPr>
              <w:ind w:left="180"/>
              <w:spacing w:after="0"/>
              <w:rPr>
                <w:sz w:val="20"/>
                <w:szCs w:val="20"/>
                <w:color w:val="auto"/>
              </w:rPr>
            </w:pPr>
            <w:r>
              <w:rPr>
                <w:rFonts w:ascii="Arial" w:cs="Arial" w:eastAsia="Arial" w:hAnsi="Arial"/>
                <w:sz w:val="14"/>
                <w:szCs w:val="14"/>
                <w:color w:val="auto"/>
                <w:w w:val="85"/>
              </w:rPr>
              <w:t>Revenue</w:t>
            </w:r>
          </w:p>
        </w:tc>
        <w:tc>
          <w:tcPr>
            <w:tcW w:w="380" w:type="dxa"/>
            <w:vAlign w:val="bottom"/>
          </w:tcPr>
          <w:p>
            <w:pPr>
              <w:spacing w:after="0"/>
              <w:rPr>
                <w:sz w:val="14"/>
                <w:szCs w:val="14"/>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Oilfield Services</w:t>
            </w: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420"/>
              <w:spacing w:after="0" w:line="149" w:lineRule="exact"/>
              <w:rPr>
                <w:sz w:val="20"/>
                <w:szCs w:val="20"/>
                <w:color w:val="auto"/>
              </w:rPr>
            </w:pPr>
            <w:r>
              <w:rPr>
                <w:rFonts w:ascii="Arial" w:cs="Arial" w:eastAsia="Arial" w:hAnsi="Arial"/>
                <w:sz w:val="14"/>
                <w:szCs w:val="14"/>
                <w:color w:val="auto"/>
              </w:rPr>
              <w:t>Reservoir Characterization</w:t>
            </w:r>
          </w:p>
        </w:tc>
        <w:tc>
          <w:tcPr>
            <w:tcW w:w="10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9,929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$ 2,449</w:t>
            </w:r>
          </w:p>
        </w:tc>
        <w:tc>
          <w:tcPr>
            <w:tcW w:w="22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9,321</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$ 2,321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Drilling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13,860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7,917</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Production </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13,136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9,366</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&amp; other</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36,959</w:t>
            </w:r>
          </w:p>
        </w:tc>
        <w:tc>
          <w:tcPr>
            <w:tcW w:w="4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7,305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83"/>
              </w:rPr>
              <w:t>26,672</w:t>
            </w:r>
          </w:p>
        </w:tc>
        <w:tc>
          <w:tcPr>
            <w:tcW w:w="8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5,071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Corporate &amp; other </w:t>
            </w:r>
            <w:r>
              <w:rPr>
                <w:rFonts w:ascii="Arial" w:cs="Arial" w:eastAsia="Arial" w:hAnsi="Arial"/>
                <w:sz w:val="17"/>
                <w:szCs w:val="17"/>
                <w:b w:val="1"/>
                <w:bCs w:val="1"/>
                <w:color w:val="auto"/>
                <w:vertAlign w:val="superscript"/>
              </w:rPr>
              <w:t>(2)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(590)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Interest income </w:t>
            </w:r>
            <w:r>
              <w:rPr>
                <w:rFonts w:ascii="Arial" w:cs="Arial" w:eastAsia="Arial" w:hAnsi="Arial"/>
                <w:sz w:val="17"/>
                <w:szCs w:val="17"/>
                <w:b w:val="1"/>
                <w:bCs w:val="1"/>
                <w:color w:val="auto"/>
                <w:vertAlign w:val="superscript"/>
              </w:rPr>
              <w:t>(3)</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Interest expense </w:t>
            </w:r>
            <w:r>
              <w:rPr>
                <w:rFonts w:ascii="Arial" w:cs="Arial" w:eastAsia="Arial" w:hAnsi="Arial"/>
                <w:sz w:val="17"/>
                <w:szCs w:val="17"/>
                <w:b w:val="1"/>
                <w:bCs w:val="1"/>
                <w:color w:val="auto"/>
                <w:vertAlign w:val="superscript"/>
              </w:rPr>
              <w:t>(4)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(290)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Charges &amp; credits </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36,959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$ 6,239</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26,672</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$ 5,132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2"/>
              </w:rPr>
              <w:t>(Stated in millions)</w:t>
            </w:r>
          </w:p>
        </w:tc>
        <w:tc>
          <w:tcPr>
            <w:tcW w:w="0" w:type="dxa"/>
            <w:vAlign w:val="bottom"/>
          </w:tcPr>
          <w:p>
            <w:pPr>
              <w:spacing w:after="0"/>
              <w:rPr>
                <w:sz w:val="1"/>
                <w:szCs w:val="1"/>
                <w:color w:val="auto"/>
              </w:rPr>
            </w:pPr>
          </w:p>
        </w:tc>
      </w:tr>
      <w:tr>
        <w:trPr>
          <w:trHeight w:val="298"/>
        </w:trPr>
        <w:tc>
          <w:tcPr>
            <w:tcW w:w="8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3"/>
              </w:rPr>
              <w:t>2010</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before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8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40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taxes</w:t>
            </w:r>
          </w:p>
        </w:tc>
        <w:tc>
          <w:tcPr>
            <w:tcW w:w="680" w:type="dxa"/>
            <w:vAlign w:val="bottom"/>
            <w:gridSpan w:val="4"/>
          </w:tcPr>
          <w:p>
            <w:pPr>
              <w:ind w:left="180"/>
              <w:spacing w:after="0"/>
              <w:rPr>
                <w:sz w:val="20"/>
                <w:szCs w:val="20"/>
                <w:color w:val="auto"/>
              </w:rPr>
            </w:pPr>
            <w:r>
              <w:rPr>
                <w:rFonts w:ascii="Arial" w:cs="Arial" w:eastAsia="Arial" w:hAnsi="Arial"/>
                <w:sz w:val="14"/>
                <w:szCs w:val="14"/>
                <w:color w:val="auto"/>
                <w:w w:val="85"/>
              </w:rPr>
              <w:t>Revenue</w:t>
            </w:r>
          </w:p>
        </w:tc>
        <w:tc>
          <w:tcPr>
            <w:tcW w:w="380" w:type="dxa"/>
            <w:vAlign w:val="bottom"/>
          </w:tcPr>
          <w:p>
            <w:pPr>
              <w:spacing w:after="0"/>
              <w:rPr>
                <w:sz w:val="14"/>
                <w:szCs w:val="14"/>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29"/>
        </w:trPr>
        <w:tc>
          <w:tcPr>
            <w:tcW w:w="8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Oilfield Services</w:t>
            </w:r>
          </w:p>
        </w:tc>
        <w:tc>
          <w:tcPr>
            <w:tcW w:w="5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340" w:type="dxa"/>
            <w:vAlign w:val="bottom"/>
          </w:tcPr>
          <w:p>
            <w:pPr>
              <w:ind w:left="440"/>
              <w:spacing w:after="0" w:line="149" w:lineRule="exact"/>
              <w:rPr>
                <w:sz w:val="20"/>
                <w:szCs w:val="20"/>
                <w:color w:val="auto"/>
              </w:rPr>
            </w:pPr>
            <w:r>
              <w:rPr>
                <w:rFonts w:ascii="Arial" w:cs="Arial" w:eastAsia="Arial" w:hAnsi="Arial"/>
                <w:sz w:val="14"/>
                <w:szCs w:val="14"/>
                <w:color w:val="auto"/>
              </w:rPr>
              <w:t>North America</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$ 12,323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$ 3,052</w:t>
            </w:r>
          </w:p>
        </w:tc>
        <w:tc>
          <w:tcPr>
            <w:tcW w:w="22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$ 1,145</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Latin America</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6,467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4,985</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49"/>
        </w:trPr>
        <w:tc>
          <w:tcPr>
            <w:tcW w:w="8340" w:type="dxa"/>
            <w:vAlign w:val="bottom"/>
          </w:tcPr>
          <w:p>
            <w:pPr>
              <w:ind w:left="440"/>
              <w:spacing w:after="0" w:line="149" w:lineRule="exact"/>
              <w:rPr>
                <w:sz w:val="20"/>
                <w:szCs w:val="20"/>
                <w:color w:val="auto"/>
              </w:rPr>
            </w:pPr>
            <w:r>
              <w:rPr>
                <w:rFonts w:ascii="Arial" w:cs="Arial" w:eastAsia="Arial" w:hAnsi="Arial"/>
                <w:sz w:val="14"/>
                <w:szCs w:val="14"/>
                <w:color w:val="auto"/>
              </w:rPr>
              <w:t>Europe/CIS/Africa</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9,676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7,850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Middle East &amp; Asia</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8,102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6,652</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1,762</w:t>
            </w:r>
          </w:p>
        </w:tc>
        <w:tc>
          <w:tcPr>
            <w:tcW w:w="0" w:type="dxa"/>
            <w:vAlign w:val="bottom"/>
          </w:tcPr>
          <w:p>
            <w:pPr>
              <w:spacing w:after="0"/>
              <w:rPr>
                <w:sz w:val="1"/>
                <w:szCs w:val="1"/>
                <w:color w:val="auto"/>
              </w:rPr>
            </w:pPr>
          </w:p>
        </w:tc>
      </w:tr>
      <w:tr>
        <w:trPr>
          <w:trHeight w:val="149"/>
        </w:trPr>
        <w:tc>
          <w:tcPr>
            <w:tcW w:w="8340" w:type="dxa"/>
            <w:vAlign w:val="bottom"/>
          </w:tcPr>
          <w:p>
            <w:pPr>
              <w:ind w:left="440"/>
              <w:spacing w:after="0" w:line="149" w:lineRule="exact"/>
              <w:rPr>
                <w:sz w:val="20"/>
                <w:szCs w:val="20"/>
                <w:color w:val="auto"/>
              </w:rPr>
            </w:pPr>
            <w:r>
              <w:rPr>
                <w:rFonts w:ascii="Arial" w:cs="Arial" w:eastAsia="Arial" w:hAnsi="Arial"/>
                <w:sz w:val="14"/>
                <w:szCs w:val="14"/>
                <w:color w:val="auto"/>
              </w:rPr>
              <w:t>Eliminations &amp; other</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391</w:t>
            </w:r>
          </w:p>
        </w:tc>
        <w:tc>
          <w:tcPr>
            <w:tcW w:w="4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455</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7"/>
        </w:trPr>
        <w:tc>
          <w:tcPr>
            <w:tcW w:w="8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36,959</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7,305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26,672</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5,071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line="176" w:lineRule="exact"/>
              <w:rPr>
                <w:sz w:val="20"/>
                <w:szCs w:val="20"/>
                <w:color w:val="auto"/>
              </w:rPr>
            </w:pPr>
            <w:r>
              <w:rPr>
                <w:rFonts w:ascii="Arial" w:cs="Arial" w:eastAsia="Arial" w:hAnsi="Arial"/>
                <w:sz w:val="13"/>
                <w:szCs w:val="13"/>
                <w:b w:val="1"/>
                <w:bCs w:val="1"/>
                <w:color w:val="auto"/>
              </w:rPr>
              <w:t xml:space="preserve">Corporate &amp; other </w:t>
            </w:r>
            <w:r>
              <w:rPr>
                <w:rFonts w:ascii="Arial" w:cs="Arial" w:eastAsia="Arial" w:hAnsi="Arial"/>
                <w:sz w:val="20"/>
                <w:szCs w:val="20"/>
                <w:b w:val="1"/>
                <w:bCs w:val="1"/>
                <w:color w:val="auto"/>
                <w:vertAlign w:val="superscript"/>
              </w:rPr>
              <w:t>(2)</w:t>
            </w: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(590)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Interest income </w:t>
            </w:r>
            <w:r>
              <w:rPr>
                <w:rFonts w:ascii="Arial" w:cs="Arial" w:eastAsia="Arial" w:hAnsi="Arial"/>
                <w:sz w:val="17"/>
                <w:szCs w:val="17"/>
                <w:b w:val="1"/>
                <w:bCs w:val="1"/>
                <w:color w:val="auto"/>
                <w:vertAlign w:val="superscript"/>
              </w:rPr>
              <w:t>(3)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834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Interest expense </w:t>
            </w:r>
            <w:r>
              <w:rPr>
                <w:rFonts w:ascii="Arial" w:cs="Arial" w:eastAsia="Arial" w:hAnsi="Arial"/>
                <w:sz w:val="17"/>
                <w:szCs w:val="17"/>
                <w:b w:val="1"/>
                <w:bCs w:val="1"/>
                <w:color w:val="auto"/>
                <w:vertAlign w:val="superscript"/>
              </w:rPr>
              <w:t>(4)</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(290)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Charges &amp; credits </w:t>
            </w:r>
            <w:r>
              <w:rPr>
                <w:rFonts w:ascii="Arial" w:cs="Arial" w:eastAsia="Arial" w:hAnsi="Arial"/>
                <w:sz w:val="17"/>
                <w:szCs w:val="17"/>
                <w:b w:val="1"/>
                <w:bCs w:val="1"/>
                <w:color w:val="auto"/>
                <w:vertAlign w:val="superscript"/>
              </w:rPr>
              <w:t>(5)</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0"/>
        </w:trPr>
        <w:tc>
          <w:tcPr>
            <w:tcW w:w="8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$ 36,959</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$ 6,239</w:t>
            </w:r>
          </w:p>
        </w:tc>
        <w:tc>
          <w:tcPr>
            <w:tcW w:w="220" w:type="dxa"/>
            <w:vAlign w:val="bottom"/>
          </w:tcPr>
          <w:p>
            <w:pPr>
              <w:spacing w:after="0"/>
              <w:rPr>
                <w:sz w:val="13"/>
                <w:szCs w:val="13"/>
                <w:color w:val="auto"/>
              </w:rPr>
            </w:pPr>
          </w:p>
        </w:tc>
        <w:tc>
          <w:tcPr>
            <w:tcW w:w="2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83"/>
              </w:rPr>
              <w:t>26,672</w:t>
            </w:r>
          </w:p>
        </w:tc>
        <w:tc>
          <w:tcPr>
            <w:tcW w:w="8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$ 5,132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Effective January 1, 2012, a component of the Drilling Group was reallocated to the Production Group. Historical information has been reclassified to conform to this presentation.</w:t>
      </w:r>
    </w:p>
    <w:p>
      <w:pPr>
        <w:ind w:left="340" w:right="240" w:hanging="332"/>
        <w:spacing w:after="0" w:line="182" w:lineRule="auto"/>
        <w:tabs>
          <w:tab w:leader="none" w:pos="34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Comprised principally of corporate expenses not allocated to the segments, interest on postretirement medical benefits, stock-based compensation costs, amortization expense associated with intangible assets recorded as a result of the acquisition of Smith and certain other nonoperating items.</w:t>
      </w:r>
    </w:p>
    <w:p>
      <w:pPr>
        <w:ind w:left="340" w:hanging="332"/>
        <w:spacing w:after="0" w:line="182" w:lineRule="auto"/>
        <w:tabs>
          <w:tab w:leader="none" w:pos="340"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Excludes interest income included in the segments’ income (2011—$3 million; 2010—$7 million).</w:t>
      </w:r>
    </w:p>
    <w:p>
      <w:pPr>
        <w:ind w:left="340" w:hanging="332"/>
        <w:spacing w:after="0" w:line="182" w:lineRule="auto"/>
        <w:tabs>
          <w:tab w:leader="none" w:pos="340"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Excludes interest expense included in the segments’ income (2011—$8 million; 2010—$5 million).</w:t>
      </w:r>
    </w:p>
    <w:p>
      <w:pPr>
        <w:ind w:left="340" w:hanging="332"/>
        <w:spacing w:after="0" w:line="185"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 xml:space="preserve">Charges and credits are described in detail in Note 3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90"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Full-year 2011 revenue of $37.0 billion was 39% higher than 2010 primarily reflecting the acquisition of Smith on August 27, 2010 as well as the significantly improved activity, pricing and asset efficiency for Well Services Technologies in North America as the market transitioned to liquid-rich plays demanding increasing service intensity in drilling and completing horizontal wells.</w:t>
      </w:r>
    </w:p>
    <w:p>
      <w:pPr>
        <w:jc w:val="both"/>
        <w:ind w:right="280" w:firstLine="228"/>
        <w:spacing w:after="0" w:line="302" w:lineRule="auto"/>
        <w:rPr>
          <w:sz w:val="20"/>
          <w:szCs w:val="20"/>
          <w:color w:val="auto"/>
        </w:rPr>
      </w:pPr>
      <w:r>
        <w:rPr>
          <w:rFonts w:ascii="Arial" w:cs="Arial" w:eastAsia="Arial" w:hAnsi="Arial"/>
          <w:sz w:val="16"/>
          <w:szCs w:val="16"/>
          <w:color w:val="auto"/>
        </w:rPr>
        <w:t>Year-on-year pretax operating margin increased 79 bps to 19.8% largely due to the improved pricing and asset efficiency for Well Services Technologies in North America and the resumption of higher-margin activity in the US Gulf of Mexico. However, the margin expansion was tempered by activity disruptions from the geopolitical unrest in North Africa and in the Middle East during the first quarter of 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200" w:firstLine="228"/>
        <w:spacing w:after="0" w:line="254" w:lineRule="auto"/>
        <w:rPr>
          <w:sz w:val="20"/>
          <w:szCs w:val="20"/>
          <w:color w:val="auto"/>
        </w:rPr>
      </w:pPr>
      <w:r>
        <w:rPr>
          <w:rFonts w:ascii="Arial" w:cs="Arial" w:eastAsia="Arial" w:hAnsi="Arial"/>
          <w:sz w:val="18"/>
          <w:szCs w:val="18"/>
          <w:color w:val="auto"/>
        </w:rPr>
        <w:t>Full-year revenue of $9.93 billion was 7% higher than the previous year on stronger Wireline activity, higher WesternGeco marine and multiclient sales, and increased SIS software sales.</w:t>
      </w:r>
    </w:p>
    <w:p>
      <w:pPr>
        <w:ind w:right="160" w:firstLine="228"/>
        <w:spacing w:after="0" w:line="255" w:lineRule="auto"/>
        <w:rPr>
          <w:sz w:val="20"/>
          <w:szCs w:val="20"/>
          <w:color w:val="auto"/>
        </w:rPr>
      </w:pPr>
      <w:r>
        <w:rPr>
          <w:rFonts w:ascii="Arial" w:cs="Arial" w:eastAsia="Arial" w:hAnsi="Arial"/>
          <w:sz w:val="18"/>
          <w:szCs w:val="18"/>
          <w:color w:val="auto"/>
        </w:rPr>
        <w:t>Year-on-year, pretax operating margin decreased 23 bps to 24.7% led by margin declines in Wireline and Testing Services, largely due to the revenue mix, as well as the impact of geopolitical events which prevailed during the first quarter of 2011. The margin decline however was partially offset by a favorable WesternGeco multiclient sales mix and improved marine vessel utilization.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380" w:firstLine="228"/>
        <w:spacing w:after="0" w:line="286" w:lineRule="auto"/>
        <w:rPr>
          <w:sz w:val="20"/>
          <w:szCs w:val="20"/>
          <w:color w:val="auto"/>
        </w:rPr>
      </w:pPr>
      <w:r>
        <w:rPr>
          <w:rFonts w:ascii="Arial" w:cs="Arial" w:eastAsia="Arial" w:hAnsi="Arial"/>
          <w:sz w:val="16"/>
          <w:szCs w:val="16"/>
          <w:color w:val="auto"/>
        </w:rPr>
        <w:t>Full-year revenue of $13.86 billion was 75% higher than the previous year reflecting the acquisitions of Smith, in August 2010, and Geoservices, in April 2010, partially offset by a decrease in IPM activities in Mexico. The ramp-up of IPM projects in Iraq also contributed to the revenue increase.</w:t>
      </w:r>
    </w:p>
    <w:p>
      <w:pPr>
        <w:ind w:right="220" w:firstLine="228"/>
        <w:spacing w:after="0" w:line="261" w:lineRule="auto"/>
        <w:rPr>
          <w:sz w:val="20"/>
          <w:szCs w:val="20"/>
          <w:color w:val="auto"/>
        </w:rPr>
      </w:pPr>
      <w:r>
        <w:rPr>
          <w:rFonts w:ascii="Arial" w:cs="Arial" w:eastAsia="Arial" w:hAnsi="Arial"/>
          <w:sz w:val="18"/>
          <w:szCs w:val="18"/>
          <w:color w:val="auto"/>
        </w:rPr>
        <w:t>Year-on-year, pretax operating margin decreased 32 bps to 16.3% largely due to the addition of the Smith and Geoservices activities as well as the effects of the geopolitical events.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Full-year revenue of $13.14 billion was 40% higher than the previous year while pretax operating margin increased 525 bps to 20.1%. Well Services revenue and margins expanded strongly in North America on higher pricing, capacity additions and improved asset utilization and efficiency as the market transitioned to liquid-rich plays. Internationally, Well Services also posted growth on the strength of higher activity, despite the exceptional geopolitical events that occurred during the first quarter of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and other income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7"/>
          </w:tcPr>
          <w:p>
            <w:pPr>
              <w:ind w:left="2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6240" w:type="dxa"/>
            <w:vAlign w:val="bottom"/>
          </w:tcPr>
          <w:p>
            <w:pPr>
              <w:spacing w:after="0"/>
              <w:rPr>
                <w:sz w:val="24"/>
                <w:szCs w:val="24"/>
                <w:color w:val="auto"/>
              </w:rPr>
            </w:pPr>
          </w:p>
        </w:tc>
        <w:tc>
          <w:tcPr>
            <w:tcW w:w="4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840" w:type="dxa"/>
            <w:vAlign w:val="bottom"/>
            <w:gridSpan w:val="4"/>
          </w:tcPr>
          <w:p>
            <w:pPr>
              <w:jc w:val="right"/>
              <w:ind w:right="280"/>
              <w:spacing w:after="0"/>
              <w:rPr>
                <w:sz w:val="20"/>
                <w:szCs w:val="20"/>
                <w:color w:val="auto"/>
              </w:rPr>
            </w:pPr>
            <w:r>
              <w:rPr>
                <w:rFonts w:ascii="Arial" w:cs="Arial" w:eastAsia="Arial" w:hAnsi="Arial"/>
                <w:sz w:val="14"/>
                <w:szCs w:val="14"/>
                <w:color w:val="auto"/>
              </w:rPr>
              <w:t>2011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83"/>
              </w:rPr>
              <w:t>2010</w:t>
            </w:r>
          </w:p>
        </w:tc>
        <w:tc>
          <w:tcPr>
            <w:tcW w:w="60" w:type="dxa"/>
            <w:vAlign w:val="bottom"/>
          </w:tcPr>
          <w:p>
            <w:pPr>
              <w:spacing w:after="0"/>
              <w:rPr>
                <w:sz w:val="24"/>
                <w:szCs w:val="24"/>
                <w:color w:val="auto"/>
              </w:rPr>
            </w:pPr>
          </w:p>
        </w:tc>
      </w:tr>
      <w:tr>
        <w:trPr>
          <w:trHeight w:val="142"/>
        </w:trPr>
        <w:tc>
          <w:tcPr>
            <w:tcW w:w="6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Interest income</w:t>
            </w:r>
          </w:p>
        </w:tc>
        <w:tc>
          <w:tcPr>
            <w:tcW w:w="37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3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M-I SWACO</w:t>
            </w:r>
          </w:p>
        </w:tc>
        <w:tc>
          <w:tcPr>
            <w:tcW w:w="3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r>
      <w:tr>
        <w:trPr>
          <w:trHeight w:val="156"/>
        </w:trPr>
        <w:tc>
          <w:tcPr>
            <w:tcW w:w="624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Others</w:t>
            </w:r>
          </w:p>
        </w:tc>
        <w:tc>
          <w:tcPr>
            <w:tcW w:w="3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142</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w:t>
            </w:r>
          </w:p>
        </w:tc>
        <w:tc>
          <w:tcPr>
            <w:tcW w:w="60" w:type="dxa"/>
            <w:vAlign w:val="bottom"/>
          </w:tcPr>
          <w:p>
            <w:pPr>
              <w:spacing w:after="0"/>
              <w:rPr>
                <w:sz w:val="13"/>
                <w:szCs w:val="13"/>
                <w:color w:val="auto"/>
              </w:rPr>
            </w:pPr>
          </w:p>
        </w:tc>
      </w:tr>
      <w:tr>
        <w:trPr>
          <w:trHeight w:val="149"/>
        </w:trPr>
        <w:tc>
          <w:tcPr>
            <w:tcW w:w="6240" w:type="dxa"/>
            <w:vAlign w:val="bottom"/>
            <w:shd w:val="clear" w:color="auto" w:fill="CCEEFF"/>
          </w:tcPr>
          <w:p>
            <w:pPr>
              <w:spacing w:after="0"/>
              <w:rPr>
                <w:sz w:val="12"/>
                <w:szCs w:val="12"/>
                <w:color w:val="auto"/>
              </w:rPr>
            </w:pPr>
          </w:p>
        </w:tc>
        <w:tc>
          <w:tcPr>
            <w:tcW w:w="3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172</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76"/>
              </w:rPr>
              <w:t>130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215</w:t>
            </w:r>
          </w:p>
        </w:tc>
        <w:tc>
          <w:tcPr>
            <w:tcW w:w="60" w:type="dxa"/>
            <w:vAlign w:val="bottom"/>
            <w:shd w:val="clear" w:color="auto" w:fill="CCEEFF"/>
          </w:tcPr>
          <w:p>
            <w:pPr>
              <w:spacing w:after="0"/>
              <w:rPr>
                <w:sz w:val="12"/>
                <w:szCs w:val="12"/>
                <w:color w:val="auto"/>
              </w:rPr>
            </w:pPr>
          </w:p>
        </w:tc>
      </w:tr>
      <w:tr>
        <w:trPr>
          <w:trHeight w:val="20"/>
        </w:trPr>
        <w:tc>
          <w:tcPr>
            <w:tcW w:w="6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right="820" w:firstLine="228"/>
        <w:spacing w:after="0" w:line="391" w:lineRule="auto"/>
        <w:rPr>
          <w:sz w:val="20"/>
          <w:szCs w:val="20"/>
          <w:color w:val="auto"/>
        </w:rPr>
      </w:pPr>
      <w:r>
        <w:rPr>
          <w:rFonts w:ascii="Arial" w:cs="Arial" w:eastAsia="Arial" w:hAnsi="Arial"/>
          <w:sz w:val="18"/>
          <w:szCs w:val="18"/>
          <w:color w:val="auto"/>
        </w:rPr>
        <w:t xml:space="preserve">Equity income from the M-I SWACO joint venture in 2010 represented eight months of equity income through the closing of the Smith transaction. </w:t>
      </w:r>
      <w:r>
        <w:rPr>
          <w:rFonts w:ascii="Arial" w:cs="Arial" w:eastAsia="Arial" w:hAnsi="Arial"/>
          <w:sz w:val="18"/>
          <w:szCs w:val="18"/>
          <w:b w:val="1"/>
          <w:bCs w:val="1"/>
          <w:i w:val="1"/>
          <w:iCs w:val="1"/>
          <w:u w:val="single" w:color="auto"/>
          <w:color w:val="auto"/>
        </w:rPr>
        <w:t>Interest Expense</w:t>
      </w:r>
    </w:p>
    <w:p>
      <w:pPr>
        <w:spacing w:after="0" w:line="1" w:lineRule="exact"/>
        <w:rPr>
          <w:sz w:val="20"/>
          <w:szCs w:val="20"/>
          <w:color w:val="auto"/>
        </w:rPr>
      </w:pPr>
    </w:p>
    <w:p>
      <w:pPr>
        <w:ind w:right="160" w:firstLine="228"/>
        <w:spacing w:after="0" w:line="254" w:lineRule="auto"/>
        <w:rPr>
          <w:sz w:val="20"/>
          <w:szCs w:val="20"/>
          <w:color w:val="auto"/>
        </w:rPr>
      </w:pPr>
      <w:r>
        <w:rPr>
          <w:rFonts w:ascii="Arial" w:cs="Arial" w:eastAsia="Arial" w:hAnsi="Arial"/>
          <w:sz w:val="18"/>
          <w:szCs w:val="18"/>
          <w:color w:val="auto"/>
        </w:rPr>
        <w:t>Interest expense of $340 million in 2012 increased by $42 million compared to 2011 primarily due to the $1 billion of $1.25% Senior Notes due 2017 and $1 billion of 2.40% Senior Notes due 2022 that Schlumberger issued during 2012.</w:t>
      </w:r>
    </w:p>
    <w:p>
      <w:pPr>
        <w:ind w:right="100"/>
        <w:spacing w:after="0" w:line="261" w:lineRule="auto"/>
        <w:rPr>
          <w:sz w:val="20"/>
          <w:szCs w:val="20"/>
          <w:color w:val="auto"/>
        </w:rPr>
      </w:pPr>
      <w:r>
        <w:rPr>
          <w:rFonts w:ascii="Arial" w:cs="Arial" w:eastAsia="Arial" w:hAnsi="Arial"/>
          <w:sz w:val="18"/>
          <w:szCs w:val="18"/>
          <w:color w:val="auto"/>
        </w:rPr>
        <w:t>Interest expense of $298 million in 2011 increased by $91 million compared to 2010 primarily due to the $4.6 billion of long-term debt that Schlumberger issued during 2011.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2012</w:t>
            </w:r>
          </w:p>
        </w:tc>
        <w:tc>
          <w:tcPr>
            <w:tcW w:w="5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2011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2010</w:t>
            </w:r>
          </w:p>
        </w:tc>
        <w:tc>
          <w:tcPr>
            <w:tcW w:w="140" w:type="dxa"/>
            <w:vAlign w:val="bottom"/>
            <w:tcBorders>
              <w:bottom w:val="single" w:sz="8" w:color="CCEEFF"/>
            </w:tcBorders>
          </w:tcPr>
          <w:p>
            <w:pPr>
              <w:spacing w:after="0"/>
              <w:rPr>
                <w:sz w:val="14"/>
                <w:szCs w:val="14"/>
                <w:color w:val="auto"/>
              </w:rPr>
            </w:pPr>
          </w:p>
        </w:tc>
      </w:tr>
      <w:tr>
        <w:trPr>
          <w:trHeight w:val="142"/>
        </w:trPr>
        <w:tc>
          <w:tcPr>
            <w:tcW w:w="9520" w:type="dxa"/>
            <w:vAlign w:val="bottom"/>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Research &amp; engineering</w:t>
            </w:r>
          </w:p>
        </w:tc>
        <w:tc>
          <w:tcPr>
            <w:tcW w:w="7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b w:val="1"/>
                <w:bCs w:val="1"/>
                <w:color w:val="auto"/>
              </w:rPr>
              <w:t>2.8%</w:t>
            </w:r>
          </w:p>
        </w:tc>
        <w:tc>
          <w:tcPr>
            <w:tcW w:w="5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3.4%</w:t>
            </w:r>
          </w:p>
        </w:tc>
      </w:tr>
      <w:tr>
        <w:trPr>
          <w:trHeight w:val="174"/>
        </w:trPr>
        <w:tc>
          <w:tcPr>
            <w:tcW w:w="9520" w:type="dxa"/>
            <w:vAlign w:val="bottom"/>
          </w:tcPr>
          <w:p>
            <w:pPr>
              <w:spacing w:after="0"/>
              <w:rPr>
                <w:sz w:val="20"/>
                <w:szCs w:val="20"/>
                <w:color w:val="auto"/>
              </w:rPr>
            </w:pPr>
            <w:r>
              <w:rPr>
                <w:rFonts w:ascii="Arial" w:cs="Arial" w:eastAsia="Arial" w:hAnsi="Arial"/>
                <w:sz w:val="14"/>
                <w:szCs w:val="14"/>
                <w:i w:val="1"/>
                <w:iCs w:val="1"/>
                <w:color w:val="auto"/>
              </w:rPr>
              <w:t>General &amp; administrative</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1.0%</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color w:val="auto"/>
              </w:rPr>
              <w:t>1.2%</w:t>
            </w:r>
          </w:p>
        </w:tc>
      </w:tr>
    </w:tbl>
    <w:p>
      <w:pPr>
        <w:spacing w:after="0" w:line="47"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 xml:space="preserve">Although </w:t>
      </w:r>
      <w:r>
        <w:rPr>
          <w:rFonts w:ascii="Arial" w:cs="Arial" w:eastAsia="Arial" w:hAnsi="Arial"/>
          <w:sz w:val="18"/>
          <w:szCs w:val="18"/>
          <w:i w:val="1"/>
          <w:iCs w:val="1"/>
          <w:color w:val="auto"/>
        </w:rPr>
        <w:t>Research &amp; engineering</w:t>
      </w:r>
      <w:r>
        <w:rPr>
          <w:rFonts w:ascii="Arial" w:cs="Arial" w:eastAsia="Arial" w:hAnsi="Arial"/>
          <w:sz w:val="18"/>
          <w:szCs w:val="18"/>
          <w:color w:val="auto"/>
        </w:rPr>
        <w:t xml:space="preserve"> decreased as a percentage of revenue in 2011 as compared to 2010, it increased in absolute dollars by $154 million. This increase in absolute dollars was driven in large part by the impact of the Smith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Schlumberger effective tax rate was 24.0% in 2012, 24.2% in 2011, and 17.1% in 2010.</w:t>
      </w:r>
    </w:p>
    <w:p>
      <w:pPr>
        <w:spacing w:after="0" w:line="90" w:lineRule="exact"/>
        <w:rPr>
          <w:sz w:val="20"/>
          <w:szCs w:val="20"/>
          <w:color w:val="auto"/>
        </w:rPr>
      </w:pPr>
    </w:p>
    <w:p>
      <w:pPr>
        <w:ind w:right="280" w:firstLine="228"/>
        <w:spacing w:after="0" w:line="253" w:lineRule="auto"/>
        <w:rPr>
          <w:sz w:val="20"/>
          <w:szCs w:val="20"/>
          <w:color w:val="auto"/>
        </w:rPr>
      </w:pPr>
      <w:r>
        <w:rPr>
          <w:rFonts w:ascii="Arial" w:cs="Arial" w:eastAsia="Arial" w:hAnsi="Arial"/>
          <w:sz w:val="18"/>
          <w:szCs w:val="18"/>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ind w:right="100" w:firstLine="228"/>
        <w:spacing w:after="0" w:line="295" w:lineRule="auto"/>
        <w:rPr>
          <w:sz w:val="20"/>
          <w:szCs w:val="20"/>
          <w:color w:val="auto"/>
        </w:rPr>
      </w:pPr>
      <w:r>
        <w:rPr>
          <w:rFonts w:ascii="Arial" w:cs="Arial" w:eastAsia="Arial" w:hAnsi="Arial"/>
          <w:sz w:val="16"/>
          <w:szCs w:val="16"/>
          <w:color w:val="auto"/>
        </w:rPr>
        <w:t xml:space="preserve">The effective tax rate for both 2011 and 2010 was impacted by the charges and credits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Excluding the impact of these charges and credits, the effective tax rate in 2011 was 23.8% compared to 20.5% in 2010. This increase in the effective tax rate, excluding the impact of the charges and credits, was primarily attributable to the fact that Schlumberger generated a larger proportion of its pretax earnings in North America in 2011 as compared to 2010 as a result of improved market conditions and the effect of a full year’s activity from the acquired Smith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9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 xml:space="preserve">Schlumberger recorded significant charges and credits in continuing operations during 2012, 2011 and 2010.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2012 charges and credits: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6"/>
          </w:tcPr>
          <w:p>
            <w:pPr>
              <w:ind w:left="220"/>
              <w:spacing w:after="0"/>
              <w:rPr>
                <w:sz w:val="20"/>
                <w:szCs w:val="20"/>
                <w:color w:val="auto"/>
              </w:rPr>
            </w:pPr>
            <w:r>
              <w:rPr>
                <w:rFonts w:ascii="Arial" w:cs="Arial" w:eastAsia="Arial" w:hAnsi="Arial"/>
                <w:sz w:val="14"/>
                <w:szCs w:val="14"/>
                <w:b w:val="1"/>
                <w:bCs w:val="1"/>
                <w:color w:val="auto"/>
              </w:rPr>
              <w:t>(Stated in millions)</w:t>
            </w:r>
          </w:p>
        </w:tc>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w:t>
            </w:r>
          </w:p>
        </w:tc>
        <w:tc>
          <w:tcPr>
            <w:tcW w:w="0" w:type="dxa"/>
            <w:vAlign w:val="bottom"/>
          </w:tcPr>
          <w:p>
            <w:pPr>
              <w:spacing w:after="0"/>
              <w:rPr>
                <w:sz w:val="1"/>
                <w:szCs w:val="1"/>
                <w:color w:val="auto"/>
              </w:rPr>
            </w:pPr>
          </w:p>
        </w:tc>
      </w:tr>
      <w:tr>
        <w:trPr>
          <w:trHeight w:val="123"/>
        </w:trPr>
        <w:tc>
          <w:tcPr>
            <w:tcW w:w="44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2"/>
              </w:rPr>
              <w:t>Tax</w:t>
            </w:r>
          </w:p>
        </w:tc>
        <w:tc>
          <w:tcPr>
            <w:tcW w:w="28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w:t>
            </w:r>
          </w:p>
        </w:tc>
        <w:tc>
          <w:tcPr>
            <w:tcW w:w="2560" w:type="dxa"/>
            <w:vAlign w:val="bottom"/>
          </w:tcPr>
          <w:p>
            <w:pPr>
              <w:spacing w:after="0"/>
              <w:rPr>
                <w:sz w:val="20"/>
                <w:szCs w:val="20"/>
                <w:color w:val="auto"/>
              </w:rPr>
            </w:pPr>
            <w:r>
              <w:rPr>
                <w:rFonts w:ascii="Arial" w:cs="Arial" w:eastAsia="Arial" w:hAnsi="Arial"/>
                <w:sz w:val="14"/>
                <w:szCs w:val="14"/>
                <w:b w:val="1"/>
                <w:bCs w:val="1"/>
                <w:color w:val="auto"/>
              </w:rPr>
              <w:t>of Income Classification</w:t>
            </w:r>
          </w:p>
        </w:tc>
        <w:tc>
          <w:tcPr>
            <w:tcW w:w="0" w:type="dxa"/>
            <w:vAlign w:val="bottom"/>
          </w:tcPr>
          <w:p>
            <w:pPr>
              <w:spacing w:after="0"/>
              <w:rPr>
                <w:sz w:val="1"/>
                <w:szCs w:val="1"/>
                <w:color w:val="auto"/>
              </w:rPr>
            </w:pPr>
          </w:p>
        </w:tc>
      </w:tr>
      <w:tr>
        <w:trPr>
          <w:trHeight w:val="142"/>
        </w:trPr>
        <w:tc>
          <w:tcPr>
            <w:tcW w:w="4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Merger-related integration costs</w:t>
            </w:r>
          </w:p>
        </w:tc>
        <w:tc>
          <w:tcPr>
            <w:tcW w:w="26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w:t>
            </w: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$16</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$112</w:t>
            </w:r>
          </w:p>
        </w:tc>
        <w:tc>
          <w:tcPr>
            <w:tcW w:w="280" w:type="dxa"/>
            <w:vAlign w:val="bottom"/>
            <w:tcBorders>
              <w:top w:val="single" w:sz="8" w:color="CCEEFF"/>
            </w:tcBorders>
            <w:shd w:val="clear" w:color="auto" w:fill="CCEEFF"/>
          </w:tcPr>
          <w:p>
            <w:pPr>
              <w:spacing w:after="0"/>
              <w:rPr>
                <w:sz w:val="12"/>
                <w:szCs w:val="12"/>
                <w:color w:val="auto"/>
              </w:rPr>
            </w:pPr>
          </w:p>
        </w:tc>
        <w:tc>
          <w:tcPr>
            <w:tcW w:w="2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Workforce reduction</w:t>
            </w:r>
          </w:p>
        </w:tc>
        <w:tc>
          <w:tcPr>
            <w:tcW w:w="2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w:t>
            </w:r>
          </w:p>
        </w:tc>
        <w:tc>
          <w:tcPr>
            <w:tcW w:w="280" w:type="dxa"/>
            <w:vAlign w:val="bottom"/>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3"/>
                <w:szCs w:val="13"/>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22</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139</w:t>
            </w: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2011 charges and credits: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7"/>
          </w:tcPr>
          <w:p>
            <w:pPr>
              <w:ind w:left="220"/>
              <w:spacing w:after="0"/>
              <w:rPr>
                <w:sz w:val="20"/>
                <w:szCs w:val="20"/>
                <w:color w:val="auto"/>
              </w:rPr>
            </w:pPr>
            <w:r>
              <w:rPr>
                <w:rFonts w:ascii="Arial" w:cs="Arial" w:eastAsia="Arial" w:hAnsi="Arial"/>
                <w:sz w:val="14"/>
                <w:szCs w:val="14"/>
                <w:b w:val="1"/>
                <w:bCs w:val="1"/>
                <w:color w:val="auto"/>
              </w:rPr>
              <w:t>(Stated in millions)</w:t>
            </w:r>
          </w:p>
        </w:tc>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2"/>
              </w:rPr>
              <w:t>Tax</w:t>
            </w:r>
          </w:p>
        </w:tc>
        <w:tc>
          <w:tcPr>
            <w:tcW w:w="28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Net</w:t>
            </w:r>
          </w:p>
        </w:tc>
        <w:tc>
          <w:tcPr>
            <w:tcW w:w="2560" w:type="dxa"/>
            <w:vAlign w:val="bottom"/>
          </w:tcPr>
          <w:p>
            <w:pPr>
              <w:spacing w:after="0"/>
              <w:rPr>
                <w:sz w:val="20"/>
                <w:szCs w:val="20"/>
                <w:color w:val="auto"/>
              </w:rPr>
            </w:pPr>
            <w:r>
              <w:rPr>
                <w:rFonts w:ascii="Arial" w:cs="Arial" w:eastAsia="Arial" w:hAnsi="Arial"/>
                <w:sz w:val="14"/>
                <w:szCs w:val="14"/>
                <w:b w:val="1"/>
                <w:bCs w:val="1"/>
                <w:color w:val="auto"/>
              </w:rPr>
              <w:t>of Income Classification</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4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Merger-related integration costs</w:t>
            </w:r>
          </w:p>
        </w:tc>
        <w:tc>
          <w:tcPr>
            <w:tcW w:w="3300" w:type="dxa"/>
            <w:vAlign w:val="bottom"/>
            <w:gridSpan w:val="2"/>
          </w:tcPr>
          <w:p>
            <w:pPr>
              <w:ind w:left="31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$18</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w:t>
            </w:r>
          </w:p>
        </w:tc>
        <w:tc>
          <w:tcPr>
            <w:tcW w:w="2560" w:type="dxa"/>
            <w:vAlign w:val="bottom"/>
          </w:tcPr>
          <w:p>
            <w:pPr>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Donation to the Schlumberger Foundation</w:t>
            </w:r>
          </w:p>
        </w:tc>
        <w:tc>
          <w:tcPr>
            <w:tcW w:w="3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w:t>
            </w: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General &amp; administrative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Write-off of assets in Libya</w:t>
            </w:r>
          </w:p>
        </w:tc>
        <w:tc>
          <w:tcPr>
            <w:tcW w:w="3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280" w:type="dxa"/>
            <w:vAlign w:val="bottom"/>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280" w:type="dxa"/>
            <w:vAlign w:val="bottom"/>
          </w:tcPr>
          <w:p>
            <w:pPr>
              <w:spacing w:after="0"/>
              <w:rPr>
                <w:sz w:val="13"/>
                <w:szCs w:val="13"/>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31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195</w:t>
            </w:r>
          </w:p>
        </w:tc>
        <w:tc>
          <w:tcPr>
            <w:tcW w:w="2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160" w:type="dxa"/>
            <w:vAlign w:val="bottom"/>
          </w:tcPr>
          <w:p>
            <w:pPr>
              <w:jc w:val="right"/>
              <w:ind w:right="1272"/>
              <w:spacing w:after="0"/>
              <w:rPr>
                <w:sz w:val="20"/>
                <w:szCs w:val="20"/>
                <w:color w:val="auto"/>
              </w:rPr>
            </w:pPr>
            <w:r>
              <w:rPr>
                <w:rFonts w:ascii="Arial" w:cs="Arial" w:eastAsia="Arial" w:hAnsi="Arial"/>
                <w:sz w:val="14"/>
                <w:szCs w:val="14"/>
                <w:color w:val="auto"/>
              </w:rPr>
              <w:t>23</w:t>
            </w: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summary of the 2010 charges and credits: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(Stated in millions)</w:t>
            </w: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Consolidated Statement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Pretax</w:t>
            </w:r>
          </w:p>
        </w:tc>
        <w:tc>
          <w:tcPr>
            <w:tcW w:w="180" w:type="dxa"/>
            <w:vAlign w:val="bottom"/>
          </w:tcPr>
          <w:p>
            <w:pPr>
              <w:spacing w:after="0"/>
              <w:rPr>
                <w:sz w:val="15"/>
                <w:szCs w:val="15"/>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5"/>
                <w:szCs w:val="15"/>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Net</w:t>
            </w:r>
          </w:p>
        </w:tc>
        <w:tc>
          <w:tcPr>
            <w:tcW w:w="2760" w:type="dxa"/>
            <w:vAlign w:val="bottom"/>
            <w:gridSpan w:val="2"/>
          </w:tcPr>
          <w:p>
            <w:pPr>
              <w:ind w:left="120"/>
              <w:spacing w:after="0"/>
              <w:rPr>
                <w:sz w:val="20"/>
                <w:szCs w:val="20"/>
                <w:color w:val="auto"/>
              </w:rPr>
            </w:pPr>
            <w:r>
              <w:rPr>
                <w:rFonts w:ascii="Arial" w:cs="Arial" w:eastAsia="Arial" w:hAnsi="Arial"/>
                <w:sz w:val="14"/>
                <w:szCs w:val="14"/>
                <w:b w:val="1"/>
                <w:bCs w:val="1"/>
                <w:color w:val="auto"/>
              </w:rPr>
              <w:t>of Income Classification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Restructuring and Merger-related Charges:</w:t>
            </w: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420"/>
              <w:spacing w:after="0" w:line="149" w:lineRule="exact"/>
              <w:rPr>
                <w:sz w:val="20"/>
                <w:szCs w:val="20"/>
                <w:color w:val="auto"/>
              </w:rPr>
            </w:pPr>
            <w:r>
              <w:rPr>
                <w:rFonts w:ascii="Arial" w:cs="Arial" w:eastAsia="Arial" w:hAnsi="Arial"/>
                <w:sz w:val="14"/>
                <w:szCs w:val="14"/>
                <w:color w:val="auto"/>
              </w:rPr>
              <w:t>Severance and other</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w:t>
            </w:r>
          </w:p>
        </w:tc>
        <w:tc>
          <w:tcPr>
            <w:tcW w:w="276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Restructuring &amp;other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relating to WesternGeco’s first generation Q-Land acquisition system</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w:t>
            </w:r>
          </w:p>
        </w:tc>
        <w:tc>
          <w:tcPr>
            <w:tcW w:w="2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420"/>
              <w:spacing w:after="0" w:line="149" w:lineRule="exact"/>
              <w:rPr>
                <w:sz w:val="20"/>
                <w:szCs w:val="20"/>
                <w:color w:val="auto"/>
              </w:rPr>
            </w:pPr>
            <w:r>
              <w:rPr>
                <w:rFonts w:ascii="Arial" w:cs="Arial" w:eastAsia="Arial" w:hAnsi="Arial"/>
                <w:sz w:val="14"/>
                <w:szCs w:val="14"/>
                <w:color w:val="auto"/>
              </w:rPr>
              <w:t>Other WesternGeco-related charges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w:t>
            </w:r>
          </w:p>
        </w:tc>
        <w:tc>
          <w:tcPr>
            <w:tcW w:w="276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Professional fees and other</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2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420"/>
              <w:spacing w:after="0" w:line="149" w:lineRule="exact"/>
              <w:rPr>
                <w:sz w:val="20"/>
                <w:szCs w:val="20"/>
                <w:color w:val="auto"/>
              </w:rPr>
            </w:pPr>
            <w:r>
              <w:rPr>
                <w:rFonts w:ascii="Arial" w:cs="Arial" w:eastAsia="Arial" w:hAnsi="Arial"/>
                <w:sz w:val="14"/>
                <w:szCs w:val="14"/>
                <w:color w:val="auto"/>
              </w:rPr>
              <w:t>Merger-related employee benefits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276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Inventory fair value adjustments</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w:t>
            </w:r>
          </w:p>
        </w:tc>
        <w:tc>
          <w:tcPr>
            <w:tcW w:w="2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420"/>
              <w:spacing w:after="0" w:line="149" w:lineRule="exact"/>
              <w:rPr>
                <w:sz w:val="20"/>
                <w:szCs w:val="20"/>
                <w:color w:val="auto"/>
              </w:rPr>
            </w:pPr>
            <w:r>
              <w:rPr>
                <w:rFonts w:ascii="Arial" w:cs="Arial" w:eastAsia="Arial" w:hAnsi="Arial"/>
                <w:sz w:val="14"/>
                <w:szCs w:val="14"/>
                <w:color w:val="auto"/>
              </w:rPr>
              <w:t>Mexico restructuring</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276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bonds</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2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ind w:left="860"/>
              <w:spacing w:after="0" w:line="155" w:lineRule="exact"/>
              <w:rPr>
                <w:sz w:val="20"/>
                <w:szCs w:val="20"/>
                <w:color w:val="auto"/>
              </w:rPr>
            </w:pPr>
            <w:r>
              <w:rPr>
                <w:rFonts w:ascii="Arial" w:cs="Arial" w:eastAsia="Arial" w:hAnsi="Arial"/>
                <w:sz w:val="14"/>
                <w:szCs w:val="14"/>
                <w:i w:val="1"/>
                <w:iCs w:val="1"/>
                <w:color w:val="auto"/>
              </w:rPr>
              <w:t>Total restructuring and merger-related charges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645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76"/>
              </w:rPr>
              <w:t>114</w:t>
            </w:r>
          </w:p>
        </w:tc>
        <w:tc>
          <w:tcPr>
            <w:tcW w:w="200" w:type="dxa"/>
            <w:vAlign w:val="bottom"/>
          </w:tcPr>
          <w:p>
            <w:pPr>
              <w:spacing w:after="0"/>
              <w:rPr>
                <w:sz w:val="13"/>
                <w:szCs w:val="13"/>
                <w:color w:val="auto"/>
              </w:rPr>
            </w:pPr>
          </w:p>
        </w:tc>
        <w:tc>
          <w:tcPr>
            <w:tcW w:w="5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531</w:t>
            </w: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investment in M-I SWACO</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(1,270)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(32)</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(1,238)</w:t>
            </w:r>
          </w:p>
        </w:tc>
        <w:tc>
          <w:tcPr>
            <w:tcW w:w="27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Gain on Investment in M-I SWACO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Impact of elimination of tax deduction related to Medicare Part D subsidy</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(40)</w:t>
            </w:r>
          </w:p>
        </w:tc>
        <w:tc>
          <w:tcPr>
            <w:tcW w:w="20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w:t>
            </w:r>
          </w:p>
        </w:tc>
        <w:tc>
          <w:tcPr>
            <w:tcW w:w="276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Taxes on income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w:t>
      </w:r>
    </w:p>
    <w:p>
      <w:pPr>
        <w:spacing w:after="0" w:line="90"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ind w:left="240"/>
        <w:spacing w:after="0"/>
        <w:rPr>
          <w:sz w:val="20"/>
          <w:szCs w:val="20"/>
          <w:color w:val="auto"/>
        </w:rPr>
      </w:pPr>
      <w:r>
        <w:rPr>
          <w:rFonts w:ascii="Arial" w:cs="Arial" w:eastAsia="Arial" w:hAnsi="Arial"/>
          <w:sz w:val="18"/>
          <w:szCs w:val="18"/>
          <w:color w:val="auto"/>
        </w:rPr>
        <w:t>Details of Net Debt follow: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9"/>
              </w:rPr>
              <w:t>(Stated in millions)</w:t>
            </w:r>
          </w:p>
        </w:tc>
      </w:tr>
      <w:tr>
        <w:trPr>
          <w:trHeight w:val="298"/>
        </w:trPr>
        <w:tc>
          <w:tcPr>
            <w:tcW w:w="9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2010</w:t>
            </w:r>
          </w:p>
        </w:tc>
      </w:tr>
      <w:tr>
        <w:trPr>
          <w:trHeight w:val="142"/>
        </w:trPr>
        <w:tc>
          <w:tcPr>
            <w:tcW w:w="9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Debt, beginning of year</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$(4,850)</w:t>
            </w:r>
          </w:p>
        </w:tc>
        <w:tc>
          <w:tcPr>
            <w:tcW w:w="180" w:type="dxa"/>
            <w:vAlign w:val="bottom"/>
            <w:tcBorders>
              <w:top w:val="single" w:sz="8" w:color="CCEEFF"/>
              <w:lef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$(2,638)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Income from continuing operations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5,468</w:t>
            </w:r>
          </w:p>
        </w:tc>
        <w:tc>
          <w:tcPr>
            <w:tcW w:w="18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4,730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4,253</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 xml:space="preserve">Depreciation and amortization </w:t>
            </w:r>
            <w:r>
              <w:rPr>
                <w:rFonts w:ascii="Arial" w:cs="Arial" w:eastAsia="Arial" w:hAnsi="Arial"/>
                <w:sz w:val="17"/>
                <w:szCs w:val="17"/>
                <w:color w:val="auto"/>
                <w:vertAlign w:val="superscript"/>
              </w:rPr>
              <w:t>(1)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3,500</w:t>
            </w:r>
          </w:p>
        </w:tc>
        <w:tc>
          <w:tcPr>
            <w:tcW w:w="180" w:type="dxa"/>
            <w:vAlign w:val="bottom"/>
            <w:tcBorders>
              <w:lef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3,274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2,757</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Gain on M-I SWACO investment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(1,270)</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Pension and other postretirement benefits expense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404</w:t>
            </w:r>
          </w:p>
        </w:tc>
        <w:tc>
          <w:tcPr>
            <w:tcW w:w="180" w:type="dxa"/>
            <w:vAlign w:val="bottom"/>
            <w:tcBorders>
              <w:lef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(61)</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-based compensation expense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335</w:t>
            </w:r>
          </w:p>
        </w:tc>
        <w:tc>
          <w:tcPr>
            <w:tcW w:w="180" w:type="dxa"/>
            <w:vAlign w:val="bottom"/>
            <w:tcBorders>
              <w:lef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Other non-cash items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w:t>
            </w:r>
          </w:p>
        </w:tc>
        <w:tc>
          <w:tcPr>
            <w:tcW w:w="18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327</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Pension and other postretirement benefits funding</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(673)</w:t>
            </w: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(868)</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(Increase) decrease in working capital</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(1,968)</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(2,144)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expenditures</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(4,695)</w:t>
            </w: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(2,912)</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Multiclient seismic data capitalized</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(351)</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(289)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(326)</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Dividends paid</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(1,432)</w:t>
            </w: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(1,040)</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Stock repurchase program</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(972)</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(1,717)</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employee stock plans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410</w:t>
            </w:r>
          </w:p>
        </w:tc>
        <w:tc>
          <w:tcPr>
            <w:tcW w:w="180" w:type="dxa"/>
            <w:vAlign w:val="bottom"/>
            <w:tcBorders>
              <w:left w:val="single" w:sz="8" w:color="CCEEFF"/>
            </w:tcBorders>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Net debt assumed in merger with Smith</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(1,829)</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Geoservices acquisition, net of debt acquired</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(1,033)</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Business acquisitions and other transactions</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(845)</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(212)</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divestiture of Wilson distribution business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906</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Proceeds from divestiture of CE Franklin business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divestiture of Global Connectivity Services business</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Discontinued operations</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(152)</w:t>
            </w: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Conversion of debentures</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w:t>
            </w:r>
          </w:p>
        </w:tc>
      </w:tr>
      <w:tr>
        <w:trPr>
          <w:trHeight w:val="149"/>
        </w:trPr>
        <w:tc>
          <w:tcPr>
            <w:tcW w:w="9480" w:type="dxa"/>
            <w:vAlign w:val="bottom"/>
          </w:tcPr>
          <w:p>
            <w:pPr>
              <w:ind w:left="440"/>
              <w:spacing w:after="0" w:line="149" w:lineRule="exact"/>
              <w:rPr>
                <w:sz w:val="20"/>
                <w:szCs w:val="20"/>
                <w:color w:val="auto"/>
              </w:rPr>
            </w:pPr>
            <w:r>
              <w:rPr>
                <w:rFonts w:ascii="Arial" w:cs="Arial" w:eastAsia="Arial" w:hAnsi="Arial"/>
                <w:sz w:val="14"/>
                <w:szCs w:val="14"/>
                <w:color w:val="auto"/>
              </w:rPr>
              <w:t>Translation effect on net debt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r>
      <w:tr>
        <w:trPr>
          <w:trHeight w:val="149"/>
        </w:trPr>
        <w:tc>
          <w:tcPr>
            <w:tcW w:w="94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(309)</w:t>
            </w: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w:t>
            </w:r>
          </w:p>
        </w:tc>
      </w:tr>
      <w:tr>
        <w:trPr>
          <w:trHeight w:val="20"/>
        </w:trPr>
        <w:tc>
          <w:tcPr>
            <w:tcW w:w="9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9480" w:type="dxa"/>
            <w:vAlign w:val="bottom"/>
          </w:tcPr>
          <w:p>
            <w:pPr>
              <w:spacing w:after="0" w:line="155" w:lineRule="exact"/>
              <w:rPr>
                <w:sz w:val="20"/>
                <w:szCs w:val="20"/>
                <w:color w:val="auto"/>
              </w:rPr>
            </w:pPr>
            <w:r>
              <w:rPr>
                <w:rFonts w:ascii="Arial" w:cs="Arial" w:eastAsia="Arial" w:hAnsi="Arial"/>
                <w:sz w:val="14"/>
                <w:szCs w:val="14"/>
                <w:color w:val="auto"/>
              </w:rPr>
              <w:t>Net Debt, end of year</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2"/>
              </w:rPr>
              <w:t>$ (5,111)</w:t>
            </w:r>
          </w:p>
        </w:tc>
        <w:tc>
          <w:tcPr>
            <w:tcW w:w="720" w:type="dxa"/>
            <w:vAlign w:val="bottom"/>
            <w:gridSpan w:val="3"/>
          </w:tcPr>
          <w:p>
            <w:pPr>
              <w:jc w:val="right"/>
              <w:ind w:right="14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(4,850)</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(2,638)</w:t>
            </w:r>
          </w:p>
        </w:tc>
      </w:tr>
      <w:tr>
        <w:trPr>
          <w:trHeight w:val="20"/>
        </w:trPr>
        <w:tc>
          <w:tcPr>
            <w:tcW w:w="9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(1)Includes multiclient seismic data costs.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2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285"/>
        </w:trPr>
        <w:tc>
          <w:tcPr>
            <w:tcW w:w="9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Components of Net Debt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Dec. 31</w:t>
            </w:r>
          </w:p>
        </w:tc>
        <w:tc>
          <w:tcPr>
            <w:tcW w:w="12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w w:val="82"/>
              </w:rPr>
              <w:t>Dec. 31</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61"/>
        </w:trPr>
        <w:tc>
          <w:tcPr>
            <w:tcW w:w="9440" w:type="dxa"/>
            <w:vAlign w:val="bottom"/>
            <w:gridSpan w:val="2"/>
            <w:vMerge w:val="continue"/>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3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94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2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$ 1,905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$ 1,705</w:t>
            </w:r>
          </w:p>
        </w:tc>
        <w:tc>
          <w:tcPr>
            <w:tcW w:w="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$ 1,764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investments</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4,369</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3,122</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20" w:type="dxa"/>
            <w:vAlign w:val="bottom"/>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245</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w:t>
            </w:r>
          </w:p>
        </w:tc>
        <w:tc>
          <w:tcPr>
            <w:tcW w:w="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borrowings and current portion of long-term debt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(2,121)</w:t>
            </w:r>
          </w:p>
        </w:tc>
        <w:tc>
          <w:tcPr>
            <w:tcW w:w="8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(1,377)</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(9,509)</w:t>
            </w:r>
          </w:p>
        </w:tc>
        <w:tc>
          <w:tcPr>
            <w:tcW w:w="8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(8,556)</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4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2"/>
              </w:rPr>
              <w:t>$ (5,111)</w:t>
            </w:r>
          </w:p>
        </w:tc>
        <w:tc>
          <w:tcPr>
            <w:tcW w:w="8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(4,850)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 xml:space="preserve"> (2,638)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Key liquidity events during 2012, 2011 and 2010 included: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During the third quarter of 2012, Schlumberger issued $1 billion of 1.25% Senior Notes due 2017 and $1 billion of 2.40% Senior Notes due 2022.</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During the third quarter of 2012, Schlumberger completed the divestiture of its 56% interest in CE Franklin Ltd. for $122 million in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During the second quarter of 2012, Schlumberger completed the divestiture of its Wilson distribution business for $906 million in cash.</w:t>
      </w:r>
    </w:p>
    <w:p>
      <w:pPr>
        <w:spacing w:after="0" w:line="90" w:lineRule="exact"/>
        <w:rPr>
          <w:sz w:val="20"/>
          <w:szCs w:val="20"/>
          <w:color w:val="auto"/>
        </w:rPr>
      </w:pPr>
    </w:p>
    <w:p>
      <w:pPr>
        <w:ind w:left="780" w:right="120" w:hanging="324"/>
        <w:spacing w:after="0" w:line="332" w:lineRule="auto"/>
        <w:rPr>
          <w:sz w:val="20"/>
          <w:szCs w:val="20"/>
          <w:color w:val="auto"/>
        </w:rPr>
      </w:pPr>
      <w:r>
        <w:rPr>
          <w:rFonts w:ascii="Arial" w:cs="Arial" w:eastAsia="Arial" w:hAnsi="Arial"/>
          <w:sz w:val="16"/>
          <w:szCs w:val="16"/>
          <w:color w:val="auto"/>
        </w:rPr>
        <w:t>— During the third quarter of 2011, Schlumberger issued $1.1 billion of 1.95% Senior Notes due 2016, $1.6 billion of 3.30% Senior Notes due 2021 and $300 million of Floating Rate Senior Notes due 2014 that bear interest at a rate equal to three-month LIBOR plus 55 bps per year.</w:t>
      </w:r>
    </w:p>
    <w:p>
      <w:pPr>
        <w:spacing w:after="0" w:line="4" w:lineRule="exact"/>
        <w:rPr>
          <w:sz w:val="20"/>
          <w:szCs w:val="20"/>
          <w:color w:val="auto"/>
        </w:rPr>
      </w:pPr>
    </w:p>
    <w:p>
      <w:pPr>
        <w:ind w:left="780" w:right="500" w:hanging="324"/>
        <w:spacing w:after="0" w:line="268" w:lineRule="auto"/>
        <w:rPr>
          <w:sz w:val="20"/>
          <w:szCs w:val="20"/>
          <w:color w:val="auto"/>
        </w:rPr>
      </w:pPr>
      <w:r>
        <w:rPr>
          <w:rFonts w:ascii="Arial" w:cs="Arial" w:eastAsia="Arial" w:hAnsi="Arial"/>
          <w:sz w:val="18"/>
          <w:szCs w:val="18"/>
          <w:color w:val="auto"/>
        </w:rPr>
        <w:t>— During the second quarter of 2011, Schlumberger completed the divestiture of its Global Connectivity Services business for approximately $385 million in cash.</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During the first quarter of 2011, Schlumberger issued $1.1 billion of 4.20% Senior Notes due 2021 and $500 million of 2.65% Senior Notes due 2016.</w:t>
      </w:r>
    </w:p>
    <w:p>
      <w:pPr>
        <w:spacing w:after="0" w:line="113" w:lineRule="exact"/>
        <w:rPr>
          <w:sz w:val="20"/>
          <w:szCs w:val="20"/>
          <w:color w:val="auto"/>
        </w:rPr>
      </w:pPr>
    </w:p>
    <w:p>
      <w:pPr>
        <w:ind w:left="780" w:right="280" w:hanging="324"/>
        <w:spacing w:after="0" w:line="268" w:lineRule="auto"/>
        <w:rPr>
          <w:sz w:val="20"/>
          <w:szCs w:val="20"/>
          <w:color w:val="auto"/>
        </w:rPr>
      </w:pPr>
      <w:r>
        <w:rPr>
          <w:rFonts w:ascii="Arial" w:cs="Arial" w:eastAsia="Arial" w:hAnsi="Arial"/>
          <w:sz w:val="18"/>
          <w:szCs w:val="18"/>
          <w:color w:val="auto"/>
        </w:rPr>
        <w:t>— During the first quarter of 2011, Schlumberger repurchased all of its outstanding 9.75% Senior Notes due 2019, 8.625% Senior Notes due 2014 and 6.00% Senior Notes due 2016 for approximately $1.26 billion.</w:t>
      </w:r>
    </w:p>
    <w:p>
      <w:pPr>
        <w:spacing w:after="0" w:line="50" w:lineRule="exact"/>
        <w:rPr>
          <w:sz w:val="20"/>
          <w:szCs w:val="20"/>
          <w:color w:val="auto"/>
        </w:rPr>
      </w:pPr>
    </w:p>
    <w:p>
      <w:pPr>
        <w:ind w:left="780" w:right="120" w:hanging="324"/>
        <w:spacing w:after="0" w:line="332" w:lineRule="auto"/>
        <w:rPr>
          <w:sz w:val="20"/>
          <w:szCs w:val="20"/>
          <w:color w:val="auto"/>
        </w:rPr>
      </w:pPr>
      <w:r>
        <w:rPr>
          <w:rFonts w:ascii="Arial" w:cs="Arial" w:eastAsia="Arial" w:hAnsi="Arial"/>
          <w:sz w:val="16"/>
          <w:szCs w:val="16"/>
          <w:color w:val="auto"/>
        </w:rPr>
        <w:t>— As a result of the Smith acquisition on August 27, 2010, Schlumberger assumed net debt of $1.8 billion. This amount consisted of $2.2 billion of debt (including a $0.4 billion adjustment to increase Smith’s long-term fixed rate debt to its estimated fair value) and $0.4 billion of cash.</w:t>
      </w:r>
    </w:p>
    <w:p>
      <w:pPr>
        <w:spacing w:after="0" w:line="4" w:lineRule="exact"/>
        <w:rPr>
          <w:sz w:val="20"/>
          <w:szCs w:val="20"/>
          <w:color w:val="auto"/>
        </w:rPr>
      </w:pPr>
    </w:p>
    <w:p>
      <w:pPr>
        <w:ind w:left="780" w:right="60" w:hanging="324"/>
        <w:spacing w:after="0" w:line="268" w:lineRule="auto"/>
        <w:rPr>
          <w:sz w:val="20"/>
          <w:szCs w:val="20"/>
          <w:color w:val="auto"/>
        </w:rPr>
      </w:pPr>
      <w:r>
        <w:rPr>
          <w:rFonts w:ascii="Arial" w:cs="Arial" w:eastAsia="Arial" w:hAnsi="Arial"/>
          <w:sz w:val="18"/>
          <w:szCs w:val="18"/>
          <w:color w:val="auto"/>
        </w:rPr>
        <w:t>— During the second quarter of 2010, Schlumberger completed the acquisition of Geoservices for cash of $0.9 billion. Schlumberger assumed net debt of $0.1 billion in connection with this transaction.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During the third and fourth quarters of 2010, Schlumberger repurchased the following debt: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5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(Stated in millions)</w:t>
            </w:r>
          </w:p>
        </w:tc>
      </w:tr>
      <w:tr>
        <w:trPr>
          <w:trHeight w:val="285"/>
        </w:trPr>
        <w:tc>
          <w:tcPr>
            <w:tcW w:w="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Carrying</w:t>
            </w:r>
          </w:p>
        </w:tc>
      </w:tr>
      <w:tr>
        <w:trPr>
          <w:trHeight w:val="161"/>
        </w:trPr>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r>
      <w:tr>
        <w:trPr>
          <w:trHeight w:val="142"/>
        </w:trPr>
        <w:tc>
          <w:tcPr>
            <w:tcW w:w="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0"/>
              </w:rPr>
              <w:t>6.50%</w:t>
            </w:r>
          </w:p>
        </w:tc>
        <w:tc>
          <w:tcPr>
            <w:tcW w:w="56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Notes due 2012</w:t>
            </w:r>
          </w:p>
        </w:tc>
        <w:tc>
          <w:tcPr>
            <w:tcW w:w="486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649</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6.75%</w:t>
            </w:r>
          </w:p>
        </w:tc>
        <w:tc>
          <w:tcPr>
            <w:tcW w:w="560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2011</w:t>
            </w:r>
          </w:p>
        </w:tc>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60" w:type="dxa"/>
            <w:vAlign w:val="bottom"/>
          </w:tcPr>
          <w:p>
            <w:pPr>
              <w:spacing w:after="0"/>
              <w:rPr>
                <w:sz w:val="12"/>
                <w:szCs w:val="12"/>
                <w:color w:val="auto"/>
              </w:rPr>
            </w:pP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9.75%</w:t>
            </w:r>
          </w:p>
        </w:tc>
        <w:tc>
          <w:tcPr>
            <w:tcW w:w="5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Senior Notes due 2019</w:t>
            </w:r>
          </w:p>
        </w:tc>
        <w:tc>
          <w:tcPr>
            <w:tcW w:w="48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60" w:type="dxa"/>
            <w:vAlign w:val="bottom"/>
            <w:shd w:val="clear" w:color="auto" w:fill="CCEEFF"/>
          </w:tcPr>
          <w:p>
            <w:pPr>
              <w:spacing w:after="0"/>
              <w:rPr>
                <w:sz w:val="12"/>
                <w:szCs w:val="12"/>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6.00%</w:t>
            </w:r>
          </w:p>
        </w:tc>
        <w:tc>
          <w:tcPr>
            <w:tcW w:w="560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2016</w:t>
            </w:r>
          </w:p>
        </w:tc>
        <w:tc>
          <w:tcPr>
            <w:tcW w:w="4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60" w:type="dxa"/>
            <w:vAlign w:val="bottom"/>
          </w:tcPr>
          <w:p>
            <w:pPr>
              <w:spacing w:after="0"/>
              <w:rPr>
                <w:sz w:val="12"/>
                <w:szCs w:val="12"/>
                <w:color w:val="auto"/>
              </w:rPr>
            </w:pPr>
          </w:p>
        </w:tc>
      </w:tr>
      <w:tr>
        <w:trPr>
          <w:trHeight w:val="149"/>
        </w:trPr>
        <w:tc>
          <w:tcPr>
            <w:tcW w:w="59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8.625% Senior Notes due 2014</w:t>
            </w:r>
          </w:p>
        </w:tc>
        <w:tc>
          <w:tcPr>
            <w:tcW w:w="4860" w:type="dxa"/>
            <w:vAlign w:val="bottom"/>
            <w:tcBorders>
              <w:bottom w:val="single" w:sz="8" w:color="auto"/>
              <w:right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2"/>
                <w:szCs w:val="12"/>
                <w:color w:val="auto"/>
              </w:rPr>
            </w:pPr>
          </w:p>
        </w:tc>
      </w:tr>
      <w:tr>
        <w:trPr>
          <w:trHeight w:val="156"/>
        </w:trPr>
        <w:tc>
          <w:tcPr>
            <w:tcW w:w="3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1,275</w:t>
            </w:r>
          </w:p>
        </w:tc>
        <w:tc>
          <w:tcPr>
            <w:tcW w:w="6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premium paid in excess of the carrying value to repurchase the $1.275 billion of debt was approximately $67 million.</w:t>
      </w:r>
    </w:p>
    <w:p>
      <w:pPr>
        <w:spacing w:after="0" w:line="90" w:lineRule="exact"/>
        <w:rPr>
          <w:sz w:val="20"/>
          <w:szCs w:val="20"/>
          <w:color w:val="auto"/>
        </w:rPr>
      </w:pPr>
    </w:p>
    <w:p>
      <w:pPr>
        <w:ind w:left="780" w:right="100" w:hanging="324"/>
        <w:spacing w:after="0" w:line="268" w:lineRule="auto"/>
        <w:rPr>
          <w:sz w:val="20"/>
          <w:szCs w:val="20"/>
          <w:color w:val="auto"/>
        </w:rPr>
      </w:pPr>
      <w:r>
        <w:rPr>
          <w:rFonts w:ascii="Arial" w:cs="Arial" w:eastAsia="Arial" w:hAnsi="Arial"/>
          <w:sz w:val="18"/>
          <w:szCs w:val="18"/>
          <w:color w:val="auto"/>
        </w:rPr>
        <w:t>— Schlumberger maintains a €3.0 billion Euro Medium Term Note program. This program provides for the issuance of various types of debt instruments such as fixed or floating rate notes in Euro, US dollar or other currencies.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275" w:right="239" w:bottom="1440" w:gutter="0" w:footer="0" w:header="0"/>
        </w:sectPr>
      </w:pPr>
    </w:p>
    <w:bookmarkStart w:id="25" w:name="page26"/>
    <w:bookmarkEnd w:id="25"/>
    <w:p>
      <w:pPr>
        <w:ind w:left="800"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fourth quarter of 2010, Schlumberger issued €1.0 billion 2.75% Guaranteed Notes due under this program. Schlumberger entered into agreements to swap these euro notes for US dollars on the date of issue until maturity, effectively making this a US denominated debt on which Schlumberger will pay interest in US dollars at a rate of 2.56%. 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w:t>
      </w:r>
    </w:p>
    <w:p>
      <w:pPr>
        <w:spacing w:after="0" w:line="35" w:lineRule="exact"/>
        <w:rPr>
          <w:sz w:val="20"/>
          <w:szCs w:val="20"/>
          <w:color w:val="auto"/>
        </w:rPr>
      </w:pPr>
    </w:p>
    <w:p>
      <w:pPr>
        <w:ind w:left="780" w:right="120" w:hanging="324"/>
        <w:spacing w:after="0" w:line="306" w:lineRule="auto"/>
        <w:rPr>
          <w:sz w:val="20"/>
          <w:szCs w:val="20"/>
          <w:color w:val="auto"/>
        </w:rPr>
      </w:pPr>
      <w:r>
        <w:rPr>
          <w:rFonts w:ascii="Arial" w:cs="Arial" w:eastAsia="Arial" w:hAnsi="Arial"/>
          <w:sz w:val="16"/>
          <w:szCs w:val="16"/>
          <w:color w:val="auto"/>
        </w:rPr>
        <w:t>— On April 17, 2008, the Schlumberger Board of Directors approved an $8 billion share repurchase program for shares of Schlumberger common stock, to be acquired in the open market before December 31, 2011. On July 21, 2011, the Schlumberger Board of Directors approved an extension of this repurchase program to December 31, 2013. Schlumberger had repurchased $7.12 billion of shares under this program as of December 31, 2012.</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activity under this share repurchase program during 2012,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4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8"/>
              </w:rPr>
              <w:t>(Stated in thousands except per share amounts)</w:t>
            </w:r>
          </w:p>
        </w:tc>
      </w:tr>
      <w:tr>
        <w:trPr>
          <w:trHeight w:val="285"/>
        </w:trPr>
        <w:tc>
          <w:tcPr>
            <w:tcW w:w="81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cost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Total number</w:t>
            </w:r>
          </w:p>
        </w:tc>
        <w:tc>
          <w:tcPr>
            <w:tcW w:w="320" w:type="dxa"/>
            <w:vAlign w:val="bottom"/>
          </w:tcPr>
          <w:p>
            <w:pPr>
              <w:spacing w:after="0"/>
              <w:rPr>
                <w:sz w:val="24"/>
                <w:szCs w:val="2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81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of shares</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of shares</w:t>
            </w:r>
          </w:p>
        </w:tc>
        <w:tc>
          <w:tcPr>
            <w:tcW w:w="32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price paid</w:t>
            </w:r>
          </w:p>
        </w:tc>
      </w:tr>
      <w:tr>
        <w:trPr>
          <w:trHeight w:val="161"/>
        </w:trPr>
        <w:tc>
          <w:tcPr>
            <w:tcW w:w="81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purchased</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purchased</w:t>
            </w:r>
          </w:p>
        </w:tc>
        <w:tc>
          <w:tcPr>
            <w:tcW w:w="3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per share</w:t>
            </w:r>
          </w:p>
        </w:tc>
      </w:tr>
      <w:tr>
        <w:trPr>
          <w:trHeight w:val="142"/>
        </w:trPr>
        <w:tc>
          <w:tcPr>
            <w:tcW w:w="8120" w:type="dxa"/>
            <w:vAlign w:val="bottom"/>
            <w:tcBorders>
              <w:top w:val="single" w:sz="8" w:color="CCEEFF"/>
            </w:tcBorders>
            <w:shd w:val="clear" w:color="auto" w:fill="CCEEFF"/>
          </w:tcPr>
          <w:p>
            <w:pPr>
              <w:jc w:val="right"/>
              <w:ind w:right="7772"/>
              <w:spacing w:after="0" w:line="142" w:lineRule="exact"/>
              <w:rPr>
                <w:sz w:val="20"/>
                <w:szCs w:val="20"/>
                <w:color w:val="auto"/>
              </w:rPr>
            </w:pPr>
            <w:r>
              <w:rPr>
                <w:rFonts w:ascii="Arial" w:cs="Arial" w:eastAsia="Arial" w:hAnsi="Arial"/>
                <w:sz w:val="14"/>
                <w:szCs w:val="14"/>
                <w:color w:val="auto"/>
                <w:w w:val="83"/>
              </w:rPr>
              <w:t>2012</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971,883</w:t>
            </w:r>
          </w:p>
        </w:tc>
        <w:tc>
          <w:tcPr>
            <w:tcW w:w="6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14,087.8</w:t>
            </w:r>
          </w:p>
        </w:tc>
        <w:tc>
          <w:tcPr>
            <w:tcW w:w="3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68.99</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8120" w:type="dxa"/>
            <w:vAlign w:val="bottom"/>
          </w:tcPr>
          <w:p>
            <w:pPr>
              <w:jc w:val="right"/>
              <w:ind w:right="7772"/>
              <w:spacing w:after="0" w:line="149" w:lineRule="exact"/>
              <w:rPr>
                <w:sz w:val="20"/>
                <w:szCs w:val="20"/>
                <w:color w:val="auto"/>
              </w:rPr>
            </w:pPr>
            <w:r>
              <w:rPr>
                <w:rFonts w:ascii="Arial" w:cs="Arial" w:eastAsia="Arial" w:hAnsi="Arial"/>
                <w:sz w:val="14"/>
                <w:szCs w:val="14"/>
                <w:color w:val="auto"/>
                <w:w w:val="83"/>
              </w:rPr>
              <w:t>2011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83"/>
              </w:rPr>
              <w:t>2,997,688</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36,940.4</w:t>
            </w:r>
          </w:p>
        </w:tc>
        <w:tc>
          <w:tcPr>
            <w:tcW w:w="500" w:type="dxa"/>
            <w:vAlign w:val="bottom"/>
            <w:gridSpan w:val="2"/>
          </w:tcPr>
          <w:p>
            <w:pPr>
              <w:jc w:val="right"/>
              <w:ind w:right="57"/>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81.15</w:t>
            </w:r>
          </w:p>
        </w:tc>
        <w:tc>
          <w:tcPr>
            <w:tcW w:w="60" w:type="dxa"/>
            <w:vAlign w:val="bottom"/>
          </w:tcPr>
          <w:p>
            <w:pPr>
              <w:spacing w:after="0"/>
              <w:rPr>
                <w:sz w:val="12"/>
                <w:szCs w:val="12"/>
                <w:color w:val="auto"/>
              </w:rPr>
            </w:pPr>
          </w:p>
        </w:tc>
      </w:tr>
      <w:tr>
        <w:trPr>
          <w:trHeight w:val="149"/>
        </w:trPr>
        <w:tc>
          <w:tcPr>
            <w:tcW w:w="8120" w:type="dxa"/>
            <w:vAlign w:val="bottom"/>
            <w:shd w:val="clear" w:color="auto" w:fill="CCEEFF"/>
          </w:tcPr>
          <w:p>
            <w:pPr>
              <w:jc w:val="right"/>
              <w:ind w:right="7772"/>
              <w:spacing w:after="0" w:line="149" w:lineRule="exact"/>
              <w:rPr>
                <w:sz w:val="20"/>
                <w:szCs w:val="20"/>
                <w:color w:val="auto"/>
              </w:rPr>
            </w:pPr>
            <w:r>
              <w:rPr>
                <w:rFonts w:ascii="Arial" w:cs="Arial" w:eastAsia="Arial" w:hAnsi="Arial"/>
                <w:sz w:val="14"/>
                <w:szCs w:val="14"/>
                <w:color w:val="auto"/>
                <w:w w:val="83"/>
              </w:rPr>
              <w:t>2010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83"/>
              </w:rPr>
              <w:t>1,716,675</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26,624.8</w:t>
            </w:r>
          </w:p>
        </w:tc>
        <w:tc>
          <w:tcPr>
            <w:tcW w:w="500" w:type="dxa"/>
            <w:vAlign w:val="bottom"/>
            <w:gridSpan w:val="2"/>
            <w:shd w:val="clear" w:color="auto" w:fill="CCEEFF"/>
          </w:tcPr>
          <w:p>
            <w:pPr>
              <w:jc w:val="right"/>
              <w:ind w:right="57"/>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64.48</w:t>
            </w:r>
          </w:p>
        </w:tc>
        <w:tc>
          <w:tcPr>
            <w:tcW w:w="60" w:type="dxa"/>
            <w:vAlign w:val="bottom"/>
            <w:shd w:val="clear" w:color="auto" w:fill="CCEEFF"/>
          </w:tcPr>
          <w:p>
            <w:pPr>
              <w:spacing w:after="0"/>
              <w:rPr>
                <w:sz w:val="12"/>
                <w:szCs w:val="12"/>
                <w:color w:val="auto"/>
              </w:rPr>
            </w:pPr>
          </w:p>
        </w:tc>
      </w:tr>
    </w:tbl>
    <w:p>
      <w:pPr>
        <w:spacing w:after="0" w:line="7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Cash flow provided by operations was $6.8 billion in 2012, $6.1 billion in 2011 and $5.5 billion in 2010.</w:t>
      </w:r>
    </w:p>
    <w:p>
      <w:pPr>
        <w:spacing w:after="0" w:line="90" w:lineRule="exact"/>
        <w:rPr>
          <w:sz w:val="20"/>
          <w:szCs w:val="20"/>
          <w:color w:val="auto"/>
        </w:rPr>
      </w:pPr>
    </w:p>
    <w:p>
      <w:pPr>
        <w:ind w:left="800" w:right="300"/>
        <w:spacing w:after="0" w:line="298" w:lineRule="auto"/>
        <w:rPr>
          <w:sz w:val="20"/>
          <w:szCs w:val="20"/>
          <w:color w:val="auto"/>
        </w:rPr>
      </w:pPr>
      <w:r>
        <w:rPr>
          <w:rFonts w:ascii="Arial" w:cs="Arial" w:eastAsia="Arial" w:hAnsi="Arial"/>
          <w:sz w:val="16"/>
          <w:szCs w:val="16"/>
          <w:color w:val="auto"/>
        </w:rPr>
        <w:t>In recent years, Schlumberger has actively managed its activity levels in Venezuela relative to its accounts receivable balance, and has recently experienced an increased delay in payment from its national oil company customer there. Schlumberger operates in approximately 85 countries. At December 31, 2012, only five of those countries (including Venezuela) individually accounted for greater than 5% of Schlumberger’s accounts receivable balance of which only one, the United States, represented greater than 10%.</w:t>
      </w:r>
    </w:p>
    <w:p>
      <w:pPr>
        <w:spacing w:after="0" w:line="32"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Dividends paid during 2012, 2011 and 2010 were $1.43 billion, $1.30 billion and $1.04 billion, respectively.</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January 17, 2013, Schlumberger announced that its Board of Directors had approved an increase in the quarterly dividend of 13.6%, to $0.3125.</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January 19, 2012, Schlumberger announced that its Board of Directors had approved an increase in the quarterly dividend of 10%, to $0.275.</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January 21, 2011, Schlumberger announced that its Board of Directors had approved an increase in the quarterly dividend of 19%, to $0.25.</w:t>
      </w:r>
    </w:p>
    <w:p>
      <w:pPr>
        <w:spacing w:after="0" w:line="113" w:lineRule="exact"/>
        <w:rPr>
          <w:sz w:val="20"/>
          <w:szCs w:val="20"/>
          <w:color w:val="auto"/>
        </w:rPr>
      </w:pPr>
    </w:p>
    <w:p>
      <w:pPr>
        <w:ind w:left="780" w:hanging="324"/>
        <w:spacing w:after="0" w:line="268" w:lineRule="auto"/>
        <w:rPr>
          <w:sz w:val="20"/>
          <w:szCs w:val="20"/>
          <w:color w:val="auto"/>
        </w:rPr>
      </w:pPr>
      <w:r>
        <w:rPr>
          <w:rFonts w:ascii="Arial" w:cs="Arial" w:eastAsia="Arial" w:hAnsi="Arial"/>
          <w:sz w:val="18"/>
          <w:szCs w:val="18"/>
          <w:color w:val="auto"/>
        </w:rPr>
        <w:t>— Capital expenditures were $4.7 billion in 2012, $4.0 billion in 2011 and $2.9 billion in 2010. Capital expenditures are expected to approach $3.9 billion for the full year 2013.</w:t>
      </w:r>
    </w:p>
    <w:p>
      <w:pPr>
        <w:spacing w:after="0" w:line="50" w:lineRule="exact"/>
        <w:rPr>
          <w:sz w:val="20"/>
          <w:szCs w:val="20"/>
          <w:color w:val="auto"/>
        </w:rPr>
      </w:pPr>
    </w:p>
    <w:p>
      <w:pPr>
        <w:ind w:left="780" w:right="120" w:hanging="324"/>
        <w:spacing w:after="0" w:line="259" w:lineRule="auto"/>
        <w:rPr>
          <w:sz w:val="20"/>
          <w:szCs w:val="20"/>
          <w:color w:val="auto"/>
        </w:rPr>
      </w:pPr>
      <w:r>
        <w:rPr>
          <w:rFonts w:ascii="Arial" w:cs="Arial" w:eastAsia="Arial" w:hAnsi="Arial"/>
          <w:sz w:val="18"/>
          <w:szCs w:val="18"/>
          <w:color w:val="auto"/>
        </w:rPr>
        <w:t>— During 2012, 2011 and 2010 Schlumberger made contributions of $673 million, $601 million and $868 million, respectively, to its postretirement benefit plans. The US pension plans were 82% funded at December 31, 2012 based on the projected benefit obligation. This compares to 87% funded at December 31, 2011.</w:t>
      </w:r>
    </w:p>
    <w:p>
      <w:pPr>
        <w:spacing w:after="0" w:line="59" w:lineRule="exact"/>
        <w:rPr>
          <w:sz w:val="20"/>
          <w:szCs w:val="20"/>
          <w:color w:val="auto"/>
        </w:rPr>
      </w:pPr>
    </w:p>
    <w:p>
      <w:pPr>
        <w:ind w:left="800" w:right="720"/>
        <w:spacing w:after="0" w:line="268" w:lineRule="auto"/>
        <w:rPr>
          <w:sz w:val="20"/>
          <w:szCs w:val="20"/>
          <w:color w:val="auto"/>
        </w:rPr>
      </w:pPr>
      <w:r>
        <w:rPr>
          <w:rFonts w:ascii="Arial" w:cs="Arial" w:eastAsia="Arial" w:hAnsi="Arial"/>
          <w:sz w:val="18"/>
          <w:szCs w:val="18"/>
          <w:color w:val="auto"/>
        </w:rPr>
        <w:t>Schlumberger’s international defined benefit pension plans are a combined 88% funded at December 31, 2012 based on the projected benefit obligation. This compares to 88% funded at December 31, 2011.</w:t>
      </w:r>
    </w:p>
    <w:p>
      <w:pPr>
        <w:spacing w:after="0" w:line="51" w:lineRule="exact"/>
        <w:rPr>
          <w:sz w:val="20"/>
          <w:szCs w:val="20"/>
          <w:color w:val="auto"/>
        </w:rPr>
      </w:pPr>
    </w:p>
    <w:p>
      <w:pPr>
        <w:ind w:left="800" w:right="40"/>
        <w:spacing w:after="0" w:line="268" w:lineRule="auto"/>
        <w:rPr>
          <w:sz w:val="20"/>
          <w:szCs w:val="20"/>
          <w:color w:val="auto"/>
        </w:rPr>
      </w:pPr>
      <w:r>
        <w:rPr>
          <w:rFonts w:ascii="Arial" w:cs="Arial" w:eastAsia="Arial" w:hAnsi="Arial"/>
          <w:sz w:val="18"/>
          <w:szCs w:val="18"/>
          <w:color w:val="auto"/>
        </w:rPr>
        <w:t>Schlumberger currently anticipates contributing approximately $650 million to its postretirement benefit plans in 2013, subject to market and business conditions.</w:t>
      </w:r>
    </w:p>
    <w:p>
      <w:pPr>
        <w:spacing w:after="0" w:line="51" w:lineRule="exact"/>
        <w:rPr>
          <w:sz w:val="20"/>
          <w:szCs w:val="20"/>
          <w:color w:val="auto"/>
        </w:rPr>
      </w:pPr>
    </w:p>
    <w:p>
      <w:pPr>
        <w:ind w:left="780" w:right="360" w:hanging="324"/>
        <w:spacing w:after="0" w:line="259" w:lineRule="auto"/>
        <w:rPr>
          <w:sz w:val="20"/>
          <w:szCs w:val="20"/>
          <w:color w:val="auto"/>
        </w:rPr>
      </w:pPr>
      <w:r>
        <w:rPr>
          <w:rFonts w:ascii="Arial" w:cs="Arial" w:eastAsia="Arial" w:hAnsi="Arial"/>
          <w:sz w:val="18"/>
          <w:szCs w:val="18"/>
          <w:color w:val="auto"/>
        </w:rPr>
        <w:t>— There were $321 million outstanding Series B debentures at December 31, 2009. During 2010, the remaining $320 million of the 2.125% Series B Convertible Debentures due June 1, 2023 were converted by holders into 8.0 million shares of Schlumberger common stock and the remaining $1 million of outstanding Series B debentures were redeemed for cash.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right="60" w:firstLine="22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2012, Schlumberger had approximately $6.3 billion of cash and short-term investments on hand. Schlumberger had separate committed debt facility agreements aggregating $4.1 billion with commercial banks, of which $3.8 billion was available and unused as of December 31, 2012. This included $3.5 billion of committed facilities which support commercial paper borrowings in the United States and Europe. Schlumberger believes that these amounts are sufficient to meet future business requirements for at least the next 12 months.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did not have any commercial paper borrowings outstanding as of December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Major Contractual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298"/>
        </w:trPr>
        <w:tc>
          <w:tcPr>
            <w:tcW w:w="13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 Period</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3"/>
              </w:rPr>
              <w:t>2014 –</w:t>
            </w:r>
          </w:p>
        </w:tc>
        <w:tc>
          <w:tcPr>
            <w:tcW w:w="300" w:type="dxa"/>
            <w:vAlign w:val="bottom"/>
          </w:tcPr>
          <w:p>
            <w:pPr>
              <w:spacing w:after="0"/>
              <w:rPr>
                <w:sz w:val="11"/>
                <w:szCs w:val="11"/>
                <w:color w:val="auto"/>
              </w:rPr>
            </w:pPr>
          </w:p>
        </w:tc>
        <w:tc>
          <w:tcPr>
            <w:tcW w:w="440" w:type="dxa"/>
            <w:vAlign w:val="bottom"/>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w w:val="83"/>
              </w:rPr>
              <w:t>2016 –</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780" w:type="dxa"/>
            <w:vAlign w:val="bottom"/>
            <w:gridSpan w:val="2"/>
            <w:vMerge w:val="continue"/>
          </w:tcPr>
          <w:p>
            <w:pPr>
              <w:spacing w:after="0"/>
              <w:rPr>
                <w:sz w:val="14"/>
                <w:szCs w:val="14"/>
                <w:color w:val="auto"/>
              </w:rPr>
            </w:pPr>
          </w:p>
        </w:tc>
        <w:tc>
          <w:tcPr>
            <w:tcW w:w="44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2013</w:t>
            </w:r>
          </w:p>
        </w:tc>
        <w:tc>
          <w:tcPr>
            <w:tcW w:w="9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3"/>
          </w:tcPr>
          <w:p>
            <w:pPr>
              <w:jc w:val="right"/>
              <w:ind w:right="80"/>
              <w:spacing w:after="0" w:line="148" w:lineRule="exact"/>
              <w:rPr>
                <w:sz w:val="20"/>
                <w:szCs w:val="20"/>
                <w:color w:val="auto"/>
              </w:rPr>
            </w:pPr>
            <w:r>
              <w:rPr>
                <w:rFonts w:ascii="Arial" w:cs="Arial" w:eastAsia="Arial" w:hAnsi="Arial"/>
                <w:sz w:val="14"/>
                <w:szCs w:val="14"/>
                <w:b w:val="1"/>
                <w:bCs w:val="1"/>
                <w:color w:val="auto"/>
                <w:w w:val="85"/>
              </w:rPr>
              <w:t>After 2017</w:t>
            </w:r>
          </w:p>
        </w:tc>
        <w:tc>
          <w:tcPr>
            <w:tcW w:w="0" w:type="dxa"/>
            <w:vAlign w:val="bottom"/>
          </w:tcPr>
          <w:p>
            <w:pPr>
              <w:spacing w:after="0"/>
              <w:rPr>
                <w:sz w:val="1"/>
                <w:szCs w:val="1"/>
                <w:color w:val="auto"/>
              </w:rPr>
            </w:pPr>
          </w:p>
        </w:tc>
      </w:tr>
      <w:tr>
        <w:trPr>
          <w:trHeight w:val="136"/>
        </w:trPr>
        <w:tc>
          <w:tcPr>
            <w:tcW w:w="13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0"/>
                <w:szCs w:val="10"/>
                <w:color w:val="auto"/>
              </w:rPr>
              <w:t xml:space="preserve">Debt </w:t>
            </w:r>
            <w:r>
              <w:rPr>
                <w:rFonts w:ascii="Arial" w:cs="Arial" w:eastAsia="Arial" w:hAnsi="Arial"/>
                <w:sz w:val="15"/>
                <w:szCs w:val="15"/>
                <w:color w:val="auto"/>
                <w:vertAlign w:val="superscript"/>
              </w:rPr>
              <w:t>(1)</w:t>
            </w:r>
          </w:p>
        </w:tc>
        <w:tc>
          <w:tcPr>
            <w:tcW w:w="54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$11,630</w:t>
            </w:r>
          </w:p>
        </w:tc>
        <w:tc>
          <w:tcPr>
            <w:tcW w:w="6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$2,121</w:t>
            </w:r>
          </w:p>
        </w:tc>
        <w:tc>
          <w:tcPr>
            <w:tcW w:w="5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$2,975</w:t>
            </w:r>
          </w:p>
        </w:tc>
        <w:tc>
          <w:tcPr>
            <w:tcW w:w="3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$2,842</w:t>
            </w: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3,692</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Interest on fixed rate debt obligations </w:t>
            </w:r>
            <w:r>
              <w:rPr>
                <w:rFonts w:ascii="Arial" w:cs="Arial" w:eastAsia="Arial" w:hAnsi="Arial"/>
                <w:sz w:val="17"/>
                <w:szCs w:val="17"/>
                <w:color w:val="auto"/>
                <w:vertAlign w:val="superscript"/>
              </w:rPr>
              <w:t>(2)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1,445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w:t>
            </w: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282</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12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442</w:t>
            </w: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Purchase obligations </w:t>
            </w:r>
            <w:r>
              <w:rPr>
                <w:rFonts w:ascii="Arial" w:cs="Arial" w:eastAsia="Arial" w:hAnsi="Arial"/>
                <w:sz w:val="17"/>
                <w:szCs w:val="17"/>
                <w:color w:val="auto"/>
                <w:vertAlign w:val="superscript"/>
              </w:rPr>
              <w:t>(3)</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1,574</w:t>
            </w:r>
          </w:p>
        </w:tc>
        <w:tc>
          <w:tcPr>
            <w:tcW w:w="6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1,432</w:t>
            </w:r>
          </w:p>
        </w:tc>
        <w:tc>
          <w:tcPr>
            <w:tcW w:w="5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138</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380" w:type="dxa"/>
            <w:vAlign w:val="bottom"/>
            <w:shd w:val="clear" w:color="auto" w:fill="000000"/>
          </w:tcPr>
          <w:p>
            <w:pPr>
              <w:spacing w:after="0"/>
              <w:rPr>
                <w:sz w:val="2"/>
                <w:szCs w:val="2"/>
                <w:color w:val="auto"/>
              </w:rPr>
            </w:pPr>
          </w:p>
        </w:tc>
        <w:tc>
          <w:tcPr>
            <w:tcW w:w="54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80" w:type="dxa"/>
            <w:vAlign w:val="bottom"/>
            <w:shd w:val="clear" w:color="auto" w:fill="CCEEFF"/>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16,264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4,216</w:t>
            </w:r>
          </w:p>
        </w:tc>
        <w:tc>
          <w:tcPr>
            <w:tcW w:w="12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3,980</w:t>
            </w: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3,411</w:t>
            </w:r>
          </w:p>
        </w:tc>
        <w:tc>
          <w:tcPr>
            <w:tcW w:w="72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Excludes future payments for interest.</w:t>
      </w:r>
    </w:p>
    <w:p>
      <w:pPr>
        <w:ind w:left="340" w:hanging="332"/>
        <w:spacing w:after="0" w:line="182" w:lineRule="auto"/>
        <w:tabs>
          <w:tab w:leader="none" w:pos="34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Excludes interest on $1.6 billion of variable rate debt, which had a weighted average interest rate of 3.6% as of December 31, 2012.</w:t>
      </w:r>
    </w:p>
    <w:p>
      <w:pPr>
        <w:ind w:left="340" w:right="420" w:hanging="332"/>
        <w:spacing w:after="0" w:line="189" w:lineRule="auto"/>
        <w:tabs>
          <w:tab w:leader="none" w:pos="34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61" w:lineRule="exact"/>
        <w:rPr>
          <w:sz w:val="20"/>
          <w:szCs w:val="20"/>
          <w:color w:val="auto"/>
        </w:rPr>
      </w:pPr>
    </w:p>
    <w:p>
      <w:pPr>
        <w:ind w:right="780" w:firstLine="228"/>
        <w:spacing w:after="0" w:line="254" w:lineRule="auto"/>
        <w:rPr>
          <w:sz w:val="20"/>
          <w:szCs w:val="20"/>
          <w:color w:val="auto"/>
        </w:rPr>
      </w:pPr>
      <w:r>
        <w:rPr>
          <w:rFonts w:ascii="Arial" w:cs="Arial" w:eastAsia="Arial" w:hAnsi="Arial"/>
          <w:sz w:val="18"/>
          <w:szCs w:val="18"/>
          <w:color w:val="auto"/>
        </w:rPr>
        <w:t xml:space="preserve">Refer to Note 18 </w:t>
      </w:r>
      <w:r>
        <w:rPr>
          <w:rFonts w:ascii="Arial" w:cs="Arial" w:eastAsia="Arial" w:hAnsi="Arial"/>
          <w:sz w:val="18"/>
          <w:szCs w:val="18"/>
          <w:i w:val="1"/>
          <w:iCs w:val="1"/>
          <w:color w:val="auto"/>
        </w:rPr>
        <w:t>Pension and Other Benefit Plans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 regarding Schlumberger’s pension and other postretirement benefit obligations.</w:t>
      </w:r>
    </w:p>
    <w:p>
      <w:pPr>
        <w:ind w:right="140" w:firstLine="228"/>
        <w:spacing w:after="0" w:line="281" w:lineRule="auto"/>
        <w:rPr>
          <w:sz w:val="20"/>
          <w:szCs w:val="20"/>
          <w:color w:val="auto"/>
        </w:rPr>
      </w:pPr>
      <w:r>
        <w:rPr>
          <w:rFonts w:ascii="Arial" w:cs="Arial" w:eastAsia="Arial" w:hAnsi="Arial"/>
          <w:sz w:val="16"/>
          <w:szCs w:val="16"/>
          <w:color w:val="auto"/>
        </w:rPr>
        <w:t xml:space="preserve">As discussed in Note 14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2012 is approximately $1.45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3" w:lineRule="exact"/>
        <w:rPr>
          <w:sz w:val="20"/>
          <w:szCs w:val="20"/>
          <w:color w:val="auto"/>
        </w:rPr>
      </w:pPr>
    </w:p>
    <w:p>
      <w:pPr>
        <w:jc w:val="both"/>
        <w:ind w:right="260" w:firstLine="228"/>
        <w:spacing w:after="0" w:line="361" w:lineRule="auto"/>
        <w:rPr>
          <w:sz w:val="20"/>
          <w:szCs w:val="20"/>
          <w:color w:val="auto"/>
        </w:rPr>
      </w:pPr>
      <w:r>
        <w:rPr>
          <w:rFonts w:ascii="Arial" w:cs="Arial" w:eastAsia="Arial" w:hAnsi="Arial"/>
          <w:sz w:val="15"/>
          <w:szCs w:val="15"/>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90" w:lineRule="exact"/>
        <w:rPr>
          <w:sz w:val="20"/>
          <w:szCs w:val="20"/>
          <w:color w:val="auto"/>
        </w:rPr>
      </w:pPr>
    </w:p>
    <w:p>
      <w:pPr>
        <w:ind w:right="80" w:firstLine="228"/>
        <w:spacing w:after="0" w:line="283" w:lineRule="auto"/>
        <w:rPr>
          <w:sz w:val="20"/>
          <w:szCs w:val="20"/>
          <w:color w:val="auto"/>
        </w:rPr>
      </w:pPr>
      <w:r>
        <w:rPr>
          <w:rFonts w:ascii="Arial" w:cs="Arial" w:eastAsia="Arial" w:hAnsi="Arial"/>
          <w:sz w:val="16"/>
          <w:szCs w:val="16"/>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 w:lineRule="exact"/>
        <w:rPr>
          <w:sz w:val="20"/>
          <w:szCs w:val="20"/>
          <w:color w:val="auto"/>
        </w:rPr>
      </w:pPr>
    </w:p>
    <w:p>
      <w:pPr>
        <w:jc w:val="both"/>
        <w:ind w:right="40" w:firstLine="228"/>
        <w:spacing w:after="0" w:line="255"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90" w:lineRule="exact"/>
        <w:rPr>
          <w:sz w:val="20"/>
          <w:szCs w:val="20"/>
          <w:color w:val="auto"/>
        </w:rPr>
      </w:pPr>
    </w:p>
    <w:p>
      <w:pPr>
        <w:ind w:right="60" w:firstLine="228"/>
        <w:spacing w:after="0" w:line="252" w:lineRule="auto"/>
        <w:rPr>
          <w:sz w:val="20"/>
          <w:szCs w:val="20"/>
          <w:color w:val="auto"/>
        </w:rPr>
      </w:pPr>
      <w:r>
        <w:rPr>
          <w:rFonts w:ascii="Arial" w:cs="Arial" w:eastAsia="Arial" w:hAnsi="Arial"/>
          <w:sz w:val="18"/>
          <w:szCs w:val="18"/>
          <w:color w:val="auto"/>
        </w:rPr>
        <w:t xml:space="preserve">The WesternGeco business capitalizes the costs associated with obtaining multiclient seismic data. The carrying value of the multiclient seismic data library at December 31, 2012 and 2011 was $518 million and $425 million, respectively. Such costs are charged to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 w:lineRule="exact"/>
        <w:rPr>
          <w:sz w:val="20"/>
          <w:szCs w:val="20"/>
          <w:color w:val="auto"/>
        </w:rPr>
      </w:pPr>
    </w:p>
    <w:p>
      <w:pPr>
        <w:ind w:right="360" w:firstLine="228"/>
        <w:spacing w:after="0" w:line="261" w:lineRule="auto"/>
        <w:rPr>
          <w:sz w:val="20"/>
          <w:szCs w:val="20"/>
          <w:color w:val="auto"/>
        </w:rPr>
      </w:pPr>
      <w:r>
        <w:rPr>
          <w:rFonts w:ascii="Arial" w:cs="Arial" w:eastAsia="Arial" w:hAnsi="Arial"/>
          <w:sz w:val="18"/>
          <w:szCs w:val="18"/>
          <w:color w:val="auto"/>
        </w:rPr>
        <w:t>The carrying value of surveys is reviewed for impairment annually as well as when an event or change in circumstance indicates an impairment may have occurred. Adjustments to the carrying value are recorded when it is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jc w:val="both"/>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primarily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 Certain larger surveys, which are typically prefunded by customers, are analyzed for impairment on a survey by survey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460" w:firstLine="228"/>
        <w:spacing w:after="0" w:line="255" w:lineRule="auto"/>
        <w:rPr>
          <w:sz w:val="20"/>
          <w:szCs w:val="20"/>
          <w:color w:val="auto"/>
        </w:rPr>
      </w:pPr>
      <w:r>
        <w:rPr>
          <w:rFonts w:ascii="Arial" w:cs="Arial" w:eastAsia="Arial" w:hAnsi="Arial"/>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9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The goodwill relating to each of Schlumberger’s reporting units is tested for impairment annually as well as when an event, or change in circumstances, indicates an impairment may have occurred.</w:t>
      </w:r>
    </w:p>
    <w:p>
      <w:pPr>
        <w:ind w:right="100" w:firstLine="228"/>
        <w:spacing w:after="0" w:line="281" w:lineRule="auto"/>
        <w:rPr>
          <w:sz w:val="20"/>
          <w:szCs w:val="20"/>
          <w:color w:val="auto"/>
        </w:rPr>
      </w:pPr>
      <w:r>
        <w:rPr>
          <w:rFonts w:ascii="Arial" w:cs="Arial" w:eastAsia="Arial" w:hAnsi="Arial"/>
          <w:sz w:val="16"/>
          <w:szCs w:val="16"/>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5"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Schlumberger has the option to bypass the qualitative assessment for any reporting unit in any period and proceed directly to performing the first step of the two-step goodwill impairment test.</w:t>
      </w:r>
    </w:p>
    <w:p>
      <w:pPr>
        <w:spacing w:after="0" w:line="1"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color w:val="auto"/>
        </w:rPr>
        <w:t>For purposes of performing the impairment test for goodwill, Schlumberger’s reporting units are its three Groups: Reservoir Characterization, Drilling and Production. Schlumberger elected to perform the qualitative assessment described above for purposes of its annual goodwill impairment test. Based on this assessment, Schlumberger concluded that it was more likely than not that the fair value of each of its reporting units was greater than its carrying amount. Accordingly, no further testing was required.</w:t>
      </w:r>
    </w:p>
    <w:p>
      <w:pPr>
        <w:spacing w:after="0" w:line="2"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40" w:firstLine="228"/>
        <w:spacing w:after="0" w:line="268" w:lineRule="auto"/>
        <w:rPr>
          <w:sz w:val="20"/>
          <w:szCs w:val="20"/>
          <w:color w:val="auto"/>
        </w:rPr>
      </w:pPr>
      <w:r>
        <w:rPr>
          <w:rFonts w:ascii="Arial" w:cs="Arial" w:eastAsia="Arial" w:hAnsi="Arial"/>
          <w:sz w:val="18"/>
          <w:szCs w:val="18"/>
          <w:color w:val="auto"/>
        </w:rPr>
        <w:t>Schlumberger conducts business in more than 100 tax jurisdictions, a number of which have tax laws that are not fully defined and are evolving. Schlumberger’s tax filings are subject to regular audits by the tax authorities. These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90" w:lineRule="exact"/>
        <w:rPr>
          <w:sz w:val="20"/>
          <w:szCs w:val="20"/>
          <w:color w:val="auto"/>
        </w:rPr>
      </w:pPr>
    </w:p>
    <w:p>
      <w:pPr>
        <w:ind w:right="80" w:firstLine="228"/>
        <w:spacing w:after="0" w:line="252" w:lineRule="auto"/>
        <w:rPr>
          <w:sz w:val="20"/>
          <w:szCs w:val="20"/>
          <w:color w:val="auto"/>
        </w:rPr>
      </w:pPr>
      <w:r>
        <w:rPr>
          <w:rFonts w:ascii="Arial" w:cs="Arial" w:eastAsia="Arial" w:hAnsi="Arial"/>
          <w:sz w:val="18"/>
          <w:szCs w:val="18"/>
          <w:color w:val="auto"/>
        </w:rPr>
        <w:t xml:space="preserve">Schlumberger’s pension and postretirement benefit obligations are described in detail in Note 18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discount rate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63" w:lineRule="exact"/>
        <w:rPr>
          <w:sz w:val="20"/>
          <w:szCs w:val="20"/>
          <w:color w:val="auto"/>
        </w:rPr>
      </w:pPr>
    </w:p>
    <w:p>
      <w:pPr>
        <w:ind w:left="900" w:right="2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discount rate utilized to determine the liability for Schlumberger’s United States pension plans and postretirement medical plans was 4.25% at December 31, 2012 and 5.00% at December 31, 2011.</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the liability for Schlumberger’s international pension plans was 4.38% at December 31, 2012 and 4.95% at December 31, 2011.</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United States pension plans and postretirement medical plans decreased from 5.50% in 2011 to 5.00% in 2012.</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international pension plans decreased from 5.47% in 2011 to 4.95% in 2012.</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higher discount rate decreases the present value of benefit obligations and decreases expense.</w:t>
      </w:r>
    </w:p>
    <w:p>
      <w:pPr>
        <w:spacing w:after="0" w:line="15" w:lineRule="exact"/>
        <w:rPr>
          <w:sz w:val="20"/>
          <w:szCs w:val="20"/>
          <w:color w:val="auto"/>
        </w:rPr>
      </w:pPr>
    </w:p>
    <w:p>
      <w:pPr>
        <w:ind w:right="180" w:firstLine="228"/>
        <w:spacing w:after="0" w:line="281" w:lineRule="auto"/>
        <w:rPr>
          <w:sz w:val="20"/>
          <w:szCs w:val="20"/>
          <w:color w:val="auto"/>
        </w:rPr>
      </w:pPr>
      <w:r>
        <w:rPr>
          <w:rFonts w:ascii="Arial" w:cs="Arial" w:eastAsia="Arial" w:hAnsi="Arial"/>
          <w:sz w:val="16"/>
          <w:szCs w:val="16"/>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weighted average expected rate of return on plan assets for each of the United States and international pension plans was 7.50% in both 2012 and 2011. A lower expected rate of return would increase pension expense.</w:t>
      </w:r>
    </w:p>
    <w:p>
      <w:pPr>
        <w:spacing w:after="0" w:line="3"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Schlumberger’s medical cost trend rate assumptions are developed based on historical cost data, the near-term outlook and an assessment of likely long-term trends. The overall medical cost trend rate assumption utilized to determine the 2012 postretirement medical expense was 8% graded to 5% over the next seven years. The overall medical trend rate assumption utilized to determine the postretirement medical liability at December 31, 2012 was 7.5% graded to 5% over the next eleven years.</w:t>
      </w:r>
    </w:p>
    <w:p>
      <w:pPr>
        <w:spacing w:after="0" w:line="2" w:lineRule="exact"/>
        <w:rPr>
          <w:sz w:val="20"/>
          <w:szCs w:val="20"/>
          <w:color w:val="auto"/>
        </w:rPr>
      </w:pPr>
    </w:p>
    <w:p>
      <w:pPr>
        <w:ind w:right="480" w:firstLine="228"/>
        <w:spacing w:after="0" w:line="261"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the United States and international pension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(Stated in millions)</w:t>
            </w:r>
          </w:p>
        </w:tc>
      </w:tr>
      <w:tr>
        <w:trPr>
          <w:trHeight w:val="285"/>
        </w:trPr>
        <w:tc>
          <w:tcPr>
            <w:tcW w:w="1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Effect on 2012</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Effect on</w:t>
            </w:r>
          </w:p>
        </w:tc>
      </w:tr>
      <w:tr>
        <w:trPr>
          <w:trHeight w:val="149"/>
        </w:trPr>
        <w:tc>
          <w:tcPr>
            <w:tcW w:w="13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Pretax Pension</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Dec. 31, 2012</w:t>
            </w:r>
          </w:p>
        </w:tc>
      </w:tr>
      <w:tr>
        <w:trPr>
          <w:trHeight w:val="16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46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6"/>
        </w:trPr>
        <w:tc>
          <w:tcPr>
            <w:tcW w:w="43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25 basis point decrease in discount rate</w:t>
            </w:r>
          </w:p>
        </w:tc>
        <w:tc>
          <w:tcPr>
            <w:tcW w:w="46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 $39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 $377</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5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$38</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$356</w:t>
            </w: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expected return on plan assets</w:t>
            </w:r>
          </w:p>
        </w:tc>
        <w:tc>
          <w:tcPr>
            <w:tcW w:w="5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$17</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4340" w:type="dxa"/>
            <w:vAlign w:val="bottom"/>
            <w:gridSpan w:val="2"/>
          </w:tcPr>
          <w:p>
            <w:pPr>
              <w:spacing w:after="0"/>
              <w:rPr>
                <w:sz w:val="20"/>
                <w:szCs w:val="20"/>
                <w:color w:val="auto"/>
              </w:rPr>
            </w:pPr>
            <w:r>
              <w:rPr>
                <w:rFonts w:ascii="Arial" w:cs="Arial" w:eastAsia="Arial" w:hAnsi="Arial"/>
                <w:sz w:val="14"/>
                <w:szCs w:val="14"/>
                <w:color w:val="auto"/>
              </w:rPr>
              <w:t>25 basis point increase in expected return on plan assets</w:t>
            </w:r>
          </w:p>
        </w:tc>
        <w:tc>
          <w:tcPr>
            <w:tcW w:w="5920" w:type="dxa"/>
            <w:vAlign w:val="bottom"/>
            <w:gridSpan w:val="3"/>
          </w:tcPr>
          <w:p>
            <w:pPr>
              <w:jc w:val="right"/>
              <w:ind w:right="80"/>
              <w:spacing w:after="0"/>
              <w:rPr>
                <w:sz w:val="20"/>
                <w:szCs w:val="20"/>
                <w:color w:val="auto"/>
              </w:rPr>
            </w:pPr>
            <w:r>
              <w:rPr>
                <w:rFonts w:ascii="Arial" w:cs="Arial" w:eastAsia="Arial" w:hAnsi="Arial"/>
                <w:sz w:val="14"/>
                <w:szCs w:val="14"/>
                <w:color w:val="auto"/>
              </w:rPr>
              <w:t>- $17</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86"/>
        </w:trPr>
        <w:tc>
          <w:tcPr>
            <w:tcW w:w="1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80" w:type="dxa"/>
            <w:vAlign w:val="bottom"/>
          </w:tcPr>
          <w:p>
            <w:pPr>
              <w:jc w:val="right"/>
              <w:ind w:right="3172"/>
              <w:spacing w:after="0"/>
              <w:rPr>
                <w:sz w:val="20"/>
                <w:szCs w:val="20"/>
                <w:color w:val="auto"/>
              </w:rPr>
            </w:pPr>
            <w:r>
              <w:rPr>
                <w:rFonts w:ascii="Arial" w:cs="Arial" w:eastAsia="Arial" w:hAnsi="Arial"/>
                <w:sz w:val="14"/>
                <w:szCs w:val="14"/>
                <w:color w:val="auto"/>
              </w:rPr>
              <w:t>29</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9" w:name="page30"/>
    <w:bookmarkEnd w:id="29"/>
    <w:p>
      <w:pPr>
        <w:ind w:right="820" w:firstLine="22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illustrates the sensitivity to changes in certain assumptions, holding all other assumptions constant, for Schlumberger’s United States postretirement medical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Effect on 2012</w:t>
            </w:r>
          </w:p>
        </w:tc>
        <w:tc>
          <w:tcPr>
            <w:tcW w:w="6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Assumption</w:t>
            </w:r>
          </w:p>
        </w:tc>
        <w:tc>
          <w:tcPr>
            <w:tcW w:w="16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Pretax Postretirement</w:t>
            </w:r>
          </w:p>
        </w:tc>
        <w:tc>
          <w:tcPr>
            <w:tcW w:w="6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Dec. 31, 2012</w:t>
            </w:r>
          </w:p>
        </w:tc>
        <w:tc>
          <w:tcPr>
            <w:tcW w:w="0" w:type="dxa"/>
            <w:vAlign w:val="bottom"/>
          </w:tcPr>
          <w:p>
            <w:pPr>
              <w:spacing w:after="0"/>
              <w:rPr>
                <w:sz w:val="1"/>
                <w:szCs w:val="1"/>
                <w:color w:val="auto"/>
              </w:rPr>
            </w:pPr>
          </w:p>
        </w:tc>
      </w:tr>
      <w:tr>
        <w:trPr>
          <w:trHeight w:val="148"/>
        </w:trPr>
        <w:tc>
          <w:tcPr>
            <w:tcW w:w="8240" w:type="dxa"/>
            <w:vAlign w:val="bottom"/>
            <w:gridSpan w:val="2"/>
            <w:vMerge w:val="continue"/>
          </w:tcPr>
          <w:p>
            <w:pPr>
              <w:spacing w:after="0"/>
              <w:rPr>
                <w:sz w:val="12"/>
                <w:szCs w:val="12"/>
                <w:color w:val="auto"/>
              </w:rPr>
            </w:pPr>
          </w:p>
        </w:tc>
        <w:tc>
          <w:tcPr>
            <w:tcW w:w="16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Medical Expense</w:t>
            </w:r>
          </w:p>
        </w:tc>
        <w:tc>
          <w:tcPr>
            <w:tcW w:w="680" w:type="dxa"/>
            <w:vAlign w:val="bottom"/>
          </w:tcPr>
          <w:p>
            <w:pPr>
              <w:spacing w:after="0"/>
              <w:rPr>
                <w:sz w:val="12"/>
                <w:szCs w:val="12"/>
                <w:color w:val="auto"/>
              </w:rPr>
            </w:pPr>
          </w:p>
        </w:tc>
        <w:tc>
          <w:tcPr>
            <w:tcW w:w="84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25 basis point decrease in discount rate</w:t>
            </w: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 $5</w:t>
            </w: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40" w:type="dxa"/>
            <w:vAlign w:val="bottom"/>
            <w:gridSpan w:val="2"/>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 $4</w:t>
            </w:r>
          </w:p>
        </w:tc>
        <w:tc>
          <w:tcPr>
            <w:tcW w:w="380" w:type="dxa"/>
            <w:vAlign w:val="bottom"/>
          </w:tcPr>
          <w:p>
            <w:pPr>
              <w:spacing w:after="0"/>
              <w:rPr>
                <w:sz w:val="12"/>
                <w:szCs w:val="12"/>
                <w:color w:val="auto"/>
              </w:rPr>
            </w:pP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basis point decrease per annum in medical cost trend rate</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$14</w:t>
            </w:r>
          </w:p>
        </w:tc>
        <w:tc>
          <w:tcPr>
            <w:tcW w:w="3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240" w:type="dxa"/>
            <w:vAlign w:val="bottom"/>
            <w:gridSpan w:val="2"/>
          </w:tcPr>
          <w:p>
            <w:pPr>
              <w:spacing w:after="0"/>
              <w:rPr>
                <w:sz w:val="20"/>
                <w:szCs w:val="20"/>
                <w:color w:val="auto"/>
              </w:rPr>
            </w:pPr>
            <w:r>
              <w:rPr>
                <w:rFonts w:ascii="Arial" w:cs="Arial" w:eastAsia="Arial" w:hAnsi="Arial"/>
                <w:sz w:val="14"/>
                <w:szCs w:val="14"/>
                <w:color w:val="auto"/>
              </w:rPr>
              <w:t>100 basis point increase per annum in medical cost trend rate</w:t>
            </w:r>
          </w:p>
        </w:tc>
        <w:tc>
          <w:tcPr>
            <w:tcW w:w="1660" w:type="dxa"/>
            <w:vAlign w:val="bottom"/>
            <w:gridSpan w:val="2"/>
          </w:tcPr>
          <w:p>
            <w:pPr>
              <w:jc w:val="right"/>
              <w:ind w:right="380"/>
              <w:spacing w:after="0"/>
              <w:rPr>
                <w:sz w:val="20"/>
                <w:szCs w:val="20"/>
                <w:color w:val="auto"/>
              </w:rPr>
            </w:pPr>
            <w:r>
              <w:rPr>
                <w:rFonts w:ascii="Arial" w:cs="Arial" w:eastAsia="Arial" w:hAnsi="Arial"/>
                <w:sz w:val="14"/>
                <w:szCs w:val="14"/>
                <w:color w:val="auto"/>
              </w:rPr>
              <w:t>+$18</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Affiliated Companies</w:t>
      </w:r>
    </w:p>
    <w:p>
      <w:pPr>
        <w:spacing w:after="0" w:line="9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i w:val="1"/>
          <w:iCs w:val="1"/>
          <w:color w:val="auto"/>
        </w:rPr>
        <w:t xml:space="preserve">Investments in Affiliated Companies </w:t>
      </w:r>
      <w:r>
        <w:rPr>
          <w:rFonts w:ascii="Arial" w:cs="Arial" w:eastAsia="Arial" w:hAnsi="Arial"/>
          <w:sz w:val="16"/>
          <w:szCs w:val="16"/>
          <w:color w:val="auto"/>
        </w:rPr>
        <w:t>on the consolidated balance sheet primarily reflects Schlumberger’s investments in privately held companies, some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in the startup or development stages and are often still defining their strategic direction. Such investments are inherently risky and their success is dependent on factors such as technology development, market acceptance and their ability to raise additional funds. The technology being developed by these companies may never materialize and they could fail. Schlumberger monitors its portfolio to determine if any investment is other-than-temporarily impaired. If an investment is considered to be other-than-temporarily impaired, it is written down to its fair value.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Schlumberger is subject to market risks primarily associated with changes in foreign currency exchange rates, commodity prices and interest rates.</w:t>
      </w:r>
    </w:p>
    <w:p>
      <w:pPr>
        <w:spacing w:after="0" w:line="38"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As a multinational company, Schlumberger conducts business in approximately 85 countries. Schlumberger’s functional currency is primarily the US dollar, which is consistent with the oil and gas industry. Approximately 75% of Schlumberger’s revenue in 2012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3"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A 5% increase or decrease in the average exchange rates of all the foreign currencies in 2012 would have changed revenue by approximately 1%. If the 2012 average exchange rates of the US dollar against all foreign currencies had strengthened by 5%, Schlumberger’s income from continuing operations would have increased by approximately 2%. Conversely, a 5% weakening of the US dollar average exchange rates would have decreased income from continuing operations by approximately 2%.</w:t>
      </w:r>
    </w:p>
    <w:p>
      <w:pPr>
        <w:spacing w:after="0" w:line="2" w:lineRule="exact"/>
        <w:rPr>
          <w:sz w:val="20"/>
          <w:szCs w:val="20"/>
          <w:color w:val="auto"/>
        </w:rPr>
      </w:pPr>
    </w:p>
    <w:p>
      <w:pPr>
        <w:jc w:val="both"/>
        <w:ind w:right="40" w:firstLine="228"/>
        <w:spacing w:after="0" w:line="281"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provide a hedge against currency fluctuations either on monetary assets/liabilities denominated in other than a functional currency or on expenses.</w:t>
      </w:r>
    </w:p>
    <w:p>
      <w:pPr>
        <w:spacing w:after="0" w:line="2" w:lineRule="exact"/>
        <w:rPr>
          <w:sz w:val="20"/>
          <w:szCs w:val="20"/>
          <w:color w:val="auto"/>
        </w:rPr>
      </w:pPr>
    </w:p>
    <w:p>
      <w:pPr>
        <w:ind w:right="380" w:firstLine="228"/>
        <w:spacing w:after="0" w:line="250" w:lineRule="auto"/>
        <w:rPr>
          <w:sz w:val="20"/>
          <w:szCs w:val="20"/>
          <w:color w:val="auto"/>
        </w:rPr>
      </w:pPr>
      <w:r>
        <w:rPr>
          <w:rFonts w:ascii="Arial" w:cs="Arial" w:eastAsia="Arial" w:hAnsi="Arial"/>
          <w:sz w:val="18"/>
          <w:szCs w:val="18"/>
          <w:color w:val="auto"/>
        </w:rPr>
        <w:t>At December 31, 2012, contracts were outstanding for the US dollar equivalent of $7.5 billion in various foreign currencies of which $3.9 billion relate to hedges of debt balances denominated in currencies other than the functional currency.</w:t>
      </w:r>
    </w:p>
    <w:p>
      <w:pPr>
        <w:spacing w:after="0" w:line="1"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Schlumberger is subject to the risk of market price fluctuations of certain commodities, such as fuel. Schlumberger utilizes forward contracts to manage a small percentage of the price risk associated with forecasted fuel purchases. As of December 31, 2012, $43 million of commodity forward contracts were outstanding.</w:t>
      </w:r>
    </w:p>
    <w:p>
      <w:pPr>
        <w:spacing w:after="0" w:line="1"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 At December 31, 2012, Schlumberger had fixed rate debt aggregating approximately $10.0 billion and variable rate debt aggregating approximately $1.6 billion. Schlumberger has entered into interest rate swaps relating to $0.5 billion of its fixed rate debt as of December 31, 2012 whereby Schlumberger will receive interest at a fixed rate and pay interest at a variable rate.</w:t>
      </w:r>
    </w:p>
    <w:p>
      <w:pPr>
        <w:spacing w:after="0" w:line="2"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 xml:space="preserve">Schlumberger’s exposure to interest rate risk associated with its debt is also partially mitigated by its investment portfolio. 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w:t>
      </w:r>
      <w:r>
        <w:rPr>
          <w:rFonts w:ascii="Arial" w:cs="Arial" w:eastAsia="Arial" w:hAnsi="Arial"/>
          <w:sz w:val="18"/>
          <w:szCs w:val="18"/>
          <w:color w:val="auto"/>
        </w:rPr>
        <w:t>, which totaled approximately $4.6 billion at December 31, 2012, are comprised primarily of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eurodollar time deposits, certificates of deposit, commercial paper, euro notes and Eurobonds and are substantially all denominated in US dollars. The average return on investment was 0.6% in 2012.</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represents carrying amounts of Schlumberger’s debt at December 31, 2012 by year of maturity: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(Stated in millions)</w:t>
            </w:r>
          </w:p>
        </w:tc>
      </w:tr>
      <w:tr>
        <w:trPr>
          <w:trHeight w:val="244"/>
        </w:trPr>
        <w:tc>
          <w:tcPr>
            <w:tcW w:w="35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7"/>
              </w:rPr>
              <w:t>Expected Maturity Dates</w:t>
            </w: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42"/>
        </w:trPr>
        <w:tc>
          <w:tcPr>
            <w:tcW w:w="35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6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2017</w:t>
            </w:r>
          </w:p>
        </w:tc>
        <w:tc>
          <w:tcPr>
            <w:tcW w:w="2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29"/>
        </w:trPr>
        <w:tc>
          <w:tcPr>
            <w:tcW w:w="3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Fixed rate debt</w:t>
            </w:r>
          </w:p>
        </w:tc>
        <w:tc>
          <w:tcPr>
            <w:tcW w:w="30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5.25% Guaranteed Notes</w:t>
            </w:r>
          </w:p>
        </w:tc>
        <w:tc>
          <w:tcPr>
            <w:tcW w:w="3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60" w:type="dxa"/>
            <w:vAlign w:val="bottom"/>
          </w:tcPr>
          <w:p>
            <w:pPr>
              <w:spacing w:after="0"/>
              <w:rPr>
                <w:sz w:val="12"/>
                <w:szCs w:val="12"/>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3.00% Guaranteed Notes</w:t>
            </w:r>
          </w:p>
        </w:tc>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60" w:type="dxa"/>
            <w:vAlign w:val="bottom"/>
            <w:shd w:val="clear" w:color="auto" w:fill="CCEEFF"/>
          </w:tcPr>
          <w:p>
            <w:pPr>
              <w:spacing w:after="0"/>
              <w:rPr>
                <w:sz w:val="12"/>
                <w:szCs w:val="12"/>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4.50% Guaranteed Notes</w:t>
            </w: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$1,324</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60" w:type="dxa"/>
            <w:vAlign w:val="bottom"/>
          </w:tcPr>
          <w:p>
            <w:pPr>
              <w:spacing w:after="0"/>
              <w:rPr>
                <w:sz w:val="12"/>
                <w:szCs w:val="12"/>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2.75% Guaranteed Notes</w:t>
            </w:r>
          </w:p>
        </w:tc>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3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60" w:type="dxa"/>
            <w:vAlign w:val="bottom"/>
            <w:shd w:val="clear" w:color="auto" w:fill="CCEEFF"/>
          </w:tcPr>
          <w:p>
            <w:pPr>
              <w:spacing w:after="0"/>
              <w:rPr>
                <w:sz w:val="12"/>
                <w:szCs w:val="12"/>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2.650% Senior Notes</w:t>
            </w: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60" w:type="dxa"/>
            <w:vAlign w:val="bottom"/>
          </w:tcPr>
          <w:p>
            <w:pPr>
              <w:spacing w:after="0"/>
              <w:rPr>
                <w:sz w:val="12"/>
                <w:szCs w:val="12"/>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1.950% Senior Notes</w:t>
            </w:r>
          </w:p>
        </w:tc>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1,099</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1,099</w:t>
            </w:r>
          </w:p>
        </w:tc>
        <w:tc>
          <w:tcPr>
            <w:tcW w:w="60" w:type="dxa"/>
            <w:vAlign w:val="bottom"/>
            <w:shd w:val="clear" w:color="auto" w:fill="CCEEFF"/>
          </w:tcPr>
          <w:p>
            <w:pPr>
              <w:spacing w:after="0"/>
              <w:rPr>
                <w:sz w:val="12"/>
                <w:szCs w:val="12"/>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3.300% Senior Notes</w:t>
            </w: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$1,595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1,595</w:t>
            </w:r>
          </w:p>
        </w:tc>
        <w:tc>
          <w:tcPr>
            <w:tcW w:w="60" w:type="dxa"/>
            <w:vAlign w:val="bottom"/>
          </w:tcPr>
          <w:p>
            <w:pPr>
              <w:spacing w:after="0"/>
              <w:rPr>
                <w:sz w:val="12"/>
                <w:szCs w:val="12"/>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4.200% Senior Notes</w:t>
            </w:r>
          </w:p>
        </w:tc>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1,099</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1,099</w:t>
            </w:r>
          </w:p>
        </w:tc>
        <w:tc>
          <w:tcPr>
            <w:tcW w:w="60" w:type="dxa"/>
            <w:vAlign w:val="bottom"/>
            <w:shd w:val="clear" w:color="auto" w:fill="CCEEFF"/>
          </w:tcPr>
          <w:p>
            <w:pPr>
              <w:spacing w:after="0"/>
              <w:rPr>
                <w:sz w:val="12"/>
                <w:szCs w:val="12"/>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1.250% Senior Notes</w:t>
            </w: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76"/>
              </w:rPr>
              <w:t>$999</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60" w:type="dxa"/>
            <w:vAlign w:val="bottom"/>
          </w:tcPr>
          <w:p>
            <w:pPr>
              <w:spacing w:after="0"/>
              <w:rPr>
                <w:sz w:val="12"/>
                <w:szCs w:val="12"/>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2.400% Senior Notes</w:t>
            </w:r>
          </w:p>
        </w:tc>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998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2"/>
                <w:szCs w:val="12"/>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3500" w:type="dxa"/>
            <w:vAlign w:val="bottom"/>
          </w:tcPr>
          <w:p>
            <w:pPr>
              <w:spacing w:after="0" w:line="155" w:lineRule="exact"/>
              <w:rPr>
                <w:sz w:val="20"/>
                <w:szCs w:val="20"/>
                <w:color w:val="auto"/>
              </w:rPr>
            </w:pPr>
            <w:r>
              <w:rPr>
                <w:rFonts w:ascii="Arial" w:cs="Arial" w:eastAsia="Arial" w:hAnsi="Arial"/>
                <w:sz w:val="14"/>
                <w:szCs w:val="14"/>
                <w:b w:val="1"/>
                <w:bCs w:val="1"/>
                <w:color w:val="auto"/>
              </w:rPr>
              <w:t>Total fixed rate debt</w:t>
            </w:r>
          </w:p>
        </w:tc>
        <w:tc>
          <w:tcPr>
            <w:tcW w:w="3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79"/>
              </w:rPr>
              <w:t>1,114</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$1,324</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$1,318</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85"/>
              </w:rPr>
              <w:t>1,599</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$999</w:t>
            </w:r>
          </w:p>
        </w:tc>
        <w:tc>
          <w:tcPr>
            <w:tcW w:w="26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$2,694</w:t>
            </w:r>
          </w:p>
        </w:tc>
        <w:tc>
          <w:tcPr>
            <w:tcW w:w="84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$998</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10,046</w:t>
            </w:r>
          </w:p>
        </w:tc>
        <w:tc>
          <w:tcPr>
            <w:tcW w:w="60" w:type="dxa"/>
            <w:vAlign w:val="bottom"/>
          </w:tcPr>
          <w:p>
            <w:pPr>
              <w:spacing w:after="0"/>
              <w:rPr>
                <w:sz w:val="13"/>
                <w:szCs w:val="13"/>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Variable rate debt</w:t>
            </w:r>
          </w:p>
        </w:tc>
        <w:tc>
          <w:tcPr>
            <w:tcW w:w="3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1,007</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333</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244</w:t>
            </w: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1,584</w:t>
            </w:r>
          </w:p>
        </w:tc>
        <w:tc>
          <w:tcPr>
            <w:tcW w:w="60" w:type="dxa"/>
            <w:vAlign w:val="bottom"/>
            <w:shd w:val="clear" w:color="auto" w:fill="CCEEFF"/>
          </w:tcPr>
          <w:p>
            <w:pPr>
              <w:spacing w:after="0"/>
              <w:rPr>
                <w:sz w:val="12"/>
                <w:szCs w:val="12"/>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350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3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2,121</w:t>
            </w:r>
          </w:p>
        </w:tc>
        <w:tc>
          <w:tcPr>
            <w:tcW w:w="3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1,657</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1,318</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0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85"/>
              </w:rPr>
              <w:t>1,843</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r>
              <w:rPr>
                <w:rFonts w:ascii="Arial" w:cs="Arial" w:eastAsia="Arial" w:hAnsi="Arial"/>
                <w:sz w:val="14"/>
                <w:szCs w:val="14"/>
                <w:b w:val="1"/>
                <w:bCs w:val="1"/>
                <w:color w:val="auto"/>
                <w:w w:val="76"/>
              </w:rPr>
              <w:t>999</w:t>
            </w:r>
          </w:p>
        </w:tc>
        <w:tc>
          <w:tcPr>
            <w:tcW w:w="26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2,694</w:t>
            </w:r>
          </w:p>
        </w:tc>
        <w:tc>
          <w:tcPr>
            <w:tcW w:w="84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998</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3"/>
              </w:rPr>
              <w:t>11,630</w:t>
            </w:r>
          </w:p>
        </w:tc>
      </w:tr>
      <w:tr>
        <w:trPr>
          <w:trHeight w:val="317"/>
        </w:trPr>
        <w:tc>
          <w:tcPr>
            <w:tcW w:w="3500" w:type="dxa"/>
            <w:vAlign w:val="bottom"/>
          </w:tcPr>
          <w:p>
            <w:pPr>
              <w:spacing w:after="0"/>
              <w:rPr>
                <w:sz w:val="24"/>
                <w:szCs w:val="24"/>
                <w:color w:val="auto"/>
              </w:rPr>
            </w:pPr>
          </w:p>
        </w:tc>
        <w:tc>
          <w:tcPr>
            <w:tcW w:w="3000" w:type="dxa"/>
            <w:vAlign w:val="bottom"/>
          </w:tcPr>
          <w:p>
            <w:pPr>
              <w:jc w:val="right"/>
              <w:ind w:right="652"/>
              <w:spacing w:after="0"/>
              <w:rPr>
                <w:sz w:val="20"/>
                <w:szCs w:val="20"/>
                <w:color w:val="auto"/>
              </w:rPr>
            </w:pPr>
            <w:r>
              <w:rPr>
                <w:rFonts w:ascii="Arial" w:cs="Arial" w:eastAsia="Arial" w:hAnsi="Arial"/>
                <w:sz w:val="14"/>
                <w:szCs w:val="14"/>
                <w:color w:val="auto"/>
              </w:rPr>
              <w:t>31</w:t>
            </w: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ind w:right="100"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market value of the outstanding fixed rate debt was approximately $10.5 billion as of December 31, 2012. The weighted average interest rate on the variable rate debt as of December 31, 2012 was 3.6%.</w:t>
      </w:r>
    </w:p>
    <w:p>
      <w:pPr>
        <w:ind w:left="240"/>
        <w:spacing w:after="0"/>
        <w:rPr>
          <w:sz w:val="20"/>
          <w:szCs w:val="20"/>
          <w:color w:val="auto"/>
        </w:rPr>
      </w:pPr>
      <w:r>
        <w:rPr>
          <w:rFonts w:ascii="Arial" w:cs="Arial" w:eastAsia="Arial" w:hAnsi="Arial"/>
          <w:sz w:val="18"/>
          <w:szCs w:val="18"/>
          <w:color w:val="auto"/>
        </w:rPr>
        <w:t>Schlumberger does not enter into derivatives for speculative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Statements</w:t>
      </w:r>
    </w:p>
    <w:p>
      <w:pPr>
        <w:spacing w:after="0" w:line="90" w:lineRule="exact"/>
        <w:rPr>
          <w:sz w:val="20"/>
          <w:szCs w:val="20"/>
          <w:color w:val="auto"/>
        </w:rPr>
      </w:pPr>
    </w:p>
    <w:p>
      <w:pPr>
        <w:ind w:firstLine="228"/>
        <w:spacing w:after="0" w:line="306" w:lineRule="auto"/>
        <w:rPr>
          <w:sz w:val="20"/>
          <w:szCs w:val="20"/>
          <w:color w:val="auto"/>
        </w:rPr>
      </w:pPr>
      <w:r>
        <w:rPr>
          <w:rFonts w:ascii="Arial" w:cs="Arial" w:eastAsia="Arial" w:hAnsi="Arial"/>
          <w:sz w:val="15"/>
          <w:szCs w:val="15"/>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20"/>
          </w:cols>
          <w:pgMar w:left="240" w:top="28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706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20" w:type="dxa"/>
            <w:vAlign w:val="bottom"/>
            <w:gridSpan w:val="2"/>
          </w:tcPr>
          <w:p>
            <w:pPr>
              <w:jc w:val="center"/>
              <w:ind w:left="2512"/>
              <w:spacing w:after="0"/>
              <w:rPr>
                <w:sz w:val="20"/>
                <w:szCs w:val="20"/>
                <w:color w:val="auto"/>
              </w:rPr>
            </w:pPr>
            <w:r>
              <w:rPr>
                <w:rFonts w:ascii="Arial" w:cs="Arial" w:eastAsia="Arial" w:hAnsi="Arial"/>
                <w:sz w:val="14"/>
                <w:szCs w:val="14"/>
                <w:color w:val="auto"/>
                <w:w w:val="94"/>
              </w:rPr>
              <w:t>SCHLUMBERGER LIMITED AND SUBSIDIARIES</w:t>
            </w: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20" w:type="dxa"/>
            <w:vAlign w:val="bottom"/>
            <w:gridSpan w:val="2"/>
          </w:tcPr>
          <w:p>
            <w:pPr>
              <w:jc w:val="center"/>
              <w:ind w:left="2492"/>
              <w:spacing w:after="0"/>
              <w:rPr>
                <w:sz w:val="20"/>
                <w:szCs w:val="20"/>
                <w:color w:val="auto"/>
              </w:rPr>
            </w:pPr>
            <w:r>
              <w:rPr>
                <w:rFonts w:ascii="Arial" w:cs="Arial" w:eastAsia="Arial" w:hAnsi="Arial"/>
                <w:sz w:val="14"/>
                <w:szCs w:val="14"/>
                <w:color w:val="auto"/>
                <w:w w:val="92"/>
              </w:rPr>
              <w:t>CONSOLIDATED STATEMENT OF INCOME</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80" w:type="dxa"/>
            <w:vAlign w:val="bottom"/>
            <w:gridSpan w:val="11"/>
          </w:tcPr>
          <w:p>
            <w:pPr>
              <w:jc w:val="right"/>
              <w:ind w:right="80"/>
              <w:spacing w:after="0"/>
              <w:rPr>
                <w:sz w:val="20"/>
                <w:szCs w:val="20"/>
                <w:color w:val="auto"/>
              </w:rPr>
            </w:pPr>
            <w:r>
              <w:rPr>
                <w:rFonts w:ascii="Arial" w:cs="Arial" w:eastAsia="Arial" w:hAnsi="Arial"/>
                <w:sz w:val="14"/>
                <w:szCs w:val="14"/>
                <w:b w:val="1"/>
                <w:bCs w:val="1"/>
                <w:color w:val="auto"/>
              </w:rPr>
              <w:t>(Stated in millions, except per share amounts)</w:t>
            </w:r>
          </w:p>
        </w:tc>
        <w:tc>
          <w:tcPr>
            <w:tcW w:w="0" w:type="dxa"/>
            <w:vAlign w:val="bottom"/>
          </w:tcPr>
          <w:p>
            <w:pPr>
              <w:spacing w:after="0"/>
              <w:rPr>
                <w:sz w:val="1"/>
                <w:szCs w:val="1"/>
                <w:color w:val="auto"/>
              </w:rPr>
            </w:pPr>
          </w:p>
        </w:tc>
      </w:tr>
      <w:tr>
        <w:trPr>
          <w:trHeight w:val="244"/>
        </w:trPr>
        <w:tc>
          <w:tcPr>
            <w:tcW w:w="7940" w:type="dxa"/>
            <w:vAlign w:val="bottom"/>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Revenue</w:t>
            </w:r>
          </w:p>
        </w:tc>
        <w:tc>
          <w:tcPr>
            <w:tcW w:w="40" w:type="dxa"/>
            <w:vAlign w:val="bottom"/>
            <w:tcBorders>
              <w:top w:val="single" w:sz="8" w:color="CCEEFF"/>
            </w:tcBorders>
            <w:shd w:val="clear" w:color="auto" w:fill="CCEEFF"/>
          </w:tcPr>
          <w:p>
            <w:pPr>
              <w:spacing w:after="0"/>
              <w:rPr>
                <w:sz w:val="12"/>
                <w:szCs w:val="12"/>
                <w:color w:val="auto"/>
              </w:rPr>
            </w:pPr>
          </w:p>
        </w:tc>
        <w:tc>
          <w:tcPr>
            <w:tcW w:w="3540" w:type="dxa"/>
            <w:vAlign w:val="bottom"/>
            <w:tcBorders>
              <w:top w:val="single" w:sz="8" w:color="CCEEFF"/>
            </w:tcBorders>
            <w:shd w:val="clear" w:color="auto" w:fill="CCEEFF"/>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42,149</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36,959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26,672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172</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Gain on investment in M-I SWACO</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revenue</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83"/>
              </w:rPr>
              <w:t>33,056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28,939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21,097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Research &amp; engineering</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1,168</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1,073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General &amp; administrative</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405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Merger &amp; integration</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Restructuring &amp; other</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33</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89"/>
              </w:rPr>
              <w:t>Interest</w:t>
            </w:r>
          </w:p>
        </w:tc>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340</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7,191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6,239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Taxes on income</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1,723</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1,509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5,468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spacing w:after="0" w:line="149" w:lineRule="exact"/>
              <w:rPr>
                <w:sz w:val="20"/>
                <w:szCs w:val="20"/>
                <w:color w:val="auto"/>
              </w:rPr>
            </w:pPr>
            <w:r>
              <w:rPr>
                <w:rFonts w:ascii="Arial" w:cs="Arial" w:eastAsia="Arial" w:hAnsi="Arial"/>
                <w:sz w:val="14"/>
                <w:szCs w:val="14"/>
                <w:i w:val="1"/>
                <w:iCs w:val="1"/>
                <w:color w:val="auto"/>
              </w:rPr>
              <w:t>Income from discontinued operations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5,519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 attributable to Schlumberger</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5,490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4,997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4,267</w:t>
            </w:r>
          </w:p>
        </w:tc>
        <w:tc>
          <w:tcPr>
            <w:tcW w:w="0" w:type="dxa"/>
            <w:vAlign w:val="bottom"/>
          </w:tcPr>
          <w:p>
            <w:pPr>
              <w:spacing w:after="0"/>
              <w:rPr>
                <w:sz w:val="1"/>
                <w:szCs w:val="1"/>
                <w:color w:val="auto"/>
              </w:rPr>
            </w:pPr>
          </w:p>
        </w:tc>
      </w:tr>
      <w:tr>
        <w:trPr>
          <w:trHeight w:val="156"/>
        </w:trPr>
        <w:tc>
          <w:tcPr>
            <w:tcW w:w="794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Schlumberger amounts attributable to:</w:t>
            </w:r>
          </w:p>
        </w:tc>
        <w:tc>
          <w:tcPr>
            <w:tcW w:w="15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5,439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4,720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Income from discontinued operations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5,490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4,997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4,267</w:t>
            </w:r>
          </w:p>
        </w:tc>
        <w:tc>
          <w:tcPr>
            <w:tcW w:w="0" w:type="dxa"/>
            <w:vAlign w:val="bottom"/>
          </w:tcPr>
          <w:p>
            <w:pPr>
              <w:spacing w:after="0"/>
              <w:rPr>
                <w:sz w:val="1"/>
                <w:szCs w:val="1"/>
                <w:color w:val="auto"/>
              </w:rPr>
            </w:pPr>
          </w:p>
        </w:tc>
      </w:tr>
      <w:tr>
        <w:trPr>
          <w:trHeight w:val="156"/>
        </w:trPr>
        <w:tc>
          <w:tcPr>
            <w:tcW w:w="794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Basic earnings per share of Schlumberger:</w:t>
            </w:r>
          </w:p>
        </w:tc>
        <w:tc>
          <w:tcPr>
            <w:tcW w:w="15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4.09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Income from discontinued operations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0.04</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Net income </w:t>
            </w:r>
            <w:r>
              <w:rPr>
                <w:rFonts w:ascii="Arial" w:cs="Arial" w:eastAsia="Arial" w:hAnsi="Arial"/>
                <w:sz w:val="17"/>
                <w:szCs w:val="17"/>
                <w:color w:val="auto"/>
                <w:vertAlign w:val="superscript"/>
              </w:rPr>
              <w:t>(1)</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4.13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56"/>
        </w:trPr>
        <w:tc>
          <w:tcPr>
            <w:tcW w:w="794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Diluted earnings per share of Schlumberger:</w:t>
            </w:r>
          </w:p>
        </w:tc>
        <w:tc>
          <w:tcPr>
            <w:tcW w:w="15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Income from discontinued operations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0.04</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4.10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56"/>
        </w:trPr>
        <w:tc>
          <w:tcPr>
            <w:tcW w:w="794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Average shares outstanding:</w:t>
            </w:r>
          </w:p>
        </w:tc>
        <w:tc>
          <w:tcPr>
            <w:tcW w:w="15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1,330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gridSpan w:val="5"/>
          </w:tcPr>
          <w:p>
            <w:pPr>
              <w:ind w:left="420"/>
              <w:spacing w:after="0"/>
              <w:rPr>
                <w:sz w:val="20"/>
                <w:szCs w:val="20"/>
                <w:color w:val="auto"/>
              </w:rPr>
            </w:pPr>
            <w:r>
              <w:rPr>
                <w:rFonts w:ascii="Arial" w:cs="Arial" w:eastAsia="Arial" w:hAnsi="Arial"/>
                <w:sz w:val="14"/>
                <w:szCs w:val="14"/>
                <w:color w:val="auto"/>
              </w:rPr>
              <w:t>Assuming dilution</w:t>
            </w: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1,339</w:t>
            </w: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1,361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bl>
    <w:p>
      <w:pPr>
        <w:ind w:left="200" w:hanging="192"/>
        <w:spacing w:after="0" w:line="205" w:lineRule="auto"/>
        <w:tabs>
          <w:tab w:leader="none" w:pos="20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Amountsmay not add due to rounding.</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25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 OF COMPREHENSIVE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(Stated in millions)</w:t>
            </w:r>
          </w:p>
        </w:tc>
      </w:tr>
      <w:tr>
        <w:trPr>
          <w:trHeight w:val="244"/>
        </w:trPr>
        <w:tc>
          <w:tcPr>
            <w:tcW w:w="93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21"/>
                <w:szCs w:val="2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r>
      <w:tr>
        <w:trPr>
          <w:trHeight w:val="142"/>
        </w:trPr>
        <w:tc>
          <w:tcPr>
            <w:tcW w:w="20" w:type="dxa"/>
            <w:vAlign w:val="bottom"/>
          </w:tcPr>
          <w:p>
            <w:pPr>
              <w:spacing w:after="0"/>
              <w:rPr>
                <w:sz w:val="12"/>
                <w:szCs w:val="12"/>
                <w:color w:val="auto"/>
              </w:rPr>
            </w:pPr>
          </w:p>
        </w:tc>
        <w:tc>
          <w:tcPr>
            <w:tcW w:w="9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$ 5,519</w:t>
            </w:r>
          </w:p>
        </w:tc>
        <w:tc>
          <w:tcPr>
            <w:tcW w:w="4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$ 5,007</w:t>
            </w:r>
          </w:p>
        </w:tc>
        <w:tc>
          <w:tcPr>
            <w:tcW w:w="4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$4,265</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net change arising during the period</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(82)</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Marketable securities</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arising during the period</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Derivatives</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derivatives gain (loss) on hedge transactions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92</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(269)</w:t>
            </w:r>
          </w:p>
        </w:tc>
      </w:tr>
      <w:tr>
        <w:trPr>
          <w:trHeight w:val="149"/>
        </w:trPr>
        <w:tc>
          <w:tcPr>
            <w:tcW w:w="20" w:type="dxa"/>
            <w:vAlign w:val="bottom"/>
          </w:tcPr>
          <w:p>
            <w:pPr>
              <w:spacing w:after="0"/>
              <w:rPr>
                <w:sz w:val="12"/>
                <w:szCs w:val="12"/>
                <w:color w:val="auto"/>
              </w:rPr>
            </w:pPr>
          </w:p>
        </w:tc>
        <w:tc>
          <w:tcPr>
            <w:tcW w:w="9300" w:type="dxa"/>
            <w:vAlign w:val="bottom"/>
          </w:tcPr>
          <w:p>
            <w:pPr>
              <w:ind w:left="420"/>
              <w:spacing w:after="0" w:line="149" w:lineRule="exact"/>
              <w:rPr>
                <w:sz w:val="20"/>
                <w:szCs w:val="20"/>
                <w:color w:val="auto"/>
              </w:rPr>
            </w:pPr>
            <w:r>
              <w:rPr>
                <w:rFonts w:ascii="Arial" w:cs="Arial" w:eastAsia="Arial" w:hAnsi="Arial"/>
                <w:sz w:val="14"/>
                <w:szCs w:val="14"/>
                <w:color w:val="auto"/>
              </w:rPr>
              <w:t>Reclassification to net income of net realized (gain) loss</w:t>
            </w: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(36)</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w:t>
            </w: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and other postretirement benefit plans</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300" w:type="dxa"/>
            <w:vAlign w:val="bottom"/>
          </w:tcPr>
          <w:p>
            <w:pPr>
              <w:ind w:left="420"/>
              <w:spacing w:after="0" w:line="149" w:lineRule="exact"/>
              <w:rPr>
                <w:sz w:val="20"/>
                <w:szCs w:val="20"/>
                <w:color w:val="auto"/>
              </w:rPr>
            </w:pPr>
            <w:r>
              <w:rPr>
                <w:rFonts w:ascii="Arial" w:cs="Arial" w:eastAsia="Arial" w:hAnsi="Arial"/>
                <w:sz w:val="14"/>
                <w:szCs w:val="14"/>
                <w:color w:val="auto"/>
              </w:rPr>
              <w:t>Actuarial loss</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Actuarial loss arising during the period</w:t>
            </w: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(1,016)</w:t>
            </w: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(1,008)</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w:t>
            </w:r>
          </w:p>
        </w:tc>
      </w:tr>
      <w:tr>
        <w:trPr>
          <w:trHeight w:val="149"/>
        </w:trPr>
        <w:tc>
          <w:tcPr>
            <w:tcW w:w="20" w:type="dxa"/>
            <w:vAlign w:val="bottom"/>
          </w:tcPr>
          <w:p>
            <w:pPr>
              <w:spacing w:after="0"/>
              <w:rPr>
                <w:sz w:val="12"/>
                <w:szCs w:val="12"/>
                <w:color w:val="auto"/>
              </w:rPr>
            </w:pPr>
          </w:p>
        </w:tc>
        <w:tc>
          <w:tcPr>
            <w:tcW w:w="9300" w:type="dxa"/>
            <w:vAlign w:val="bottom"/>
          </w:tcPr>
          <w:p>
            <w:pPr>
              <w:ind w:left="860"/>
              <w:spacing w:after="0" w:line="149" w:lineRule="exact"/>
              <w:rPr>
                <w:sz w:val="20"/>
                <w:szCs w:val="20"/>
                <w:color w:val="auto"/>
              </w:rPr>
            </w:pPr>
            <w:r>
              <w:rPr>
                <w:rFonts w:ascii="Arial" w:cs="Arial" w:eastAsia="Arial" w:hAnsi="Arial"/>
                <w:sz w:val="14"/>
                <w:szCs w:val="14"/>
                <w:color w:val="auto"/>
              </w:rPr>
              <w:t>Amortization to net income of net actuarial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4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4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w:t>
            </w: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Prior service cost</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300" w:type="dxa"/>
            <w:vAlign w:val="bottom"/>
          </w:tcPr>
          <w:p>
            <w:pPr>
              <w:ind w:left="860"/>
              <w:spacing w:after="0" w:line="149" w:lineRule="exact"/>
              <w:rPr>
                <w:sz w:val="20"/>
                <w:szCs w:val="20"/>
                <w:color w:val="auto"/>
              </w:rPr>
            </w:pPr>
            <w:r>
              <w:rPr>
                <w:rFonts w:ascii="Arial" w:cs="Arial" w:eastAsia="Arial" w:hAnsi="Arial"/>
                <w:sz w:val="14"/>
                <w:szCs w:val="14"/>
                <w:color w:val="auto"/>
              </w:rPr>
              <w:t>Prior service gain (cost) arising during the period</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w:t>
            </w: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to net income of net prior service cost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125</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w:t>
            </w:r>
          </w:p>
        </w:tc>
      </w:tr>
      <w:tr>
        <w:trPr>
          <w:trHeight w:val="156"/>
        </w:trPr>
        <w:tc>
          <w:tcPr>
            <w:tcW w:w="20" w:type="dxa"/>
            <w:vAlign w:val="bottom"/>
          </w:tcPr>
          <w:p>
            <w:pPr>
              <w:spacing w:after="0"/>
              <w:rPr>
                <w:sz w:val="13"/>
                <w:szCs w:val="13"/>
                <w:color w:val="auto"/>
              </w:rPr>
            </w:pPr>
          </w:p>
        </w:tc>
        <w:tc>
          <w:tcPr>
            <w:tcW w:w="930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Income taxes on pension and other postretirement benefit plans</w:t>
            </w: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40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w:t>
            </w:r>
          </w:p>
        </w:tc>
        <w:tc>
          <w:tcPr>
            <w:tcW w:w="4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5,188</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4,218</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4,171</w:t>
            </w:r>
          </w:p>
        </w:tc>
      </w:tr>
      <w:tr>
        <w:trPr>
          <w:trHeight w:val="156"/>
        </w:trPr>
        <w:tc>
          <w:tcPr>
            <w:tcW w:w="20" w:type="dxa"/>
            <w:vAlign w:val="bottom"/>
          </w:tcPr>
          <w:p>
            <w:pPr>
              <w:spacing w:after="0"/>
              <w:rPr>
                <w:sz w:val="13"/>
                <w:szCs w:val="13"/>
                <w:color w:val="auto"/>
              </w:rPr>
            </w:pPr>
          </w:p>
        </w:tc>
        <w:tc>
          <w:tcPr>
            <w:tcW w:w="930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 attributable to noncontrolling interests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40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00" w:type="dxa"/>
            <w:vAlign w:val="bottom"/>
          </w:tcPr>
          <w:p>
            <w:pPr>
              <w:spacing w:after="0"/>
              <w:rPr>
                <w:sz w:val="13"/>
                <w:szCs w:val="13"/>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93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attributable to Schlumberger</w:t>
            </w: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$ 5,159</w:t>
            </w:r>
          </w:p>
        </w:tc>
        <w:tc>
          <w:tcPr>
            <w:tcW w:w="40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$ 4,208</w:t>
            </w:r>
          </w:p>
        </w:tc>
        <w:tc>
          <w:tcPr>
            <w:tcW w:w="400" w:type="dxa"/>
            <w:vAlign w:val="bottom"/>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4,173</w:t>
            </w:r>
          </w:p>
        </w:tc>
        <w:tc>
          <w:tcPr>
            <w:tcW w:w="80" w:type="dxa"/>
            <w:vAlign w:val="bottom"/>
            <w:shd w:val="clear" w:color="auto" w:fill="CCEEFF"/>
          </w:tcPr>
          <w:p>
            <w:pPr>
              <w:spacing w:after="0"/>
              <w:rPr>
                <w:sz w:val="12"/>
                <w:szCs w:val="12"/>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277"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w:t>
      </w:r>
    </w:p>
    <w:p>
      <w:pPr>
        <w:spacing w:after="0" w:line="188"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(Stated in millions)</w:t>
      </w:r>
    </w:p>
    <w:p>
      <w:pPr>
        <w:sectPr>
          <w:pgSz w:w="11900" w:h="16838" w:orient="portrait"/>
          <w:cols w:equalWidth="0" w:num="1">
            <w:col w:w="11420"/>
          </w:cols>
          <w:pgMar w:left="240" w:top="277" w:right="239" w:bottom="1440"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18"/>
        </w:trPr>
        <w:tc>
          <w:tcPr>
            <w:tcW w:w="10020" w:type="dxa"/>
            <w:vAlign w:val="bottom"/>
          </w:tcPr>
          <w:p>
            <w:pPr>
              <w:spacing w:after="0" w:line="118" w:lineRule="exact"/>
              <w:rPr>
                <w:sz w:val="20"/>
                <w:szCs w:val="20"/>
                <w:color w:val="auto"/>
              </w:rPr>
            </w:pPr>
            <w:r>
              <w:rPr>
                <w:rFonts w:ascii="Arial" w:cs="Arial" w:eastAsia="Arial" w:hAnsi="Arial"/>
                <w:sz w:val="12"/>
                <w:szCs w:val="12"/>
                <w:b w:val="1"/>
                <w:bCs w:val="1"/>
                <w:i w:val="1"/>
                <w:iCs w:val="1"/>
                <w:color w:val="auto"/>
              </w:rPr>
              <w:t>ASSETS</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1,905</w:t>
            </w:r>
          </w:p>
        </w:tc>
        <w:tc>
          <w:tcPr>
            <w:tcW w:w="0" w:type="dxa"/>
            <w:vAlign w:val="bottom"/>
          </w:tcPr>
          <w:p>
            <w:pPr>
              <w:spacing w:after="0"/>
              <w:rPr>
                <w:sz w:val="1"/>
                <w:szCs w:val="1"/>
                <w:color w:val="auto"/>
              </w:rPr>
            </w:pPr>
          </w:p>
        </w:tc>
      </w:tr>
      <w:tr>
        <w:trPr>
          <w:trHeight w:val="147"/>
        </w:trPr>
        <w:tc>
          <w:tcPr>
            <w:tcW w:w="10020" w:type="dxa"/>
            <w:vAlign w:val="bottom"/>
          </w:tcPr>
          <w:p>
            <w:pPr>
              <w:ind w:left="440"/>
              <w:spacing w:after="0" w:line="147" w:lineRule="exact"/>
              <w:rPr>
                <w:sz w:val="20"/>
                <w:szCs w:val="20"/>
                <w:color w:val="auto"/>
              </w:rPr>
            </w:pPr>
            <w:r>
              <w:rPr>
                <w:rFonts w:ascii="Arial" w:cs="Arial" w:eastAsia="Arial" w:hAnsi="Arial"/>
                <w:sz w:val="14"/>
                <w:szCs w:val="14"/>
                <w:color w:val="auto"/>
              </w:rPr>
              <w:t>Cash</w:t>
            </w:r>
          </w:p>
        </w:tc>
        <w:tc>
          <w:tcPr>
            <w:tcW w:w="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4,369</w:t>
            </w:r>
          </w:p>
        </w:tc>
        <w:tc>
          <w:tcPr>
            <w:tcW w:w="0" w:type="dxa"/>
            <w:vAlign w:val="bottom"/>
          </w:tcPr>
          <w:p>
            <w:pPr>
              <w:spacing w:after="0"/>
              <w:rPr>
                <w:sz w:val="1"/>
                <w:szCs w:val="1"/>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Receivables less allowance for doubtful accounts (2012 – $202; 2011 – $177)</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11,351</w:t>
            </w:r>
          </w:p>
        </w:tc>
        <w:tc>
          <w:tcPr>
            <w:tcW w:w="0" w:type="dxa"/>
            <w:vAlign w:val="bottom"/>
          </w:tcPr>
          <w:p>
            <w:pPr>
              <w:spacing w:after="0"/>
              <w:rPr>
                <w:sz w:val="1"/>
                <w:szCs w:val="1"/>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4,785</w:t>
            </w:r>
          </w:p>
        </w:tc>
        <w:tc>
          <w:tcPr>
            <w:tcW w:w="0" w:type="dxa"/>
            <w:vAlign w:val="bottom"/>
          </w:tcPr>
          <w:p>
            <w:pPr>
              <w:spacing w:after="0"/>
              <w:rPr>
                <w:sz w:val="1"/>
                <w:szCs w:val="1"/>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161"/>
        </w:trPr>
        <w:tc>
          <w:tcPr>
            <w:tcW w:w="10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Other current assets</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1,403</w:t>
            </w:r>
          </w:p>
        </w:tc>
        <w:tc>
          <w:tcPr>
            <w:tcW w:w="0" w:type="dxa"/>
            <w:vAlign w:val="bottom"/>
          </w:tcPr>
          <w:p>
            <w:pPr>
              <w:spacing w:after="0"/>
              <w:rPr>
                <w:sz w:val="1"/>
                <w:szCs w:val="1"/>
                <w:color w:val="auto"/>
              </w:rPr>
            </w:pPr>
          </w:p>
        </w:tc>
      </w:tr>
      <w:tr>
        <w:trPr>
          <w:trHeight w:val="143"/>
        </w:trPr>
        <w:tc>
          <w:tcPr>
            <w:tcW w:w="10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3"/>
              </w:rPr>
              <w:t>24,156</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245</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1,502</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14,780</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518</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14,585</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4,802</w:t>
            </w:r>
          </w:p>
        </w:tc>
        <w:tc>
          <w:tcPr>
            <w:tcW w:w="0" w:type="dxa"/>
            <w:vAlign w:val="bottom"/>
          </w:tcPr>
          <w:p>
            <w:pPr>
              <w:spacing w:after="0"/>
              <w:rPr>
                <w:sz w:val="1"/>
                <w:szCs w:val="1"/>
                <w:color w:val="auto"/>
              </w:rPr>
            </w:pPr>
          </w:p>
        </w:tc>
      </w:tr>
      <w:tr>
        <w:trPr>
          <w:trHeight w:val="161"/>
        </w:trPr>
        <w:tc>
          <w:tcPr>
            <w:tcW w:w="10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Other Assets</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959</w:t>
            </w:r>
          </w:p>
        </w:tc>
        <w:tc>
          <w:tcPr>
            <w:tcW w:w="0" w:type="dxa"/>
            <w:vAlign w:val="bottom"/>
          </w:tcPr>
          <w:p>
            <w:pPr>
              <w:spacing w:after="0"/>
              <w:rPr>
                <w:sz w:val="1"/>
                <w:szCs w:val="1"/>
                <w:color w:val="auto"/>
              </w:rPr>
            </w:pPr>
          </w:p>
        </w:tc>
      </w:tr>
      <w:tr>
        <w:trPr>
          <w:trHeight w:val="156"/>
        </w:trPr>
        <w:tc>
          <w:tcPr>
            <w:tcW w:w="100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61,547</w:t>
            </w:r>
          </w:p>
        </w:tc>
        <w:tc>
          <w:tcPr>
            <w:tcW w:w="0" w:type="dxa"/>
            <w:vAlign w:val="bottom"/>
          </w:tcPr>
          <w:p>
            <w:pPr>
              <w:spacing w:after="0"/>
              <w:rPr>
                <w:sz w:val="1"/>
                <w:szCs w:val="1"/>
                <w:color w:val="auto"/>
              </w:rPr>
            </w:pPr>
          </w:p>
        </w:tc>
      </w:tr>
      <w:tr>
        <w:trPr>
          <w:trHeight w:val="145"/>
        </w:trPr>
        <w:tc>
          <w:tcPr>
            <w:tcW w:w="10020" w:type="dxa"/>
            <w:vAlign w:val="bottom"/>
          </w:tcPr>
          <w:p>
            <w:pPr>
              <w:spacing w:after="0" w:line="145" w:lineRule="exact"/>
              <w:rPr>
                <w:sz w:val="20"/>
                <w:szCs w:val="20"/>
                <w:color w:val="auto"/>
              </w:rPr>
            </w:pPr>
            <w:r>
              <w:rPr>
                <w:rFonts w:ascii="Arial" w:cs="Arial" w:eastAsia="Arial" w:hAnsi="Arial"/>
                <w:sz w:val="14"/>
                <w:szCs w:val="14"/>
                <w:b w:val="1"/>
                <w:bCs w:val="1"/>
                <w:i w:val="1"/>
                <w:iCs w:val="1"/>
                <w:color w:val="auto"/>
              </w:rPr>
              <w:t>LIABILITIES AND EQUITY</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8,453</w:t>
            </w:r>
          </w:p>
        </w:tc>
        <w:tc>
          <w:tcPr>
            <w:tcW w:w="0" w:type="dxa"/>
            <w:vAlign w:val="bottom"/>
          </w:tcPr>
          <w:p>
            <w:pPr>
              <w:spacing w:after="0"/>
              <w:rPr>
                <w:sz w:val="1"/>
                <w:szCs w:val="1"/>
                <w:color w:val="auto"/>
              </w:rPr>
            </w:pPr>
          </w:p>
        </w:tc>
      </w:tr>
      <w:tr>
        <w:trPr>
          <w:trHeight w:val="147"/>
        </w:trPr>
        <w:tc>
          <w:tcPr>
            <w:tcW w:w="10020" w:type="dxa"/>
            <w:vAlign w:val="bottom"/>
          </w:tcPr>
          <w:p>
            <w:pPr>
              <w:ind w:left="440"/>
              <w:spacing w:after="0" w:line="147"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Estimated liability for taxes on income</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1,426</w:t>
            </w:r>
          </w:p>
        </w:tc>
        <w:tc>
          <w:tcPr>
            <w:tcW w:w="0" w:type="dxa"/>
            <w:vAlign w:val="bottom"/>
          </w:tcPr>
          <w:p>
            <w:pPr>
              <w:spacing w:after="0"/>
              <w:rPr>
                <w:sz w:val="1"/>
                <w:szCs w:val="1"/>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Long-term debt – current portion</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1,163</w:t>
            </w:r>
          </w:p>
        </w:tc>
        <w:tc>
          <w:tcPr>
            <w:tcW w:w="0" w:type="dxa"/>
            <w:vAlign w:val="bottom"/>
          </w:tcPr>
          <w:p>
            <w:pPr>
              <w:spacing w:after="0"/>
              <w:rPr>
                <w:sz w:val="1"/>
                <w:szCs w:val="1"/>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958</w:t>
            </w:r>
          </w:p>
        </w:tc>
        <w:tc>
          <w:tcPr>
            <w:tcW w:w="0" w:type="dxa"/>
            <w:vAlign w:val="bottom"/>
          </w:tcPr>
          <w:p>
            <w:pPr>
              <w:spacing w:after="0"/>
              <w:rPr>
                <w:sz w:val="1"/>
                <w:szCs w:val="1"/>
                <w:color w:val="auto"/>
              </w:rPr>
            </w:pPr>
          </w:p>
        </w:tc>
      </w:tr>
      <w:tr>
        <w:trPr>
          <w:trHeight w:val="161"/>
        </w:trPr>
        <w:tc>
          <w:tcPr>
            <w:tcW w:w="10020" w:type="dxa"/>
            <w:vAlign w:val="bottom"/>
          </w:tcPr>
          <w:p>
            <w:pPr>
              <w:ind w:left="440"/>
              <w:spacing w:after="0"/>
              <w:rPr>
                <w:sz w:val="20"/>
                <w:szCs w:val="20"/>
                <w:color w:val="auto"/>
              </w:rPr>
            </w:pPr>
            <w:r>
              <w:rPr>
                <w:rFonts w:ascii="Arial" w:cs="Arial" w:eastAsia="Arial" w:hAnsi="Arial"/>
                <w:sz w:val="14"/>
                <w:szCs w:val="14"/>
                <w:color w:val="auto"/>
              </w:rPr>
              <w:t>Dividends payable</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368</w:t>
            </w:r>
          </w:p>
        </w:tc>
        <w:tc>
          <w:tcPr>
            <w:tcW w:w="0" w:type="dxa"/>
            <w:vAlign w:val="bottom"/>
          </w:tcPr>
          <w:p>
            <w:pPr>
              <w:spacing w:after="0"/>
              <w:rPr>
                <w:sz w:val="1"/>
                <w:szCs w:val="1"/>
                <w:color w:val="auto"/>
              </w:rPr>
            </w:pPr>
          </w:p>
        </w:tc>
      </w:tr>
      <w:tr>
        <w:trPr>
          <w:trHeight w:val="143"/>
        </w:trPr>
        <w:tc>
          <w:tcPr>
            <w:tcW w:w="10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3"/>
              </w:rPr>
              <w:t>12,368</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Long-term Debt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9,509</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2,169</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1,493</w:t>
            </w:r>
          </w:p>
        </w:tc>
        <w:tc>
          <w:tcPr>
            <w:tcW w:w="0" w:type="dxa"/>
            <w:vAlign w:val="bottom"/>
          </w:tcPr>
          <w:p>
            <w:pPr>
              <w:spacing w:after="0"/>
              <w:rPr>
                <w:sz w:val="1"/>
                <w:szCs w:val="1"/>
                <w:color w:val="auto"/>
              </w:rPr>
            </w:pPr>
          </w:p>
        </w:tc>
      </w:tr>
      <w:tr>
        <w:trPr>
          <w:trHeight w:val="161"/>
        </w:trPr>
        <w:tc>
          <w:tcPr>
            <w:tcW w:w="10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Other Liabilities</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1,150</w:t>
            </w:r>
          </w:p>
        </w:tc>
        <w:tc>
          <w:tcPr>
            <w:tcW w:w="0" w:type="dxa"/>
            <w:vAlign w:val="bottom"/>
          </w:tcPr>
          <w:p>
            <w:pPr>
              <w:spacing w:after="0"/>
              <w:rPr>
                <w:sz w:val="1"/>
                <w:szCs w:val="1"/>
                <w:color w:val="auto"/>
              </w:rPr>
            </w:pPr>
          </w:p>
        </w:tc>
      </w:tr>
      <w:tr>
        <w:trPr>
          <w:trHeight w:val="156"/>
        </w:trPr>
        <w:tc>
          <w:tcPr>
            <w:tcW w:w="10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26,689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-2734945</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-2357755</wp:posOffset>
            </wp:positionV>
            <wp:extent cx="7246620"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-1963420</wp:posOffset>
            </wp:positionV>
            <wp:extent cx="724662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-1379855</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-2923540</wp:posOffset>
            </wp:positionV>
            <wp:extent cx="72466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2011</w:t>
      </w:r>
    </w:p>
    <w:p>
      <w:pPr>
        <w:spacing w:after="0" w:line="287" w:lineRule="exact"/>
        <w:rPr>
          <w:sz w:val="20"/>
          <w:szCs w:val="20"/>
          <w:color w:val="auto"/>
        </w:rPr>
      </w:pPr>
    </w:p>
    <w:p>
      <w:pPr>
        <w:ind w:left="147" w:hanging="147"/>
        <w:spacing w:after="0"/>
        <w:tabs>
          <w:tab w:leader="none" w:pos="147" w:val="left"/>
        </w:tabs>
        <w:numPr>
          <w:ilvl w:val="0"/>
          <w:numId w:val="22"/>
        </w:numPr>
        <w:rPr>
          <w:rFonts w:ascii="Arial" w:cs="Arial" w:eastAsia="Arial" w:hAnsi="Arial"/>
          <w:sz w:val="11"/>
          <w:szCs w:val="11"/>
          <w:color w:val="auto"/>
        </w:rPr>
      </w:pPr>
      <w:r>
        <w:rPr>
          <w:rFonts w:ascii="Arial" w:cs="Arial" w:eastAsia="Arial" w:hAnsi="Arial"/>
          <w:sz w:val="11"/>
          <w:szCs w:val="11"/>
          <w:color w:val="auto"/>
        </w:rPr>
        <w:t>1,705</w:t>
      </w:r>
    </w:p>
    <w:p>
      <w:pPr>
        <w:spacing w:after="0" w:line="34" w:lineRule="exact"/>
        <w:rPr>
          <w:rFonts w:ascii="Arial" w:cs="Arial" w:eastAsia="Arial" w:hAnsi="Arial"/>
          <w:sz w:val="11"/>
          <w:szCs w:val="11"/>
          <w:color w:val="auto"/>
        </w:rPr>
      </w:pPr>
    </w:p>
    <w:p>
      <w:pPr>
        <w:ind w:left="147"/>
        <w:spacing w:after="0"/>
        <w:rPr>
          <w:rFonts w:ascii="Arial" w:cs="Arial" w:eastAsia="Arial" w:hAnsi="Arial"/>
          <w:sz w:val="11"/>
          <w:szCs w:val="11"/>
          <w:color w:val="auto"/>
        </w:rPr>
      </w:pPr>
      <w:r>
        <w:rPr>
          <w:rFonts w:ascii="Arial" w:cs="Arial" w:eastAsia="Arial" w:hAnsi="Arial"/>
          <w:sz w:val="11"/>
          <w:szCs w:val="11"/>
          <w:color w:val="auto"/>
        </w:rPr>
        <w:t>3,122</w:t>
      </w:r>
    </w:p>
    <w:p>
      <w:pPr>
        <w:spacing w:after="0" w:line="22" w:lineRule="exact"/>
        <w:rPr>
          <w:rFonts w:ascii="Arial" w:cs="Arial" w:eastAsia="Arial" w:hAnsi="Arial"/>
          <w:sz w:val="11"/>
          <w:szCs w:val="11"/>
          <w:color w:val="auto"/>
        </w:rPr>
      </w:pPr>
    </w:p>
    <w:p>
      <w:pPr>
        <w:ind w:left="147"/>
        <w:spacing w:after="0"/>
        <w:rPr>
          <w:rFonts w:ascii="Arial" w:cs="Arial" w:eastAsia="Arial" w:hAnsi="Arial"/>
          <w:sz w:val="11"/>
          <w:szCs w:val="11"/>
          <w:color w:val="auto"/>
        </w:rPr>
      </w:pPr>
      <w:r>
        <w:rPr>
          <w:rFonts w:ascii="Arial" w:cs="Arial" w:eastAsia="Arial" w:hAnsi="Arial"/>
          <w:sz w:val="11"/>
          <w:szCs w:val="11"/>
          <w:color w:val="auto"/>
        </w:rPr>
        <w:t>9,500</w:t>
      </w:r>
    </w:p>
    <w:p>
      <w:pPr>
        <w:spacing w:after="0" w:line="22" w:lineRule="exact"/>
        <w:rPr>
          <w:rFonts w:ascii="Arial" w:cs="Arial" w:eastAsia="Arial" w:hAnsi="Arial"/>
          <w:sz w:val="11"/>
          <w:szCs w:val="11"/>
          <w:color w:val="auto"/>
        </w:rPr>
      </w:pPr>
    </w:p>
    <w:p>
      <w:pPr>
        <w:ind w:left="147"/>
        <w:spacing w:after="0"/>
        <w:rPr>
          <w:rFonts w:ascii="Arial" w:cs="Arial" w:eastAsia="Arial" w:hAnsi="Arial"/>
          <w:sz w:val="11"/>
          <w:szCs w:val="11"/>
          <w:color w:val="auto"/>
        </w:rPr>
      </w:pPr>
      <w:r>
        <w:rPr>
          <w:rFonts w:ascii="Arial" w:cs="Arial" w:eastAsia="Arial" w:hAnsi="Arial"/>
          <w:sz w:val="11"/>
          <w:szCs w:val="11"/>
          <w:color w:val="auto"/>
        </w:rPr>
        <w:t>4,700</w:t>
      </w:r>
    </w:p>
    <w:p>
      <w:pPr>
        <w:spacing w:after="0" w:line="22" w:lineRule="exact"/>
        <w:rPr>
          <w:rFonts w:ascii="Arial" w:cs="Arial" w:eastAsia="Arial" w:hAnsi="Arial"/>
          <w:sz w:val="11"/>
          <w:szCs w:val="11"/>
          <w:color w:val="auto"/>
        </w:rPr>
      </w:pPr>
    </w:p>
    <w:p>
      <w:pPr>
        <w:ind w:left="247"/>
        <w:spacing w:after="0"/>
        <w:rPr>
          <w:rFonts w:ascii="Arial" w:cs="Arial" w:eastAsia="Arial" w:hAnsi="Arial"/>
          <w:sz w:val="11"/>
          <w:szCs w:val="11"/>
          <w:color w:val="auto"/>
        </w:rPr>
      </w:pPr>
      <w:r>
        <w:rPr>
          <w:rFonts w:ascii="Arial" w:cs="Arial" w:eastAsia="Arial" w:hAnsi="Arial"/>
          <w:sz w:val="11"/>
          <w:szCs w:val="11"/>
          <w:color w:val="auto"/>
        </w:rPr>
        <w:t>456</w:t>
      </w:r>
    </w:p>
    <w:p>
      <w:pPr>
        <w:spacing w:after="0" w:line="22" w:lineRule="exact"/>
        <w:rPr>
          <w:rFonts w:ascii="Arial" w:cs="Arial" w:eastAsia="Arial" w:hAnsi="Arial"/>
          <w:sz w:val="11"/>
          <w:szCs w:val="11"/>
          <w:color w:val="auto"/>
        </w:rPr>
      </w:pPr>
    </w:p>
    <w:p>
      <w:pPr>
        <w:ind w:left="147"/>
        <w:spacing w:after="0"/>
        <w:rPr>
          <w:rFonts w:ascii="Arial" w:cs="Arial" w:eastAsia="Arial" w:hAnsi="Arial"/>
          <w:sz w:val="11"/>
          <w:szCs w:val="11"/>
          <w:color w:val="auto"/>
        </w:rPr>
      </w:pPr>
      <w:r>
        <w:rPr>
          <w:rFonts w:ascii="Arial" w:cs="Arial" w:eastAsia="Arial" w:hAnsi="Arial"/>
          <w:sz w:val="11"/>
          <w:szCs w:val="11"/>
          <w:color w:val="auto"/>
        </w:rPr>
        <w:t>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832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20,539</w:t>
      </w:r>
    </w:p>
    <w:p>
      <w:pPr>
        <w:jc w:val="right"/>
        <w:ind w:right="80"/>
        <w:spacing w:after="0" w:line="221" w:lineRule="auto"/>
        <w:rPr>
          <w:sz w:val="20"/>
          <w:szCs w:val="20"/>
          <w:color w:val="auto"/>
        </w:rPr>
      </w:pPr>
      <w:r>
        <w:rPr>
          <w:rFonts w:ascii="Arial" w:cs="Arial" w:eastAsia="Arial" w:hAnsi="Arial"/>
          <w:sz w:val="14"/>
          <w:szCs w:val="14"/>
          <w:color w:val="auto"/>
        </w:rPr>
        <w:t>256</w:t>
      </w:r>
    </w:p>
    <w:p>
      <w:pPr>
        <w:jc w:val="right"/>
        <w:ind w:right="80"/>
        <w:spacing w:after="0" w:line="221" w:lineRule="auto"/>
        <w:rPr>
          <w:sz w:val="20"/>
          <w:szCs w:val="20"/>
          <w:color w:val="auto"/>
        </w:rPr>
      </w:pPr>
      <w:r>
        <w:rPr>
          <w:rFonts w:ascii="Arial" w:cs="Arial" w:eastAsia="Arial" w:hAnsi="Arial"/>
          <w:sz w:val="14"/>
          <w:szCs w:val="14"/>
          <w:color w:val="auto"/>
        </w:rPr>
        <w:t>1,266</w:t>
      </w:r>
    </w:p>
    <w:p>
      <w:pPr>
        <w:jc w:val="right"/>
        <w:ind w:right="80"/>
        <w:spacing w:after="0" w:line="222" w:lineRule="auto"/>
        <w:rPr>
          <w:sz w:val="20"/>
          <w:szCs w:val="20"/>
          <w:color w:val="auto"/>
        </w:rPr>
      </w:pPr>
      <w:r>
        <w:rPr>
          <w:rFonts w:ascii="Arial" w:cs="Arial" w:eastAsia="Arial" w:hAnsi="Arial"/>
          <w:sz w:val="14"/>
          <w:szCs w:val="14"/>
          <w:color w:val="auto"/>
        </w:rPr>
        <w:t>12,993</w:t>
      </w:r>
    </w:p>
    <w:p>
      <w:pPr>
        <w:jc w:val="right"/>
        <w:ind w:right="80"/>
        <w:spacing w:after="0" w:line="221" w:lineRule="auto"/>
        <w:rPr>
          <w:sz w:val="20"/>
          <w:szCs w:val="20"/>
          <w:color w:val="auto"/>
        </w:rPr>
      </w:pPr>
      <w:r>
        <w:rPr>
          <w:rFonts w:ascii="Arial" w:cs="Arial" w:eastAsia="Arial" w:hAnsi="Arial"/>
          <w:sz w:val="14"/>
          <w:szCs w:val="14"/>
          <w:color w:val="auto"/>
        </w:rPr>
        <w:t>425</w:t>
      </w:r>
    </w:p>
    <w:p>
      <w:pPr>
        <w:jc w:val="right"/>
        <w:ind w:right="80"/>
        <w:spacing w:after="0" w:line="222" w:lineRule="auto"/>
        <w:rPr>
          <w:sz w:val="20"/>
          <w:szCs w:val="20"/>
          <w:color w:val="auto"/>
        </w:rPr>
      </w:pPr>
      <w:r>
        <w:rPr>
          <w:rFonts w:ascii="Arial" w:cs="Arial" w:eastAsia="Arial" w:hAnsi="Arial"/>
          <w:sz w:val="14"/>
          <w:szCs w:val="14"/>
          <w:color w:val="auto"/>
        </w:rPr>
        <w:t>14,154</w:t>
      </w:r>
    </w:p>
    <w:p>
      <w:pPr>
        <w:jc w:val="right"/>
        <w:ind w:right="80"/>
        <w:spacing w:after="0" w:line="221" w:lineRule="auto"/>
        <w:rPr>
          <w:sz w:val="20"/>
          <w:szCs w:val="20"/>
          <w:color w:val="auto"/>
        </w:rPr>
      </w:pPr>
      <w:r>
        <w:rPr>
          <w:rFonts w:ascii="Arial" w:cs="Arial" w:eastAsia="Arial" w:hAnsi="Arial"/>
          <w:sz w:val="14"/>
          <w:szCs w:val="14"/>
          <w:color w:val="auto"/>
        </w:rPr>
        <w:t>4,882</w:t>
      </w:r>
    </w:p>
    <w:p>
      <w:pPr>
        <w:jc w:val="right"/>
        <w:ind w:right="80"/>
        <w:spacing w:after="0"/>
        <w:rPr>
          <w:sz w:val="20"/>
          <w:szCs w:val="20"/>
          <w:color w:val="auto"/>
        </w:rPr>
      </w:pPr>
      <w:r>
        <w:rPr>
          <w:rFonts w:ascii="Arial" w:cs="Arial" w:eastAsia="Arial" w:hAnsi="Arial"/>
          <w:sz w:val="14"/>
          <w:szCs w:val="14"/>
          <w:color w:val="auto"/>
        </w:rPr>
        <w:t>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832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u w:val="single" w:color="auto"/>
          <w:color w:val="auto"/>
        </w:rPr>
        <w:t>$55,201</w:t>
      </w:r>
    </w:p>
    <w:p>
      <w:pPr>
        <w:spacing w:after="0" w:line="335" w:lineRule="exact"/>
        <w:rPr>
          <w:sz w:val="20"/>
          <w:szCs w:val="20"/>
          <w:color w:val="auto"/>
        </w:rPr>
      </w:pPr>
    </w:p>
    <w:p>
      <w:pPr>
        <w:ind w:left="147" w:hanging="147"/>
        <w:spacing w:after="0"/>
        <w:tabs>
          <w:tab w:leader="none" w:pos="147" w:val="left"/>
        </w:tabs>
        <w:numPr>
          <w:ilvl w:val="0"/>
          <w:numId w:val="23"/>
        </w:numPr>
        <w:rPr>
          <w:rFonts w:ascii="Arial" w:cs="Arial" w:eastAsia="Arial" w:hAnsi="Arial"/>
          <w:sz w:val="11"/>
          <w:szCs w:val="11"/>
          <w:color w:val="auto"/>
        </w:rPr>
      </w:pPr>
      <w:r>
        <w:rPr>
          <w:rFonts w:ascii="Arial" w:cs="Arial" w:eastAsia="Arial" w:hAnsi="Arial"/>
          <w:sz w:val="11"/>
          <w:szCs w:val="11"/>
          <w:color w:val="auto"/>
        </w:rPr>
        <w:t>7,579</w:t>
      </w:r>
    </w:p>
    <w:p>
      <w:pPr>
        <w:spacing w:after="0" w:line="34" w:lineRule="exact"/>
        <w:rPr>
          <w:rFonts w:ascii="Arial" w:cs="Arial" w:eastAsia="Arial" w:hAnsi="Arial"/>
          <w:sz w:val="11"/>
          <w:szCs w:val="11"/>
          <w:color w:val="auto"/>
        </w:rPr>
      </w:pPr>
    </w:p>
    <w:p>
      <w:pPr>
        <w:ind w:left="147"/>
        <w:spacing w:after="0"/>
        <w:rPr>
          <w:rFonts w:ascii="Arial" w:cs="Arial" w:eastAsia="Arial" w:hAnsi="Arial"/>
          <w:sz w:val="11"/>
          <w:szCs w:val="11"/>
          <w:color w:val="auto"/>
        </w:rPr>
      </w:pPr>
      <w:r>
        <w:rPr>
          <w:rFonts w:ascii="Arial" w:cs="Arial" w:eastAsia="Arial" w:hAnsi="Arial"/>
          <w:sz w:val="11"/>
          <w:szCs w:val="11"/>
          <w:color w:val="auto"/>
        </w:rPr>
        <w:t>1,245</w:t>
      </w:r>
    </w:p>
    <w:p>
      <w:pPr>
        <w:spacing w:after="0" w:line="22" w:lineRule="exact"/>
        <w:rPr>
          <w:rFonts w:ascii="Arial" w:cs="Arial" w:eastAsia="Arial" w:hAnsi="Arial"/>
          <w:sz w:val="11"/>
          <w:szCs w:val="11"/>
          <w:color w:val="auto"/>
        </w:rPr>
      </w:pPr>
    </w:p>
    <w:p>
      <w:pPr>
        <w:ind w:left="147"/>
        <w:spacing w:after="0"/>
        <w:rPr>
          <w:rFonts w:ascii="Arial" w:cs="Arial" w:eastAsia="Arial" w:hAnsi="Arial"/>
          <w:sz w:val="11"/>
          <w:szCs w:val="11"/>
          <w:color w:val="auto"/>
        </w:rPr>
      </w:pPr>
      <w:r>
        <w:rPr>
          <w:rFonts w:ascii="Arial" w:cs="Arial" w:eastAsia="Arial" w:hAnsi="Arial"/>
          <w:sz w:val="11"/>
          <w:szCs w:val="11"/>
          <w:color w:val="auto"/>
        </w:rPr>
        <w:t>1,041</w:t>
      </w:r>
    </w:p>
    <w:p>
      <w:pPr>
        <w:spacing w:after="0" w:line="22" w:lineRule="exact"/>
        <w:rPr>
          <w:rFonts w:ascii="Arial" w:cs="Arial" w:eastAsia="Arial" w:hAnsi="Arial"/>
          <w:sz w:val="11"/>
          <w:szCs w:val="11"/>
          <w:color w:val="auto"/>
        </w:rPr>
      </w:pPr>
    </w:p>
    <w:p>
      <w:pPr>
        <w:ind w:left="247"/>
        <w:spacing w:after="0"/>
        <w:rPr>
          <w:rFonts w:ascii="Arial" w:cs="Arial" w:eastAsia="Arial" w:hAnsi="Arial"/>
          <w:sz w:val="11"/>
          <w:szCs w:val="11"/>
          <w:color w:val="auto"/>
        </w:rPr>
      </w:pPr>
      <w:r>
        <w:rPr>
          <w:rFonts w:ascii="Arial" w:cs="Arial" w:eastAsia="Arial" w:hAnsi="Arial"/>
          <w:sz w:val="11"/>
          <w:szCs w:val="11"/>
          <w:color w:val="auto"/>
        </w:rPr>
        <w:t>336</w:t>
      </w:r>
    </w:p>
    <w:p>
      <w:pPr>
        <w:spacing w:after="0" w:line="22" w:lineRule="exact"/>
        <w:rPr>
          <w:rFonts w:ascii="Arial" w:cs="Arial" w:eastAsia="Arial" w:hAnsi="Arial"/>
          <w:sz w:val="11"/>
          <w:szCs w:val="11"/>
          <w:color w:val="auto"/>
        </w:rPr>
      </w:pPr>
    </w:p>
    <w:p>
      <w:pPr>
        <w:ind w:left="247"/>
        <w:spacing w:after="0"/>
        <w:rPr>
          <w:rFonts w:ascii="Arial" w:cs="Arial" w:eastAsia="Arial" w:hAnsi="Arial"/>
          <w:sz w:val="11"/>
          <w:szCs w:val="11"/>
          <w:color w:val="auto"/>
        </w:rPr>
      </w:pPr>
      <w:r>
        <w:rPr>
          <w:rFonts w:ascii="Arial" w:cs="Arial" w:eastAsia="Arial" w:hAnsi="Arial"/>
          <w:sz w:val="11"/>
          <w:szCs w:val="11"/>
          <w:color w:val="auto"/>
        </w:rPr>
        <w:t>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832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7"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10,538</w:t>
      </w:r>
    </w:p>
    <w:p>
      <w:pPr>
        <w:jc w:val="right"/>
        <w:ind w:right="80"/>
        <w:spacing w:after="0" w:line="221" w:lineRule="auto"/>
        <w:rPr>
          <w:sz w:val="20"/>
          <w:szCs w:val="20"/>
          <w:color w:val="auto"/>
        </w:rPr>
      </w:pPr>
      <w:r>
        <w:rPr>
          <w:rFonts w:ascii="Arial" w:cs="Arial" w:eastAsia="Arial" w:hAnsi="Arial"/>
          <w:sz w:val="14"/>
          <w:szCs w:val="14"/>
          <w:color w:val="auto"/>
        </w:rPr>
        <w:t>8,556</w:t>
      </w:r>
    </w:p>
    <w:p>
      <w:pPr>
        <w:jc w:val="right"/>
        <w:ind w:right="80"/>
        <w:spacing w:after="0" w:line="221" w:lineRule="auto"/>
        <w:rPr>
          <w:sz w:val="20"/>
          <w:szCs w:val="20"/>
          <w:color w:val="auto"/>
        </w:rPr>
      </w:pPr>
      <w:r>
        <w:rPr>
          <w:rFonts w:ascii="Arial" w:cs="Arial" w:eastAsia="Arial" w:hAnsi="Arial"/>
          <w:sz w:val="14"/>
          <w:szCs w:val="14"/>
          <w:color w:val="auto"/>
        </w:rPr>
        <w:t>1,732</w:t>
      </w:r>
    </w:p>
    <w:p>
      <w:pPr>
        <w:jc w:val="right"/>
        <w:ind w:right="80"/>
        <w:spacing w:after="0" w:line="222" w:lineRule="auto"/>
        <w:rPr>
          <w:sz w:val="20"/>
          <w:szCs w:val="20"/>
          <w:color w:val="auto"/>
        </w:rPr>
      </w:pPr>
      <w:r>
        <w:rPr>
          <w:rFonts w:ascii="Arial" w:cs="Arial" w:eastAsia="Arial" w:hAnsi="Arial"/>
          <w:sz w:val="14"/>
          <w:szCs w:val="14"/>
          <w:color w:val="auto"/>
        </w:rPr>
        <w:t>1,731</w:t>
      </w:r>
    </w:p>
    <w:p>
      <w:pPr>
        <w:jc w:val="right"/>
        <w:ind w:right="80"/>
        <w:spacing w:after="0"/>
        <w:rPr>
          <w:sz w:val="20"/>
          <w:szCs w:val="20"/>
          <w:color w:val="auto"/>
        </w:rPr>
      </w:pPr>
      <w:r>
        <w:rPr>
          <w:rFonts w:ascii="Arial" w:cs="Arial" w:eastAsia="Arial" w:hAnsi="Arial"/>
          <w:sz w:val="14"/>
          <w:szCs w:val="14"/>
          <w:color w:val="auto"/>
        </w:rPr>
        <w:t>1,252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832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color w:val="auto"/>
        </w:rPr>
        <w:t>23,809</w:t>
      </w:r>
    </w:p>
    <w:p>
      <w:pPr>
        <w:spacing w:after="0" w:line="14" w:lineRule="exact"/>
        <w:rPr>
          <w:sz w:val="20"/>
          <w:szCs w:val="20"/>
          <w:color w:val="auto"/>
        </w:rPr>
      </w:pPr>
    </w:p>
    <w:p>
      <w:pPr>
        <w:sectPr>
          <w:pgSz w:w="11900" w:h="16838" w:orient="portrait"/>
          <w:cols w:equalWidth="0" w:num="2">
            <w:col w:w="10480" w:space="413"/>
            <w:col w:w="527"/>
          </w:cols>
          <w:pgMar w:left="240" w:top="277"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10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Equity</w:t>
            </w:r>
          </w:p>
        </w:tc>
        <w:tc>
          <w:tcPr>
            <w:tcW w:w="4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11,912</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11,639</w:t>
            </w:r>
          </w:p>
        </w:tc>
      </w:tr>
      <w:tr>
        <w:trPr>
          <w:trHeight w:val="149"/>
        </w:trPr>
        <w:tc>
          <w:tcPr>
            <w:tcW w:w="10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Treasury stock</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(6,160)</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(5,679)</w:t>
            </w:r>
          </w:p>
        </w:tc>
      </w:tr>
      <w:tr>
        <w:trPr>
          <w:trHeight w:val="149"/>
        </w:trPr>
        <w:tc>
          <w:tcPr>
            <w:tcW w:w="10020" w:type="dxa"/>
            <w:vAlign w:val="bottom"/>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32,887</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28,860</w:t>
            </w:r>
          </w:p>
        </w:tc>
      </w:tr>
      <w:tr>
        <w:trPr>
          <w:trHeight w:val="149"/>
        </w:trPr>
        <w:tc>
          <w:tcPr>
            <w:tcW w:w="10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Accumulated other comprehensive loss</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(3,888)</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(3,557)</w:t>
            </w:r>
          </w:p>
        </w:tc>
      </w:tr>
      <w:tr>
        <w:trPr>
          <w:trHeight w:val="156"/>
        </w:trPr>
        <w:tc>
          <w:tcPr>
            <w:tcW w:w="10020" w:type="dxa"/>
            <w:vAlign w:val="bottom"/>
            <w:tcBorders>
              <w:top w:val="single" w:sz="8" w:color="auto"/>
            </w:tcBorders>
          </w:tcPr>
          <w:p>
            <w:pPr>
              <w:ind w:left="880"/>
              <w:spacing w:after="0" w:line="155" w:lineRule="exact"/>
              <w:rPr>
                <w:sz w:val="20"/>
                <w:szCs w:val="20"/>
                <w:color w:val="auto"/>
              </w:rPr>
            </w:pPr>
            <w:r>
              <w:rPr>
                <w:rFonts w:ascii="Arial" w:cs="Arial" w:eastAsia="Arial" w:hAnsi="Arial"/>
                <w:sz w:val="14"/>
                <w:szCs w:val="14"/>
                <w:color w:val="auto"/>
              </w:rPr>
              <w:t>Schlumberger stockholders’ equity</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34,751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31,263</w:t>
            </w:r>
          </w:p>
        </w:tc>
        <w:tc>
          <w:tcPr>
            <w:tcW w:w="80" w:type="dxa"/>
            <w:vAlign w:val="bottom"/>
          </w:tcPr>
          <w:p>
            <w:pPr>
              <w:spacing w:after="0"/>
              <w:rPr>
                <w:sz w:val="13"/>
                <w:szCs w:val="13"/>
                <w:color w:val="auto"/>
              </w:rPr>
            </w:pPr>
          </w:p>
        </w:tc>
      </w:tr>
      <w:tr>
        <w:trPr>
          <w:trHeight w:val="149"/>
        </w:trPr>
        <w:tc>
          <w:tcPr>
            <w:tcW w:w="1002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Noncontrolling interests</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r>
      <w:tr>
        <w:trPr>
          <w:trHeight w:val="163"/>
        </w:trPr>
        <w:tc>
          <w:tcPr>
            <w:tcW w:w="10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34,858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31,392</w:t>
            </w:r>
          </w:p>
        </w:tc>
        <w:tc>
          <w:tcPr>
            <w:tcW w:w="80" w:type="dxa"/>
            <w:vAlign w:val="bottom"/>
          </w:tcPr>
          <w:p>
            <w:pPr>
              <w:spacing w:after="0"/>
              <w:rPr>
                <w:sz w:val="14"/>
                <w:szCs w:val="14"/>
                <w:color w:val="auto"/>
              </w:rPr>
            </w:pPr>
          </w:p>
        </w:tc>
      </w:tr>
      <w:tr>
        <w:trPr>
          <w:trHeight w:val="149"/>
        </w:trPr>
        <w:tc>
          <w:tcPr>
            <w:tcW w:w="100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61,547</w:t>
            </w:r>
          </w:p>
        </w:tc>
        <w:tc>
          <w:tcPr>
            <w:tcW w:w="2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55,201</w:t>
            </w:r>
          </w:p>
        </w:tc>
      </w:tr>
      <w:tr>
        <w:trPr>
          <w:trHeight w:val="20"/>
        </w:trPr>
        <w:tc>
          <w:tcPr>
            <w:tcW w:w="10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277" w:right="239" w:bottom="1440" w:gutter="0" w:footer="0" w:header="0"/>
          <w:type w:val="continuous"/>
        </w:sectPr>
      </w:pPr>
    </w:p>
    <w:bookmarkStart w:id="35" w:name="page36"/>
    <w:bookmarkEnd w:id="35"/>
    <w:p>
      <w:pPr>
        <w:ind w:left="42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69"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CONSOLIDATED STATEMENT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7"/>
              </w:rPr>
              <w:t>(Stated in millions)</w:t>
            </w:r>
          </w:p>
        </w:tc>
        <w:tc>
          <w:tcPr>
            <w:tcW w:w="0" w:type="dxa"/>
            <w:vAlign w:val="bottom"/>
          </w:tcPr>
          <w:p>
            <w:pPr>
              <w:spacing w:after="0"/>
              <w:rPr>
                <w:sz w:val="1"/>
                <w:szCs w:val="1"/>
                <w:color w:val="auto"/>
              </w:rPr>
            </w:pPr>
          </w:p>
        </w:tc>
      </w:tr>
      <w:tr>
        <w:trPr>
          <w:trHeight w:val="244"/>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2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Net Income</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$ 5,519</w:t>
            </w:r>
          </w:p>
        </w:tc>
        <w:tc>
          <w:tcPr>
            <w:tcW w:w="2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$ 5,007</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$ 4,265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Income from discontinued operations</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(51)</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(277)</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1"/>
                <w:szCs w:val="11"/>
                <w:color w:val="auto"/>
              </w:rPr>
              <w:t xml:space="preserve">Depreciation and amortization </w:t>
            </w:r>
            <w:r>
              <w:rPr>
                <w:rFonts w:ascii="Arial" w:cs="Arial" w:eastAsia="Arial" w:hAnsi="Arial"/>
                <w:sz w:val="17"/>
                <w:szCs w:val="17"/>
                <w:color w:val="auto"/>
                <w:vertAlign w:val="superscript"/>
              </w:rPr>
              <w:t>(1)</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3,500</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3,274</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Gain on investment in M-I SWACO</w:t>
            </w:r>
          </w:p>
        </w:tc>
        <w:tc>
          <w:tcPr>
            <w:tcW w:w="22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(61)</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Deferred income taxes</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(76)</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Stock-based compensation expense</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335</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272</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Pension and other postretirement benefits expense</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404</w:t>
            </w:r>
          </w:p>
        </w:tc>
        <w:tc>
          <w:tcPr>
            <w:tcW w:w="2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365</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Other non-cash items</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Pension and other postretirement benefits funding</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(673)</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(601)</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1"/>
                <w:szCs w:val="11"/>
                <w:color w:val="auto"/>
              </w:rPr>
              <w:t xml:space="preserve">Change in operating assets and liabilities: </w:t>
            </w:r>
            <w:r>
              <w:rPr>
                <w:rFonts w:ascii="Arial" w:cs="Arial" w:eastAsia="Arial" w:hAnsi="Arial"/>
                <w:sz w:val="17"/>
                <w:szCs w:val="17"/>
                <w:color w:val="auto"/>
                <w:vertAlign w:val="superscript"/>
              </w:rPr>
              <w:t>(2)</w:t>
            </w:r>
          </w:p>
        </w:tc>
        <w:tc>
          <w:tcPr>
            <w:tcW w:w="2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Increase in receivables</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(2,116)</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(1,281)</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Increase in inventories</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(643)</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(864)</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(314)</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(93)</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Increase (decrease) in accounts payable and accrued liabilities</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928</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597</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Increase (decrease) in estimated liability for taxes on income</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127</w:t>
            </w:r>
          </w:p>
        </w:tc>
        <w:tc>
          <w:tcPr>
            <w:tcW w:w="2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(561)</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Increase (decrease) in other liabilities</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40" w:type="dxa"/>
            <w:vAlign w:val="bottom"/>
          </w:tcPr>
          <w:p>
            <w:pPr>
              <w:ind w:left="680"/>
              <w:spacing w:after="0" w:line="149" w:lineRule="exact"/>
              <w:rPr>
                <w:sz w:val="20"/>
                <w:szCs w:val="20"/>
                <w:color w:val="auto"/>
              </w:rPr>
            </w:pPr>
            <w:r>
              <w:rPr>
                <w:rFonts w:ascii="Arial" w:cs="Arial" w:eastAsia="Arial" w:hAnsi="Arial"/>
                <w:sz w:val="14"/>
                <w:szCs w:val="14"/>
                <w:color w:val="auto"/>
              </w:rPr>
              <w:t>Other – net</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(163)</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top w:val="single" w:sz="8" w:color="auto"/>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66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6,814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6,115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40" w:type="dxa"/>
            <w:vAlign w:val="bottom"/>
            <w:gridSpan w:val="3"/>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Capital expenditures</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(4,695)</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(4,008)</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Multiclient seismic data capitalized</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(351)</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(289)</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Cash acquired in acquisition of Smith International, Inc.</w:t>
            </w:r>
          </w:p>
        </w:tc>
        <w:tc>
          <w:tcPr>
            <w:tcW w:w="2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Acquisition of Geoservices, net of cash acquired</w:t>
            </w:r>
          </w:p>
        </w:tc>
        <w:tc>
          <w:tcPr>
            <w:tcW w:w="224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Other business acquisitions and investments, net of cash acquired</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(845)</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(186)</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(Purchase) sale of investments, net</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(1,228)</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351</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Other</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(55)</w:t>
            </w: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40" w:type="dxa"/>
            <w:vAlign w:val="bottom"/>
            <w:gridSpan w:val="3"/>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28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(7,174)</w:t>
            </w:r>
          </w:p>
        </w:tc>
        <w:tc>
          <w:tcPr>
            <w:tcW w:w="82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(3,902)</w:t>
            </w:r>
          </w:p>
        </w:tc>
        <w:tc>
          <w:tcPr>
            <w:tcW w:w="6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Dividends paid</w:t>
            </w:r>
          </w:p>
        </w:tc>
        <w:tc>
          <w:tcPr>
            <w:tcW w:w="2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(1,432)</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(1,300)</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247</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Proceeds from exercise of stock options</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2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230</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repurchase program</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(972)</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(2,998)</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Proceeds from issuance of long-term debt</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2,832</w:t>
            </w:r>
          </w:p>
        </w:tc>
        <w:tc>
          <w:tcPr>
            <w:tcW w:w="2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6,884</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Repayment of long-term debt</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(1,817)</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(4,992)</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40" w:type="dxa"/>
            <w:vAlign w:val="bottom"/>
          </w:tcPr>
          <w:p>
            <w:pPr>
              <w:ind w:left="240"/>
              <w:spacing w:after="0" w:line="149" w:lineRule="exact"/>
              <w:rPr>
                <w:sz w:val="20"/>
                <w:szCs w:val="20"/>
                <w:color w:val="auto"/>
              </w:rPr>
            </w:pPr>
            <w:r>
              <w:rPr>
                <w:rFonts w:ascii="Arial" w:cs="Arial" w:eastAsia="Arial" w:hAnsi="Arial"/>
                <w:sz w:val="14"/>
                <w:szCs w:val="14"/>
                <w:color w:val="auto"/>
              </w:rPr>
              <w:t>Net increase (decrease) in short-term borrowings</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621</w:t>
            </w:r>
          </w:p>
        </w:tc>
        <w:tc>
          <w:tcPr>
            <w:tcW w:w="2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(119)</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Other</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(613)</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gridSpan w:val="3"/>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28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(339)</w:t>
            </w:r>
          </w:p>
        </w:tc>
        <w:tc>
          <w:tcPr>
            <w:tcW w:w="82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(2,700)</w:t>
            </w:r>
          </w:p>
        </w:tc>
        <w:tc>
          <w:tcPr>
            <w:tcW w:w="68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 from discontinued operations – operating activities</w:t>
            </w:r>
          </w:p>
        </w:tc>
        <w:tc>
          <w:tcPr>
            <w:tcW w:w="2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(126)</w:t>
            </w: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tcPr>
          <w:p>
            <w:pPr>
              <w:spacing w:after="0" w:line="149" w:lineRule="exact"/>
              <w:rPr>
                <w:sz w:val="20"/>
                <w:szCs w:val="20"/>
                <w:color w:val="auto"/>
              </w:rPr>
            </w:pPr>
            <w:r>
              <w:rPr>
                <w:rFonts w:ascii="Arial" w:cs="Arial" w:eastAsia="Arial" w:hAnsi="Arial"/>
                <w:sz w:val="14"/>
                <w:szCs w:val="14"/>
                <w:color w:val="auto"/>
              </w:rPr>
              <w:t>Cash flow from discontinued operations – investing activities</w:t>
            </w:r>
          </w:p>
        </w:tc>
        <w:tc>
          <w:tcPr>
            <w:tcW w:w="2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 from discontinued operations</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gridSpan w:val="3"/>
          </w:tcPr>
          <w:p>
            <w:pPr>
              <w:spacing w:after="0" w:line="155" w:lineRule="exact"/>
              <w:rPr>
                <w:sz w:val="20"/>
                <w:szCs w:val="20"/>
                <w:color w:val="auto"/>
              </w:rPr>
            </w:pPr>
            <w:r>
              <w:rPr>
                <w:rFonts w:ascii="Arial" w:cs="Arial" w:eastAsia="Arial" w:hAnsi="Arial"/>
                <w:sz w:val="14"/>
                <w:szCs w:val="14"/>
                <w:color w:val="auto"/>
              </w:rPr>
              <w:t>Net increase (decrease) in cash before translation effect</w:t>
            </w:r>
          </w:p>
        </w:tc>
        <w:tc>
          <w:tcPr>
            <w:tcW w:w="2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187</w:t>
            </w:r>
          </w:p>
        </w:tc>
        <w:tc>
          <w:tcPr>
            <w:tcW w:w="220" w:type="dxa"/>
            <w:vAlign w:val="bottom"/>
          </w:tcPr>
          <w:p>
            <w:pPr>
              <w:spacing w:after="0"/>
              <w:rPr>
                <w:sz w:val="13"/>
                <w:szCs w:val="13"/>
                <w:color w:val="auto"/>
              </w:rPr>
            </w:pPr>
          </w:p>
        </w:tc>
        <w:tc>
          <w:tcPr>
            <w:tcW w:w="82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(56)</w:t>
            </w:r>
          </w:p>
        </w:tc>
        <w:tc>
          <w:tcPr>
            <w:tcW w:w="68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effect on cash</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beginning of year</w:t>
            </w:r>
          </w:p>
        </w:tc>
        <w:tc>
          <w:tcPr>
            <w:tcW w:w="26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1,705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$ 1,905</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$ 1,705</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$ 1,764</w:t>
            </w:r>
          </w:p>
        </w:tc>
        <w:tc>
          <w:tcPr>
            <w:tcW w:w="0" w:type="dxa"/>
            <w:vAlign w:val="bottom"/>
          </w:tcPr>
          <w:p>
            <w:pPr>
              <w:spacing w:after="0"/>
              <w:rPr>
                <w:sz w:val="1"/>
                <w:szCs w:val="1"/>
                <w:color w:val="auto"/>
              </w:rPr>
            </w:pPr>
          </w:p>
        </w:tc>
      </w:tr>
      <w:tr>
        <w:trPr>
          <w:trHeight w:val="226"/>
        </w:trPr>
        <w:tc>
          <w:tcPr>
            <w:tcW w:w="200" w:type="dxa"/>
            <w:vAlign w:val="bottom"/>
            <w:gridSpan w:val="2"/>
          </w:tcPr>
          <w:p>
            <w:pPr>
              <w:spacing w:after="0"/>
              <w:rPr>
                <w:sz w:val="20"/>
                <w:szCs w:val="20"/>
                <w:color w:val="auto"/>
              </w:rPr>
            </w:pPr>
            <w:r>
              <w:rPr>
                <w:rFonts w:ascii="Arial" w:cs="Arial" w:eastAsia="Arial" w:hAnsi="Arial"/>
                <w:sz w:val="14"/>
                <w:szCs w:val="14"/>
                <w:color w:val="auto"/>
              </w:rPr>
              <w:t>(1)</w:t>
            </w:r>
          </w:p>
        </w:tc>
        <w:tc>
          <w:tcPr>
            <w:tcW w:w="6840" w:type="dxa"/>
            <w:vAlign w:val="bottom"/>
          </w:tcPr>
          <w:p>
            <w:pPr>
              <w:ind w:left="40"/>
              <w:spacing w:after="0"/>
              <w:rPr>
                <w:sz w:val="20"/>
                <w:szCs w:val="20"/>
                <w:color w:val="auto"/>
              </w:rPr>
            </w:pPr>
            <w:r>
              <w:rPr>
                <w:rFonts w:ascii="Arial" w:cs="Arial" w:eastAsia="Arial" w:hAnsi="Arial"/>
                <w:sz w:val="14"/>
                <w:szCs w:val="14"/>
                <w:color w:val="auto"/>
              </w:rPr>
              <w:t>Includes multiclient seismic data costs.</w:t>
            </w:r>
          </w:p>
        </w:tc>
        <w:tc>
          <w:tcPr>
            <w:tcW w:w="2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0" w:type="dxa"/>
            <w:vAlign w:val="bottom"/>
            <w:gridSpan w:val="2"/>
          </w:tcPr>
          <w:p>
            <w:pPr>
              <w:spacing w:after="0"/>
              <w:rPr>
                <w:sz w:val="20"/>
                <w:szCs w:val="20"/>
                <w:color w:val="auto"/>
              </w:rPr>
            </w:pPr>
            <w:r>
              <w:rPr>
                <w:rFonts w:ascii="Arial" w:cs="Arial" w:eastAsia="Arial" w:hAnsi="Arial"/>
                <w:sz w:val="14"/>
                <w:szCs w:val="14"/>
                <w:color w:val="auto"/>
              </w:rPr>
              <w:t>(2)</w:t>
            </w:r>
          </w:p>
        </w:tc>
        <w:tc>
          <w:tcPr>
            <w:tcW w:w="6840" w:type="dxa"/>
            <w:vAlign w:val="bottom"/>
          </w:tcPr>
          <w:p>
            <w:pPr>
              <w:ind w:left="40"/>
              <w:spacing w:after="0"/>
              <w:rPr>
                <w:sz w:val="20"/>
                <w:szCs w:val="20"/>
                <w:color w:val="auto"/>
              </w:rPr>
            </w:pPr>
            <w:r>
              <w:rPr>
                <w:rFonts w:ascii="Arial" w:cs="Arial" w:eastAsia="Arial" w:hAnsi="Arial"/>
                <w:sz w:val="14"/>
                <w:szCs w:val="14"/>
                <w:color w:val="auto"/>
              </w:rPr>
              <w:t>Net of the effect of business acquisitions.</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2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 OF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5"/>
                <w:szCs w:val="15"/>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jc w:val="right"/>
              <w:ind w:right="460"/>
              <w:spacing w:after="0" w:line="12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In</w:t>
            </w:r>
          </w:p>
        </w:tc>
        <w:tc>
          <w:tcPr>
            <w:tcW w:w="2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1"/>
              </w:rPr>
              <w:t>Issued</w:t>
            </w:r>
          </w:p>
        </w:tc>
        <w:tc>
          <w:tcPr>
            <w:tcW w:w="38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Treasury</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January 1, 2010</w:t>
            </w:r>
          </w:p>
        </w:tc>
        <w:tc>
          <w:tcPr>
            <w:tcW w:w="10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4,777</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(5,002)</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22,019</w:t>
            </w: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(2,674)</w:t>
            </w:r>
          </w:p>
        </w:tc>
        <w:tc>
          <w:tcPr>
            <w:tcW w:w="4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$19,229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4,267</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Currency translation adjustments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Changes in fair value of derivatives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Pension and other postretirement benefit plans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Vesting of restricted stock</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repurchase program</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(1,717)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 cost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Smith International, Inc.</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6,880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2,948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 ($0.84 per share)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(1,076)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11,920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(3,136)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3"/>
              </w:rPr>
              <w:t>25,210</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(2,768)</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218</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4,997</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Currency translation adjustments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Changes in fair value of derivatives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(71)</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Pension and other postretirement benefit plans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(636)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Vesting of restricted stock</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repurchase program</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(2,998)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 cost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noncontrolling interests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Dividends declared ($1.00 per share)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(1,347)</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2011</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11,639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(5,679)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3"/>
              </w:rPr>
              <w:t>28,860</w:t>
            </w:r>
          </w:p>
        </w:tc>
        <w:tc>
          <w:tcPr>
            <w:tcW w:w="100" w:type="dxa"/>
            <w:vAlign w:val="bottom"/>
          </w:tcPr>
          <w:p>
            <w:pPr>
              <w:spacing w:after="0"/>
              <w:rPr>
                <w:sz w:val="13"/>
                <w:szCs w:val="13"/>
                <w:color w:val="auto"/>
              </w:rPr>
            </w:pPr>
          </w:p>
        </w:tc>
        <w:tc>
          <w:tcPr>
            <w:tcW w:w="12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(3,557)</w:t>
            </w:r>
          </w:p>
        </w:tc>
        <w:tc>
          <w:tcPr>
            <w:tcW w:w="220" w:type="dxa"/>
            <w:vAlign w:val="bottom"/>
          </w:tcPr>
          <w:p>
            <w:pPr>
              <w:spacing w:after="0"/>
              <w:rPr>
                <w:sz w:val="13"/>
                <w:szCs w:val="13"/>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129</w:t>
            </w:r>
          </w:p>
        </w:tc>
        <w:tc>
          <w:tcPr>
            <w:tcW w:w="7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31,392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5,490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Currency translation adjustments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unrealized gain on marketable securities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Changes in fair value of derivatives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Pension and other postretirement benefit plans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(604)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Vesting of restricted stock</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repurchase program</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 cost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 of CE Franklin</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noncontrolling interests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 ($1.10 per share)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(1,463)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2012</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11,912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(6,160)</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3"/>
              </w:rPr>
              <w:t>32,887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(3,888)</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34,858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27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LIMITED AND SUBSIDIARIES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SHARES OF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(Stated in millions)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Issued</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In Treasury</w:t>
            </w:r>
          </w:p>
        </w:tc>
        <w:tc>
          <w:tcPr>
            <w:tcW w:w="4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January 1, 2010</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1,334</w:t>
            </w:r>
          </w:p>
        </w:tc>
        <w:tc>
          <w:tcPr>
            <w:tcW w:w="580" w:type="dxa"/>
            <w:vAlign w:val="bottom"/>
            <w:tcBorders>
              <w:top w:val="single" w:sz="8" w:color="CCEEFF"/>
              <w:left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Smith International, Inc.</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5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4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repurchase program</w:t>
            </w:r>
          </w:p>
        </w:tc>
        <w:tc>
          <w:tcPr>
            <w:tcW w:w="9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12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Issued on conversions of debentures</w:t>
            </w: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w:t>
            </w:r>
          </w:p>
        </w:tc>
        <w:tc>
          <w:tcPr>
            <w:tcW w:w="580" w:type="dxa"/>
            <w:vAlign w:val="bottom"/>
            <w:tcBorders>
              <w:lef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2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Vesting of restricted stock</w:t>
            </w:r>
          </w:p>
        </w:tc>
        <w:tc>
          <w:tcPr>
            <w:tcW w:w="9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repurchase program</w:t>
            </w:r>
          </w:p>
        </w:tc>
        <w:tc>
          <w:tcPr>
            <w:tcW w:w="9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12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2011</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1,434</w:t>
            </w:r>
          </w:p>
        </w:tc>
        <w:tc>
          <w:tcPr>
            <w:tcW w:w="58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w:t>
            </w:r>
          </w:p>
        </w:tc>
        <w:tc>
          <w:tcPr>
            <w:tcW w:w="12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420"/>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repurchase program</w:t>
            </w:r>
          </w:p>
        </w:tc>
        <w:tc>
          <w:tcPr>
            <w:tcW w:w="9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2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2012</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1,434</w:t>
            </w:r>
          </w:p>
        </w:tc>
        <w:tc>
          <w:tcPr>
            <w:tcW w:w="58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(106)</w:t>
            </w:r>
          </w:p>
        </w:tc>
        <w:tc>
          <w:tcPr>
            <w:tcW w:w="12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27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Consolidated Financial Statements</w:t>
      </w:r>
    </w:p>
    <w:p>
      <w:pPr>
        <w:spacing w:after="0" w:line="90"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96"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Schlumberger Limited (Schlumberger N.V., incorporated in Curaçao) and its consolidated subsidiaries (collectively, “Schlumberger”) form the world’s leading supplier of technology, integrated project management and information solutions to customers in the international oil and gas exploration and production industry.</w:t>
      </w:r>
    </w:p>
    <w:p>
      <w:pPr>
        <w:spacing w:after="0" w:line="79"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96"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have been prepared in accordance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 the accounts of Schlumberger, its wholly-owned subsidiaries, and other subsidiaries over which it exercises a controlling financial interest. All significant intercompany transactions and balances have been eliminated.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prior year items have been reclassified to conform to the current year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recoverability of goodwill, intangible assets and investments in affiliates; income taxes; multiclient seismic data; contingencies and actuarial assumptions for employee benefit plans. Schlumberger bases its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228"/>
        <w:spacing w:after="0" w:line="253" w:lineRule="auto"/>
        <w:rPr>
          <w:sz w:val="20"/>
          <w:szCs w:val="20"/>
          <w:color w:val="auto"/>
        </w:rPr>
      </w:pPr>
      <w:r>
        <w:rPr>
          <w:rFonts w:ascii="Arial" w:cs="Arial" w:eastAsia="Arial" w:hAnsi="Arial"/>
          <w:sz w:val="18"/>
          <w:szCs w:val="18"/>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when the customer assumes the risks and rewards of ownership.</w:t>
      </w:r>
    </w:p>
    <w:p>
      <w:pPr>
        <w:ind w:right="140" w:firstLine="228"/>
        <w:spacing w:after="0" w:line="250" w:lineRule="auto"/>
        <w:rPr>
          <w:sz w:val="20"/>
          <w:szCs w:val="20"/>
          <w:color w:val="auto"/>
        </w:rPr>
      </w:pPr>
      <w:r>
        <w:rPr>
          <w:rFonts w:ascii="Arial" w:cs="Arial" w:eastAsia="Arial" w:hAnsi="Arial"/>
          <w:sz w:val="18"/>
          <w:szCs w:val="18"/>
          <w:color w:val="auto"/>
        </w:rPr>
        <w:t>Revenue from seismic contract services performed on a dayrate basis is recognized as the service is performed. Revenue from other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from sales of completed multiclient data surveys is recognized upon obtaining a signed licensing agreement and providing customers with access to such data.</w:t>
      </w:r>
    </w:p>
    <w:p>
      <w:pPr>
        <w:spacing w:after="0" w:line="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Revenue is occasionally generated from contractual arrangements that include multiple deliverables. Revenue from these arrangements is recognized as each item is delivered based on their relative fair value and when the delivered items have stand-alone value to the customer.</w:t>
      </w:r>
    </w:p>
    <w:p>
      <w:pPr>
        <w:spacing w:after="0" w:line="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00"/>
          </w:cols>
          <w:pgMar w:left="240" w:top="274"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Translation of Non-United States Currencies</w:t>
      </w:r>
    </w:p>
    <w:p>
      <w:pPr>
        <w:spacing w:after="0" w:line="9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 xml:space="preserve">The functional currency of Schlumberger is primarily the US dollar. Assets and liabilities recorded in functional currencies other than US dollars are translated at period end exchange rates. The resulting adjustments are charged or credited directly to the </w:t>
      </w:r>
      <w:r>
        <w:rPr>
          <w:rFonts w:ascii="Arial" w:cs="Arial" w:eastAsia="Arial" w:hAnsi="Arial"/>
          <w:sz w:val="18"/>
          <w:szCs w:val="18"/>
          <w:i w:val="1"/>
          <w:iCs w:val="1"/>
          <w:color w:val="auto"/>
        </w:rPr>
        <w:t>Equity section of the Consolidated Balance Sheet</w:t>
      </w:r>
      <w:r>
        <w:rPr>
          <w:rFonts w:ascii="Arial" w:cs="Arial" w:eastAsia="Arial" w:hAnsi="Arial"/>
          <w:sz w:val="18"/>
          <w:szCs w:val="18"/>
          <w:color w:val="auto"/>
        </w:rPr>
        <w:t>. Revenue and expenses are translated at the weighted-average exchange rates for the period. Realized and unrealized transaction gains and losses are included in income in the period in which they occur. Transaction losses of $37 million, $25 million and $27 million, net of hedging activities, were recognized in 2012, 2011 and 2010,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Fixed Income Investments</w:t>
      </w:r>
    </w:p>
    <w:p>
      <w:pPr>
        <w:spacing w:after="0" w:line="90" w:lineRule="exact"/>
        <w:rPr>
          <w:sz w:val="20"/>
          <w:szCs w:val="20"/>
          <w:color w:val="auto"/>
        </w:rPr>
      </w:pPr>
    </w:p>
    <w:p>
      <w:pPr>
        <w:ind w:right="40" w:firstLine="228"/>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reflects the Schlumberger investment portfolio separated between current and long term, based on maturity. Both </w:t>
      </w:r>
      <w:r>
        <w:rPr>
          <w:rFonts w:ascii="Arial" w:cs="Arial" w:eastAsia="Arial" w:hAnsi="Arial"/>
          <w:sz w:val="16"/>
          <w:szCs w:val="16"/>
          <w:i w:val="1"/>
          <w:iCs w:val="1"/>
          <w:color w:val="auto"/>
        </w:rPr>
        <w:t>Short-term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 held to maturity </w:t>
      </w:r>
      <w:r>
        <w:rPr>
          <w:rFonts w:ascii="Arial" w:cs="Arial" w:eastAsia="Arial" w:hAnsi="Arial"/>
          <w:sz w:val="16"/>
          <w:szCs w:val="16"/>
          <w:color w:val="auto"/>
        </w:rPr>
        <w:t>are comprised primarily of money market funds, eurodollar time deposits, certificates of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euro notes and Eurobonds, and are substantially denominated in US dollars. Under normal circumstances it is the intent of Schlumberger to hold the investments until maturity, with the exception of investments that are considered trading (December 31, 2012 – $194 million; December 31, 2011 – $190 million). Short-term investments that are designated as trading are stated at fair value, which is estimated using quoted market prices for those or similar investments. All other investments are stated at cost plus accrued interest, which approximates market. The unrealized gains/losses on investments designated as trading were not significant at both December 31, 2012 and 2011.</w:t>
      </w:r>
    </w:p>
    <w:p>
      <w:pPr>
        <w:ind w:left="240"/>
        <w:spacing w:after="0"/>
        <w:rPr>
          <w:sz w:val="20"/>
          <w:szCs w:val="20"/>
          <w:color w:val="auto"/>
        </w:rPr>
      </w:pPr>
      <w:r>
        <w:rPr>
          <w:rFonts w:ascii="Arial" w:cs="Arial" w:eastAsia="Arial" w:hAnsi="Arial"/>
          <w:sz w:val="16"/>
          <w:szCs w:val="16"/>
          <w:color w:val="auto"/>
        </w:rPr>
        <w:t xml:space="preserve">For purposes of the </w:t>
      </w:r>
      <w:r>
        <w:rPr>
          <w:rFonts w:ascii="Arial" w:cs="Arial" w:eastAsia="Arial" w:hAnsi="Arial"/>
          <w:sz w:val="16"/>
          <w:szCs w:val="16"/>
          <w:i w:val="1"/>
          <w:iCs w:val="1"/>
          <w:color w:val="auto"/>
        </w:rPr>
        <w:t>Consolidated Statement of Cash Flows</w:t>
      </w:r>
      <w:r>
        <w:rPr>
          <w:rFonts w:ascii="Arial" w:cs="Arial" w:eastAsia="Arial" w:hAnsi="Arial"/>
          <w:sz w:val="16"/>
          <w:szCs w:val="16"/>
          <w:color w:val="auto"/>
        </w:rPr>
        <w:t xml:space="preserve">, Schlumberger does not consider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to be cash equivalents.</w:t>
      </w:r>
    </w:p>
    <w:p>
      <w:pPr>
        <w:spacing w:after="0" w:line="32"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i w:val="1"/>
          <w:iCs w:val="1"/>
          <w:color w:val="auto"/>
        </w:rPr>
        <w:t xml:space="preserve">Fixed Income Investments, held to maturity </w:t>
      </w:r>
      <w:r>
        <w:rPr>
          <w:rFonts w:ascii="Arial" w:cs="Arial" w:eastAsia="Arial" w:hAnsi="Arial"/>
          <w:sz w:val="18"/>
          <w:szCs w:val="18"/>
          <w:color w:val="auto"/>
        </w:rPr>
        <w:t>at December 31, 2012 of $245 million mature as follows: $172 million in 2014, $51 million in 2015 and $5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and $17 million in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are stated at average cost or at market, whichever is lower. Costs included in</w:t>
      </w:r>
      <w:r>
        <w:rPr>
          <w:rFonts w:ascii="Arial" w:cs="Arial" w:eastAsia="Arial" w:hAnsi="Arial"/>
          <w:sz w:val="18"/>
          <w:szCs w:val="18"/>
          <w:i w:val="1"/>
          <w:iCs w:val="1"/>
          <w:color w:val="auto"/>
        </w:rPr>
        <w:t xml:space="preserve"> Inventories </w:t>
      </w:r>
      <w:r>
        <w:rPr>
          <w:rFonts w:ascii="Arial" w:cs="Arial" w:eastAsia="Arial" w:hAnsi="Arial"/>
          <w:sz w:val="18"/>
          <w:szCs w:val="18"/>
          <w:color w:val="auto"/>
        </w:rPr>
        <w:t>consist of materials, direct labor and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Affiliated Companies</w:t>
      </w:r>
    </w:p>
    <w:p>
      <w:pPr>
        <w:spacing w:after="0" w:line="90" w:lineRule="exact"/>
        <w:rPr>
          <w:sz w:val="20"/>
          <w:szCs w:val="20"/>
          <w:color w:val="auto"/>
        </w:rPr>
      </w:pPr>
    </w:p>
    <w:p>
      <w:pPr>
        <w:ind w:right="140" w:firstLine="228"/>
        <w:spacing w:after="0" w:line="283" w:lineRule="auto"/>
        <w:rPr>
          <w:sz w:val="20"/>
          <w:szCs w:val="20"/>
          <w:color w:val="auto"/>
        </w:rPr>
      </w:pPr>
      <w:r>
        <w:rPr>
          <w:rFonts w:ascii="Arial" w:cs="Arial" w:eastAsia="Arial" w:hAnsi="Arial"/>
          <w:sz w:val="16"/>
          <w:szCs w:val="16"/>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Investments in privately held companies in which Schlumberger does not have the ability to exercise significant influence are accounted for using the cost method. Investments in publicly traded companies in which Schlumberger does not have significant influence are accounted for as available-for-sale marketable securities. These marketable securities are reported at fair value, based on quoted market prices, with unrealized gains and losses reported as a component of </w:t>
      </w:r>
      <w:r>
        <w:rPr>
          <w:rFonts w:ascii="Arial" w:cs="Arial" w:eastAsia="Arial" w:hAnsi="Arial"/>
          <w:sz w:val="16"/>
          <w:szCs w:val="16"/>
          <w:i w:val="1"/>
          <w:iCs w:val="1"/>
          <w:color w:val="auto"/>
        </w:rPr>
        <w:t>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loss</w:t>
      </w:r>
      <w:r>
        <w:rPr>
          <w:rFonts w:ascii="Arial" w:cs="Arial" w:eastAsia="Arial" w:hAnsi="Arial"/>
          <w:sz w:val="16"/>
          <w:szCs w:val="16"/>
          <w:color w:val="auto"/>
        </w:rPr>
        <w:t>. The fair value and cost basis of these marketable securities was $222 million and $81 million, respectively at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2012. Schlumberger did not have any investments in marketable securities at December 31, 2011.</w:t>
      </w:r>
    </w:p>
    <w:p>
      <w:pPr>
        <w:ind w:right="780" w:firstLine="228"/>
        <w:spacing w:after="0" w:line="261" w:lineRule="auto"/>
        <w:rPr>
          <w:sz w:val="20"/>
          <w:szCs w:val="20"/>
          <w:color w:val="auto"/>
        </w:rPr>
      </w:pPr>
      <w:r>
        <w:rPr>
          <w:rFonts w:ascii="Arial" w:cs="Arial" w:eastAsia="Arial" w:hAnsi="Arial"/>
          <w:sz w:val="18"/>
          <w:szCs w:val="18"/>
          <w:color w:val="auto"/>
        </w:rPr>
        <w:t xml:space="preserve">Equity and cost method investments as well as investments in publicly traded companies are classified as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90"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balance sheet and the net amount, less proceeds from disposal, is charged or credited to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90"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multiclient library consists of completed and in-process seismic surveys that are licensed on a nonexclusive basis. Multiclient surveys are primarily generated utilizing Schlumberger resources. Schlumberger capitalizes costs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jc w:val="both"/>
        <w:ind w:right="1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directly incurred in acquiring and processing the multiclient seismic data. Such costs are charged to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ind w:right="100" w:firstLine="228"/>
        <w:spacing w:after="0" w:line="254"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9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The goodwill relating to each of Schlumberger’s reporting units is tested for impairment annually as well as when an event, or change in circumstances, indicates an impairment may have occurred.</w:t>
      </w:r>
    </w:p>
    <w:p>
      <w:pPr>
        <w:ind w:right="100" w:firstLine="228"/>
        <w:spacing w:after="0" w:line="281" w:lineRule="auto"/>
        <w:rPr>
          <w:sz w:val="20"/>
          <w:szCs w:val="20"/>
          <w:color w:val="auto"/>
        </w:rPr>
      </w:pPr>
      <w:r>
        <w:rPr>
          <w:rFonts w:ascii="Arial" w:cs="Arial" w:eastAsia="Arial" w:hAnsi="Arial"/>
          <w:sz w:val="16"/>
          <w:szCs w:val="16"/>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5"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Schlumberger has the option to bypass the qualitative assessment for any reporting unit in any period and proceed directly to performing the first step of the two-step goodwill impairment test.</w:t>
      </w:r>
    </w:p>
    <w:p>
      <w:pPr>
        <w:spacing w:after="0" w:line="1"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color w:val="auto"/>
        </w:rPr>
        <w:t>For purposes of performing the impairment test for goodwill, Schlumberger’s reporting units are its three Groups: Reservoir Characterization, Drilling and Production. Schlumberger elected to perform the qualitative assessment described above for purposes of its annual goodwill impairment test. Based on this assessment, Schlumberger concluded that it was more likely than not that the fair value of each of its reporting units was greater than its carrying amount. Accordingly, no further testing was required.</w:t>
      </w:r>
    </w:p>
    <w:p>
      <w:pPr>
        <w:spacing w:after="0" w:line="2"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4" w:lineRule="exact"/>
        <w:rPr>
          <w:sz w:val="20"/>
          <w:szCs w:val="20"/>
          <w:color w:val="auto"/>
        </w:rPr>
      </w:pPr>
    </w:p>
    <w:p>
      <w:pPr>
        <w:jc w:val="both"/>
        <w:ind w:right="260" w:firstLine="228"/>
        <w:spacing w:after="0" w:line="302" w:lineRule="auto"/>
        <w:rPr>
          <w:sz w:val="20"/>
          <w:szCs w:val="20"/>
          <w:color w:val="auto"/>
        </w:rPr>
      </w:pPr>
      <w:r>
        <w:rPr>
          <w:rFonts w:ascii="Arial" w:cs="Arial" w:eastAsia="Arial" w:hAnsi="Arial"/>
          <w:sz w:val="16"/>
          <w:szCs w:val="16"/>
          <w:color w:val="auto"/>
        </w:rPr>
        <w:t>Intangible assets consist primarily of customer relationships, technology/technical know-how and tradenames acquired in business combinations. Customer relationships are generally amortized over periods ranging from 15 to 28 years, acquired technology/technical know-how are generally amortized over periods ranging from 10 to 18 years and tradenames are generally amortized over periods ranging from 15 to 30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90"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Schlumberger computes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ind w:right="20" w:firstLine="22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Schlumberger’s tax filings are subject to regular audit by the tax authorities in most of the jurisdictions in which it conducts business. These audits may result in assessments for additional taxes which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ind w:right="360" w:firstLine="228"/>
        <w:spacing w:after="0" w:line="261" w:lineRule="auto"/>
        <w:rPr>
          <w:sz w:val="20"/>
          <w:szCs w:val="20"/>
          <w:color w:val="auto"/>
        </w:rPr>
      </w:pPr>
      <w:r>
        <w:rPr>
          <w:rFonts w:ascii="Arial" w:cs="Arial" w:eastAsia="Arial" w:hAnsi="Arial"/>
          <w:sz w:val="18"/>
          <w:szCs w:val="18"/>
          <w:color w:val="auto"/>
        </w:rPr>
        <w:t>Schlumberger generally does not provide income taxes relating to undistributed earnings, as the earnings either would not be taxable when remitted or are considered to be indefinitely reinvested.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commodity prices,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research and engineering expenditures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40" w:firstLine="228"/>
        <w:spacing w:after="0" w:line="318" w:lineRule="auto"/>
        <w:rPr>
          <w:sz w:val="20"/>
          <w:szCs w:val="20"/>
          <w:color w:val="auto"/>
        </w:rPr>
      </w:pPr>
      <w:r>
        <w:rPr>
          <w:rFonts w:ascii="Arial" w:cs="Arial" w:eastAsia="Arial" w:hAnsi="Arial"/>
          <w:sz w:val="15"/>
          <w:szCs w:val="15"/>
          <w:color w:val="auto"/>
        </w:rPr>
        <w:t>Basic earnings per share of Schlumberger from continuing operations is calculated by dividing income from continuing operations attributable to Schlumberger by the weighted average number of common shares outstanding during the year. Diluted earnings per share is calculated by dividing income from continuing operations attributable to Schlumberger by the sum of (i) unvested restricted stock units and (ii) the weighted average number of common shares outstanding assuming dilution. The weighted average number of common shares outstanding assuming dilution assumes that all stock options which are in the money are exercised at the beginning of the period and that the proceeds are used by Schlumberger to purchase shares at the average market price for the period.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left="2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reconciliation from basic to diluted earnings per share from continuing operations of Schlumberger for each of the last three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(Stated in million except per share amounts)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84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8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Continuing</w:t>
            </w:r>
          </w:p>
        </w:tc>
        <w:tc>
          <w:tcPr>
            <w:tcW w:w="8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from 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w w:val="86"/>
              </w:rPr>
              <w:t>Operations</w:t>
            </w:r>
          </w:p>
        </w:tc>
        <w:tc>
          <w:tcPr>
            <w:tcW w:w="8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b w:val="1"/>
                <w:bCs w:val="1"/>
                <w:color w:val="auto"/>
              </w:rPr>
              <w:t>Basic</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5,439</w:t>
            </w:r>
          </w:p>
        </w:tc>
        <w:tc>
          <w:tcPr>
            <w:tcW w:w="19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1,330</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Assumed exercise of stock options</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98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5</w:t>
            </w: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b w:val="1"/>
                <w:bCs w:val="1"/>
                <w:color w:val="auto"/>
              </w:rPr>
              <w:t>Unvested restricted stock</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5,439</w:t>
            </w:r>
          </w:p>
        </w:tc>
        <w:tc>
          <w:tcPr>
            <w:tcW w:w="8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1,339</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gridSpan w:val="2"/>
          </w:tcPr>
          <w:p>
            <w:pPr>
              <w:spacing w:after="0"/>
              <w:rPr>
                <w:sz w:val="20"/>
                <w:szCs w:val="20"/>
                <w:color w:val="auto"/>
              </w:rPr>
            </w:pPr>
            <w:r>
              <w:rPr>
                <w:rFonts w:ascii="Arial" w:cs="Arial" w:eastAsia="Arial" w:hAnsi="Arial"/>
                <w:sz w:val="14"/>
                <w:szCs w:val="14"/>
                <w:color w:val="auto"/>
              </w:rPr>
              <w:t>2011:</w:t>
            </w: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4,720</w:t>
            </w:r>
          </w:p>
        </w:tc>
        <w:tc>
          <w:tcPr>
            <w:tcW w:w="19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1,349</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gridSpan w:val="2"/>
          </w:tcPr>
          <w:p>
            <w:pPr>
              <w:spacing w:after="0"/>
              <w:rPr>
                <w:sz w:val="20"/>
                <w:szCs w:val="20"/>
                <w:color w:val="auto"/>
              </w:rPr>
            </w:pPr>
            <w:r>
              <w:rPr>
                <w:rFonts w:ascii="Arial" w:cs="Arial" w:eastAsia="Arial" w:hAnsi="Arial"/>
                <w:sz w:val="14"/>
                <w:szCs w:val="14"/>
                <w:color w:val="auto"/>
              </w:rPr>
              <w:t>Assumed exercise of stock options</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980" w:type="dxa"/>
            <w:vAlign w:val="bottom"/>
            <w:gridSpan w:val="3"/>
          </w:tcPr>
          <w:p>
            <w:pPr>
              <w:jc w:val="right"/>
              <w:ind w:right="420"/>
              <w:spacing w:after="0"/>
              <w:rPr>
                <w:sz w:val="20"/>
                <w:szCs w:val="20"/>
                <w:color w:val="auto"/>
              </w:rPr>
            </w:pPr>
            <w:r>
              <w:rPr>
                <w:rFonts w:ascii="Arial" w:cs="Arial" w:eastAsia="Arial" w:hAnsi="Arial"/>
                <w:sz w:val="14"/>
                <w:szCs w:val="14"/>
                <w:color w:val="auto"/>
              </w:rPr>
              <w:t>10</w:t>
            </w: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60" w:type="dxa"/>
            <w:vAlign w:val="bottom"/>
            <w:gridSpan w:val="2"/>
          </w:tcPr>
          <w:p>
            <w:pPr>
              <w:spacing w:after="0" w:line="155"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4,720</w:t>
            </w:r>
          </w:p>
        </w:tc>
        <w:tc>
          <w:tcPr>
            <w:tcW w:w="1980" w:type="dxa"/>
            <w:vAlign w:val="bottom"/>
            <w:gridSpan w:val="3"/>
          </w:tcPr>
          <w:p>
            <w:pPr>
              <w:jc w:val="right"/>
              <w:ind w:right="420"/>
              <w:spacing w:after="0" w:line="155" w:lineRule="exact"/>
              <w:rPr>
                <w:sz w:val="20"/>
                <w:szCs w:val="20"/>
                <w:color w:val="auto"/>
              </w:rPr>
            </w:pPr>
            <w:r>
              <w:rPr>
                <w:rFonts w:ascii="Arial" w:cs="Arial" w:eastAsia="Arial" w:hAnsi="Arial"/>
                <w:sz w:val="14"/>
                <w:szCs w:val="14"/>
                <w:color w:val="auto"/>
              </w:rPr>
              <w:t>1,361</w:t>
            </w:r>
          </w:p>
        </w:tc>
        <w:tc>
          <w:tcPr>
            <w:tcW w:w="5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2010:</w:t>
            </w:r>
          </w:p>
        </w:tc>
        <w:tc>
          <w:tcPr>
            <w:tcW w:w="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4,255</w:t>
            </w:r>
          </w:p>
        </w:tc>
        <w:tc>
          <w:tcPr>
            <w:tcW w:w="19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1,250</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Assumed conversion of debentures</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98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60" w:type="dxa"/>
            <w:vAlign w:val="bottom"/>
            <w:gridSpan w:val="2"/>
          </w:tcPr>
          <w:p>
            <w:pPr>
              <w:spacing w:after="0" w:line="155"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4,258</w:t>
            </w:r>
          </w:p>
        </w:tc>
        <w:tc>
          <w:tcPr>
            <w:tcW w:w="840" w:type="dxa"/>
            <w:vAlign w:val="bottom"/>
          </w:tcPr>
          <w:p>
            <w:pPr>
              <w:spacing w:after="0"/>
              <w:rPr>
                <w:sz w:val="13"/>
                <w:szCs w:val="13"/>
                <w:color w:val="auto"/>
              </w:rPr>
            </w:pPr>
          </w:p>
        </w:tc>
        <w:tc>
          <w:tcPr>
            <w:tcW w:w="114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1,263</w:t>
            </w: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Employee stock options to purchase approximately 21.0 million, 14.0 million and 12.5 million shares of common stock at December 31, 2012, 2011 and 2010, respectively, were outstanding but were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10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recorded the following charges and credits in continuing operations during 2012, 2011 and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96" w:lineRule="exact"/>
        <w:rPr>
          <w:sz w:val="20"/>
          <w:szCs w:val="20"/>
          <w:color w:val="auto"/>
        </w:rPr>
      </w:pPr>
    </w:p>
    <w:p>
      <w:pPr>
        <w:ind w:left="780" w:right="480" w:hanging="324"/>
        <w:spacing w:after="0" w:line="268" w:lineRule="auto"/>
        <w:rPr>
          <w:sz w:val="20"/>
          <w:szCs w:val="20"/>
          <w:color w:val="auto"/>
        </w:rPr>
      </w:pPr>
      <w:r>
        <w:rPr>
          <w:rFonts w:ascii="Arial" w:cs="Arial" w:eastAsia="Arial" w:hAnsi="Arial"/>
          <w:sz w:val="18"/>
          <w:szCs w:val="18"/>
          <w:color w:val="auto"/>
        </w:rPr>
        <w:t xml:space="preserve">— Schlumberger recorded the following merger and integration-related charges in connection with its 2010 acquisitions of Smith International, Inc. (“Smith”) and Geoservices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7"/>
          </w:tcPr>
          <w:p>
            <w:pPr>
              <w:ind w:left="220"/>
              <w:spacing w:after="0"/>
              <w:rPr>
                <w:sz w:val="20"/>
                <w:szCs w:val="20"/>
                <w:color w:val="auto"/>
              </w:rPr>
            </w:pPr>
            <w:r>
              <w:rPr>
                <w:rFonts w:ascii="Arial" w:cs="Arial" w:eastAsia="Arial" w:hAnsi="Arial"/>
                <w:sz w:val="14"/>
                <w:szCs w:val="14"/>
                <w:b w:val="1"/>
                <w:bCs w:val="1"/>
                <w:color w:val="auto"/>
                <w:w w:val="92"/>
              </w:rPr>
              <w:t>(Stated in millions)</w:t>
            </w:r>
          </w:p>
        </w:tc>
      </w:tr>
      <w:tr>
        <w:trPr>
          <w:trHeight w:val="298"/>
        </w:trPr>
        <w:tc>
          <w:tcPr>
            <w:tcW w:w="5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Tax</w:t>
            </w:r>
          </w:p>
        </w:tc>
        <w:tc>
          <w:tcPr>
            <w:tcW w:w="440" w:type="dxa"/>
            <w:vAlign w:val="bottom"/>
          </w:tcPr>
          <w:p>
            <w:pPr>
              <w:spacing w:after="0"/>
              <w:rPr>
                <w:sz w:val="24"/>
                <w:szCs w:val="24"/>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b w:val="1"/>
                <w:bCs w:val="1"/>
                <w:color w:val="auto"/>
              </w:rPr>
              <w:t>Net</w:t>
            </w: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Second quarter</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Fourth quarter</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7"/>
        </w:trPr>
        <w:tc>
          <w:tcPr>
            <w:tcW w:w="5260" w:type="dxa"/>
            <w:vAlign w:val="bottom"/>
            <w:shd w:val="clear" w:color="auto" w:fill="000000"/>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100" w:type="dxa"/>
            <w:vAlign w:val="bottom"/>
            <w:shd w:val="clear" w:color="auto" w:fill="CCEEFF"/>
          </w:tcPr>
          <w:p>
            <w:pPr>
              <w:spacing w:after="0"/>
              <w:rPr>
                <w:sz w:val="18"/>
                <w:szCs w:val="18"/>
                <w:color w:val="auto"/>
              </w:rPr>
            </w:pPr>
          </w:p>
        </w:tc>
      </w:tr>
      <w:tr>
        <w:trPr>
          <w:trHeight w:val="27"/>
        </w:trPr>
        <w:tc>
          <w:tcPr>
            <w:tcW w:w="52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780" w:right="320" w:hanging="324"/>
        <w:spacing w:after="0" w:line="268" w:lineRule="auto"/>
        <w:rPr>
          <w:sz w:val="20"/>
          <w:szCs w:val="20"/>
          <w:color w:val="auto"/>
        </w:rPr>
      </w:pPr>
      <w:r>
        <w:rPr>
          <w:rFonts w:ascii="Arial" w:cs="Arial" w:eastAsia="Arial" w:hAnsi="Arial"/>
          <w:sz w:val="18"/>
          <w:szCs w:val="18"/>
          <w:color w:val="auto"/>
        </w:rPr>
        <w:t>— During the fourth quarter, Schlumberger recorded a pretax charge of $33 million ($27 million after-tax) relating to severance in connection with an initiative to rationalize global overhead costs.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these charges: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(Stated in millions)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Consolidated Statement</w:t>
            </w:r>
          </w:p>
        </w:tc>
        <w:tc>
          <w:tcPr>
            <w:tcW w:w="0" w:type="dxa"/>
            <w:vAlign w:val="bottom"/>
          </w:tcPr>
          <w:p>
            <w:pPr>
              <w:spacing w:after="0"/>
              <w:rPr>
                <w:sz w:val="1"/>
                <w:szCs w:val="1"/>
                <w:color w:val="auto"/>
              </w:rPr>
            </w:pPr>
          </w:p>
        </w:tc>
      </w:tr>
      <w:tr>
        <w:trPr>
          <w:trHeight w:val="123"/>
        </w:trPr>
        <w:tc>
          <w:tcPr>
            <w:tcW w:w="39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8"/>
              </w:rPr>
              <w:t>Pretax</w:t>
            </w:r>
          </w:p>
        </w:tc>
        <w:tc>
          <w:tcPr>
            <w:tcW w:w="480" w:type="dxa"/>
            <w:vAlign w:val="bottom"/>
          </w:tcPr>
          <w:p>
            <w:pPr>
              <w:spacing w:after="0"/>
              <w:rPr>
                <w:sz w:val="14"/>
                <w:szCs w:val="14"/>
                <w:color w:val="auto"/>
              </w:rPr>
            </w:pPr>
          </w:p>
        </w:tc>
        <w:tc>
          <w:tcPr>
            <w:tcW w:w="800" w:type="dxa"/>
            <w:vAlign w:val="bottom"/>
            <w:gridSpan w:val="2"/>
          </w:tcPr>
          <w:p>
            <w:pPr>
              <w:jc w:val="center"/>
              <w:ind w:right="540"/>
              <w:spacing w:after="0" w:line="141" w:lineRule="exact"/>
              <w:rPr>
                <w:sz w:val="20"/>
                <w:szCs w:val="20"/>
                <w:color w:val="auto"/>
              </w:rPr>
            </w:pPr>
            <w:r>
              <w:rPr>
                <w:rFonts w:ascii="Arial" w:cs="Arial" w:eastAsia="Arial" w:hAnsi="Arial"/>
                <w:sz w:val="14"/>
                <w:szCs w:val="14"/>
                <w:b w:val="1"/>
                <w:bCs w:val="1"/>
                <w:color w:val="auto"/>
                <w:w w:val="90"/>
              </w:rPr>
              <w:t>Tax</w:t>
            </w:r>
          </w:p>
        </w:tc>
        <w:tc>
          <w:tcPr>
            <w:tcW w:w="64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Ne</w:t>
            </w:r>
            <w:r>
              <w:rPr>
                <w:rFonts w:ascii="Arial" w:cs="Arial" w:eastAsia="Arial" w:hAnsi="Arial"/>
                <w:sz w:val="14"/>
                <w:szCs w:val="14"/>
                <w:color w:val="auto"/>
              </w:rPr>
              <w:t>t</w:t>
            </w:r>
          </w:p>
        </w:tc>
        <w:tc>
          <w:tcPr>
            <w:tcW w:w="1840" w:type="dxa"/>
            <w:vAlign w:val="bottom"/>
            <w:gridSpan w:val="3"/>
          </w:tcPr>
          <w:p>
            <w:pPr>
              <w:ind w:left="320"/>
              <w:spacing w:after="0" w:line="141" w:lineRule="exact"/>
              <w:rPr>
                <w:sz w:val="20"/>
                <w:szCs w:val="20"/>
                <w:color w:val="auto"/>
              </w:rPr>
            </w:pPr>
            <w:r>
              <w:rPr>
                <w:rFonts w:ascii="Arial" w:cs="Arial" w:eastAsia="Arial" w:hAnsi="Arial"/>
                <w:sz w:val="14"/>
                <w:szCs w:val="14"/>
                <w:b w:val="1"/>
                <w:bCs w:val="1"/>
                <w:color w:val="auto"/>
                <w:w w:val="93"/>
              </w:rPr>
              <w:t>of Income Classification</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Merger-related integration costs</w:t>
            </w:r>
          </w:p>
        </w:tc>
        <w:tc>
          <w:tcPr>
            <w:tcW w:w="3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$ 128</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$16</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$ 112</w:t>
            </w:r>
          </w:p>
        </w:tc>
        <w:tc>
          <w:tcPr>
            <w:tcW w:w="26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ind w:left="300"/>
              <w:spacing w:after="0" w:line="196" w:lineRule="exact"/>
              <w:rPr>
                <w:sz w:val="20"/>
                <w:szCs w:val="20"/>
                <w:color w:val="auto"/>
              </w:rPr>
            </w:pPr>
            <w:r>
              <w:rPr>
                <w:rFonts w:ascii="Arial" w:cs="Arial" w:eastAsia="Arial" w:hAnsi="Arial"/>
                <w:sz w:val="18"/>
                <w:szCs w:val="18"/>
                <w:i w:val="1"/>
                <w:iCs w:val="1"/>
                <w:color w:val="auto"/>
                <w:w w:val="93"/>
              </w:rPr>
              <w:t>Merger &amp; integration</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Workforce reduction</w:t>
            </w:r>
          </w:p>
        </w:tc>
        <w:tc>
          <w:tcPr>
            <w:tcW w:w="3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840" w:type="dxa"/>
            <w:vAlign w:val="bottom"/>
            <w:gridSpan w:val="3"/>
          </w:tcPr>
          <w:p>
            <w:pPr>
              <w:ind w:left="280"/>
              <w:spacing w:after="0"/>
              <w:rPr>
                <w:sz w:val="20"/>
                <w:szCs w:val="20"/>
                <w:color w:val="auto"/>
              </w:rPr>
            </w:pPr>
            <w:r>
              <w:rPr>
                <w:rFonts w:ascii="Arial" w:cs="Arial" w:eastAsia="Arial" w:hAnsi="Arial"/>
                <w:sz w:val="18"/>
                <w:szCs w:val="18"/>
                <w:i w:val="1"/>
                <w:iCs w:val="1"/>
                <w:color w:val="auto"/>
                <w:w w:val="90"/>
              </w:rPr>
              <w:t>Restructuring &amp; other</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960" w:type="dxa"/>
            <w:vAlign w:val="bottom"/>
          </w:tcPr>
          <w:p>
            <w:pPr>
              <w:spacing w:after="0"/>
              <w:rPr>
                <w:sz w:val="24"/>
                <w:szCs w:val="24"/>
                <w:color w:val="auto"/>
              </w:rPr>
            </w:pPr>
          </w:p>
        </w:tc>
        <w:tc>
          <w:tcPr>
            <w:tcW w:w="3240" w:type="dxa"/>
            <w:vAlign w:val="bottom"/>
          </w:tcPr>
          <w:p>
            <w:pPr>
              <w:jc w:val="right"/>
              <w:ind w:right="1339"/>
              <w:spacing w:after="0"/>
              <w:rPr>
                <w:sz w:val="20"/>
                <w:szCs w:val="20"/>
                <w:color w:val="auto"/>
              </w:rPr>
            </w:pPr>
            <w:r>
              <w:rPr>
                <w:rFonts w:ascii="Arial" w:cs="Arial" w:eastAsia="Arial" w:hAnsi="Arial"/>
                <w:sz w:val="14"/>
                <w:szCs w:val="14"/>
                <w:color w:val="auto"/>
              </w:rPr>
              <w:t>43</w:t>
            </w: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w:t>
      </w:r>
    </w:p>
    <w:p>
      <w:pPr>
        <w:spacing w:after="0" w:line="9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Schlumberger recorded the following merger and integration-related charges in connection with its acquisitions of Smith and Geoservices.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6"/>
          </w:tcPr>
          <w:p>
            <w:pPr>
              <w:ind w:left="220"/>
              <w:spacing w:after="0"/>
              <w:rPr>
                <w:sz w:val="20"/>
                <w:szCs w:val="20"/>
                <w:color w:val="auto"/>
              </w:rPr>
            </w:pPr>
            <w:r>
              <w:rPr>
                <w:rFonts w:ascii="Arial" w:cs="Arial" w:eastAsia="Arial" w:hAnsi="Arial"/>
                <w:sz w:val="14"/>
                <w:szCs w:val="14"/>
                <w:b w:val="1"/>
                <w:bCs w:val="1"/>
                <w:color w:val="auto"/>
                <w:w w:val="92"/>
              </w:rPr>
              <w:t>(Stated in millions)</w:t>
            </w:r>
          </w:p>
        </w:tc>
      </w:tr>
      <w:tr>
        <w:trPr>
          <w:trHeight w:val="298"/>
        </w:trPr>
        <w:tc>
          <w:tcPr>
            <w:tcW w:w="5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340" w:type="dxa"/>
            <w:vAlign w:val="bottom"/>
          </w:tcPr>
          <w:p>
            <w:pPr>
              <w:spacing w:after="0"/>
              <w:rPr>
                <w:sz w:val="24"/>
                <w:szCs w:val="24"/>
                <w:color w:val="auto"/>
              </w:rPr>
            </w:pPr>
          </w:p>
        </w:tc>
        <w:tc>
          <w:tcPr>
            <w:tcW w:w="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Tax</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r>
      <w:tr>
        <w:trPr>
          <w:trHeight w:val="210"/>
        </w:trPr>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Second quarter</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Fourth quarter</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95</w:t>
            </w:r>
          </w:p>
        </w:tc>
        <w:tc>
          <w:tcPr>
            <w:tcW w:w="10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780" w:right="400" w:hanging="324"/>
        <w:spacing w:after="0" w:line="259" w:lineRule="auto"/>
        <w:rPr>
          <w:sz w:val="20"/>
          <w:szCs w:val="20"/>
          <w:color w:val="auto"/>
        </w:rPr>
      </w:pPr>
      <w:r>
        <w:rPr>
          <w:rFonts w:ascii="Arial" w:cs="Arial" w:eastAsia="Arial" w:hAnsi="Arial"/>
          <w:sz w:val="18"/>
          <w:szCs w:val="18"/>
          <w:color w:val="auto"/>
        </w:rPr>
        <w:t>— During the fourth quarter, Schlumberger was able to physically assess the status of its assets in Libya. This assessment resulted in Schlumberger recording a pretax and after-tax charge of $60 million relating to certain assets that were no longer recoverable as a result of the political unrest in Libya.</w:t>
      </w:r>
    </w:p>
    <w:p>
      <w:pPr>
        <w:spacing w:after="0" w:line="59" w:lineRule="exact"/>
        <w:rPr>
          <w:sz w:val="20"/>
          <w:szCs w:val="20"/>
          <w:color w:val="auto"/>
        </w:rPr>
      </w:pPr>
    </w:p>
    <w:p>
      <w:pPr>
        <w:ind w:left="780" w:right="80" w:hanging="324"/>
        <w:spacing w:after="0" w:line="306" w:lineRule="auto"/>
        <w:rPr>
          <w:sz w:val="20"/>
          <w:szCs w:val="20"/>
          <w:color w:val="auto"/>
        </w:rPr>
      </w:pPr>
      <w:r>
        <w:rPr>
          <w:rFonts w:ascii="Arial" w:cs="Arial" w:eastAsia="Arial" w:hAnsi="Arial"/>
          <w:sz w:val="16"/>
          <w:szCs w:val="16"/>
          <w:color w:val="auto"/>
        </w:rPr>
        <w:t>— During the second quarter, Schlumberger made a $50 million grant to the Schlumberger Foundation to support the Foundation’s Faculty for the Future program, which supports talented women scientists from the developing world by helping them pursue advanced graduate studies in scientific disciplines at leading universities worldwide. As a result, Schlumberger recorded a $50 million charge ($40 million after-tax).</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these charges: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(Stated in millions)</w:t>
            </w:r>
          </w:p>
        </w:tc>
        <w:tc>
          <w:tcPr>
            <w:tcW w:w="1820" w:type="dxa"/>
            <w:vAlign w:val="bottom"/>
          </w:tcPr>
          <w:p>
            <w:pPr>
              <w:spacing w:after="0"/>
              <w:rPr>
                <w:sz w:val="15"/>
                <w:szCs w:val="15"/>
                <w:color w:val="auto"/>
              </w:rPr>
            </w:pPr>
          </w:p>
        </w:tc>
      </w:tr>
      <w:tr>
        <w:trPr>
          <w:trHeight w:val="285"/>
        </w:trPr>
        <w:tc>
          <w:tcPr>
            <w:tcW w:w="5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Consolidated Statement</w:t>
            </w:r>
          </w:p>
        </w:tc>
      </w:tr>
      <w:tr>
        <w:trPr>
          <w:trHeight w:val="161"/>
        </w:trPr>
        <w:tc>
          <w:tcPr>
            <w:tcW w:w="5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Pretax</w:t>
            </w:r>
          </w:p>
        </w:tc>
        <w:tc>
          <w:tcPr>
            <w:tcW w:w="24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1820" w:type="dxa"/>
            <w:vAlign w:val="bottom"/>
          </w:tcPr>
          <w:p>
            <w:pPr>
              <w:spacing w:after="0"/>
              <w:rPr>
                <w:sz w:val="20"/>
                <w:szCs w:val="20"/>
                <w:color w:val="auto"/>
              </w:rPr>
            </w:pPr>
            <w:r>
              <w:rPr>
                <w:rFonts w:ascii="Arial" w:cs="Arial" w:eastAsia="Arial" w:hAnsi="Arial"/>
                <w:sz w:val="14"/>
                <w:szCs w:val="14"/>
                <w:b w:val="1"/>
                <w:bCs w:val="1"/>
                <w:color w:val="auto"/>
              </w:rPr>
              <w:t>of Income Classification</w:t>
            </w: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Merger-related integration costs</w:t>
            </w:r>
          </w:p>
        </w:tc>
        <w:tc>
          <w:tcPr>
            <w:tcW w:w="2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274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1820" w:type="dxa"/>
            <w:vAlign w:val="bottom"/>
          </w:tcPr>
          <w:p>
            <w:pPr>
              <w:spacing w:after="0"/>
              <w:rPr>
                <w:sz w:val="20"/>
                <w:szCs w:val="20"/>
                <w:color w:val="auto"/>
              </w:rPr>
            </w:pPr>
            <w:r>
              <w:rPr>
                <w:rFonts w:ascii="Arial" w:cs="Arial" w:eastAsia="Arial" w:hAnsi="Arial"/>
                <w:sz w:val="18"/>
                <w:szCs w:val="18"/>
                <w:i w:val="1"/>
                <w:iCs w:val="1"/>
                <w:color w:val="auto"/>
                <w:w w:val="91"/>
              </w:rPr>
              <w:t>General &amp; administrative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Write-off of assets in Libya</w:t>
            </w:r>
          </w:p>
        </w:tc>
        <w:tc>
          <w:tcPr>
            <w:tcW w:w="2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r>
      <w:tr>
        <w:trPr>
          <w:trHeight w:val="20"/>
        </w:trPr>
        <w:tc>
          <w:tcPr>
            <w:tcW w:w="51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1"/>
        </w:trPr>
        <w:tc>
          <w:tcPr>
            <w:tcW w:w="5120" w:type="dxa"/>
            <w:vAlign w:val="bottom"/>
          </w:tcPr>
          <w:p>
            <w:pPr>
              <w:spacing w:after="0"/>
              <w:rPr>
                <w:sz w:val="19"/>
                <w:szCs w:val="19"/>
                <w:color w:val="auto"/>
              </w:rPr>
            </w:pPr>
          </w:p>
        </w:tc>
        <w:tc>
          <w:tcPr>
            <w:tcW w:w="2740" w:type="dxa"/>
            <w:vAlign w:val="bottom"/>
            <w:gridSpan w:val="3"/>
          </w:tcPr>
          <w:p>
            <w:pPr>
              <w:jc w:val="right"/>
              <w:ind w:right="200"/>
              <w:spacing w:after="0"/>
              <w:rPr>
                <w:sz w:val="20"/>
                <w:szCs w:val="20"/>
                <w:color w:val="auto"/>
              </w:rPr>
            </w:pPr>
            <w:r>
              <w:rPr>
                <w:rFonts w:ascii="Arial" w:cs="Arial" w:eastAsia="Arial" w:hAnsi="Arial"/>
                <w:sz w:val="18"/>
                <w:szCs w:val="18"/>
                <w:color w:val="auto"/>
              </w:rPr>
              <w:t>$ 223</w:t>
            </w:r>
          </w:p>
        </w:tc>
        <w:tc>
          <w:tcPr>
            <w:tcW w:w="94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195</w:t>
            </w:r>
          </w:p>
        </w:tc>
        <w:tc>
          <w:tcPr>
            <w:tcW w:w="1820" w:type="dxa"/>
            <w:vAlign w:val="bottom"/>
          </w:tcPr>
          <w:p>
            <w:pPr>
              <w:spacing w:after="0"/>
              <w:rPr>
                <w:sz w:val="19"/>
                <w:szCs w:val="19"/>
                <w:color w:val="auto"/>
              </w:rPr>
            </w:pPr>
          </w:p>
        </w:tc>
      </w:tr>
      <w:tr>
        <w:trPr>
          <w:trHeight w:val="466"/>
        </w:trPr>
        <w:tc>
          <w:tcPr>
            <w:tcW w:w="51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2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97"/>
        </w:trPr>
        <w:tc>
          <w:tcPr>
            <w:tcW w:w="5120" w:type="dxa"/>
            <w:vAlign w:val="bottom"/>
          </w:tcPr>
          <w:p>
            <w:pPr>
              <w:spacing w:after="0"/>
              <w:rPr>
                <w:sz w:val="20"/>
                <w:szCs w:val="20"/>
                <w:color w:val="auto"/>
              </w:rPr>
            </w:pPr>
            <w:r>
              <w:rPr>
                <w:rFonts w:ascii="Arial" w:cs="Arial" w:eastAsia="Arial" w:hAnsi="Arial"/>
                <w:sz w:val="18"/>
                <w:szCs w:val="18"/>
                <w:color w:val="auto"/>
              </w:rPr>
              <w:t>Fourth quarter of 2010:</w:t>
            </w:r>
          </w:p>
        </w:tc>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In connection with the acquisition of Smith, Schlumberger recorded the following pretax charges: $115 million ($73 million after-tax) relating to the</w:t>
      </w:r>
    </w:p>
    <w:p>
      <w:pPr>
        <w:spacing w:after="0" w:line="38" w:lineRule="exact"/>
        <w:rPr>
          <w:sz w:val="20"/>
          <w:szCs w:val="20"/>
          <w:color w:val="auto"/>
        </w:rPr>
      </w:pPr>
    </w:p>
    <w:p>
      <w:pPr>
        <w:ind w:left="780" w:right="540"/>
        <w:spacing w:after="0" w:line="323" w:lineRule="auto"/>
        <w:rPr>
          <w:sz w:val="20"/>
          <w:szCs w:val="20"/>
          <w:color w:val="auto"/>
        </w:rPr>
      </w:pPr>
      <w:r>
        <w:rPr>
          <w:rFonts w:ascii="Arial" w:cs="Arial" w:eastAsia="Arial" w:hAnsi="Arial"/>
          <w:sz w:val="16"/>
          <w:szCs w:val="16"/>
          <w:color w:val="auto"/>
        </w:rPr>
        <w:t>amortization of purchase accounting adjustments associated with the write-up of acquired inventory to its estimated fair value, $17 million ($16 million after-tax) of professional and other fees and $15 million ($11 million after-tax) relating to employee benefits.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Schlumberger repurchased the following debt:</w:t>
      </w:r>
    </w:p>
    <w:p>
      <w:pPr>
        <w:spacing w:after="0" w:line="7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380" w:type="dxa"/>
            <w:vAlign w:val="bottom"/>
            <w:gridSpan w:val="3"/>
          </w:tcPr>
          <w:p>
            <w:pPr>
              <w:ind w:left="2180"/>
              <w:spacing w:after="0"/>
              <w:rPr>
                <w:sz w:val="20"/>
                <w:szCs w:val="20"/>
                <w:color w:val="auto"/>
              </w:rPr>
            </w:pPr>
            <w:r>
              <w:rPr>
                <w:rFonts w:ascii="Arial" w:cs="Arial" w:eastAsia="Arial" w:hAnsi="Arial"/>
                <w:sz w:val="14"/>
                <w:szCs w:val="14"/>
                <w:b w:val="1"/>
                <w:bCs w:val="1"/>
                <w:color w:val="auto"/>
                <w:w w:val="94"/>
              </w:rPr>
              <w:t>(Stated in millions)</w:t>
            </w: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380" w:type="dxa"/>
            <w:vAlign w:val="bottom"/>
            <w:gridSpan w:val="3"/>
          </w:tcPr>
          <w:p>
            <w:pPr>
              <w:ind w:left="2740"/>
              <w:spacing w:after="0" w:line="149" w:lineRule="exact"/>
              <w:rPr>
                <w:sz w:val="20"/>
                <w:szCs w:val="20"/>
                <w:color w:val="auto"/>
              </w:rPr>
            </w:pPr>
            <w:r>
              <w:rPr>
                <w:rFonts w:ascii="Arial" w:cs="Arial" w:eastAsia="Arial" w:hAnsi="Arial"/>
                <w:sz w:val="14"/>
                <w:szCs w:val="14"/>
                <w:b w:val="1"/>
                <w:bCs w:val="1"/>
                <w:color w:val="auto"/>
              </w:rPr>
              <w:t>Carrying</w:t>
            </w:r>
          </w:p>
        </w:tc>
      </w:tr>
      <w:tr>
        <w:trPr>
          <w:trHeight w:val="168"/>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6.50%</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2012</w:t>
            </w:r>
          </w:p>
        </w:tc>
        <w:tc>
          <w:tcPr>
            <w:tcW w:w="2820" w:type="dxa"/>
            <w:vAlign w:val="bottom"/>
            <w:shd w:val="clear" w:color="auto" w:fill="CCEEFF"/>
          </w:tcPr>
          <w:p>
            <w:pPr>
              <w:ind w:left="27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6.75%</w:t>
            </w:r>
          </w:p>
        </w:tc>
        <w:tc>
          <w:tcPr>
            <w:tcW w:w="3900" w:type="dxa"/>
            <w:vAlign w:val="bottom"/>
          </w:tcPr>
          <w:p>
            <w:pPr>
              <w:ind w:left="20"/>
              <w:spacing w:after="0"/>
              <w:rPr>
                <w:sz w:val="20"/>
                <w:szCs w:val="20"/>
                <w:color w:val="auto"/>
              </w:rPr>
            </w:pPr>
            <w:r>
              <w:rPr>
                <w:rFonts w:ascii="Arial" w:cs="Arial" w:eastAsia="Arial" w:hAnsi="Arial"/>
                <w:sz w:val="18"/>
                <w:szCs w:val="18"/>
                <w:color w:val="auto"/>
              </w:rPr>
              <w:t>Senior Notes due 2011</w:t>
            </w:r>
          </w:p>
        </w:tc>
        <w:tc>
          <w:tcPr>
            <w:tcW w:w="2820" w:type="dxa"/>
            <w:vAlign w:val="bottom"/>
          </w:tcPr>
          <w:p>
            <w:pPr>
              <w:ind w:left="274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6"/>
              </w:rPr>
              <w:t>9.75%</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2820" w:type="dxa"/>
            <w:vAlign w:val="bottom"/>
            <w:shd w:val="clear" w:color="auto" w:fill="CCEEFF"/>
          </w:tcPr>
          <w:p>
            <w:pPr>
              <w:ind w:left="27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6.00%</w:t>
            </w:r>
          </w:p>
        </w:tc>
        <w:tc>
          <w:tcPr>
            <w:tcW w:w="390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820" w:type="dxa"/>
            <w:vAlign w:val="bottom"/>
          </w:tcPr>
          <w:p>
            <w:pPr>
              <w:ind w:left="274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8.625% Senior Notes due 2014</w:t>
            </w:r>
          </w:p>
        </w:tc>
        <w:tc>
          <w:tcPr>
            <w:tcW w:w="2820" w:type="dxa"/>
            <w:vAlign w:val="bottom"/>
            <w:shd w:val="clear" w:color="auto" w:fill="CCEEFF"/>
          </w:tcPr>
          <w:p>
            <w:pPr>
              <w:ind w:left="27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result of these transactions, Schlumberger incurred pretax charges of $32 million ($20 million after-tax).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2010:</w:t>
      </w:r>
    </w:p>
    <w:p>
      <w:pPr>
        <w:spacing w:after="0" w:line="90" w:lineRule="exact"/>
        <w:rPr>
          <w:sz w:val="20"/>
          <w:szCs w:val="20"/>
          <w:color w:val="auto"/>
        </w:rPr>
      </w:pPr>
    </w:p>
    <w:p>
      <w:pPr>
        <w:ind w:left="780" w:right="280" w:hanging="324"/>
        <w:spacing w:after="0" w:line="268" w:lineRule="auto"/>
        <w:rPr>
          <w:sz w:val="20"/>
          <w:szCs w:val="20"/>
          <w:color w:val="auto"/>
        </w:rPr>
      </w:pPr>
      <w:r>
        <w:rPr>
          <w:rFonts w:ascii="Arial" w:cs="Arial" w:eastAsia="Arial" w:hAnsi="Arial"/>
          <w:sz w:val="18"/>
          <w:szCs w:val="18"/>
          <w:color w:val="auto"/>
        </w:rPr>
        <w:t>— As a result of the decision to rationalize support costs across the organization as well as to restructure the North America land operations to provide greater operating efficiency, Schlumberger recorded a pretax charge of $90 million ($77 million after-tax).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274" w:right="239" w:bottom="1440" w:gutter="0" w:footer="0" w:header="0"/>
        </w:sectPr>
      </w:pPr>
    </w:p>
    <w:bookmarkStart w:id="44" w:name="page45"/>
    <w:bookmarkEnd w:id="44"/>
    <w:p>
      <w:pPr>
        <w:ind w:left="780" w:right="240" w:hanging="32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Following the successful introduction of UniQ, a new generation single-sensor land acquisition system, Schlumberger recorded a $78 million pretax charge ($71 million after-tax) related to the impairment of WesternGeco’s first generation Q-Land system assets.</w:t>
      </w:r>
    </w:p>
    <w:p>
      <w:pPr>
        <w:spacing w:after="0" w:line="4" w:lineRule="exact"/>
        <w:rPr>
          <w:sz w:val="20"/>
          <w:szCs w:val="20"/>
          <w:color w:val="auto"/>
        </w:rPr>
      </w:pPr>
    </w:p>
    <w:p>
      <w:pPr>
        <w:ind w:left="780" w:right="20" w:hanging="324"/>
        <w:spacing w:after="0" w:line="268" w:lineRule="auto"/>
        <w:rPr>
          <w:sz w:val="20"/>
          <w:szCs w:val="20"/>
          <w:color w:val="auto"/>
        </w:rPr>
      </w:pPr>
      <w:r>
        <w:rPr>
          <w:rFonts w:ascii="Arial" w:cs="Arial" w:eastAsia="Arial" w:hAnsi="Arial"/>
          <w:sz w:val="18"/>
          <w:szCs w:val="18"/>
          <w:color w:val="auto"/>
        </w:rPr>
        <w:t>— A pretax and after-tax charge of $63 million primarily relating to the early termination of a vessel lease associated with WesternGeco’s electromagnetic service offering as well as related assets, including a $30 million impairment related to an equity-method investment.</w:t>
      </w:r>
    </w:p>
    <w:p>
      <w:pPr>
        <w:spacing w:after="0" w:line="50" w:lineRule="exact"/>
        <w:rPr>
          <w:sz w:val="20"/>
          <w:szCs w:val="20"/>
          <w:color w:val="auto"/>
        </w:rPr>
      </w:pPr>
    </w:p>
    <w:p>
      <w:pPr>
        <w:ind w:left="780" w:right="40" w:hanging="324"/>
        <w:spacing w:after="0" w:line="256" w:lineRule="auto"/>
        <w:rPr>
          <w:sz w:val="20"/>
          <w:szCs w:val="20"/>
          <w:color w:val="auto"/>
        </w:rPr>
      </w:pPr>
      <w:r>
        <w:rPr>
          <w:rFonts w:ascii="Arial" w:cs="Arial" w:eastAsia="Arial" w:hAnsi="Arial"/>
          <w:sz w:val="18"/>
          <w:szCs w:val="18"/>
          <w:color w:val="auto"/>
        </w:rPr>
        <w:t>— In connection with the acquisition of Smith, Schlumberger recorded the following pretax charges: $56 million ($55 million after-tax) of merger-related transaction costs including advisory and legal fees, $38 million ($32 million after-tax) relating to employee benefits for change in control payments and retention bonuses and $38 million ($24 million after-tax) relating to the amortization of purchase accounting adjustments associated with the write-up of acquired inventory to its estimated fair value.</w:t>
      </w:r>
    </w:p>
    <w:p>
      <w:pPr>
        <w:spacing w:after="0" w:line="62" w:lineRule="exact"/>
        <w:rPr>
          <w:sz w:val="20"/>
          <w:szCs w:val="20"/>
          <w:color w:val="auto"/>
        </w:rPr>
      </w:pPr>
    </w:p>
    <w:p>
      <w:pPr>
        <w:ind w:left="780" w:right="80" w:hanging="324"/>
        <w:spacing w:after="0" w:line="268" w:lineRule="auto"/>
        <w:rPr>
          <w:sz w:val="20"/>
          <w:szCs w:val="20"/>
          <w:color w:val="auto"/>
        </w:rPr>
      </w:pPr>
      <w:r>
        <w:rPr>
          <w:rFonts w:ascii="Arial" w:cs="Arial" w:eastAsia="Arial" w:hAnsi="Arial"/>
          <w:sz w:val="18"/>
          <w:szCs w:val="18"/>
          <w:color w:val="auto"/>
        </w:rPr>
        <w:t>— $40 million pretax charge ($36 million after-tax) for the early termination of rig contracts and workforce reductions in Mexico due to the slowdown of project activity.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Schlumberger repurchased $352 million of its 6.50% Notes due 2012 and, as a result, incurred a pretax charge of $28 million ($18 million after-tax).</w:t>
      </w:r>
    </w:p>
    <w:p>
      <w:pPr>
        <w:spacing w:after="0" w:line="113" w:lineRule="exact"/>
        <w:rPr>
          <w:sz w:val="20"/>
          <w:szCs w:val="20"/>
          <w:color w:val="auto"/>
        </w:rPr>
      </w:pPr>
    </w:p>
    <w:p>
      <w:pPr>
        <w:ind w:left="780" w:right="200" w:hanging="324"/>
        <w:spacing w:after="0" w:line="268" w:lineRule="auto"/>
        <w:rPr>
          <w:sz w:val="20"/>
          <w:szCs w:val="20"/>
          <w:color w:val="auto"/>
        </w:rPr>
      </w:pPr>
      <w:r>
        <w:rPr>
          <w:rFonts w:ascii="Arial" w:cs="Arial" w:eastAsia="Arial" w:hAnsi="Arial"/>
          <w:sz w:val="18"/>
          <w:szCs w:val="18"/>
          <w:color w:val="auto"/>
        </w:rPr>
        <w:t xml:space="preserve">— Schlumberger recorded a pretax gain of $1.27 billion ($1.24 billion after-tax) as a result of remeasuring its previously held 40% equity interest in the M-I SWACO joint venture. Refer to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details.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2010:</w:t>
      </w:r>
    </w:p>
    <w:p>
      <w:pPr>
        <w:spacing w:after="0" w:line="90" w:lineRule="exact"/>
        <w:rPr>
          <w:sz w:val="20"/>
          <w:szCs w:val="20"/>
          <w:color w:val="auto"/>
        </w:rPr>
      </w:pPr>
    </w:p>
    <w:p>
      <w:pPr>
        <w:ind w:left="780" w:right="40" w:hanging="324"/>
        <w:spacing w:after="0" w:line="268" w:lineRule="auto"/>
        <w:rPr>
          <w:sz w:val="20"/>
          <w:szCs w:val="20"/>
          <w:color w:val="auto"/>
        </w:rPr>
      </w:pPr>
      <w:r>
        <w:rPr>
          <w:rFonts w:ascii="Arial" w:cs="Arial" w:eastAsia="Arial" w:hAnsi="Arial"/>
          <w:sz w:val="18"/>
          <w:szCs w:val="18"/>
          <w:color w:val="auto"/>
        </w:rPr>
        <w:t>— Schlumberger incurred $35 million of pretax and after-tax merger-related costs in connection with the Smith and Geoservices acquisitions. These costs primarily consisted of advisory and legal fees.</w:t>
      </w:r>
    </w:p>
    <w:p>
      <w:pPr>
        <w:spacing w:after="0" w:line="50" w:lineRule="exact"/>
        <w:rPr>
          <w:sz w:val="20"/>
          <w:szCs w:val="20"/>
          <w:color w:val="auto"/>
        </w:rPr>
      </w:pPr>
    </w:p>
    <w:p>
      <w:pPr>
        <w:ind w:left="780" w:right="80" w:hanging="324"/>
        <w:spacing w:after="0" w:line="256" w:lineRule="auto"/>
        <w:rPr>
          <w:sz w:val="20"/>
          <w:szCs w:val="20"/>
          <w:color w:val="auto"/>
        </w:rPr>
      </w:pPr>
      <w:r>
        <w:rPr>
          <w:rFonts w:ascii="Arial" w:cs="Arial" w:eastAsia="Arial" w:hAnsi="Arial"/>
          <w:sz w:val="18"/>
          <w:szCs w:val="18"/>
          <w:color w:val="auto"/>
        </w:rPr>
        <w:t>— During March 2010, the Patient Protection and Affordable Care Act (PPACA) was signed into law in the United States. Among other things, the PPACA eliminated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2010 charges and credits: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6"/>
            <w:shd w:val="clear" w:color="auto" w:fill="CCEEFF"/>
          </w:tcPr>
          <w:p>
            <w:pPr>
              <w:jc w:val="right"/>
              <w:ind w:right="380"/>
              <w:spacing w:after="0"/>
              <w:rPr>
                <w:sz w:val="20"/>
                <w:szCs w:val="20"/>
                <w:color w:val="auto"/>
              </w:rPr>
            </w:pPr>
            <w:r>
              <w:rPr>
                <w:rFonts w:ascii="Arial" w:cs="Arial" w:eastAsia="Arial" w:hAnsi="Arial"/>
                <w:sz w:val="14"/>
                <w:szCs w:val="14"/>
                <w:b w:val="1"/>
                <w:bCs w:val="1"/>
                <w:color w:val="auto"/>
                <w:w w:val="94"/>
              </w:rPr>
              <w:t>(Stated in millions)</w:t>
            </w:r>
          </w:p>
        </w:tc>
        <w:tc>
          <w:tcPr>
            <w:tcW w:w="1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2"/>
          </w:tcPr>
          <w:p>
            <w:pPr>
              <w:ind w:left="180"/>
              <w:spacing w:after="0" w:line="136" w:lineRule="exact"/>
              <w:rPr>
                <w:sz w:val="20"/>
                <w:szCs w:val="20"/>
                <w:color w:val="auto"/>
              </w:rPr>
            </w:pPr>
            <w:r>
              <w:rPr>
                <w:rFonts w:ascii="Arial" w:cs="Arial" w:eastAsia="Arial" w:hAnsi="Arial"/>
                <w:sz w:val="14"/>
                <w:szCs w:val="14"/>
                <w:b w:val="1"/>
                <w:bCs w:val="1"/>
                <w:color w:val="auto"/>
              </w:rPr>
              <w:t>Consolidated Statement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Pretax</w:t>
            </w:r>
          </w:p>
        </w:tc>
        <w:tc>
          <w:tcPr>
            <w:tcW w:w="12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Tax</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210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Income Classification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Restructuring and Merger-related Charges:</w:t>
            </w:r>
          </w:p>
        </w:tc>
        <w:tc>
          <w:tcPr>
            <w:tcW w:w="10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Severance and other</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w:t>
            </w:r>
          </w:p>
        </w:tc>
        <w:tc>
          <w:tcPr>
            <w:tcW w:w="21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relating to WesternGeco’s first generation Q-Land acquisition system</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w:t>
            </w:r>
          </w:p>
        </w:tc>
        <w:tc>
          <w:tcPr>
            <w:tcW w:w="2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Other WesternGeco-related charges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w:t>
            </w:r>
          </w:p>
        </w:tc>
        <w:tc>
          <w:tcPr>
            <w:tcW w:w="21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Professional fees and other</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w:t>
            </w:r>
          </w:p>
        </w:tc>
        <w:tc>
          <w:tcPr>
            <w:tcW w:w="2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Merger-related employee benefits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w:t>
            </w:r>
          </w:p>
        </w:tc>
        <w:tc>
          <w:tcPr>
            <w:tcW w:w="21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 fair value adjustments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w:t>
            </w:r>
          </w:p>
        </w:tc>
        <w:tc>
          <w:tcPr>
            <w:tcW w:w="2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Mexico restructuring</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w:t>
            </w:r>
          </w:p>
        </w:tc>
        <w:tc>
          <w:tcPr>
            <w:tcW w:w="21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Repurchase of bonds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2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420"/>
              <w:spacing w:after="0" w:line="155" w:lineRule="exact"/>
              <w:rPr>
                <w:sz w:val="20"/>
                <w:szCs w:val="20"/>
                <w:color w:val="auto"/>
              </w:rPr>
            </w:pPr>
            <w:r>
              <w:rPr>
                <w:rFonts w:ascii="Arial" w:cs="Arial" w:eastAsia="Arial" w:hAnsi="Arial"/>
                <w:sz w:val="14"/>
                <w:szCs w:val="14"/>
                <w:i w:val="1"/>
                <w:iCs w:val="1"/>
                <w:color w:val="auto"/>
              </w:rPr>
              <w:t>Total restructuring and merger-related charges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645</w:t>
            </w:r>
          </w:p>
        </w:tc>
        <w:tc>
          <w:tcPr>
            <w:tcW w:w="12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w w:val="94"/>
              </w:rPr>
              <w:t>114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531</w:t>
            </w: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investment in M-I SWACO</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5"/>
              </w:rPr>
              <w:t>(1,270)</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(1,238)</w:t>
            </w:r>
          </w:p>
        </w:tc>
        <w:tc>
          <w:tcPr>
            <w:tcW w:w="2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w w:val="87"/>
              </w:rPr>
              <w:t>Gain on Investment in M-I SWACO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Impact of elimination of tax deduction related to Medicare Part D subsidy</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21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Taxes on income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(667)</w:t>
            </w:r>
          </w:p>
        </w:tc>
        <w:tc>
          <w:tcPr>
            <w:tcW w:w="1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Smith International, Inc.</w:t>
      </w:r>
    </w:p>
    <w:p>
      <w:pPr>
        <w:spacing w:after="0" w:line="90"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On August 27, 2010, Schlumberger acquired all of the outstanding shares of Smith, a leading supplier of premium products and services to the oil and gas exploration and production industry. The transaction brought together the complementary drilling and measurements technologies and expertise of Schlumberger and Smith in order to facilitate the engineering of complete drilling systems which optimize all of the components of the drill string.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ind w:right="12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terms of the transaction, Smith became a wholly-owned subsidiary of Schlumberger. Each share of Smith common stock issued and outstanding immediately prior to the effective time of the acquisition was converted into the right to receive 0.6966 shares of Schlumberger common stock, with cash paid in lieu of fractional shares.</w:t>
      </w:r>
    </w:p>
    <w:p>
      <w:pPr>
        <w:ind w:left="240"/>
        <w:spacing w:after="0"/>
        <w:rPr>
          <w:sz w:val="20"/>
          <w:szCs w:val="20"/>
          <w:color w:val="auto"/>
        </w:rPr>
      </w:pPr>
      <w:r>
        <w:rPr>
          <w:rFonts w:ascii="Arial" w:cs="Arial" w:eastAsia="Arial" w:hAnsi="Arial"/>
          <w:sz w:val="18"/>
          <w:szCs w:val="18"/>
          <w:color w:val="auto"/>
        </w:rPr>
        <w:t>The following details the fair value of the consideration transferred to effect the acquisition of Smith.</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300" w:type="dxa"/>
            <w:vAlign w:val="bottom"/>
            <w:gridSpan w:val="4"/>
          </w:tcPr>
          <w:p>
            <w:pPr>
              <w:ind w:left="1460"/>
              <w:spacing w:after="0"/>
              <w:rPr>
                <w:sz w:val="20"/>
                <w:szCs w:val="20"/>
                <w:color w:val="auto"/>
              </w:rPr>
            </w:pPr>
            <w:r>
              <w:rPr>
                <w:rFonts w:ascii="Arial" w:cs="Arial" w:eastAsia="Arial" w:hAnsi="Arial"/>
                <w:sz w:val="14"/>
                <w:szCs w:val="14"/>
                <w:b w:val="1"/>
                <w:bCs w:val="1"/>
                <w:color w:val="auto"/>
                <w:w w:val="87"/>
              </w:rPr>
              <w:t>(Stated in millions, except exchange ratio and per share amounts)</w:t>
            </w: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shares of Smith common stock outstanding as of the acquisition date</w:t>
            </w:r>
          </w:p>
        </w:tc>
        <w:tc>
          <w:tcPr>
            <w:tcW w:w="4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Number of Smith unvested restricted stock units outstanding as of the acquisition date</w:t>
            </w:r>
          </w:p>
        </w:tc>
        <w:tc>
          <w:tcPr>
            <w:tcW w:w="4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Multiplied by the exchange ratio</w:t>
            </w:r>
          </w:p>
        </w:tc>
        <w:tc>
          <w:tcPr>
            <w:tcW w:w="4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0.6966</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Equivalent Schlumberger shares of common stock issued</w:t>
            </w:r>
          </w:p>
        </w:tc>
        <w:tc>
          <w:tcPr>
            <w:tcW w:w="4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Schlumberger closing stock price on August 27, 2010</w:t>
            </w:r>
          </w:p>
        </w:tc>
        <w:tc>
          <w:tcPr>
            <w:tcW w:w="48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55.76</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equity consideration</w:t>
            </w:r>
          </w:p>
        </w:tc>
        <w:tc>
          <w:tcPr>
            <w:tcW w:w="4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9,812</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Fair value of Schlumberger equivalent stock options issued</w:t>
            </w:r>
          </w:p>
        </w:tc>
        <w:tc>
          <w:tcPr>
            <w:tcW w:w="4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fair value of the consideration transferred</w:t>
            </w:r>
          </w:p>
        </w:tc>
        <w:tc>
          <w:tcPr>
            <w:tcW w:w="47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9,828</w:t>
            </w:r>
          </w:p>
        </w:tc>
        <w:tc>
          <w:tcPr>
            <w:tcW w:w="60" w:type="dxa"/>
            <w:vAlign w:val="bottom"/>
            <w:shd w:val="clear" w:color="auto" w:fill="CCEEFF"/>
          </w:tcPr>
          <w:p>
            <w:pPr>
              <w:spacing w:after="0"/>
              <w:rPr>
                <w:sz w:val="13"/>
                <w:szCs w:val="13"/>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amounts reflect rounding adjustments</w:t>
      </w:r>
    </w:p>
    <w:p>
      <w:pPr>
        <w:spacing w:after="0" w:line="90" w:lineRule="exact"/>
        <w:rPr>
          <w:sz w:val="20"/>
          <w:szCs w:val="20"/>
          <w:color w:val="auto"/>
        </w:rPr>
      </w:pPr>
    </w:p>
    <w:p>
      <w:pPr>
        <w:ind w:right="60" w:firstLine="228"/>
        <w:spacing w:after="0" w:line="252" w:lineRule="auto"/>
        <w:rPr>
          <w:sz w:val="20"/>
          <w:szCs w:val="20"/>
          <w:color w:val="auto"/>
        </w:rPr>
      </w:pPr>
      <w:r>
        <w:rPr>
          <w:rFonts w:ascii="Arial" w:cs="Arial" w:eastAsia="Arial" w:hAnsi="Arial"/>
          <w:sz w:val="18"/>
          <w:szCs w:val="18"/>
          <w:color w:val="auto"/>
        </w:rPr>
        <w:t xml:space="preserve">Prior to the completion of the acquisition, Smith and Schlumberger operated M-I SWACO, a drilling fluids joint venture that was 40% owned by Schlumberger and 60% owned by Smith. Effective at the closing of the transaction, M-I SWACO became 100% owned by Schlumberger. As a result of obtaining control of this joint venture, Schlumberger was required under generally accepted accounting principles to remeasure its previously held equity interest in the joint venture at its acquisition-date fair value and recognize the resulting pretax gain of $1.3 billion ($1.2 billion after-tax) in earnings. This gain is classified as </w:t>
      </w:r>
      <w:r>
        <w:rPr>
          <w:rFonts w:ascii="Arial" w:cs="Arial" w:eastAsia="Arial" w:hAnsi="Arial"/>
          <w:sz w:val="18"/>
          <w:szCs w:val="18"/>
          <w:i w:val="1"/>
          <w:iCs w:val="1"/>
          <w:color w:val="auto"/>
        </w:rPr>
        <w:t xml:space="preserve">Gain on Investment in M-I SWACO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ind w:firstLine="228"/>
        <w:spacing w:after="0" w:line="255" w:lineRule="auto"/>
        <w:rPr>
          <w:sz w:val="20"/>
          <w:szCs w:val="20"/>
          <w:color w:val="auto"/>
        </w:rPr>
      </w:pPr>
      <w:r>
        <w:rPr>
          <w:rFonts w:ascii="Arial" w:cs="Arial" w:eastAsia="Arial" w:hAnsi="Arial"/>
          <w:sz w:val="18"/>
          <w:szCs w:val="18"/>
          <w:color w:val="auto"/>
        </w:rPr>
        <w:t>Prior to acquiring Smith, Schlumberger recorded income relating to this joint venture using the equity method of accounting. Schlumberger’s equity income from this joint venture was $78 million in 2010 (representing the period from January 1, 2010 to August 27, 2010). Schlumberger received cash distributions from the joint venture of $50 million in 2010.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Geoservices</w:t>
      </w:r>
    </w:p>
    <w:p>
      <w:pPr>
        <w:spacing w:after="0" w:line="9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On April 23, 2010, Schlumberger completed the acquisition of Geoservices, a privately owned oilfield services company specializing in mud logging, slickline and production surveillance operations, for $915 million in cash.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Schlumberger has made other acquisitions and investments, none of which were significant on an individual basis, for cash payments, net of cash acquired, of $845 million during 2012, $610 million during 2011, and $212 million during 2010.</w:t>
      </w:r>
    </w:p>
    <w:p>
      <w:pPr>
        <w:ind w:right="100" w:firstLine="228"/>
        <w:spacing w:after="0" w:line="287" w:lineRule="auto"/>
        <w:rPr>
          <w:sz w:val="20"/>
          <w:szCs w:val="20"/>
          <w:color w:val="auto"/>
        </w:rPr>
      </w:pPr>
      <w:r>
        <w:rPr>
          <w:rFonts w:ascii="Arial" w:cs="Arial" w:eastAsia="Arial" w:hAnsi="Arial"/>
          <w:sz w:val="16"/>
          <w:szCs w:val="16"/>
          <w:color w:val="auto"/>
        </w:rPr>
        <w:t>On November 15, 2012, Cameron International Corporation (“Cameron”) and Schlumberger announced that they had entered into an agreement with respect to the creation of OneSubsea, a joint venture to manufacture and develop products, systems and services for the subsea oil and gas market. Schlumberger will own 40% of OneSubsea. The transaction is subject to regulatory approvals and other customary closing conditions and is expected to close by the second quarter of 2013. Under the terms of the formation agreement, Cameron and Schlumberger will each contribute all of their respective subsea businesses to the joint venture and Schlumberger will make a $600 million cash payment to Cameron. In accordance with generally accepted accounting principles, upon the closing of this transaction, Schlumberger will recognize a gain as a result of the deconsolidation of its subsea business. This pretax gain will be equal to the difference between the fair value of the Schlumberger subsea businesses and their carrying value at the time of closing and is currently estimated to be in excess of $1.2 billion.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28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5.  Inventory</w:t>
            </w: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6"/>
        </w:trPr>
        <w:tc>
          <w:tcPr>
            <w:tcW w:w="6300" w:type="dxa"/>
            <w:vAlign w:val="bottom"/>
            <w:gridSpan w:val="3"/>
          </w:tcPr>
          <w:p>
            <w:pPr>
              <w:spacing w:after="0"/>
              <w:rPr>
                <w:sz w:val="20"/>
                <w:szCs w:val="20"/>
                <w:color w:val="auto"/>
              </w:rPr>
            </w:pPr>
            <w:r>
              <w:rPr>
                <w:rFonts w:ascii="Arial" w:cs="Arial" w:eastAsia="Arial" w:hAnsi="Arial"/>
                <w:sz w:val="18"/>
                <w:szCs w:val="18"/>
                <w:color w:val="auto"/>
              </w:rPr>
              <w:t>A summary of inventory follows:</w:t>
            </w: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5120" w:type="dxa"/>
            <w:vAlign w:val="bottom"/>
            <w:gridSpan w:val="5"/>
          </w:tcPr>
          <w:p>
            <w:pPr>
              <w:ind w:left="396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6300" w:type="dxa"/>
            <w:vAlign w:val="bottom"/>
            <w:gridSpan w:val="3"/>
          </w:tcPr>
          <w:p>
            <w:pPr>
              <w:spacing w:after="0"/>
              <w:rPr>
                <w:sz w:val="20"/>
                <w:szCs w:val="20"/>
                <w:color w:val="auto"/>
              </w:rPr>
            </w:pPr>
            <w:r>
              <w:rPr>
                <w:rFonts w:ascii="Arial" w:cs="Arial" w:eastAsia="Arial" w:hAnsi="Arial"/>
                <w:sz w:val="14"/>
                <w:szCs w:val="14"/>
                <w:b w:val="1"/>
                <w:bCs w:val="1"/>
                <w:color w:val="auto"/>
              </w:rPr>
              <w:t>As at December 31,</w:t>
            </w:r>
          </w:p>
        </w:tc>
        <w:tc>
          <w:tcPr>
            <w:tcW w:w="4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2011</w:t>
            </w:r>
          </w:p>
        </w:tc>
      </w:tr>
      <w:tr>
        <w:trPr>
          <w:trHeight w:val="142"/>
        </w:trPr>
        <w:tc>
          <w:tcPr>
            <w:tcW w:w="63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Raw materials &amp; field materials</w:t>
            </w:r>
          </w:p>
        </w:tc>
        <w:tc>
          <w:tcPr>
            <w:tcW w:w="40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$2,519</w:t>
            </w:r>
          </w:p>
        </w:tc>
        <w:tc>
          <w:tcPr>
            <w:tcW w:w="2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$2,066</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6300" w:type="dxa"/>
            <w:vAlign w:val="bottom"/>
            <w:gridSpan w:val="3"/>
          </w:tcPr>
          <w:p>
            <w:pPr>
              <w:spacing w:after="0" w:line="149" w:lineRule="exact"/>
              <w:rPr>
                <w:sz w:val="20"/>
                <w:szCs w:val="20"/>
                <w:color w:val="auto"/>
              </w:rPr>
            </w:pPr>
            <w:r>
              <w:rPr>
                <w:rFonts w:ascii="Arial" w:cs="Arial" w:eastAsia="Arial" w:hAnsi="Arial"/>
                <w:sz w:val="14"/>
                <w:szCs w:val="14"/>
                <w:color w:val="auto"/>
              </w:rPr>
              <w:t>Work in process</w:t>
            </w:r>
          </w:p>
        </w:tc>
        <w:tc>
          <w:tcPr>
            <w:tcW w:w="4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r>
      <w:tr>
        <w:trPr>
          <w:trHeight w:val="149"/>
        </w:trPr>
        <w:tc>
          <w:tcPr>
            <w:tcW w:w="630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44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1,917</w:t>
            </w:r>
          </w:p>
        </w:tc>
        <w:tc>
          <w:tcPr>
            <w:tcW w:w="2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2,270</w:t>
            </w:r>
          </w:p>
        </w:tc>
        <w:tc>
          <w:tcPr>
            <w:tcW w:w="60" w:type="dxa"/>
            <w:vAlign w:val="bottom"/>
            <w:shd w:val="clear" w:color="auto" w:fill="CCEEFF"/>
          </w:tcPr>
          <w:p>
            <w:pPr>
              <w:spacing w:after="0"/>
              <w:rPr>
                <w:sz w:val="12"/>
                <w:szCs w:val="12"/>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4,785</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4,700</w:t>
            </w:r>
          </w:p>
        </w:tc>
        <w:tc>
          <w:tcPr>
            <w:tcW w:w="60" w:type="dxa"/>
            <w:vAlign w:val="bottom"/>
          </w:tcPr>
          <w:p>
            <w:pPr>
              <w:spacing w:after="0"/>
              <w:rPr>
                <w:sz w:val="13"/>
                <w:szCs w:val="13"/>
                <w:color w:val="auto"/>
              </w:rPr>
            </w:pPr>
          </w:p>
        </w:tc>
      </w:tr>
      <w:tr>
        <w:trPr>
          <w:trHeight w:val="27"/>
        </w:trPr>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b w:val="1"/>
                <w:bCs w:val="1"/>
                <w:color w:val="auto"/>
              </w:rPr>
              <w:t>6.</w:t>
            </w:r>
          </w:p>
        </w:tc>
        <w:tc>
          <w:tcPr>
            <w:tcW w:w="9800" w:type="dxa"/>
            <w:vAlign w:val="bottom"/>
            <w:gridSpan w:val="3"/>
          </w:tcPr>
          <w:p>
            <w:pPr>
              <w:jc w:val="right"/>
              <w:ind w:right="8829"/>
              <w:spacing w:after="0"/>
              <w:rPr>
                <w:sz w:val="20"/>
                <w:szCs w:val="20"/>
                <w:color w:val="auto"/>
              </w:rPr>
            </w:pPr>
            <w:r>
              <w:rPr>
                <w:rFonts w:ascii="Arial" w:cs="Arial" w:eastAsia="Arial" w:hAnsi="Arial"/>
                <w:sz w:val="18"/>
                <w:szCs w:val="18"/>
                <w:b w:val="1"/>
                <w:bCs w:val="1"/>
                <w:color w:val="auto"/>
                <w:w w:val="81"/>
              </w:rPr>
              <w:t>Fixed Assets</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6"/>
        </w:trPr>
        <w:tc>
          <w:tcPr>
            <w:tcW w:w="1012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5"/>
          </w:tcPr>
          <w:p>
            <w:pPr>
              <w:ind w:left="14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10120" w:type="dxa"/>
            <w:vAlign w:val="bottom"/>
            <w:gridSpan w:val="4"/>
          </w:tcPr>
          <w:p>
            <w:pPr>
              <w:spacing w:after="0"/>
              <w:rPr>
                <w:sz w:val="20"/>
                <w:szCs w:val="20"/>
                <w:color w:val="auto"/>
              </w:rPr>
            </w:pPr>
            <w:r>
              <w:rPr>
                <w:rFonts w:ascii="Arial" w:cs="Arial" w:eastAsia="Arial" w:hAnsi="Arial"/>
                <w:sz w:val="14"/>
                <w:szCs w:val="14"/>
                <w:b w:val="1"/>
                <w:bCs w:val="1"/>
                <w:color w:val="auto"/>
              </w:rPr>
              <w:t>As at December 31,</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2011</w:t>
            </w:r>
          </w:p>
        </w:tc>
      </w:tr>
      <w:tr>
        <w:trPr>
          <w:trHeight w:val="142"/>
        </w:trPr>
        <w:tc>
          <w:tcPr>
            <w:tcW w:w="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6"/>
              </w:rPr>
              <w:t>Land</w:t>
            </w:r>
          </w:p>
        </w:tc>
        <w:tc>
          <w:tcPr>
            <w:tcW w:w="92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366</w:t>
            </w: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10120" w:type="dxa"/>
            <w:vAlign w:val="bottom"/>
            <w:gridSpan w:val="4"/>
          </w:tcPr>
          <w:p>
            <w:pPr>
              <w:spacing w:after="0" w:line="149" w:lineRule="exact"/>
              <w:rPr>
                <w:sz w:val="20"/>
                <w:szCs w:val="20"/>
                <w:color w:val="auto"/>
              </w:rPr>
            </w:pPr>
            <w:r>
              <w:rPr>
                <w:rFonts w:ascii="Arial" w:cs="Arial" w:eastAsia="Arial" w:hAnsi="Arial"/>
                <w:sz w:val="14"/>
                <w:szCs w:val="14"/>
                <w:color w:val="auto"/>
              </w:rPr>
              <w:t>Buildings &amp; improvements</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3,209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2,912</w:t>
            </w:r>
          </w:p>
        </w:tc>
        <w:tc>
          <w:tcPr>
            <w:tcW w:w="60" w:type="dxa"/>
            <w:vAlign w:val="bottom"/>
          </w:tcPr>
          <w:p>
            <w:pPr>
              <w:spacing w:after="0"/>
              <w:rPr>
                <w:sz w:val="12"/>
                <w:szCs w:val="12"/>
                <w:color w:val="auto"/>
              </w:rPr>
            </w:pPr>
          </w:p>
        </w:tc>
      </w:tr>
      <w:tr>
        <w:trPr>
          <w:trHeight w:val="149"/>
        </w:trPr>
        <w:tc>
          <w:tcPr>
            <w:tcW w:w="101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Machinery &amp; equipment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27,690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24,404</w:t>
            </w:r>
          </w:p>
        </w:tc>
        <w:tc>
          <w:tcPr>
            <w:tcW w:w="60" w:type="dxa"/>
            <w:vAlign w:val="bottom"/>
            <w:shd w:val="clear" w:color="auto" w:fill="CCEEFF"/>
          </w:tcPr>
          <w:p>
            <w:pPr>
              <w:spacing w:after="0"/>
              <w:rPr>
                <w:sz w:val="12"/>
                <w:szCs w:val="12"/>
                <w:color w:val="auto"/>
              </w:rPr>
            </w:pPr>
          </w:p>
        </w:tc>
      </w:tr>
      <w:tr>
        <w:trPr>
          <w:trHeight w:val="156"/>
        </w:trPr>
        <w:tc>
          <w:tcPr>
            <w:tcW w:w="10120" w:type="dxa"/>
            <w:vAlign w:val="bottom"/>
            <w:tcBorders>
              <w:bottom w:val="single" w:sz="8" w:color="auto"/>
            </w:tcBorders>
            <w:gridSpan w:val="4"/>
          </w:tcPr>
          <w:p>
            <w:pPr>
              <w:spacing w:after="0" w:line="149" w:lineRule="exact"/>
              <w:rPr>
                <w:sz w:val="20"/>
                <w:szCs w:val="20"/>
                <w:color w:val="auto"/>
              </w:rPr>
            </w:pPr>
            <w:r>
              <w:rPr>
                <w:rFonts w:ascii="Arial" w:cs="Arial" w:eastAsia="Arial" w:hAnsi="Arial"/>
                <w:sz w:val="14"/>
                <w:szCs w:val="14"/>
                <w:color w:val="auto"/>
              </w:rPr>
              <w:t>Seismic vessels</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1,903</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1,873</w:t>
            </w:r>
          </w:p>
        </w:tc>
        <w:tc>
          <w:tcPr>
            <w:tcW w:w="60" w:type="dxa"/>
            <w:vAlign w:val="bottom"/>
          </w:tcPr>
          <w:p>
            <w:pPr>
              <w:spacing w:after="0"/>
              <w:rPr>
                <w:sz w:val="13"/>
                <w:szCs w:val="13"/>
                <w:color w:val="auto"/>
              </w:rPr>
            </w:pPr>
          </w:p>
        </w:tc>
      </w:tr>
      <w:tr>
        <w:trPr>
          <w:trHeight w:val="149"/>
        </w:trPr>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33,168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29,551</w:t>
            </w:r>
          </w:p>
        </w:tc>
        <w:tc>
          <w:tcPr>
            <w:tcW w:w="60" w:type="dxa"/>
            <w:vAlign w:val="bottom"/>
            <w:shd w:val="clear" w:color="auto" w:fill="CCEEFF"/>
          </w:tcPr>
          <w:p>
            <w:pPr>
              <w:spacing w:after="0"/>
              <w:rPr>
                <w:sz w:val="12"/>
                <w:szCs w:val="12"/>
                <w:color w:val="auto"/>
              </w:rPr>
            </w:pPr>
          </w:p>
        </w:tc>
      </w:tr>
      <w:tr>
        <w:trPr>
          <w:trHeight w:val="156"/>
        </w:trPr>
        <w:tc>
          <w:tcPr>
            <w:tcW w:w="10120" w:type="dxa"/>
            <w:vAlign w:val="bottom"/>
            <w:tcBorders>
              <w:bottom w:val="single" w:sz="8" w:color="auto"/>
            </w:tcBorders>
            <w:gridSpan w:val="4"/>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3"/>
              </w:rPr>
              <w:t>18,388</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16,558</w:t>
            </w:r>
          </w:p>
        </w:tc>
        <w:tc>
          <w:tcPr>
            <w:tcW w:w="60" w:type="dxa"/>
            <w:vAlign w:val="bottom"/>
          </w:tcPr>
          <w:p>
            <w:pPr>
              <w:spacing w:after="0"/>
              <w:rPr>
                <w:sz w:val="13"/>
                <w:szCs w:val="13"/>
                <w:color w:val="auto"/>
              </w:rPr>
            </w:pPr>
          </w:p>
        </w:tc>
      </w:tr>
      <w:tr>
        <w:trPr>
          <w:trHeight w:val="149"/>
        </w:trPr>
        <w:tc>
          <w:tcPr>
            <w:tcW w:w="320" w:type="dxa"/>
            <w:vAlign w:val="bottom"/>
            <w:shd w:val="clear" w:color="auto" w:fill="CCEEFF"/>
          </w:tcPr>
          <w:p>
            <w:pPr>
              <w:spacing w:after="0"/>
              <w:rPr>
                <w:sz w:val="12"/>
                <w:szCs w:val="12"/>
                <w:color w:val="auto"/>
              </w:rPr>
            </w:pPr>
          </w:p>
        </w:tc>
        <w:tc>
          <w:tcPr>
            <w:tcW w:w="9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14,780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12,993</w:t>
            </w:r>
          </w:p>
        </w:tc>
        <w:tc>
          <w:tcPr>
            <w:tcW w:w="60" w:type="dxa"/>
            <w:vAlign w:val="bottom"/>
            <w:shd w:val="clear" w:color="auto" w:fill="CCEEFF"/>
          </w:tcPr>
          <w:p>
            <w:pPr>
              <w:spacing w:after="0"/>
              <w:rPr>
                <w:sz w:val="12"/>
                <w:szCs w:val="12"/>
                <w:color w:val="auto"/>
              </w:rPr>
            </w:pPr>
          </w:p>
        </w:tc>
      </w:tr>
      <w:tr>
        <w:trPr>
          <w:trHeight w:val="27"/>
        </w:trPr>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estimated useful lives of Buildings &amp; improvements are primarily 30 to 40 years. The estimated useful lives of Machinery &amp; equipment are primarily 5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 years. Seismic vessels are depreciated over periods ranging from 20 to 30 years.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expense relating to fixed assets was $2.9 billion, $2.7 billion and $2.4 billion in 2012, 2011 and 2010,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7.  Multiclient Seismic Data</w:t>
            </w: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780" w:type="dxa"/>
            <w:vAlign w:val="bottom"/>
            <w:gridSpan w:val="3"/>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36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(Stated in millions)</w:t>
            </w:r>
          </w:p>
        </w:tc>
      </w:tr>
      <w:tr>
        <w:trPr>
          <w:trHeight w:val="298"/>
        </w:trPr>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2011</w:t>
            </w:r>
          </w:p>
        </w:tc>
      </w:tr>
      <w:tr>
        <w:trPr>
          <w:trHeight w:val="142"/>
        </w:trPr>
        <w:tc>
          <w:tcPr>
            <w:tcW w:w="77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at beginning of year</w:t>
            </w:r>
          </w:p>
        </w:tc>
        <w:tc>
          <w:tcPr>
            <w:tcW w:w="2520" w:type="dxa"/>
            <w:vAlign w:val="bottom"/>
            <w:tcBorders>
              <w:top w:val="single" w:sz="8" w:color="CCEEFF"/>
              <w:right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$ 425</w:t>
            </w:r>
          </w:p>
        </w:tc>
        <w:tc>
          <w:tcPr>
            <w:tcW w:w="4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$ 394</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7780" w:type="dxa"/>
            <w:vAlign w:val="bottom"/>
            <w:gridSpan w:val="3"/>
          </w:tcPr>
          <w:p>
            <w:pPr>
              <w:spacing w:after="0" w:line="149" w:lineRule="exact"/>
              <w:rPr>
                <w:sz w:val="20"/>
                <w:szCs w:val="20"/>
                <w:color w:val="auto"/>
              </w:rPr>
            </w:pPr>
            <w:r>
              <w:rPr>
                <w:rFonts w:ascii="Arial" w:cs="Arial" w:eastAsia="Arial" w:hAnsi="Arial"/>
                <w:sz w:val="14"/>
                <w:szCs w:val="14"/>
                <w:color w:val="auto"/>
              </w:rPr>
              <w:t>Capitalized in year</w:t>
            </w:r>
          </w:p>
        </w:tc>
        <w:tc>
          <w:tcPr>
            <w:tcW w:w="2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351</w:t>
            </w:r>
          </w:p>
        </w:tc>
        <w:tc>
          <w:tcPr>
            <w:tcW w:w="40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w:t>
            </w:r>
          </w:p>
        </w:tc>
      </w:tr>
      <w:tr>
        <w:trPr>
          <w:trHeight w:val="149"/>
        </w:trPr>
        <w:tc>
          <w:tcPr>
            <w:tcW w:w="7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Charged to expense</w:t>
            </w:r>
          </w:p>
        </w:tc>
        <w:tc>
          <w:tcPr>
            <w:tcW w:w="3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(258)</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w:t>
            </w:r>
          </w:p>
        </w:tc>
      </w:tr>
      <w:tr>
        <w:trPr>
          <w:trHeight w:val="156"/>
        </w:trPr>
        <w:tc>
          <w:tcPr>
            <w:tcW w:w="3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562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$ 518</w:t>
            </w:r>
          </w:p>
        </w:tc>
        <w:tc>
          <w:tcPr>
            <w:tcW w:w="400" w:type="dxa"/>
            <w:vAlign w:val="bottom"/>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$ 425</w:t>
            </w:r>
          </w:p>
        </w:tc>
        <w:tc>
          <w:tcPr>
            <w:tcW w:w="80" w:type="dxa"/>
            <w:vAlign w:val="bottom"/>
          </w:tcPr>
          <w:p>
            <w:pPr>
              <w:spacing w:after="0"/>
              <w:rPr>
                <w:sz w:val="13"/>
                <w:szCs w:val="13"/>
                <w:color w:val="auto"/>
              </w:rPr>
            </w:pPr>
          </w:p>
        </w:tc>
      </w:tr>
      <w:tr>
        <w:trPr>
          <w:trHeight w:val="27"/>
        </w:trPr>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520" w:type="dxa"/>
            <w:vAlign w:val="bottom"/>
            <w:tcBorders>
              <w:right w:val="single" w:sz="8" w:color="auto"/>
            </w:tcBorders>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Reservoir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Characterization</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Drilling</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3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2011</w:t>
            </w:r>
          </w:p>
        </w:tc>
        <w:tc>
          <w:tcPr>
            <w:tcW w:w="16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3,381</w:t>
            </w:r>
          </w:p>
        </w:tc>
        <w:tc>
          <w:tcPr>
            <w:tcW w:w="6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8,150</w:t>
            </w:r>
          </w:p>
        </w:tc>
        <w:tc>
          <w:tcPr>
            <w:tcW w:w="6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2,351</w:t>
            </w:r>
          </w:p>
        </w:tc>
        <w:tc>
          <w:tcPr>
            <w:tcW w:w="3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w:t>
            </w:r>
          </w:p>
        </w:tc>
        <w:tc>
          <w:tcPr>
            <w:tcW w:w="3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$13,952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Adjustments relating to Smith acquisition</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acquisitions</w:t>
            </w:r>
          </w:p>
        </w:tc>
        <w:tc>
          <w:tcPr>
            <w:tcW w:w="1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Divestiture of business</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9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changes in exchange rates</w:t>
            </w:r>
          </w:p>
        </w:tc>
        <w:tc>
          <w:tcPr>
            <w:tcW w:w="1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2011</w:t>
            </w: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3,360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620"/>
              <w:spacing w:after="0" w:line="155" w:lineRule="exact"/>
              <w:rPr>
                <w:sz w:val="20"/>
                <w:szCs w:val="20"/>
                <w:color w:val="auto"/>
              </w:rPr>
            </w:pPr>
            <w:r>
              <w:rPr>
                <w:rFonts w:ascii="Arial" w:cs="Arial" w:eastAsia="Arial" w:hAnsi="Arial"/>
                <w:sz w:val="14"/>
                <w:szCs w:val="14"/>
                <w:color w:val="auto"/>
                <w:w w:val="91"/>
              </w:rPr>
              <w:t>8,362</w:t>
            </w:r>
          </w:p>
        </w:tc>
        <w:tc>
          <w:tcPr>
            <w:tcW w:w="22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2,356</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76</w:t>
            </w:r>
          </w:p>
        </w:tc>
        <w:tc>
          <w:tcPr>
            <w:tcW w:w="320" w:type="dxa"/>
            <w:vAlign w:val="bottom"/>
          </w:tcPr>
          <w:p>
            <w:pPr>
              <w:spacing w:after="0"/>
              <w:rPr>
                <w:sz w:val="13"/>
                <w:szCs w:val="13"/>
                <w:color w:val="auto"/>
              </w:rPr>
            </w:pPr>
          </w:p>
        </w:tc>
        <w:tc>
          <w:tcPr>
            <w:tcW w:w="82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14,154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w:t>
            </w:r>
          </w:p>
        </w:tc>
        <w:tc>
          <w:tcPr>
            <w:tcW w:w="1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Reallocation</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Divestiture of business</w:t>
            </w:r>
          </w:p>
        </w:tc>
        <w:tc>
          <w:tcPr>
            <w:tcW w:w="1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(76)</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Impact of changes in exchange rates</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2012</w:t>
            </w:r>
          </w:p>
        </w:tc>
        <w:tc>
          <w:tcPr>
            <w:tcW w:w="1980" w:type="dxa"/>
            <w:vAlign w:val="bottom"/>
            <w:gridSpan w:val="2"/>
            <w:shd w:val="clear" w:color="auto" w:fill="CCEEFF"/>
          </w:tcPr>
          <w:p>
            <w:pPr>
              <w:ind w:left="16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3,760</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91"/>
              </w:rPr>
              <w:t>8,337</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2,488</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14,585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47</w:t>
            </w:r>
          </w:p>
        </w:tc>
        <w:tc>
          <w:tcPr>
            <w:tcW w:w="6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47" w:name="page48"/>
    <w:bookmarkEnd w:id="47"/>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Intangible Assets</w:t>
      </w:r>
    </w:p>
    <w:p>
      <w:pPr>
        <w:spacing w:after="0" w:line="96"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Intangible assets principally comprise technology/technical know-how, tradenames and customer relationships. At December 31, intangible assets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(Stated in millions)</w:t>
            </w:r>
          </w:p>
        </w:tc>
      </w:tr>
      <w:tr>
        <w:trPr>
          <w:trHeight w:val="298"/>
        </w:trPr>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1"/>
                <w:szCs w:val="11"/>
                <w:color w:val="auto"/>
              </w:rPr>
            </w:pPr>
          </w:p>
        </w:tc>
      </w:tr>
      <w:tr>
        <w:trPr>
          <w:trHeight w:val="149"/>
        </w:trPr>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Net Book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Book</w:t>
            </w:r>
          </w:p>
        </w:tc>
      </w:tr>
      <w:tr>
        <w:trPr>
          <w:trHeight w:val="161"/>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Book Value</w:t>
            </w:r>
          </w:p>
        </w:tc>
        <w:tc>
          <w:tcPr>
            <w:tcW w:w="2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Book Value</w:t>
            </w: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Amortization</w:t>
            </w:r>
          </w:p>
        </w:tc>
        <w:tc>
          <w:tcPr>
            <w:tcW w:w="2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Technology/Technical Know-How</w:t>
            </w:r>
          </w:p>
        </w:tc>
        <w:tc>
          <w:tcPr>
            <w:tcW w:w="1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1,967</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474</w:t>
            </w: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1,493</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1,875</w:t>
            </w: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$1,534</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Tradenames</w:t>
            </w: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1,647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188</w:t>
            </w: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1,459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1,677</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2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1,546</w:t>
            </w:r>
          </w:p>
        </w:tc>
        <w:tc>
          <w:tcPr>
            <w:tcW w:w="60" w:type="dxa"/>
            <w:vAlign w:val="bottom"/>
          </w:tcPr>
          <w:p>
            <w:pPr>
              <w:spacing w:after="0"/>
              <w:rPr>
                <w:sz w:val="12"/>
                <w:szCs w:val="12"/>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2,115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312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1,803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1,954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1,745</w:t>
            </w:r>
          </w:p>
        </w:tc>
        <w:tc>
          <w:tcPr>
            <w:tcW w:w="60" w:type="dxa"/>
            <w:vAlign w:val="bottom"/>
            <w:shd w:val="clear" w:color="auto" w:fill="CCEEFF"/>
          </w:tcPr>
          <w:p>
            <w:pPr>
              <w:spacing w:after="0"/>
              <w:rPr>
                <w:sz w:val="12"/>
                <w:szCs w:val="12"/>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47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356</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2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60" w:type="dxa"/>
            <w:vAlign w:val="bottom"/>
          </w:tcPr>
          <w:p>
            <w:pPr>
              <w:spacing w:after="0"/>
              <w:rPr>
                <w:sz w:val="12"/>
                <w:szCs w:val="12"/>
                <w:color w:val="auto"/>
              </w:rPr>
            </w:pPr>
          </w:p>
        </w:tc>
      </w:tr>
      <w:tr>
        <w:trPr>
          <w:trHeight w:val="27"/>
        </w:trPr>
        <w:tc>
          <w:tcPr>
            <w:tcW w:w="33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3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6,098</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4,802</w:t>
            </w: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5,862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4,882</w:t>
            </w:r>
          </w:p>
        </w:tc>
        <w:tc>
          <w:tcPr>
            <w:tcW w:w="60" w:type="dxa"/>
            <w:vAlign w:val="bottom"/>
            <w:shd w:val="clear" w:color="auto" w:fill="CCEEFF"/>
          </w:tcPr>
          <w:p>
            <w:pPr>
              <w:spacing w:after="0"/>
              <w:rPr>
                <w:sz w:val="12"/>
                <w:szCs w:val="12"/>
                <w:color w:val="auto"/>
              </w:rPr>
            </w:pPr>
          </w:p>
        </w:tc>
      </w:tr>
      <w:tr>
        <w:trPr>
          <w:trHeight w:val="27"/>
        </w:trPr>
        <w:tc>
          <w:tcPr>
            <w:tcW w:w="3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 expense was $331 million in 2012, $324 million in 2011 and $190 million in 2010.</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9"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Amortization expense for the subsequent five years is estimated to be as follows: 2013 – $325 million, 2014 – $320 million, 2015 – $311 million, 2016 – $295 million and 2017 – $284 million.</w:t>
      </w:r>
    </w:p>
    <w:p>
      <w:pPr>
        <w:spacing w:after="0" w:line="132" w:lineRule="exact"/>
        <w:rPr>
          <w:sz w:val="20"/>
          <w:szCs w:val="20"/>
          <w:color w:val="auto"/>
        </w:rPr>
      </w:pPr>
    </w:p>
    <w:p>
      <w:pPr>
        <w:ind w:right="7520" w:firstLine="8"/>
        <w:spacing w:after="0" w:line="388" w:lineRule="auto"/>
        <w:tabs>
          <w:tab w:leader="none" w:pos="395"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Long-term Debt and Debt Facility Agreements </w:t>
      </w: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5200" w:type="dxa"/>
            <w:vAlign w:val="bottom"/>
            <w:gridSpan w:val="5"/>
          </w:tcPr>
          <w:p>
            <w:pPr>
              <w:ind w:left="404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2011</w:t>
            </w:r>
          </w:p>
        </w:tc>
      </w:tr>
      <w:tr>
        <w:trPr>
          <w:trHeight w:val="142"/>
        </w:trPr>
        <w:tc>
          <w:tcPr>
            <w:tcW w:w="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0"/>
              </w:rPr>
              <w:t>3.30%</w:t>
            </w:r>
          </w:p>
        </w:tc>
        <w:tc>
          <w:tcPr>
            <w:tcW w:w="58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Senior Notes due 2021</w:t>
            </w:r>
          </w:p>
        </w:tc>
        <w:tc>
          <w:tcPr>
            <w:tcW w:w="4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$1,595</w:t>
            </w:r>
          </w:p>
        </w:tc>
        <w:tc>
          <w:tcPr>
            <w:tcW w:w="2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$1,595</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4.50%</w:t>
            </w:r>
          </w:p>
        </w:tc>
        <w:tc>
          <w:tcPr>
            <w:tcW w:w="584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Guaranteed Notes due 2014 </w:t>
            </w:r>
            <w:r>
              <w:rPr>
                <w:rFonts w:ascii="Arial" w:cs="Arial" w:eastAsia="Arial" w:hAnsi="Arial"/>
                <w:sz w:val="17"/>
                <w:szCs w:val="17"/>
                <w:color w:val="auto"/>
                <w:vertAlign w:val="superscript"/>
              </w:rPr>
              <w:t>(1)</w:t>
            </w:r>
          </w:p>
        </w:tc>
        <w:tc>
          <w:tcPr>
            <w:tcW w:w="4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1,324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1,297</w:t>
            </w:r>
          </w:p>
        </w:tc>
        <w:tc>
          <w:tcPr>
            <w:tcW w:w="60" w:type="dxa"/>
            <w:vAlign w:val="bottom"/>
          </w:tcPr>
          <w:p>
            <w:pPr>
              <w:spacing w:after="0"/>
              <w:rPr>
                <w:sz w:val="12"/>
                <w:szCs w:val="12"/>
                <w:color w:val="auto"/>
              </w:rPr>
            </w:pP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2.75%</w:t>
            </w:r>
          </w:p>
        </w:tc>
        <w:tc>
          <w:tcPr>
            <w:tcW w:w="5840" w:type="dxa"/>
            <w:vAlign w:val="bottom"/>
            <w:shd w:val="clear" w:color="auto" w:fill="CCEEFF"/>
          </w:tcPr>
          <w:p>
            <w:pPr>
              <w:ind w:left="20"/>
              <w:spacing w:after="0" w:line="149" w:lineRule="exact"/>
              <w:rPr>
                <w:sz w:val="20"/>
                <w:szCs w:val="20"/>
                <w:color w:val="auto"/>
              </w:rPr>
            </w:pPr>
            <w:r>
              <w:rPr>
                <w:rFonts w:ascii="Arial" w:cs="Arial" w:eastAsia="Arial" w:hAnsi="Arial"/>
                <w:sz w:val="11"/>
                <w:szCs w:val="11"/>
                <w:color w:val="auto"/>
              </w:rPr>
              <w:t xml:space="preserve">Guaranteed Notes due 2015 </w:t>
            </w:r>
            <w:r>
              <w:rPr>
                <w:rFonts w:ascii="Arial" w:cs="Arial" w:eastAsia="Arial" w:hAnsi="Arial"/>
                <w:sz w:val="17"/>
                <w:szCs w:val="17"/>
                <w:color w:val="auto"/>
                <w:vertAlign w:val="superscript"/>
              </w:rPr>
              <w:t>(1)</w:t>
            </w:r>
          </w:p>
        </w:tc>
        <w:tc>
          <w:tcPr>
            <w:tcW w:w="4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1,290</w:t>
            </w:r>
          </w:p>
        </w:tc>
        <w:tc>
          <w:tcPr>
            <w:tcW w:w="60" w:type="dxa"/>
            <w:vAlign w:val="bottom"/>
            <w:shd w:val="clear" w:color="auto" w:fill="CCEEFF"/>
          </w:tcPr>
          <w:p>
            <w:pPr>
              <w:spacing w:after="0"/>
              <w:rPr>
                <w:sz w:val="12"/>
                <w:szCs w:val="12"/>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1.95%</w:t>
            </w:r>
          </w:p>
        </w:tc>
        <w:tc>
          <w:tcPr>
            <w:tcW w:w="584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2016</w:t>
            </w:r>
          </w:p>
        </w:tc>
        <w:tc>
          <w:tcPr>
            <w:tcW w:w="4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1,099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1,099</w:t>
            </w:r>
          </w:p>
        </w:tc>
        <w:tc>
          <w:tcPr>
            <w:tcW w:w="60" w:type="dxa"/>
            <w:vAlign w:val="bottom"/>
          </w:tcPr>
          <w:p>
            <w:pPr>
              <w:spacing w:after="0"/>
              <w:rPr>
                <w:sz w:val="12"/>
                <w:szCs w:val="12"/>
                <w:color w:val="auto"/>
              </w:rPr>
            </w:pP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4.20%</w:t>
            </w:r>
          </w:p>
        </w:tc>
        <w:tc>
          <w:tcPr>
            <w:tcW w:w="5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Senior Notes due 2021</w:t>
            </w:r>
          </w:p>
        </w:tc>
        <w:tc>
          <w:tcPr>
            <w:tcW w:w="4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1,099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1,099</w:t>
            </w:r>
          </w:p>
        </w:tc>
        <w:tc>
          <w:tcPr>
            <w:tcW w:w="60" w:type="dxa"/>
            <w:vAlign w:val="bottom"/>
            <w:shd w:val="clear" w:color="auto" w:fill="CCEEFF"/>
          </w:tcPr>
          <w:p>
            <w:pPr>
              <w:spacing w:after="0"/>
              <w:rPr>
                <w:sz w:val="12"/>
                <w:szCs w:val="12"/>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1.25%</w:t>
            </w:r>
          </w:p>
        </w:tc>
        <w:tc>
          <w:tcPr>
            <w:tcW w:w="584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2017</w:t>
            </w:r>
          </w:p>
        </w:tc>
        <w:tc>
          <w:tcPr>
            <w:tcW w:w="4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999</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2.40%</w:t>
            </w:r>
          </w:p>
        </w:tc>
        <w:tc>
          <w:tcPr>
            <w:tcW w:w="5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Senior Notes due 2022</w:t>
            </w:r>
          </w:p>
        </w:tc>
        <w:tc>
          <w:tcPr>
            <w:tcW w:w="4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998</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5.25%</w:t>
            </w:r>
          </w:p>
        </w:tc>
        <w:tc>
          <w:tcPr>
            <w:tcW w:w="584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Guaranteed Notes due 2013 </w:t>
            </w:r>
            <w:r>
              <w:rPr>
                <w:rFonts w:ascii="Arial" w:cs="Arial" w:eastAsia="Arial" w:hAnsi="Arial"/>
                <w:sz w:val="17"/>
                <w:szCs w:val="17"/>
                <w:color w:val="auto"/>
                <w:vertAlign w:val="superscript"/>
              </w:rPr>
              <w:t>(2)</w:t>
            </w:r>
          </w:p>
        </w:tc>
        <w:tc>
          <w:tcPr>
            <w:tcW w:w="4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649</w:t>
            </w:r>
          </w:p>
        </w:tc>
        <w:tc>
          <w:tcPr>
            <w:tcW w:w="60" w:type="dxa"/>
            <w:vAlign w:val="bottom"/>
          </w:tcPr>
          <w:p>
            <w:pPr>
              <w:spacing w:after="0"/>
              <w:rPr>
                <w:sz w:val="12"/>
                <w:szCs w:val="12"/>
                <w:color w:val="auto"/>
              </w:rPr>
            </w:pP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2.65%</w:t>
            </w:r>
          </w:p>
        </w:tc>
        <w:tc>
          <w:tcPr>
            <w:tcW w:w="5840" w:type="dxa"/>
            <w:vAlign w:val="bottom"/>
            <w:shd w:val="clear" w:color="auto" w:fill="CCEEFF"/>
          </w:tcPr>
          <w:p>
            <w:pPr>
              <w:ind w:left="20"/>
              <w:spacing w:after="0" w:line="149" w:lineRule="exact"/>
              <w:rPr>
                <w:sz w:val="20"/>
                <w:szCs w:val="20"/>
                <w:color w:val="auto"/>
              </w:rPr>
            </w:pPr>
            <w:r>
              <w:rPr>
                <w:rFonts w:ascii="Arial" w:cs="Arial" w:eastAsia="Arial" w:hAnsi="Arial"/>
                <w:sz w:val="11"/>
                <w:szCs w:val="11"/>
                <w:color w:val="auto"/>
              </w:rPr>
              <w:t xml:space="preserve">Senior Notes due 2016 </w:t>
            </w:r>
            <w:r>
              <w:rPr>
                <w:rFonts w:ascii="Arial" w:cs="Arial" w:eastAsia="Arial" w:hAnsi="Arial"/>
                <w:sz w:val="17"/>
                <w:szCs w:val="17"/>
                <w:color w:val="auto"/>
                <w:vertAlign w:val="superscript"/>
              </w:rPr>
              <w:t>(3)</w:t>
            </w:r>
          </w:p>
        </w:tc>
        <w:tc>
          <w:tcPr>
            <w:tcW w:w="4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60" w:type="dxa"/>
            <w:vAlign w:val="bottom"/>
            <w:shd w:val="clear" w:color="auto" w:fill="CCEEFF"/>
          </w:tcPr>
          <w:p>
            <w:pPr>
              <w:spacing w:after="0"/>
              <w:rPr>
                <w:sz w:val="12"/>
                <w:szCs w:val="12"/>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3.00%</w:t>
            </w:r>
          </w:p>
        </w:tc>
        <w:tc>
          <w:tcPr>
            <w:tcW w:w="5840" w:type="dxa"/>
            <w:vAlign w:val="bottom"/>
          </w:tcPr>
          <w:p>
            <w:pPr>
              <w:ind w:left="20"/>
              <w:spacing w:after="0" w:line="149" w:lineRule="exact"/>
              <w:rPr>
                <w:sz w:val="20"/>
                <w:szCs w:val="20"/>
                <w:color w:val="auto"/>
              </w:rPr>
            </w:pPr>
            <w:r>
              <w:rPr>
                <w:rFonts w:ascii="Arial" w:cs="Arial" w:eastAsia="Arial" w:hAnsi="Arial"/>
                <w:sz w:val="14"/>
                <w:szCs w:val="14"/>
                <w:color w:val="auto"/>
              </w:rPr>
              <w:t>Guaranteed Notes due 2013</w:t>
            </w:r>
          </w:p>
        </w:tc>
        <w:tc>
          <w:tcPr>
            <w:tcW w:w="4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w:t>
            </w:r>
          </w:p>
        </w:tc>
        <w:tc>
          <w:tcPr>
            <w:tcW w:w="60" w:type="dxa"/>
            <w:vAlign w:val="bottom"/>
          </w:tcPr>
          <w:p>
            <w:pPr>
              <w:spacing w:after="0"/>
              <w:rPr>
                <w:sz w:val="12"/>
                <w:szCs w:val="12"/>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Floating Rate Senior Notes due 2014 </w:t>
            </w:r>
            <w:r>
              <w:rPr>
                <w:rFonts w:ascii="Arial" w:cs="Arial" w:eastAsia="Arial" w:hAnsi="Arial"/>
                <w:sz w:val="17"/>
                <w:szCs w:val="17"/>
                <w:color w:val="auto"/>
                <w:vertAlign w:val="superscript"/>
              </w:rPr>
              <w:t>(4)</w:t>
            </w:r>
          </w:p>
        </w:tc>
        <w:tc>
          <w:tcPr>
            <w:tcW w:w="4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2"/>
                <w:szCs w:val="12"/>
                <w:color w:val="auto"/>
              </w:rPr>
            </w:pPr>
          </w:p>
        </w:tc>
      </w:tr>
      <w:tr>
        <w:trPr>
          <w:trHeight w:val="156"/>
        </w:trPr>
        <w:tc>
          <w:tcPr>
            <w:tcW w:w="62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 variable rate debt</w:t>
            </w:r>
          </w:p>
        </w:tc>
        <w:tc>
          <w:tcPr>
            <w:tcW w:w="44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277</w:t>
            </w:r>
          </w:p>
        </w:tc>
        <w:tc>
          <w:tcPr>
            <w:tcW w:w="28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271</w:t>
            </w:r>
          </w:p>
        </w:tc>
        <w:tc>
          <w:tcPr>
            <w:tcW w:w="60" w:type="dxa"/>
            <w:vAlign w:val="bottom"/>
          </w:tcPr>
          <w:p>
            <w:pPr>
              <w:spacing w:after="0"/>
              <w:rPr>
                <w:sz w:val="13"/>
                <w:szCs w:val="13"/>
                <w:color w:val="auto"/>
              </w:rPr>
            </w:pPr>
          </w:p>
        </w:tc>
      </w:tr>
      <w:tr>
        <w:trPr>
          <w:trHeight w:val="149"/>
        </w:trPr>
        <w:tc>
          <w:tcPr>
            <w:tcW w:w="380" w:type="dxa"/>
            <w:vAlign w:val="bottom"/>
            <w:shd w:val="clear" w:color="auto" w:fill="CCEEFF"/>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9,509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8,548</w:t>
            </w:r>
          </w:p>
        </w:tc>
        <w:tc>
          <w:tcPr>
            <w:tcW w:w="60" w:type="dxa"/>
            <w:vAlign w:val="bottom"/>
            <w:shd w:val="clear" w:color="auto" w:fill="CCEEFF"/>
          </w:tcPr>
          <w:p>
            <w:pPr>
              <w:spacing w:after="0"/>
              <w:rPr>
                <w:sz w:val="12"/>
                <w:szCs w:val="12"/>
                <w:color w:val="auto"/>
              </w:rPr>
            </w:pPr>
          </w:p>
        </w:tc>
      </w:tr>
      <w:tr>
        <w:trPr>
          <w:trHeight w:val="156"/>
        </w:trPr>
        <w:tc>
          <w:tcPr>
            <w:tcW w:w="62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1"/>
                <w:szCs w:val="11"/>
                <w:color w:val="auto"/>
              </w:rPr>
              <w:t xml:space="preserve">Fair value adjustment – hedging </w:t>
            </w:r>
            <w:r>
              <w:rPr>
                <w:rFonts w:ascii="Arial" w:cs="Arial" w:eastAsia="Arial" w:hAnsi="Arial"/>
                <w:sz w:val="17"/>
                <w:szCs w:val="17"/>
                <w:color w:val="auto"/>
                <w:vertAlign w:val="superscript"/>
              </w:rPr>
              <w:t>(5)</w:t>
            </w:r>
          </w:p>
        </w:tc>
        <w:tc>
          <w:tcPr>
            <w:tcW w:w="4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3"/>
                <w:szCs w:val="13"/>
                <w:color w:val="auto"/>
              </w:rPr>
            </w:pPr>
          </w:p>
        </w:tc>
      </w:tr>
      <w:tr>
        <w:trPr>
          <w:trHeight w:val="149"/>
        </w:trPr>
        <w:tc>
          <w:tcPr>
            <w:tcW w:w="380" w:type="dxa"/>
            <w:vAlign w:val="bottom"/>
            <w:shd w:val="clear" w:color="auto" w:fill="CCEEFF"/>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4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9,509</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8,556</w:t>
            </w:r>
          </w:p>
        </w:tc>
        <w:tc>
          <w:tcPr>
            <w:tcW w:w="60" w:type="dxa"/>
            <w:vAlign w:val="bottom"/>
            <w:shd w:val="clear" w:color="auto" w:fill="CCEEFF"/>
          </w:tcPr>
          <w:p>
            <w:pPr>
              <w:spacing w:after="0"/>
              <w:rPr>
                <w:sz w:val="12"/>
                <w:szCs w:val="12"/>
                <w:color w:val="auto"/>
              </w:rPr>
            </w:pPr>
          </w:p>
        </w:tc>
      </w:tr>
      <w:tr>
        <w:trPr>
          <w:trHeight w:val="27"/>
        </w:trPr>
        <w:tc>
          <w:tcPr>
            <w:tcW w:w="3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86" w:lineRule="exact"/>
        <w:rPr>
          <w:sz w:val="20"/>
          <w:szCs w:val="20"/>
          <w:color w:val="auto"/>
        </w:rPr>
      </w:pPr>
    </w:p>
    <w:p>
      <w:pPr>
        <w:ind w:left="220" w:right="20" w:hanging="212"/>
        <w:spacing w:after="0" w:line="289" w:lineRule="auto"/>
        <w:tabs>
          <w:tab w:leader="none" w:pos="22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Schlumberger maintains a €3.0 billion Euro Medium Term Note program that provides for the issuance of various types of debt instruments such as fixed or floating rate notes in euro, US dollar or other currencies. Schlumberger issued €1.0 billion 2.75% Guaranteed Notes due 2015 in the fourth quarter of 2010 under this program. Schlumberger entered into agreements to swap these euro notes for US dollars on the date of issue until maturity, effectively making this a US dollar denominated debt on which Schlumberger will pay interest in US dollars at a rate of 2.56%. Schlumberger also issued €1.0 billion 4.50% Guaranteed Notes due 2014 in the first quarter of 2009 under this program. Schlumberger entered into agreements to swap these euro notes for US dollars on the date of issue until maturity, effectively making this a US dollar denominated debt on which Schlumberger will pay interest in US dollars at a rate of 4.95%.</w:t>
      </w:r>
    </w:p>
    <w:p>
      <w:pPr>
        <w:spacing w:after="0" w:line="1" w:lineRule="exact"/>
        <w:rPr>
          <w:rFonts w:ascii="Arial" w:cs="Arial" w:eastAsia="Arial" w:hAnsi="Arial"/>
          <w:sz w:val="19"/>
          <w:szCs w:val="19"/>
          <w:color w:val="auto"/>
          <w:vertAlign w:val="superscript"/>
        </w:rPr>
      </w:pPr>
    </w:p>
    <w:p>
      <w:pPr>
        <w:ind w:left="220" w:right="700" w:hanging="212"/>
        <w:spacing w:after="0" w:line="225" w:lineRule="auto"/>
        <w:tabs>
          <w:tab w:leader="none" w:pos="2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Schlumberger entered into agreements to swap these euro notes for US dollars on the date of issue until maturity, effectively making this a US dollar-denominated debt on which Schlumberger pays interest in US dollars at a rate of 4.74%.</w:t>
      </w:r>
    </w:p>
    <w:p>
      <w:pPr>
        <w:ind w:left="220" w:right="80" w:hanging="212"/>
        <w:spacing w:after="0" w:line="225" w:lineRule="auto"/>
        <w:tabs>
          <w:tab w:leader="none" w:pos="2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Schlumberger entered into agreements to swap these dollar notes for euros on the date of issue until maturity, effectively making this a euro-denominated debt on which Schlumberger pays interest in euros at a rate of 2.39%.</w:t>
      </w:r>
    </w:p>
    <w:p>
      <w:pPr>
        <w:ind w:left="220" w:hanging="212"/>
        <w:spacing w:after="0" w:line="205" w:lineRule="auto"/>
        <w:tabs>
          <w:tab w:leader="none" w:pos="2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These notes bear interest at a rate equal to three-month LIBOR plus 55 basis points per year.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ind w:left="220" w:hanging="212"/>
        <w:spacing w:after="0"/>
        <w:tabs>
          <w:tab w:leader="none" w:pos="22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changes in the fair value of the portion of Schlumberger’s fixed rate debt that is hedged through the use of interest rate swaps.</w:t>
      </w:r>
    </w:p>
    <w:p>
      <w:pPr>
        <w:spacing w:after="0" w:line="75" w:lineRule="exact"/>
        <w:rPr>
          <w:sz w:val="20"/>
          <w:szCs w:val="20"/>
          <w:color w:val="auto"/>
        </w:rPr>
      </w:pPr>
    </w:p>
    <w:p>
      <w:pPr>
        <w:ind w:right="540" w:firstLine="228"/>
        <w:spacing w:after="0" w:line="254"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the securities by Schlumberger Investment SA, a 100% – owned finance subsidiary of Schlumberger.</w:t>
      </w:r>
    </w:p>
    <w:p>
      <w:pPr>
        <w:ind w:right="40" w:firstLine="228"/>
        <w:spacing w:after="0" w:line="281" w:lineRule="auto"/>
        <w:rPr>
          <w:sz w:val="20"/>
          <w:szCs w:val="20"/>
          <w:color w:val="auto"/>
        </w:rPr>
      </w:pPr>
      <w:r>
        <w:rPr>
          <w:rFonts w:ascii="Arial" w:cs="Arial" w:eastAsia="Arial" w:hAnsi="Arial"/>
          <w:sz w:val="16"/>
          <w:szCs w:val="16"/>
          <w:color w:val="auto"/>
        </w:rPr>
        <w:t xml:space="preserve">At December 31, 2012, Schlumberger had separate committed debt facility agreements aggregating $4.1 billion with commercial banks, of which $3.8 billion was available and unused. This included $3.5 billion of committed facilities which support commercial paper programs in the United States and Europe, of which $0.5 billion mature in December 2013 and $3.0 billion mature in July 2016. Interest rates and other terms of borrowing under these lines of credit vary from country to country. There were no borrowings under the commercial paper programs at December 31, 2012. At December 31, 2011, Schlumberger had $0.9 billion of outstanding commercial paper borrowings, which were classified within </w:t>
      </w:r>
      <w:r>
        <w:rPr>
          <w:rFonts w:ascii="Arial" w:cs="Arial" w:eastAsia="Arial" w:hAnsi="Arial"/>
          <w:sz w:val="16"/>
          <w:szCs w:val="16"/>
          <w:i w:val="1"/>
          <w:iCs w:val="1"/>
          <w:color w:val="auto"/>
        </w:rPr>
        <w:t>Long-term debt – current portion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3"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Commercial paper borrowings outstanding at December 31, 2011 included certain notes issued in currencies other than the US dollar which were swapped for US dollars and pounds sterling on the date of issue until maturity. Commercial paper borrowings are classified as long-term debt to the extent of their backup by available and unused committed credit facilities maturing in more than one year and to the extent it is Schlumberger’s intent to maintain these obligations for longer than one year.</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interest rate on variable rate debt as of December 31, 2012 was 3.6%.</w:t>
      </w:r>
    </w:p>
    <w:p>
      <w:pPr>
        <w:spacing w:after="0" w:line="9"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2012, is due as follows: $1.657 billion in 2014, $1.318 billion in 2015, $1.843 billion in 2016, $0.999 billion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$2.694 billion in 2021 and $0.998 billion in 2022.</w:t>
      </w:r>
    </w:p>
    <w:p>
      <w:pPr>
        <w:spacing w:after="0" w:line="1" w:lineRule="exact"/>
        <w:rPr>
          <w:sz w:val="20"/>
          <w:szCs w:val="20"/>
          <w:color w:val="auto"/>
        </w:rPr>
      </w:pPr>
    </w:p>
    <w:p>
      <w:pPr>
        <w:ind w:right="460" w:firstLine="228"/>
        <w:spacing w:after="0" w:line="261"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December 31, 2012 and December 31, 2011 was $9.9 billion and $8.9 billion, respectively, and was estimated based on quoted market prices.</w:t>
      </w:r>
    </w:p>
    <w:p>
      <w:pPr>
        <w:spacing w:after="0" w:line="132"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380" w:firstLine="228"/>
        <w:spacing w:after="0" w:line="33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firstLine="228"/>
        <w:spacing w:after="0" w:line="283" w:lineRule="auto"/>
        <w:rPr>
          <w:sz w:val="20"/>
          <w:szCs w:val="20"/>
          <w:color w:val="auto"/>
        </w:rPr>
      </w:pPr>
      <w:r>
        <w:rPr>
          <w:rFonts w:ascii="Arial" w:cs="Arial" w:eastAsia="Arial" w:hAnsi="Arial"/>
          <w:sz w:val="16"/>
          <w:szCs w:val="16"/>
          <w:color w:val="auto"/>
        </w:rPr>
        <w:t>As a multinational company, Schlumberger conducts its business in approximately 85 countries. Schlumberger’s functional currency is primarily the US dollar, which is consistent with the oil and gas industry. Approximately 75% of Schlumberger’s revenue in 2012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 – reported expenses will increase (decrease).</w:t>
      </w:r>
    </w:p>
    <w:p>
      <w:pPr>
        <w:spacing w:after="0" w:line="3"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are reclassified into</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in the same period or periods that the hedged item is recognized in earnings. The ineffective portion of changes in the fair value of hedging instruments, if any, is recorded directly to earnings.</w:t>
      </w:r>
    </w:p>
    <w:p>
      <w:pPr>
        <w:spacing w:after="0" w:line="3"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 xml:space="preserve">At December 31, 2012, Schlumberger recognized a cumulative net $30 million gain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for certain currencies. The fair value of these contracts are recorded on the Consolidated Balance Sheet and changes in the fair value recognized in the Consolidated Statement of Income along with the change in fair value of the hedged item.</w:t>
      </w:r>
    </w:p>
    <w:p>
      <w:pPr>
        <w:spacing w:after="0" w:line="2" w:lineRule="exact"/>
        <w:rPr>
          <w:sz w:val="20"/>
          <w:szCs w:val="20"/>
          <w:color w:val="auto"/>
        </w:rPr>
      </w:pPr>
    </w:p>
    <w:p>
      <w:pPr>
        <w:ind w:right="320" w:firstLine="228"/>
        <w:spacing w:after="0" w:line="261" w:lineRule="auto"/>
        <w:rPr>
          <w:sz w:val="20"/>
          <w:szCs w:val="20"/>
          <w:color w:val="auto"/>
        </w:rPr>
      </w:pPr>
      <w:r>
        <w:rPr>
          <w:rFonts w:ascii="Arial" w:cs="Arial" w:eastAsia="Arial" w:hAnsi="Arial"/>
          <w:sz w:val="18"/>
          <w:szCs w:val="18"/>
          <w:color w:val="auto"/>
        </w:rPr>
        <w:t>At December 31, 2012, contracts were outstanding for the US dollar equivalent of $7.5 billion in various foreign currencies, of which $3.9 billion relate to hedges of debt denominated in currencies other than the functional currency.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00"/>
          </w:cols>
          <w:pgMar w:left="240" w:top="249"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Commodity Price Risk</w:t>
      </w:r>
    </w:p>
    <w:p>
      <w:pPr>
        <w:spacing w:after="0" w:line="90" w:lineRule="exact"/>
        <w:rPr>
          <w:sz w:val="20"/>
          <w:szCs w:val="20"/>
          <w:color w:val="auto"/>
        </w:rPr>
      </w:pPr>
    </w:p>
    <w:p>
      <w:pPr>
        <w:ind w:right="40" w:firstLine="228"/>
        <w:spacing w:after="0" w:line="252"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notional amount of outstanding commodity forward contracts was $43 million at December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from time to time, interest rate swaps to mitigate the exposure to changes in interest rates.</w:t>
      </w:r>
    </w:p>
    <w:p>
      <w:pPr>
        <w:ind w:right="120" w:firstLine="228"/>
        <w:spacing w:after="0" w:line="281" w:lineRule="auto"/>
        <w:rPr>
          <w:sz w:val="20"/>
          <w:szCs w:val="20"/>
          <w:color w:val="auto"/>
        </w:rPr>
      </w:pPr>
      <w:r>
        <w:rPr>
          <w:rFonts w:ascii="Arial" w:cs="Arial" w:eastAsia="Arial" w:hAnsi="Arial"/>
          <w:sz w:val="16"/>
          <w:szCs w:val="16"/>
          <w:color w:val="auto"/>
        </w:rPr>
        <w:t xml:space="preserve">During 2009, Schlumberger entered into an interest rate swap for a notional amount of $450 million in order to hedge changes in the fair value of Schlumberger’s $450 million 3.00% Notes due 2013. Under the terms of this swap, Schlumberger receives interest at a fixed rate of 3.0% annually and will pay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3" w:lineRule="exact"/>
        <w:rPr>
          <w:sz w:val="20"/>
          <w:szCs w:val="20"/>
          <w:color w:val="auto"/>
        </w:rPr>
      </w:pPr>
    </w:p>
    <w:p>
      <w:pPr>
        <w:ind w:right="540" w:firstLine="228"/>
        <w:spacing w:after="0" w:line="261" w:lineRule="auto"/>
        <w:rPr>
          <w:sz w:val="20"/>
          <w:szCs w:val="20"/>
          <w:color w:val="auto"/>
        </w:rPr>
      </w:pPr>
      <w:r>
        <w:rPr>
          <w:rFonts w:ascii="Arial" w:cs="Arial" w:eastAsia="Arial" w:hAnsi="Arial"/>
          <w:sz w:val="18"/>
          <w:szCs w:val="18"/>
          <w:color w:val="auto"/>
        </w:rPr>
        <w:t>At December 31, 2012, Schlumberger had fixed rate debt aggregating approximately $9.6 billion and variable rate debt aggregating approximately $2.0 billion, after taking into account the effect of the interest rate swap.</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(Stated in millions)</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Fair Value of</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Derivatives</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83"/>
              </w:rPr>
              <w:t>Dec. 31,</w:t>
            </w:r>
          </w:p>
        </w:tc>
        <w:tc>
          <w:tcPr>
            <w:tcW w:w="300" w:type="dxa"/>
            <w:vAlign w:val="bottom"/>
          </w:tcPr>
          <w:p>
            <w:pPr>
              <w:spacing w:after="0"/>
              <w:rPr>
                <w:sz w:val="11"/>
                <w:szCs w:val="11"/>
                <w:color w:val="auto"/>
              </w:rPr>
            </w:pPr>
          </w:p>
        </w:tc>
        <w:tc>
          <w:tcPr>
            <w:tcW w:w="4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Consolidated Balance Sheet Classification</w:t>
            </w:r>
          </w:p>
        </w:tc>
        <w:tc>
          <w:tcPr>
            <w:tcW w:w="0" w:type="dxa"/>
            <w:vAlign w:val="bottom"/>
          </w:tcPr>
          <w:p>
            <w:pPr>
              <w:spacing w:after="0"/>
              <w:rPr>
                <w:sz w:val="1"/>
                <w:szCs w:val="1"/>
                <w:color w:val="auto"/>
              </w:rPr>
            </w:pPr>
          </w:p>
        </w:tc>
      </w:tr>
      <w:tr>
        <w:trPr>
          <w:trHeight w:val="16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4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Derivative designated as hedges:</w:t>
            </w: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6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Interest rate swaps</w:t>
            </w:r>
          </w:p>
        </w:tc>
        <w:tc>
          <w:tcPr>
            <w:tcW w:w="12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Derivative not designated as hedges:</w:t>
            </w: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28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Derivative Liabilities</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designated as hedges: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80</w:t>
            </w:r>
          </w:p>
        </w:tc>
        <w:tc>
          <w:tcPr>
            <w:tcW w:w="6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w:t>
            </w:r>
          </w:p>
        </w:tc>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Accounts payable and accrued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w:t>
            </w:r>
          </w:p>
        </w:tc>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Liabilities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99</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177</w:t>
            </w:r>
          </w:p>
        </w:tc>
        <w:tc>
          <w:tcPr>
            <w:tcW w:w="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Derivative not designated as hedges:</w:t>
            </w: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Commodity contracts</w:t>
            </w:r>
          </w:p>
        </w:tc>
        <w:tc>
          <w:tcPr>
            <w:tcW w:w="12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4320" w:type="dxa"/>
            <w:vAlign w:val="bottom"/>
            <w:gridSpan w:val="2"/>
          </w:tcPr>
          <w:p>
            <w:pPr>
              <w:ind w:left="280"/>
              <w:spacing w:after="0" w:line="149" w:lineRule="exact"/>
              <w:rPr>
                <w:sz w:val="20"/>
                <w:szCs w:val="20"/>
                <w:color w:val="auto"/>
              </w:rPr>
            </w:pPr>
            <w:r>
              <w:rPr>
                <w:rFonts w:ascii="Arial" w:cs="Arial" w:eastAsia="Arial" w:hAnsi="Arial"/>
                <w:sz w:val="14"/>
                <w:szCs w:val="14"/>
                <w:i w:val="1"/>
                <w:iCs w:val="1"/>
                <w:color w:val="auto"/>
              </w:rPr>
              <w:t>Accounts payable and accrued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43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Accounts payable and accrued liabilities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12</w:t>
            </w:r>
          </w:p>
        </w:tc>
        <w:tc>
          <w:tcPr>
            <w:tcW w:w="2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w:t>
            </w:r>
          </w:p>
        </w:tc>
        <w:tc>
          <w:tcPr>
            <w:tcW w:w="28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ind w:left="2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effect of derivative instruments designated as fair value hedges and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(Stated in millions)</w:t>
            </w: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jc w:val="right"/>
              <w:ind w:right="49"/>
              <w:spacing w:after="0"/>
              <w:rPr>
                <w:sz w:val="20"/>
                <w:szCs w:val="20"/>
                <w:color w:val="auto"/>
              </w:rPr>
            </w:pPr>
            <w:r>
              <w:rPr>
                <w:rFonts w:ascii="Arial" w:cs="Arial" w:eastAsia="Arial" w:hAnsi="Arial"/>
                <w:sz w:val="14"/>
                <w:szCs w:val="14"/>
                <w:b w:val="1"/>
                <w:bCs w:val="1"/>
                <w:color w:val="auto"/>
              </w:rPr>
              <w:t>Gain (Loss) Recognized in</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 of Income Classifiaction</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2"/>
                <w:szCs w:val="12"/>
                <w:color w:val="auto"/>
              </w:rPr>
            </w:pP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Derivatives designated as fair value hedges:</w:t>
            </w: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4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w:t>
            </w:r>
          </w:p>
        </w:tc>
        <w:tc>
          <w:tcPr>
            <w:tcW w:w="4020" w:type="dxa"/>
            <w:vAlign w:val="bottom"/>
          </w:tcPr>
          <w:p>
            <w:pPr>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rate swaps</w:t>
            </w:r>
          </w:p>
        </w:tc>
        <w:tc>
          <w:tcPr>
            <w:tcW w:w="1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4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500" w:type="dxa"/>
            <w:vAlign w:val="bottom"/>
            <w:shd w:val="clear" w:color="auto" w:fill="CCEEFF"/>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Interest expense</w:t>
            </w:r>
          </w:p>
        </w:tc>
        <w:tc>
          <w:tcPr>
            <w:tcW w:w="0" w:type="dxa"/>
            <w:vAlign w:val="bottom"/>
          </w:tcPr>
          <w:p>
            <w:pPr>
              <w:spacing w:after="0"/>
              <w:rPr>
                <w:sz w:val="1"/>
                <w:szCs w:val="1"/>
                <w:color w:val="auto"/>
              </w:rPr>
            </w:pPr>
          </w:p>
        </w:tc>
      </w:tr>
      <w:tr>
        <w:trPr>
          <w:trHeight w:val="163"/>
        </w:trPr>
        <w:tc>
          <w:tcPr>
            <w:tcW w:w="454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w:t>
            </w:r>
          </w:p>
        </w:tc>
        <w:tc>
          <w:tcPr>
            <w:tcW w:w="62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5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Derivatives not designated as hedges:</w:t>
            </w:r>
          </w:p>
        </w:tc>
        <w:tc>
          <w:tcPr>
            <w:tcW w:w="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(13)</w:t>
            </w:r>
          </w:p>
        </w:tc>
        <w:tc>
          <w:tcPr>
            <w:tcW w:w="4020" w:type="dxa"/>
            <w:vAlign w:val="bottom"/>
          </w:tcPr>
          <w:p>
            <w:pPr>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Commodity contracts</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20"/>
        </w:trPr>
        <w:tc>
          <w:tcPr>
            <w:tcW w:w="4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w:t>
            </w:r>
          </w:p>
        </w:tc>
        <w:tc>
          <w:tcPr>
            <w:tcW w:w="62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(12)</w:t>
            </w: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in cash flow hedging relationships on income and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(AOCL)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(Stated in millions)</w:t>
            </w: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7"/>
          </w:tcPr>
          <w:p>
            <w:pPr>
              <w:jc w:val="right"/>
              <w:spacing w:after="0"/>
              <w:rPr>
                <w:sz w:val="20"/>
                <w:szCs w:val="20"/>
                <w:color w:val="auto"/>
              </w:rPr>
            </w:pPr>
            <w:r>
              <w:rPr>
                <w:rFonts w:ascii="Arial" w:cs="Arial" w:eastAsia="Arial" w:hAnsi="Arial"/>
                <w:sz w:val="14"/>
                <w:szCs w:val="14"/>
                <w:b w:val="1"/>
                <w:bCs w:val="1"/>
                <w:color w:val="auto"/>
                <w:w w:val="97"/>
              </w:rPr>
              <w:t>Gain (Loss) Reclassified from</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AOCL into Income</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 of Income Classification</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2"/>
                <w:szCs w:val="12"/>
                <w:color w:val="auto"/>
              </w:rPr>
            </w:pP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Foreign exchange contracts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5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(260)</w:t>
            </w:r>
          </w:p>
        </w:tc>
        <w:tc>
          <w:tcPr>
            <w:tcW w:w="500" w:type="dxa"/>
            <w:vAlign w:val="bottom"/>
            <w:tcBorders>
              <w:top w:val="single" w:sz="8" w:color="CCEEFF"/>
            </w:tcBorders>
            <w:shd w:val="clear" w:color="auto" w:fill="CCEEFF"/>
          </w:tcPr>
          <w:p>
            <w:pPr>
              <w:spacing w:after="0"/>
              <w:rPr>
                <w:sz w:val="12"/>
                <w:szCs w:val="12"/>
                <w:color w:val="auto"/>
              </w:rPr>
            </w:pPr>
          </w:p>
        </w:tc>
        <w:tc>
          <w:tcPr>
            <w:tcW w:w="4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(14)</w:t>
            </w:r>
          </w:p>
        </w:tc>
        <w:tc>
          <w:tcPr>
            <w:tcW w:w="4020" w:type="dxa"/>
            <w:vAlign w:val="bottom"/>
          </w:tcPr>
          <w:p>
            <w:pPr>
              <w:spacing w:after="0" w:line="149" w:lineRule="exact"/>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27"/>
        </w:trPr>
        <w:tc>
          <w:tcPr>
            <w:tcW w:w="4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(274)</w:t>
            </w:r>
          </w:p>
        </w:tc>
        <w:tc>
          <w:tcPr>
            <w:tcW w:w="4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(Stated in millions)</w:t>
            </w:r>
          </w:p>
        </w:tc>
      </w:tr>
      <w:tr>
        <w:trPr>
          <w:trHeight w:val="285"/>
        </w:trPr>
        <w:tc>
          <w:tcPr>
            <w:tcW w:w="8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7"/>
          </w:tcPr>
          <w:p>
            <w:pPr>
              <w:ind w:left="300"/>
              <w:spacing w:after="0"/>
              <w:rPr>
                <w:sz w:val="20"/>
                <w:szCs w:val="20"/>
                <w:color w:val="auto"/>
              </w:rPr>
            </w:pPr>
            <w:r>
              <w:rPr>
                <w:rFonts w:ascii="Arial" w:cs="Arial" w:eastAsia="Arial" w:hAnsi="Arial"/>
                <w:sz w:val="14"/>
                <w:szCs w:val="14"/>
                <w:b w:val="1"/>
                <w:bCs w:val="1"/>
                <w:color w:val="auto"/>
                <w:w w:val="90"/>
              </w:rPr>
              <w:t>Gain (Loss) Recognized in AOCL</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1"/>
        </w:trPr>
        <w:tc>
          <w:tcPr>
            <w:tcW w:w="8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2010</w:t>
            </w:r>
          </w:p>
        </w:tc>
      </w:tr>
      <w:tr>
        <w:trPr>
          <w:trHeight w:val="149"/>
        </w:trPr>
        <w:tc>
          <w:tcPr>
            <w:tcW w:w="8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Foreign exchange contracts</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w:t>
            </w:r>
          </w:p>
        </w:tc>
        <w:tc>
          <w:tcPr>
            <w:tcW w:w="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10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5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(269)</w:t>
            </w:r>
          </w:p>
        </w:tc>
        <w:tc>
          <w:tcPr>
            <w:tcW w:w="80" w:type="dxa"/>
            <w:vAlign w:val="bottom"/>
            <w:tcBorders>
              <w:top w:val="single" w:sz="8" w:color="CCEEFF"/>
            </w:tcBorders>
            <w:shd w:val="clear" w:color="auto" w:fill="CCEEFF"/>
          </w:tcPr>
          <w:p>
            <w:pPr>
              <w:spacing w:after="0"/>
              <w:rPr>
                <w:sz w:val="12"/>
                <w:szCs w:val="12"/>
                <w:color w:val="auto"/>
              </w:rPr>
            </w:pPr>
          </w:p>
        </w:tc>
      </w:tr>
    </w:tbl>
    <w:p>
      <w:pPr>
        <w:spacing w:after="0" w:line="161"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96" w:lineRule="exact"/>
        <w:rPr>
          <w:sz w:val="20"/>
          <w:szCs w:val="20"/>
          <w:color w:val="auto"/>
        </w:rPr>
      </w:pPr>
    </w:p>
    <w:p>
      <w:pPr>
        <w:ind w:right="40" w:firstLine="228"/>
        <w:spacing w:after="0" w:line="252" w:lineRule="auto"/>
        <w:rPr>
          <w:sz w:val="20"/>
          <w:szCs w:val="20"/>
          <w:color w:val="auto"/>
        </w:rPr>
      </w:pPr>
      <w:r>
        <w:rPr>
          <w:rFonts w:ascii="Arial" w:cs="Arial" w:eastAsia="Arial" w:hAnsi="Arial"/>
          <w:sz w:val="18"/>
          <w:szCs w:val="18"/>
          <w:color w:val="auto"/>
        </w:rPr>
        <w:t>Schlumberger is authorized to issue 4,500,000,000 shares of common stock, par value $0.01 per share, of which 1,328,255,773 and 1,333,775,406 shares were outstanding on December 31, 2012 and 2011, respectively. Holders of common stock are entitled to one vote for each share of stock held. Schlumberger is also authorized to issue 200,000,000 shares of preferred stock, par value $0.01 per share, which may be issued in series with terms and conditions determined by the Board of Directors. No shares of preferred stock have been issued.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89"/>
              </w:rPr>
              <w:t>(Stated in millions)</w:t>
            </w:r>
          </w:p>
        </w:tc>
      </w:tr>
      <w:tr>
        <w:trPr>
          <w:trHeight w:val="298"/>
        </w:trPr>
        <w:tc>
          <w:tcPr>
            <w:tcW w:w="9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r>
      <w:tr>
        <w:trPr>
          <w:trHeight w:val="142"/>
        </w:trPr>
        <w:tc>
          <w:tcPr>
            <w:tcW w:w="94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Currency translation adjustments</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(918)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(993)</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(912)</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9480" w:type="dxa"/>
            <w:vAlign w:val="bottom"/>
            <w:gridSpan w:val="2"/>
          </w:tcPr>
          <w:p>
            <w:pPr>
              <w:spacing w:after="0" w:line="149" w:lineRule="exact"/>
              <w:rPr>
                <w:sz w:val="20"/>
                <w:szCs w:val="20"/>
                <w:color w:val="auto"/>
              </w:rPr>
            </w:pPr>
            <w:r>
              <w:rPr>
                <w:rFonts w:ascii="Arial" w:cs="Arial" w:eastAsia="Arial" w:hAnsi="Arial"/>
                <w:sz w:val="14"/>
                <w:szCs w:val="14"/>
                <w:color w:val="auto"/>
              </w:rPr>
              <w:t>Fair value of derivatives</w:t>
            </w: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w:t>
            </w:r>
          </w:p>
        </w:tc>
      </w:tr>
      <w:tr>
        <w:trPr>
          <w:trHeight w:val="149"/>
        </w:trPr>
        <w:tc>
          <w:tcPr>
            <w:tcW w:w="9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(3,141)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1"/>
              </w:rPr>
              <w:t>(2,538)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(1,901)</w:t>
            </w:r>
          </w:p>
        </w:tc>
      </w:tr>
      <w:tr>
        <w:trPr>
          <w:trHeight w:val="149"/>
        </w:trPr>
        <w:tc>
          <w:tcPr>
            <w:tcW w:w="9480" w:type="dxa"/>
            <w:vAlign w:val="bottom"/>
            <w:gridSpan w:val="2"/>
          </w:tcPr>
          <w:p>
            <w:pPr>
              <w:spacing w:after="0" w:line="149" w:lineRule="exact"/>
              <w:rPr>
                <w:sz w:val="20"/>
                <w:szCs w:val="20"/>
                <w:color w:val="auto"/>
              </w:rPr>
            </w:pPr>
            <w:r>
              <w:rPr>
                <w:rFonts w:ascii="Arial" w:cs="Arial" w:eastAsia="Arial" w:hAnsi="Arial"/>
                <w:sz w:val="14"/>
                <w:szCs w:val="14"/>
                <w:color w:val="auto"/>
              </w:rPr>
              <w:t>Unrealized gains on marketable securities</w:t>
            </w: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1"/>
        </w:trPr>
        <w:tc>
          <w:tcPr>
            <w:tcW w:w="9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9"/>
        </w:trPr>
        <w:tc>
          <w:tcPr>
            <w:tcW w:w="9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76"/>
              </w:rPr>
              <w:t>$</w:t>
            </w:r>
          </w:p>
        </w:tc>
        <w:tc>
          <w:tcPr>
            <w:tcW w:w="5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b w:val="1"/>
                <w:bCs w:val="1"/>
                <w:color w:val="auto"/>
                <w:w w:val="85"/>
              </w:rPr>
              <w:t>(3,888)</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w w:val="81"/>
              </w:rPr>
              <w:t>(3,557)</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u w:val="single" w:color="auto"/>
                <w:color w:val="auto"/>
              </w:rPr>
              <w:t>$</w:t>
            </w:r>
          </w:p>
        </w:tc>
        <w:tc>
          <w:tcPr>
            <w:tcW w:w="4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w w:val="85"/>
              </w:rPr>
              <w:t>(2,768)</w:t>
            </w:r>
          </w:p>
        </w:tc>
      </w:tr>
      <w:tr>
        <w:trPr>
          <w:trHeight w:val="27"/>
        </w:trPr>
        <w:tc>
          <w:tcPr>
            <w:tcW w:w="9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comprehensive loss was $331 million, $789 million and $94 million in 2012, 2011 and 2010, respectively.</w:t>
      </w:r>
    </w:p>
    <w:p>
      <w:pPr>
        <w:spacing w:after="0" w:line="165"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 Plans</w:t>
      </w:r>
    </w:p>
    <w:p>
      <w:pPr>
        <w:spacing w:after="0" w:line="9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Schlumberger has three types of stock-based compensation programs: stock options, a restricted stock and restricted stock unit program (collectively referred to as “restricted stock”) and a discounted stock purchase plan (“DSPP”).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Options</w:t>
      </w:r>
    </w:p>
    <w:p>
      <w:pPr>
        <w:spacing w:after="0" w:line="90"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Key employees are granted stock options under Schlumberger stock option plans. For all of the stock options granted, the exercise price equals the average of the high and low sales prices of Schlumberger stock on the date of grant; an option’s maximum term is ten years, and options generally vest in increments over four or five years.</w:t>
      </w:r>
    </w:p>
    <w:p>
      <w:pPr>
        <w:spacing w:after="0" w:line="59"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r>
      <w:tr>
        <w:trPr>
          <w:trHeight w:val="142"/>
        </w:trPr>
        <w:tc>
          <w:tcPr>
            <w:tcW w:w="10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Dividend yield</w:t>
            </w: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3"/>
              </w:rPr>
              <w:t>1.5%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1.2%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1.3%</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39%</w:t>
            </w: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5"/>
              </w:rPr>
              <w:t>37%</w:t>
            </w: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5"/>
              </w:rPr>
              <w:t>35%</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1.5%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2.8%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2.9%</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Expected option life in years</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6.9</w:t>
            </w: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1"/>
              </w:rPr>
              <w:t>6.9</w:t>
            </w: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1"/>
              </w:rPr>
              <w:t>6.9</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$25.26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$31.38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$24.13</w:t>
            </w:r>
          </w:p>
        </w:tc>
      </w:tr>
    </w:tbl>
    <w:p>
      <w:pPr>
        <w:spacing w:after="0" w:line="73"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table summarizes information concerning options outstanding and options exercisable by five ranges of exercise prices as of December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92"/>
              </w:rPr>
              <w:t>(Shares stated in thousands)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7"/>
          </w:tcPr>
          <w:p>
            <w:pPr>
              <w:jc w:val="right"/>
              <w:ind w:right="72"/>
              <w:spacing w:after="0"/>
              <w:rPr>
                <w:sz w:val="20"/>
                <w:szCs w:val="20"/>
                <w:color w:val="auto"/>
              </w:rPr>
            </w:pPr>
            <w:r>
              <w:rPr>
                <w:rFonts w:ascii="Arial" w:cs="Arial" w:eastAsia="Arial" w:hAnsi="Arial"/>
                <w:sz w:val="14"/>
                <w:szCs w:val="14"/>
                <w:b w:val="1"/>
                <w:bCs w:val="1"/>
                <w:color w:val="auto"/>
                <w:w w:val="95"/>
              </w:rPr>
              <w:t>Options Exercisable</w:t>
            </w: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 range</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Options</w:t>
            </w:r>
          </w:p>
        </w:tc>
        <w:tc>
          <w:tcPr>
            <w:tcW w:w="66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86"/>
              </w:rPr>
              <w:t>contractual life</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1"/>
              </w:rPr>
              <w:t>exercise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gridSpan w:val="3"/>
            <w:vMerge w:val="continue"/>
          </w:tcPr>
          <w:p>
            <w:pPr>
              <w:spacing w:after="0"/>
              <w:rPr>
                <w:sz w:val="14"/>
                <w:szCs w:val="14"/>
                <w:color w:val="auto"/>
              </w:rPr>
            </w:pPr>
          </w:p>
        </w:tc>
        <w:tc>
          <w:tcPr>
            <w:tcW w:w="74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spacing w:after="0"/>
              <w:rPr>
                <w:sz w:val="14"/>
                <w:szCs w:val="14"/>
                <w:color w:val="auto"/>
              </w:rPr>
            </w:pPr>
          </w:p>
        </w:tc>
        <w:tc>
          <w:tcPr>
            <w:tcW w:w="880" w:type="dxa"/>
            <w:vAlign w:val="bottom"/>
            <w:gridSpan w:val="4"/>
          </w:tcPr>
          <w:p>
            <w:pPr>
              <w:jc w:val="right"/>
              <w:spacing w:after="0" w:line="148" w:lineRule="exact"/>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rPr>
              <w:t>price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5"/>
          </w:tcPr>
          <w:p>
            <w:pPr>
              <w:jc w:val="right"/>
              <w:ind w:right="56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00" w:type="dxa"/>
            <w:vAlign w:val="bottom"/>
          </w:tcPr>
          <w:p>
            <w:pPr>
              <w:spacing w:after="0"/>
              <w:rPr>
                <w:sz w:val="14"/>
                <w:szCs w:val="14"/>
                <w:color w:val="auto"/>
              </w:rPr>
            </w:pPr>
          </w:p>
        </w:tc>
        <w:tc>
          <w:tcPr>
            <w:tcW w:w="860" w:type="dxa"/>
            <w:vAlign w:val="bottom"/>
            <w:gridSpan w:val="4"/>
          </w:tcPr>
          <w:p>
            <w:pPr>
              <w:jc w:val="right"/>
              <w:ind w:right="60"/>
              <w:spacing w:after="0" w:line="148" w:lineRule="exact"/>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$20.65 - $32.46</w:t>
            </w:r>
          </w:p>
        </w:tc>
        <w:tc>
          <w:tcPr>
            <w:tcW w:w="37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631</w:t>
            </w:r>
          </w:p>
        </w:tc>
        <w:tc>
          <w:tcPr>
            <w:tcW w:w="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right w:val="single" w:sz="8" w:color="CCEEFF"/>
            </w:tcBorders>
            <w:shd w:val="clear" w:color="auto" w:fill="CCEEFF"/>
          </w:tcPr>
          <w:p>
            <w:pPr>
              <w:spacing w:after="0"/>
              <w:rPr>
                <w:sz w:val="11"/>
                <w:szCs w:val="11"/>
                <w:color w:val="auto"/>
              </w:rPr>
            </w:pPr>
          </w:p>
        </w:tc>
        <w:tc>
          <w:tcPr>
            <w:tcW w:w="880" w:type="dxa"/>
            <w:vAlign w:val="bottom"/>
            <w:tcBorders>
              <w:top w:val="single" w:sz="8" w:color="auto"/>
            </w:tcBorders>
            <w:gridSpan w:val="4"/>
            <w:shd w:val="clear" w:color="auto" w:fill="CCEEFF"/>
          </w:tcPr>
          <w:p>
            <w:pPr>
              <w:jc w:val="right"/>
              <w:spacing w:after="0" w:line="136" w:lineRule="exact"/>
              <w:rPr>
                <w:sz w:val="20"/>
                <w:szCs w:val="20"/>
                <w:color w:val="auto"/>
              </w:rPr>
            </w:pPr>
            <w:r>
              <w:rPr>
                <w:rFonts w:ascii="Arial" w:cs="Arial" w:eastAsia="Arial" w:hAnsi="Arial"/>
                <w:sz w:val="14"/>
                <w:szCs w:val="14"/>
                <w:color w:val="auto"/>
              </w:rPr>
              <w:t>1.31</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28.19</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631</w:t>
            </w:r>
          </w:p>
        </w:tc>
        <w:tc>
          <w:tcPr>
            <w:tcW w:w="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2"/>
              <w:spacing w:after="0" w:line="136"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28.19</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$32.62 - $37.85</w:t>
            </w:r>
          </w:p>
        </w:tc>
        <w:tc>
          <w:tcPr>
            <w:tcW w:w="37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4,988</w:t>
            </w:r>
          </w:p>
        </w:tc>
        <w:tc>
          <w:tcPr>
            <w:tcW w:w="15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5.68</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2,670</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37.11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$39.08 - $55.69</w:t>
            </w:r>
          </w:p>
        </w:tc>
        <w:tc>
          <w:tcPr>
            <w:tcW w:w="37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4,779</w:t>
            </w:r>
          </w:p>
        </w:tc>
        <w:tc>
          <w:tcPr>
            <w:tcW w:w="15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52.55</w:t>
            </w:r>
          </w:p>
        </w:tc>
        <w:tc>
          <w:tcPr>
            <w:tcW w:w="12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4,003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53.24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$56.61 - $74.57</w:t>
            </w:r>
          </w:p>
        </w:tc>
        <w:tc>
          <w:tcPr>
            <w:tcW w:w="37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18,519</w:t>
            </w:r>
          </w:p>
        </w:tc>
        <w:tc>
          <w:tcPr>
            <w:tcW w:w="15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7.49</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68.22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5,645</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63.42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$83.89 - $110.78</w:t>
            </w:r>
          </w:p>
        </w:tc>
        <w:tc>
          <w:tcPr>
            <w:tcW w:w="37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13,142</w:t>
            </w:r>
          </w:p>
        </w:tc>
        <w:tc>
          <w:tcPr>
            <w:tcW w:w="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86.10</w:t>
            </w:r>
          </w:p>
        </w:tc>
        <w:tc>
          <w:tcPr>
            <w:tcW w:w="12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5,913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42,059</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6.65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67.77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18,862</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63.93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gridSpan w:val="2"/>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8640" w:type="dxa"/>
            <w:vAlign w:val="bottom"/>
            <w:gridSpan w:val="16"/>
          </w:tcPr>
          <w:p>
            <w:pPr>
              <w:ind w:left="220"/>
              <w:spacing w:after="0"/>
              <w:rPr>
                <w:sz w:val="20"/>
                <w:szCs w:val="20"/>
                <w:color w:val="auto"/>
              </w:rPr>
            </w:pPr>
            <w:r>
              <w:rPr>
                <w:rFonts w:ascii="Arial" w:cs="Arial" w:eastAsia="Arial" w:hAnsi="Arial"/>
                <w:sz w:val="18"/>
                <w:szCs w:val="18"/>
                <w:color w:val="auto"/>
                <w:w w:val="89"/>
              </w:rPr>
              <w:t>The weighted average remaining contractual life of stock options exercisable as of December 31, 2012 was 5.1 years.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16"/>
          </w:tcPr>
          <w:p>
            <w:pPr>
              <w:ind w:left="220"/>
              <w:spacing w:after="0"/>
              <w:rPr>
                <w:sz w:val="20"/>
                <w:szCs w:val="20"/>
                <w:color w:val="auto"/>
              </w:rPr>
            </w:pPr>
            <w:r>
              <w:rPr>
                <w:rFonts w:ascii="Arial" w:cs="Arial" w:eastAsia="Arial" w:hAnsi="Arial"/>
                <w:sz w:val="18"/>
                <w:szCs w:val="18"/>
                <w:color w:val="auto"/>
                <w:w w:val="93"/>
              </w:rPr>
              <w:t>The following table summarizes stock option activity during the years ended December 31, 2012, 2011 and 2010: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92"/>
              </w:rPr>
              <w:t>(Shares stated in thousands)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78"/>
              </w:rPr>
              <w:t>exercise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w w:val="72"/>
              </w:rPr>
              <w:t>Shares</w:t>
            </w:r>
          </w:p>
        </w:tc>
        <w:tc>
          <w:tcPr>
            <w:tcW w:w="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price</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ind w:left="1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Outstanding at beginning of year</w:t>
            </w:r>
          </w:p>
        </w:tc>
        <w:tc>
          <w:tcPr>
            <w:tcW w:w="7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40,027</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63.84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37,499</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55.33</w:t>
            </w:r>
          </w:p>
        </w:tc>
        <w:tc>
          <w:tcPr>
            <w:tcW w:w="380" w:type="dxa"/>
            <w:vAlign w:val="bottom"/>
            <w:tcBorders>
              <w:top w:val="single" w:sz="8" w:color="CCEEFF"/>
            </w:tcBorders>
            <w:gridSpan w:val="2"/>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35,500</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gridSpan w:val="2"/>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50.30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Granted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8,664</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72.04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9,528</w:t>
            </w: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84.29</w:t>
            </w:r>
          </w:p>
        </w:tc>
        <w:tc>
          <w:tcPr>
            <w:tcW w:w="9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8,283</w:t>
            </w:r>
          </w:p>
        </w:tc>
        <w:tc>
          <w:tcPr>
            <w:tcW w:w="5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66.67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Assumed in Smith transaction</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4"/>
            <w:shd w:val="clear" w:color="auto" w:fill="CCEEFF"/>
          </w:tcPr>
          <w:p>
            <w:pPr>
              <w:jc w:val="right"/>
              <w:ind w:right="432"/>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581</w:t>
            </w:r>
          </w:p>
        </w:tc>
        <w:tc>
          <w:tcPr>
            <w:tcW w:w="5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Exercised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(4,171)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39.07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(5,470)</w:t>
            </w: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42.36</w:t>
            </w:r>
          </w:p>
        </w:tc>
        <w:tc>
          <w:tcPr>
            <w:tcW w:w="90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(5,962)</w:t>
            </w:r>
          </w:p>
        </w:tc>
        <w:tc>
          <w:tcPr>
            <w:tcW w:w="5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37.60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(2,461)</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67.50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(1,530)</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58.82</w:t>
            </w:r>
          </w:p>
        </w:tc>
        <w:tc>
          <w:tcPr>
            <w:tcW w:w="90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(903)</w:t>
            </w:r>
          </w:p>
        </w:tc>
        <w:tc>
          <w:tcPr>
            <w:tcW w:w="5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67.77</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w w:val="93"/>
              </w:rPr>
              <w:t>40,027</w:t>
            </w:r>
          </w:p>
        </w:tc>
        <w:tc>
          <w:tcPr>
            <w:tcW w:w="1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63.84</w:t>
            </w:r>
          </w:p>
        </w:tc>
        <w:tc>
          <w:tcPr>
            <w:tcW w:w="380" w:type="dxa"/>
            <w:vAlign w:val="bottom"/>
            <w:gridSpan w:val="2"/>
            <w:vMerge w:val="restart"/>
          </w:tcPr>
          <w:p>
            <w:pPr>
              <w:spacing w:after="0" w:line="20" w:lineRule="exact"/>
              <w:rPr>
                <w:sz w:val="1"/>
                <w:szCs w:val="1"/>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93"/>
              </w:rPr>
              <w:t>37,499</w:t>
            </w:r>
          </w:p>
        </w:tc>
        <w:tc>
          <w:tcPr>
            <w:tcW w:w="540" w:type="dxa"/>
            <w:vAlign w:val="bottom"/>
            <w:gridSpan w:val="3"/>
            <w:vMerge w:val="restart"/>
          </w:tcPr>
          <w:p>
            <w:pPr>
              <w:ind w:left="4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w w:val="96"/>
              </w:rPr>
              <w:t>55.33</w:t>
            </w: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Outstanding at year-end</w:t>
            </w: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42,059</w:t>
            </w:r>
          </w:p>
        </w:tc>
        <w:tc>
          <w:tcPr>
            <w:tcW w:w="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aggregate intrinsic value of stock options outstanding as of December 31, 2012 was approximately $308 million.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aggregate intrinsic value of stock options exercisable as of December 31, 2012 was approximately $209 million.</w:t>
      </w:r>
    </w:p>
    <w:p>
      <w:pPr>
        <w:spacing w:after="0" w:line="9" w:lineRule="exact"/>
        <w:rPr>
          <w:sz w:val="20"/>
          <w:szCs w:val="20"/>
          <w:color w:val="auto"/>
        </w:rPr>
      </w:pPr>
    </w:p>
    <w:p>
      <w:pPr>
        <w:ind w:right="280" w:firstLine="228"/>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2012, 2011 and 2010, was $142 million, $246 million and $188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840" w:firstLine="228"/>
        <w:spacing w:after="0" w:line="268" w:lineRule="auto"/>
        <w:rPr>
          <w:sz w:val="20"/>
          <w:szCs w:val="20"/>
          <w:color w:val="auto"/>
        </w:rPr>
      </w:pPr>
      <w:r>
        <w:rPr>
          <w:rFonts w:ascii="Arial" w:cs="Arial" w:eastAsia="Arial" w:hAnsi="Arial"/>
          <w:sz w:val="18"/>
          <w:szCs w:val="18"/>
          <w:color w:val="auto"/>
        </w:rPr>
        <w:t>Restricted stock awards generally vest at the end of three years. As of December 31, 2012, there have not been any grants to date that are subject to performance-based vesting.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280" w:right="239" w:bottom="1440" w:gutter="0" w:footer="0" w:header="0"/>
        </w:sectPr>
      </w:pPr>
    </w:p>
    <w:bookmarkStart w:id="52" w:name="page53"/>
    <w:bookmarkEnd w:id="52"/>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information about restricted stock transactions: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6"/>
          </w:tcPr>
          <w:p>
            <w:pPr>
              <w:jc w:val="center"/>
              <w:ind w:left="332"/>
              <w:spacing w:after="0"/>
              <w:rPr>
                <w:sz w:val="20"/>
                <w:szCs w:val="20"/>
                <w:color w:val="auto"/>
              </w:rPr>
            </w:pPr>
            <w:r>
              <w:rPr>
                <w:rFonts w:ascii="Arial" w:cs="Arial" w:eastAsia="Arial" w:hAnsi="Arial"/>
                <w:sz w:val="14"/>
                <w:szCs w:val="14"/>
                <w:b w:val="1"/>
                <w:bCs w:val="1"/>
                <w:color w:val="auto"/>
                <w:w w:val="84"/>
              </w:rPr>
              <w:t>(Shares stated in thousands)</w:t>
            </w:r>
          </w:p>
        </w:tc>
      </w:tr>
      <w:tr>
        <w:trPr>
          <w:trHeight w:val="298"/>
        </w:trPr>
        <w:tc>
          <w:tcPr>
            <w:tcW w:w="53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60" w:type="dxa"/>
            <w:vAlign w:val="bottom"/>
          </w:tcPr>
          <w:p>
            <w:pPr>
              <w:spacing w:after="0"/>
              <w:rPr>
                <w:sz w:val="11"/>
                <w:szCs w:val="11"/>
                <w:color w:val="auto"/>
              </w:rPr>
            </w:pPr>
          </w:p>
        </w:tc>
      </w:tr>
      <w:tr>
        <w:trPr>
          <w:trHeight w:val="149"/>
        </w:trPr>
        <w:tc>
          <w:tcPr>
            <w:tcW w:w="5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5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w:t>
            </w:r>
          </w:p>
        </w:tc>
      </w:tr>
      <w:tr>
        <w:trPr>
          <w:trHeight w:val="149"/>
        </w:trPr>
        <w:tc>
          <w:tcPr>
            <w:tcW w:w="53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1"/>
              </w:rPr>
              <w:t>Restricted</w:t>
            </w:r>
          </w:p>
        </w:tc>
        <w:tc>
          <w:tcPr>
            <w:tcW w:w="380" w:type="dxa"/>
            <w:vAlign w:val="bottom"/>
          </w:tcPr>
          <w:p>
            <w:pPr>
              <w:spacing w:after="0"/>
              <w:rPr>
                <w:sz w:val="12"/>
                <w:szCs w:val="12"/>
                <w:color w:val="auto"/>
              </w:rPr>
            </w:pPr>
          </w:p>
        </w:tc>
        <w:tc>
          <w:tcPr>
            <w:tcW w:w="11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3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Grant Date</w:t>
            </w:r>
          </w:p>
        </w:tc>
        <w:tc>
          <w:tcPr>
            <w:tcW w:w="4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1"/>
              </w:rPr>
              <w:t>Restricted</w:t>
            </w:r>
          </w:p>
        </w:tc>
        <w:tc>
          <w:tcPr>
            <w:tcW w:w="42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53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Fair Value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5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Unvested at beginning of year</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2,433</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72.25</w:t>
            </w:r>
          </w:p>
        </w:tc>
        <w:tc>
          <w:tcPr>
            <w:tcW w:w="4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2,223</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64.27</w:t>
            </w:r>
          </w:p>
        </w:tc>
        <w:tc>
          <w:tcPr>
            <w:tcW w:w="4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1,343</w:t>
            </w: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$ 62.75</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1,668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71.09</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1,136</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84.61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1,261</w:t>
            </w:r>
          </w:p>
        </w:tc>
        <w:tc>
          <w:tcPr>
            <w:tcW w:w="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65.79</w:t>
            </w:r>
          </w:p>
        </w:tc>
        <w:tc>
          <w:tcPr>
            <w:tcW w:w="60" w:type="dxa"/>
            <w:vAlign w:val="bottom"/>
          </w:tcPr>
          <w:p>
            <w:pPr>
              <w:spacing w:after="0"/>
              <w:rPr>
                <w:sz w:val="12"/>
                <w:szCs w:val="12"/>
                <w:color w:val="auto"/>
              </w:rPr>
            </w:pP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(351)</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52.26</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67.36</w:t>
            </w:r>
          </w:p>
        </w:tc>
        <w:tc>
          <w:tcPr>
            <w:tcW w:w="11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63.92</w:t>
            </w:r>
          </w:p>
        </w:tc>
        <w:tc>
          <w:tcPr>
            <w:tcW w:w="60" w:type="dxa"/>
            <w:vAlign w:val="bottom"/>
            <w:shd w:val="clear" w:color="auto" w:fill="CCEEFF"/>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(184)</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73.38</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72.51</w:t>
            </w:r>
          </w:p>
        </w:tc>
        <w:tc>
          <w:tcPr>
            <w:tcW w:w="11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64.16</w:t>
            </w:r>
          </w:p>
        </w:tc>
        <w:tc>
          <w:tcPr>
            <w:tcW w:w="60" w:type="dxa"/>
            <w:vAlign w:val="bottom"/>
          </w:tcPr>
          <w:p>
            <w:pPr>
              <w:spacing w:after="0"/>
              <w:rPr>
                <w:sz w:val="12"/>
                <w:szCs w:val="12"/>
                <w:color w:val="auto"/>
              </w:rPr>
            </w:pP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42"/>
        </w:trPr>
        <w:tc>
          <w:tcPr>
            <w:tcW w:w="5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Unvested at end of year</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3,566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b w:val="1"/>
                <w:bCs w:val="1"/>
                <w:color w:val="auto"/>
              </w:rPr>
              <w:t>73.62</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2,433</w:t>
            </w:r>
          </w:p>
        </w:tc>
        <w:tc>
          <w:tcPr>
            <w:tcW w:w="66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72.25</w:t>
            </w: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2,223</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$ 64.27</w:t>
            </w:r>
          </w:p>
        </w:tc>
        <w:tc>
          <w:tcPr>
            <w:tcW w:w="60" w:type="dxa"/>
            <w:vAlign w:val="bottom"/>
            <w:shd w:val="clear" w:color="auto" w:fill="CCEEFF"/>
          </w:tcPr>
          <w:p>
            <w:pPr>
              <w:spacing w:after="0"/>
              <w:rPr>
                <w:sz w:val="12"/>
                <w:szCs w:val="12"/>
                <w:color w:val="auto"/>
              </w:rPr>
            </w:pPr>
          </w:p>
        </w:tc>
      </w:tr>
      <w:tr>
        <w:trPr>
          <w:trHeight w:val="27"/>
        </w:trPr>
        <w:tc>
          <w:tcPr>
            <w:tcW w:w="5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90" w:lineRule="exact"/>
        <w:rPr>
          <w:sz w:val="20"/>
          <w:szCs w:val="20"/>
          <w:color w:val="auto"/>
        </w:rPr>
      </w:pPr>
    </w:p>
    <w:p>
      <w:pPr>
        <w:ind w:right="400" w:firstLine="228"/>
        <w:spacing w:after="0" w:line="305" w:lineRule="auto"/>
        <w:rPr>
          <w:sz w:val="20"/>
          <w:szCs w:val="20"/>
          <w:color w:val="auto"/>
        </w:rPr>
      </w:pPr>
      <w:r>
        <w:rPr>
          <w:rFonts w:ascii="Arial" w:cs="Arial" w:eastAsia="Arial" w:hAnsi="Arial"/>
          <w:sz w:val="15"/>
          <w:szCs w:val="15"/>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ind w:right="160" w:firstLine="22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r>
      <w:tr>
        <w:trPr>
          <w:trHeight w:val="142"/>
        </w:trPr>
        <w:tc>
          <w:tcPr>
            <w:tcW w:w="10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Dividend yield</w:t>
            </w: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3"/>
              </w:rPr>
              <w:t>1.6%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1.2%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1.6%</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41%</w:t>
            </w: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5"/>
              </w:rPr>
              <w:t>28%</w:t>
            </w: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5"/>
              </w:rPr>
              <w:t>36%</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0.2%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0.2%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0.3%</w:t>
            </w:r>
          </w:p>
        </w:tc>
      </w:tr>
      <w:tr>
        <w:trPr>
          <w:trHeight w:val="174"/>
        </w:trPr>
        <w:tc>
          <w:tcPr>
            <w:tcW w:w="1004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$12.71</w:t>
            </w:r>
          </w:p>
        </w:tc>
        <w:tc>
          <w:tcPr>
            <w:tcW w:w="1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8"/>
              </w:rPr>
              <w:t>$12.83</w:t>
            </w:r>
          </w:p>
        </w:tc>
        <w:tc>
          <w:tcPr>
            <w:tcW w:w="1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3"/>
              </w:rPr>
              <w:t>$10.30</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Stock-based Compensation Expense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392"/>
        </w:trPr>
        <w:tc>
          <w:tcPr>
            <w:tcW w:w="9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2012</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Stock options</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0"/>
              </w:rPr>
              <w:t>$203</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$176</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$121</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8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82</w:t>
            </w:r>
          </w:p>
        </w:tc>
        <w:tc>
          <w:tcPr>
            <w:tcW w:w="8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DSPP</w:t>
            </w: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w w:val="76"/>
              </w:rPr>
              <w:t>$</w:t>
            </w:r>
            <w:r>
              <w:rPr>
                <w:rFonts w:ascii="Arial" w:cs="Arial" w:eastAsia="Arial" w:hAnsi="Arial"/>
                <w:sz w:val="14"/>
                <w:szCs w:val="14"/>
                <w:b w:val="1"/>
                <w:bCs w:val="1"/>
                <w:color w:val="auto"/>
                <w:w w:val="76"/>
              </w:rPr>
              <w:t>335</w:t>
            </w:r>
          </w:p>
        </w:tc>
        <w:tc>
          <w:tcPr>
            <w:tcW w:w="280" w:type="dxa"/>
            <w:vAlign w:val="bottom"/>
            <w:vMerge w:val="restart"/>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272</w:t>
            </w:r>
          </w:p>
        </w:tc>
        <w:tc>
          <w:tcPr>
            <w:tcW w:w="280" w:type="dxa"/>
            <w:vAlign w:val="bottom"/>
            <w:vMerge w:val="restart"/>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198</w:t>
            </w: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9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480" w:firstLine="228"/>
        <w:spacing w:after="0" w:line="332" w:lineRule="auto"/>
        <w:rPr>
          <w:sz w:val="20"/>
          <w:szCs w:val="20"/>
          <w:color w:val="auto"/>
        </w:rPr>
      </w:pPr>
      <w:r>
        <w:rPr>
          <w:rFonts w:ascii="Arial" w:cs="Arial" w:eastAsia="Arial" w:hAnsi="Arial"/>
          <w:sz w:val="16"/>
          <w:szCs w:val="16"/>
          <w:color w:val="auto"/>
        </w:rPr>
        <w:t>At December 31, 2012, there was $565 million of total unrecognized compensation cost related to nonvested stock-based compensation arrangements of which $234 million is expected to be recognized in 2013, $180 million in 2014, $108 million in 2015, $42 million in 2016 and $1 million in 2017.</w:t>
      </w:r>
    </w:p>
    <w:p>
      <w:pPr>
        <w:spacing w:after="0" w:line="160"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operates in more than 100 tax jurisdictions, where statutory tax rates generally vary from 0% to 40%.</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Income from continuing operations before taxes </w:t>
      </w:r>
      <w:r>
        <w:rPr>
          <w:rFonts w:ascii="Arial" w:cs="Arial" w:eastAsia="Arial" w:hAnsi="Arial"/>
          <w:sz w:val="16"/>
          <w:szCs w:val="16"/>
          <w:color w:val="auto"/>
        </w:rPr>
        <w:t>which were subject to United States and non-United States income taxes for each of the three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6"/>
          </w:tcPr>
          <w:p>
            <w:pPr>
              <w:ind w:left="120"/>
              <w:spacing w:after="0"/>
              <w:rPr>
                <w:sz w:val="20"/>
                <w:szCs w:val="20"/>
                <w:color w:val="auto"/>
              </w:rPr>
            </w:pPr>
            <w:r>
              <w:rPr>
                <w:rFonts w:ascii="Arial" w:cs="Arial" w:eastAsia="Arial" w:hAnsi="Arial"/>
                <w:sz w:val="14"/>
                <w:szCs w:val="14"/>
                <w:b w:val="1"/>
                <w:bCs w:val="1"/>
                <w:color w:val="auto"/>
                <w:w w:val="90"/>
              </w:rPr>
              <w:t>(Stated in millions)</w:t>
            </w:r>
          </w:p>
        </w:tc>
      </w:tr>
      <w:tr>
        <w:trPr>
          <w:trHeight w:val="392"/>
        </w:trPr>
        <w:tc>
          <w:tcPr>
            <w:tcW w:w="9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24"/>
                <w:szCs w:val="24"/>
                <w:color w:val="auto"/>
              </w:rPr>
            </w:pPr>
          </w:p>
        </w:tc>
      </w:tr>
      <w:tr>
        <w:trPr>
          <w:trHeight w:val="142"/>
        </w:trPr>
        <w:tc>
          <w:tcPr>
            <w:tcW w:w="96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United States</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$1,980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$2,246</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617</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9660" w:type="dxa"/>
            <w:vAlign w:val="bottom"/>
            <w:gridSpan w:val="2"/>
          </w:tcPr>
          <w:p>
            <w:pPr>
              <w:spacing w:after="0" w:line="149" w:lineRule="exact"/>
              <w:rPr>
                <w:sz w:val="20"/>
                <w:szCs w:val="20"/>
                <w:color w:val="auto"/>
              </w:rPr>
            </w:pPr>
            <w:r>
              <w:rPr>
                <w:rFonts w:ascii="Arial" w:cs="Arial" w:eastAsia="Arial" w:hAnsi="Arial"/>
                <w:sz w:val="14"/>
                <w:szCs w:val="14"/>
                <w:color w:val="auto"/>
              </w:rPr>
              <w:t>Outside United States</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5,211</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3,993</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4,515</w:t>
            </w:r>
          </w:p>
        </w:tc>
        <w:tc>
          <w:tcPr>
            <w:tcW w:w="60" w:type="dxa"/>
            <w:vAlign w:val="bottom"/>
          </w:tcPr>
          <w:p>
            <w:pPr>
              <w:spacing w:after="0"/>
              <w:rPr>
                <w:sz w:val="12"/>
                <w:szCs w:val="12"/>
                <w:color w:val="auto"/>
              </w:rPr>
            </w:pPr>
          </w:p>
        </w:tc>
      </w:tr>
      <w:tr>
        <w:trPr>
          <w:trHeight w:val="21"/>
        </w:trPr>
        <w:tc>
          <w:tcPr>
            <w:tcW w:w="9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29"/>
        </w:trPr>
        <w:tc>
          <w:tcPr>
            <w:tcW w:w="9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b w:val="1"/>
                <w:bCs w:val="1"/>
                <w:u w:val="single" w:color="auto"/>
                <w:color w:val="auto"/>
                <w:w w:val="79"/>
              </w:rPr>
              <w:t>$</w:t>
            </w:r>
            <w:r>
              <w:rPr>
                <w:rFonts w:ascii="Arial" w:cs="Arial" w:eastAsia="Arial" w:hAnsi="Arial"/>
                <w:sz w:val="14"/>
                <w:szCs w:val="14"/>
                <w:b w:val="1"/>
                <w:bCs w:val="1"/>
                <w:color w:val="auto"/>
                <w:w w:val="79"/>
              </w:rPr>
              <w:t>7,191</w:t>
            </w:r>
          </w:p>
        </w:tc>
        <w:tc>
          <w:tcPr>
            <w:tcW w:w="5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6,239</w:t>
            </w:r>
          </w:p>
        </w:tc>
        <w:tc>
          <w:tcPr>
            <w:tcW w:w="3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5,132</w:t>
            </w:r>
          </w:p>
        </w:tc>
        <w:tc>
          <w:tcPr>
            <w:tcW w:w="60" w:type="dxa"/>
            <w:vAlign w:val="bottom"/>
            <w:shd w:val="clear" w:color="auto" w:fill="CCEEFF"/>
          </w:tcPr>
          <w:p>
            <w:pPr>
              <w:spacing w:after="0"/>
              <w:rPr>
                <w:sz w:val="11"/>
                <w:szCs w:val="11"/>
                <w:color w:val="auto"/>
              </w:rPr>
            </w:pPr>
          </w:p>
        </w:tc>
      </w:tr>
      <w:tr>
        <w:trPr>
          <w:trHeight w:val="20"/>
        </w:trPr>
        <w:tc>
          <w:tcPr>
            <w:tcW w:w="9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Schlumberger recorded $161 million of pretax charges in 2012 ($52 million in the US and $109 million outside the US). Schlumberger recorded $223 million of net pretax charges in 2011 ($104 million in the US and $119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280" w:right="239" w:bottom="1440" w:gutter="0" w:footer="0" w:header="0"/>
        </w:sectPr>
      </w:pPr>
    </w:p>
    <w:bookmarkStart w:id="53" w:name="page54"/>
    <w:bookmarkEnd w:id="53"/>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outside the US) and $625 million of pretax credits in 2010 ($222 million of net charges in the US and $847 million of net credits outside the US). These charges and credits are included in the table above and are more fully described in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4"/>
              </w:rPr>
              <w:t>(Stated in millions)</w:t>
            </w:r>
          </w:p>
        </w:tc>
      </w:tr>
      <w:tr>
        <w:trPr>
          <w:trHeight w:val="392"/>
        </w:trPr>
        <w:tc>
          <w:tcPr>
            <w:tcW w:w="100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3"/>
              </w:rPr>
              <w:t>2011</w:t>
            </w:r>
          </w:p>
        </w:tc>
        <w:tc>
          <w:tcPr>
            <w:tcW w:w="80" w:type="dxa"/>
            <w:vAlign w:val="bottom"/>
            <w:tcBorders>
              <w:bottom w:val="single" w:sz="8" w:color="CCEEFF"/>
            </w:tcBorders>
          </w:tcPr>
          <w:p>
            <w:pPr>
              <w:spacing w:after="0"/>
              <w:rPr>
                <w:sz w:val="24"/>
                <w:szCs w:val="24"/>
                <w:color w:val="auto"/>
              </w:rPr>
            </w:pPr>
          </w:p>
        </w:tc>
      </w:tr>
      <w:tr>
        <w:trPr>
          <w:trHeight w:val="142"/>
        </w:trPr>
        <w:tc>
          <w:tcPr>
            <w:tcW w:w="10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Postretirement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440</w:t>
            </w:r>
          </w:p>
        </w:tc>
        <w:tc>
          <w:tcPr>
            <w:tcW w:w="80" w:type="dxa"/>
            <w:vAlign w:val="bottom"/>
            <w:shd w:val="clear" w:color="auto" w:fill="CCEEFF"/>
          </w:tcPr>
          <w:p>
            <w:pPr>
              <w:spacing w:after="0"/>
              <w:rPr>
                <w:sz w:val="12"/>
                <w:szCs w:val="12"/>
                <w:color w:val="auto"/>
              </w:rPr>
            </w:pPr>
          </w:p>
        </w:tc>
      </w:tr>
      <w:tr>
        <w:trPr>
          <w:trHeight w:val="149"/>
        </w:trPr>
        <w:tc>
          <w:tcPr>
            <w:tcW w:w="1006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4"/>
              </w:rPr>
              <w:t>(1,490)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(1,498)</w:t>
            </w:r>
          </w:p>
        </w:tc>
      </w:tr>
      <w:tr>
        <w:trPr>
          <w:trHeight w:val="149"/>
        </w:trPr>
        <w:tc>
          <w:tcPr>
            <w:tcW w:w="10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non-US subsidiaries</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(317)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(349)</w:t>
            </w:r>
          </w:p>
        </w:tc>
      </w:tr>
      <w:tr>
        <w:trPr>
          <w:trHeight w:val="149"/>
        </w:trPr>
        <w:tc>
          <w:tcPr>
            <w:tcW w:w="1006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w:t>
            </w:r>
          </w:p>
        </w:tc>
      </w:tr>
      <w:tr>
        <w:trPr>
          <w:trHeight w:val="21"/>
        </w:trPr>
        <w:tc>
          <w:tcPr>
            <w:tcW w:w="10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42"/>
        </w:trPr>
        <w:tc>
          <w:tcPr>
            <w:tcW w:w="100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(1,150)</w:t>
            </w: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4"/>
              </w:rPr>
              <w:t>(1,275)</w:t>
            </w:r>
          </w:p>
        </w:tc>
      </w:tr>
      <w:tr>
        <w:trPr>
          <w:trHeight w:val="20"/>
        </w:trPr>
        <w:tc>
          <w:tcPr>
            <w:tcW w:w="10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above deferred tax balances at December 31, 2012 and 2011 were net of valuation allowances relating to net operating losses in certain countries of $256 million and $239 million,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24"/>
                <w:szCs w:val="24"/>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4"/>
                <w:szCs w:val="14"/>
                <w:color w:val="auto"/>
              </w:rPr>
              <w:t>2011</w:t>
            </w:r>
          </w:p>
        </w:tc>
        <w:tc>
          <w:tcPr>
            <w:tcW w:w="30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w w:val="96"/>
              </w:rPr>
              <w:t>2010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Current:</w:t>
            </w: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ind w:left="420"/>
              <w:spacing w:after="0" w:line="149" w:lineRule="exact"/>
              <w:rPr>
                <w:sz w:val="20"/>
                <w:szCs w:val="20"/>
                <w:color w:val="auto"/>
              </w:rPr>
            </w:pPr>
            <w:r>
              <w:rPr>
                <w:rFonts w:ascii="Arial" w:cs="Arial" w:eastAsia="Arial" w:hAnsi="Arial"/>
                <w:sz w:val="14"/>
                <w:szCs w:val="14"/>
                <w:color w:val="auto"/>
              </w:rPr>
              <w:t>United States – Federal</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698</w:t>
            </w:r>
          </w:p>
        </w:tc>
        <w:tc>
          <w:tcPr>
            <w:tcW w:w="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 State</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ind w:left="420"/>
              <w:spacing w:after="0" w:line="149" w:lineRule="exact"/>
              <w:rPr>
                <w:sz w:val="20"/>
                <w:szCs w:val="20"/>
                <w:color w:val="auto"/>
              </w:rPr>
            </w:pPr>
            <w:r>
              <w:rPr>
                <w:rFonts w:ascii="Arial" w:cs="Arial" w:eastAsia="Arial" w:hAnsi="Arial"/>
                <w:sz w:val="14"/>
                <w:szCs w:val="14"/>
                <w:color w:val="auto"/>
              </w:rPr>
              <w:t>Outside United States</w:t>
            </w:r>
          </w:p>
        </w:tc>
        <w:tc>
          <w:tcPr>
            <w:tcW w:w="6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79"/>
              </w:rPr>
              <w:t>1,048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u w:val="single" w:color="auto"/>
                <w:color w:val="auto"/>
                <w:w w:val="71"/>
              </w:rPr>
              <w:t>$</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1,799</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1,535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79"/>
              </w:rPr>
              <w:t>1,009</w:t>
            </w:r>
          </w:p>
        </w:tc>
        <w:tc>
          <w:tcPr>
            <w:tcW w:w="0" w:type="dxa"/>
            <w:vAlign w:val="bottom"/>
          </w:tcPr>
          <w:p>
            <w:pPr>
              <w:spacing w:after="0"/>
              <w:rPr>
                <w:sz w:val="1"/>
                <w:szCs w:val="1"/>
                <w:color w:val="auto"/>
              </w:rPr>
            </w:pPr>
          </w:p>
        </w:tc>
      </w:tr>
      <w:tr>
        <w:trPr>
          <w:trHeight w:val="156"/>
        </w:trPr>
        <w:tc>
          <w:tcPr>
            <w:tcW w:w="9620" w:type="dxa"/>
            <w:vAlign w:val="bottom"/>
            <w:gridSpan w:val="2"/>
          </w:tcPr>
          <w:p>
            <w:pPr>
              <w:spacing w:after="0" w:line="155" w:lineRule="exact"/>
              <w:rPr>
                <w:sz w:val="20"/>
                <w:szCs w:val="20"/>
                <w:color w:val="auto"/>
              </w:rPr>
            </w:pPr>
            <w:r>
              <w:rPr>
                <w:rFonts w:ascii="Arial" w:cs="Arial" w:eastAsia="Arial" w:hAnsi="Arial"/>
                <w:sz w:val="14"/>
                <w:szCs w:val="14"/>
                <w:color w:val="auto"/>
              </w:rPr>
              <w:t>Deferred:</w:t>
            </w: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 Federal</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ind w:left="420"/>
              <w:spacing w:after="0" w:line="149" w:lineRule="exact"/>
              <w:rPr>
                <w:sz w:val="20"/>
                <w:szCs w:val="20"/>
                <w:color w:val="auto"/>
              </w:rPr>
            </w:pPr>
            <w:r>
              <w:rPr>
                <w:rFonts w:ascii="Arial" w:cs="Arial" w:eastAsia="Arial" w:hAnsi="Arial"/>
                <w:sz w:val="14"/>
                <w:szCs w:val="14"/>
                <w:color w:val="auto"/>
              </w:rPr>
              <w:t>United States – State</w:t>
            </w:r>
          </w:p>
        </w:tc>
        <w:tc>
          <w:tcPr>
            <w:tcW w:w="60" w:type="dxa"/>
            <w:vAlign w:val="bottom"/>
          </w:tcPr>
          <w:p>
            <w:pPr>
              <w:spacing w:after="0"/>
              <w:rPr>
                <w:sz w:val="12"/>
                <w:szCs w:val="12"/>
                <w:color w:val="auto"/>
              </w:rPr>
            </w:pPr>
          </w:p>
        </w:tc>
        <w:tc>
          <w:tcPr>
            <w:tcW w:w="3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3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Outside United States</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ind w:left="420"/>
              <w:spacing w:after="0" w:line="149" w:lineRule="exact"/>
              <w:rPr>
                <w:sz w:val="20"/>
                <w:szCs w:val="20"/>
                <w:color w:val="auto"/>
              </w:rPr>
            </w:pPr>
            <w:r>
              <w:rPr>
                <w:rFonts w:ascii="Arial" w:cs="Arial" w:eastAsia="Arial" w:hAnsi="Arial"/>
                <w:sz w:val="14"/>
                <w:szCs w:val="14"/>
                <w:color w:val="auto"/>
              </w:rPr>
              <w:t>Valuation allowance</w:t>
            </w:r>
          </w:p>
        </w:tc>
        <w:tc>
          <w:tcPr>
            <w:tcW w:w="6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3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3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(76)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7"/>
              </w:rPr>
              <w:t>(130)</w:t>
            </w:r>
          </w:p>
        </w:tc>
        <w:tc>
          <w:tcPr>
            <w:tcW w:w="0" w:type="dxa"/>
            <w:vAlign w:val="bottom"/>
          </w:tcPr>
          <w:p>
            <w:pPr>
              <w:spacing w:after="0"/>
              <w:rPr>
                <w:sz w:val="1"/>
                <w:szCs w:val="1"/>
                <w:color w:val="auto"/>
              </w:rPr>
            </w:pPr>
          </w:p>
        </w:tc>
      </w:tr>
      <w:tr>
        <w:trPr>
          <w:trHeight w:val="21"/>
        </w:trPr>
        <w:tc>
          <w:tcPr>
            <w:tcW w:w="9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u w:val="single" w:color="auto"/>
                <w:color w:val="auto"/>
                <w:w w:val="76"/>
              </w:rPr>
              <w:t>$</w:t>
            </w:r>
          </w:p>
        </w:tc>
        <w:tc>
          <w:tcPr>
            <w:tcW w:w="3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w w:val="79"/>
              </w:rPr>
              <w:t>1,509</w:t>
            </w:r>
          </w:p>
        </w:tc>
        <w:tc>
          <w:tcPr>
            <w:tcW w:w="300" w:type="dxa"/>
            <w:vAlign w:val="bottom"/>
          </w:tcPr>
          <w:p>
            <w:pPr>
              <w:spacing w:after="0" w:line="20" w:lineRule="exact"/>
              <w:rPr>
                <w:sz w:val="1"/>
                <w:szCs w:val="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879</w:t>
            </w: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Consolidated taxes on income</w:t>
            </w: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u w:val="single" w:color="auto"/>
                <w:color w:val="auto"/>
                <w:w w:val="71"/>
              </w:rPr>
              <w:t>$</w:t>
            </w: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1,723</w:t>
            </w:r>
          </w:p>
        </w:tc>
        <w:tc>
          <w:tcPr>
            <w:tcW w:w="80" w:type="dxa"/>
            <w:vAlign w:val="bottom"/>
            <w:tcBorders>
              <w:top w:val="single" w:sz="8" w:color="auto"/>
            </w:tcBorders>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Borders>
              <w:top w:val="single" w:sz="8" w:color="auto"/>
            </w:tcBorders>
            <w:vMerge w:val="continue"/>
          </w:tcPr>
          <w:p>
            <w:pPr>
              <w:spacing w:after="0"/>
              <w:rPr>
                <w:sz w:val="12"/>
                <w:szCs w:val="12"/>
                <w:color w:val="auto"/>
              </w:rPr>
            </w:pPr>
          </w:p>
        </w:tc>
        <w:tc>
          <w:tcPr>
            <w:tcW w:w="300" w:type="dxa"/>
            <w:vAlign w:val="bottom"/>
            <w:tcBorders>
              <w:top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vMerge w:val="continue"/>
          </w:tcPr>
          <w:p>
            <w:pPr>
              <w:spacing w:after="0"/>
              <w:rPr>
                <w:sz w:val="12"/>
                <w:szCs w:val="12"/>
                <w:color w:val="auto"/>
              </w:rPr>
            </w:pPr>
          </w:p>
        </w:tc>
        <w:tc>
          <w:tcPr>
            <w:tcW w:w="300" w:type="dxa"/>
            <w:vAlign w:val="bottom"/>
            <w:tcBorders>
              <w:top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96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2011</w:t>
            </w: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2010</w:t>
            </w: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US statutory federal rate</w:t>
            </w: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35%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spacing w:after="0" w:line="149" w:lineRule="exact"/>
              <w:rPr>
                <w:sz w:val="20"/>
                <w:szCs w:val="20"/>
                <w:color w:val="auto"/>
              </w:rPr>
            </w:pPr>
            <w:r>
              <w:rPr>
                <w:rFonts w:ascii="Arial" w:cs="Arial" w:eastAsia="Arial" w:hAnsi="Arial"/>
                <w:sz w:val="14"/>
                <w:szCs w:val="14"/>
                <w:color w:val="auto"/>
              </w:rPr>
              <w:t>Non-US income taxed at different rates</w:t>
            </w:r>
          </w:p>
        </w:tc>
        <w:tc>
          <w:tcPr>
            <w:tcW w:w="6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6"/>
              </w:rPr>
              <w:t>(10)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Charges and credit (See Note 3)</w:t>
            </w: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Effective income tax rate</w:t>
            </w: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Schlumberger conducts business in more than 100 tax jurisdictions, a number of which have tax laws that are not fully defined and are evolving. Schlumberger’s tax filings are subject to regular audit by the tax authorities. Tax liabilities are recorded based on estimates of additional taxes which will be due upon the conclusion of these audits.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280" w:right="239" w:bottom="1440" w:gutter="0" w:footer="0" w:header="0"/>
        </w:sectPr>
      </w:pPr>
    </w:p>
    <w:bookmarkStart w:id="54" w:name="page55"/>
    <w:bookmarkEnd w:id="54"/>
    <w:p>
      <w:pPr>
        <w:ind w:right="280" w:firstLine="22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reconciliation of the beginning and ending amount of liabilities associated with uncertain tax positions for the years ended December 31, 2012, 2011 and 2010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(Stated in millions)</w:t>
            </w:r>
          </w:p>
        </w:tc>
      </w:tr>
      <w:tr>
        <w:trPr>
          <w:trHeight w:val="392"/>
        </w:trPr>
        <w:tc>
          <w:tcPr>
            <w:tcW w:w="6600" w:type="dxa"/>
            <w:vAlign w:val="bottom"/>
          </w:tcPr>
          <w:p>
            <w:pPr>
              <w:spacing w:after="0"/>
              <w:rPr>
                <w:sz w:val="24"/>
                <w:szCs w:val="2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2010</w:t>
            </w:r>
          </w:p>
        </w:tc>
        <w:tc>
          <w:tcPr>
            <w:tcW w:w="80" w:type="dxa"/>
            <w:vAlign w:val="bottom"/>
          </w:tcPr>
          <w:p>
            <w:pPr>
              <w:spacing w:after="0"/>
              <w:rPr>
                <w:sz w:val="24"/>
                <w:szCs w:val="24"/>
                <w:color w:val="auto"/>
              </w:rPr>
            </w:pPr>
          </w:p>
        </w:tc>
      </w:tr>
      <w:tr>
        <w:trPr>
          <w:trHeight w:val="142"/>
        </w:trPr>
        <w:tc>
          <w:tcPr>
            <w:tcW w:w="6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beginning of year</w:t>
            </w:r>
          </w:p>
        </w:tc>
        <w:tc>
          <w:tcPr>
            <w:tcW w:w="30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$1,353</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$1,338</w:t>
            </w:r>
          </w:p>
        </w:tc>
        <w:tc>
          <w:tcPr>
            <w:tcW w:w="3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$1,026</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Additions based on tax positions related to the current year</w:t>
            </w:r>
          </w:p>
        </w:tc>
        <w:tc>
          <w:tcPr>
            <w:tcW w:w="3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w:t>
            </w:r>
          </w:p>
        </w:tc>
        <w:tc>
          <w:tcPr>
            <w:tcW w:w="3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w:t>
            </w: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for tax positions of prior years</w:t>
            </w:r>
          </w:p>
        </w:tc>
        <w:tc>
          <w:tcPr>
            <w:tcW w:w="3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Additions related to acquisitions</w:t>
            </w:r>
          </w:p>
        </w:tc>
        <w:tc>
          <w:tcPr>
            <w:tcW w:w="30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3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w:t>
            </w: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changes in exchange rates</w:t>
            </w:r>
          </w:p>
        </w:tc>
        <w:tc>
          <w:tcPr>
            <w:tcW w:w="3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Settlements with tax authorities</w:t>
            </w:r>
          </w:p>
        </w:tc>
        <w:tc>
          <w:tcPr>
            <w:tcW w:w="34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(17)</w:t>
            </w: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(77)</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w:t>
            </w: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Reductions for tax positions of prior years</w:t>
            </w:r>
          </w:p>
        </w:tc>
        <w:tc>
          <w:tcPr>
            <w:tcW w:w="34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(103)</w:t>
            </w: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Reductions due to the lapse of the applicable statute of limitations</w:t>
            </w:r>
          </w:p>
        </w:tc>
        <w:tc>
          <w:tcPr>
            <w:tcW w:w="34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(46)</w:t>
            </w: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(38)</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w:t>
            </w: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42"/>
        </w:trPr>
        <w:tc>
          <w:tcPr>
            <w:tcW w:w="6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end of year</w:t>
            </w:r>
          </w:p>
        </w:tc>
        <w:tc>
          <w:tcPr>
            <w:tcW w:w="3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1,453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1,353</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1,338</w:t>
            </w:r>
          </w:p>
        </w:tc>
      </w:tr>
      <w:tr>
        <w:trPr>
          <w:trHeight w:val="20"/>
        </w:trPr>
        <w:tc>
          <w:tcPr>
            <w:tcW w:w="6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The amounts above exclude accrued interest and penalties of $250 million, $225 million and $210 million at December 31, 2012, 2011 and 2010 respectively. Schlumberger classifies interest and penalties relating to uncertain tax positions within </w:t>
      </w:r>
      <w:r>
        <w:rPr>
          <w:rFonts w:ascii="Arial" w:cs="Arial" w:eastAsia="Arial" w:hAnsi="Arial"/>
          <w:sz w:val="16"/>
          <w:szCs w:val="16"/>
          <w:i w:val="1"/>
          <w:iCs w:val="1"/>
          <w:color w:val="auto"/>
        </w:rPr>
        <w:t>Taxes on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During 2012, 2011 and 2010, Schlumberger recognized approximately $25 million, $15 million and $42 million in interest and penalties, respectively.</w:t>
      </w:r>
    </w:p>
    <w:p>
      <w:pPr>
        <w:spacing w:after="0" w:line="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Brazil</w:t>
            </w:r>
          </w:p>
        </w:tc>
        <w:tc>
          <w:tcPr>
            <w:tcW w:w="4260" w:type="dxa"/>
            <w:vAlign w:val="bottom"/>
            <w:shd w:val="clear" w:color="auto" w:fill="CCEEFF"/>
          </w:tcPr>
          <w:p>
            <w:pPr>
              <w:ind w:left="3500"/>
              <w:spacing w:after="0"/>
              <w:rPr>
                <w:sz w:val="20"/>
                <w:szCs w:val="20"/>
                <w:color w:val="auto"/>
              </w:rPr>
            </w:pPr>
            <w:r>
              <w:rPr>
                <w:rFonts w:ascii="Arial" w:cs="Arial" w:eastAsia="Arial" w:hAnsi="Arial"/>
                <w:sz w:val="14"/>
                <w:szCs w:val="14"/>
                <w:color w:val="auto"/>
                <w:w w:val="95"/>
              </w:rPr>
              <w:t>2006 – 2012</w:t>
            </w: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Canada</w:t>
            </w:r>
          </w:p>
        </w:tc>
        <w:tc>
          <w:tcPr>
            <w:tcW w:w="4260" w:type="dxa"/>
            <w:vAlign w:val="bottom"/>
          </w:tcPr>
          <w:p>
            <w:pPr>
              <w:ind w:left="3500"/>
              <w:spacing w:after="0" w:line="149" w:lineRule="exact"/>
              <w:rPr>
                <w:sz w:val="20"/>
                <w:szCs w:val="20"/>
                <w:color w:val="auto"/>
              </w:rPr>
            </w:pPr>
            <w:r>
              <w:rPr>
                <w:rFonts w:ascii="Arial" w:cs="Arial" w:eastAsia="Arial" w:hAnsi="Arial"/>
                <w:sz w:val="14"/>
                <w:szCs w:val="14"/>
                <w:color w:val="auto"/>
                <w:w w:val="95"/>
              </w:rPr>
              <w:t>2005 – 2012</w:t>
            </w: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Mexico</w:t>
            </w:r>
          </w:p>
        </w:tc>
        <w:tc>
          <w:tcPr>
            <w:tcW w:w="4260" w:type="dxa"/>
            <w:vAlign w:val="bottom"/>
            <w:shd w:val="clear" w:color="auto" w:fill="CCEEFF"/>
          </w:tcPr>
          <w:p>
            <w:pPr>
              <w:ind w:left="3500"/>
              <w:spacing w:after="0" w:line="149" w:lineRule="exact"/>
              <w:rPr>
                <w:sz w:val="20"/>
                <w:szCs w:val="20"/>
                <w:color w:val="auto"/>
              </w:rPr>
            </w:pPr>
            <w:r>
              <w:rPr>
                <w:rFonts w:ascii="Arial" w:cs="Arial" w:eastAsia="Arial" w:hAnsi="Arial"/>
                <w:sz w:val="14"/>
                <w:szCs w:val="14"/>
                <w:color w:val="auto"/>
                <w:w w:val="95"/>
              </w:rPr>
              <w:t>2007 – 2012</w:t>
            </w: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Norway</w:t>
            </w:r>
          </w:p>
        </w:tc>
        <w:tc>
          <w:tcPr>
            <w:tcW w:w="4260" w:type="dxa"/>
            <w:vAlign w:val="bottom"/>
          </w:tcPr>
          <w:p>
            <w:pPr>
              <w:ind w:left="3500"/>
              <w:spacing w:after="0" w:line="149" w:lineRule="exact"/>
              <w:rPr>
                <w:sz w:val="20"/>
                <w:szCs w:val="20"/>
                <w:color w:val="auto"/>
              </w:rPr>
            </w:pPr>
            <w:r>
              <w:rPr>
                <w:rFonts w:ascii="Arial" w:cs="Arial" w:eastAsia="Arial" w:hAnsi="Arial"/>
                <w:sz w:val="14"/>
                <w:szCs w:val="14"/>
                <w:color w:val="auto"/>
                <w:w w:val="95"/>
              </w:rPr>
              <w:t>2003 – 2012</w:t>
            </w: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Russia</w:t>
            </w:r>
          </w:p>
        </w:tc>
        <w:tc>
          <w:tcPr>
            <w:tcW w:w="4260" w:type="dxa"/>
            <w:vAlign w:val="bottom"/>
            <w:shd w:val="clear" w:color="auto" w:fill="CCEEFF"/>
          </w:tcPr>
          <w:p>
            <w:pPr>
              <w:ind w:left="3500"/>
              <w:spacing w:after="0" w:line="149" w:lineRule="exact"/>
              <w:rPr>
                <w:sz w:val="20"/>
                <w:szCs w:val="20"/>
                <w:color w:val="auto"/>
              </w:rPr>
            </w:pPr>
            <w:r>
              <w:rPr>
                <w:rFonts w:ascii="Arial" w:cs="Arial" w:eastAsia="Arial" w:hAnsi="Arial"/>
                <w:sz w:val="14"/>
                <w:szCs w:val="14"/>
                <w:color w:val="auto"/>
                <w:w w:val="95"/>
              </w:rPr>
              <w:t>2009 – 2012</w:t>
            </w: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Saudi Arabia</w:t>
            </w:r>
          </w:p>
        </w:tc>
        <w:tc>
          <w:tcPr>
            <w:tcW w:w="4260" w:type="dxa"/>
            <w:vAlign w:val="bottom"/>
          </w:tcPr>
          <w:p>
            <w:pPr>
              <w:ind w:left="3500"/>
              <w:spacing w:after="0" w:line="149" w:lineRule="exact"/>
              <w:rPr>
                <w:sz w:val="20"/>
                <w:szCs w:val="20"/>
                <w:color w:val="auto"/>
              </w:rPr>
            </w:pPr>
            <w:r>
              <w:rPr>
                <w:rFonts w:ascii="Arial" w:cs="Arial" w:eastAsia="Arial" w:hAnsi="Arial"/>
                <w:sz w:val="14"/>
                <w:szCs w:val="14"/>
                <w:color w:val="auto"/>
                <w:w w:val="95"/>
              </w:rPr>
              <w:t>2001 – 2012</w:t>
            </w: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Kingdom</w:t>
            </w:r>
          </w:p>
        </w:tc>
        <w:tc>
          <w:tcPr>
            <w:tcW w:w="4260" w:type="dxa"/>
            <w:vAlign w:val="bottom"/>
            <w:shd w:val="clear" w:color="auto" w:fill="CCEEFF"/>
          </w:tcPr>
          <w:p>
            <w:pPr>
              <w:ind w:left="3500"/>
              <w:spacing w:after="0" w:line="149" w:lineRule="exact"/>
              <w:rPr>
                <w:sz w:val="20"/>
                <w:szCs w:val="20"/>
                <w:color w:val="auto"/>
              </w:rPr>
            </w:pPr>
            <w:r>
              <w:rPr>
                <w:rFonts w:ascii="Arial" w:cs="Arial" w:eastAsia="Arial" w:hAnsi="Arial"/>
                <w:sz w:val="14"/>
                <w:szCs w:val="14"/>
                <w:color w:val="auto"/>
                <w:w w:val="95"/>
              </w:rPr>
              <w:t>2009 – 2012</w:t>
            </w:r>
          </w:p>
        </w:tc>
      </w:tr>
      <w:tr>
        <w:trPr>
          <w:trHeight w:val="172"/>
        </w:trPr>
        <w:tc>
          <w:tcPr>
            <w:tcW w:w="4420" w:type="dxa"/>
            <w:vAlign w:val="bottom"/>
          </w:tcPr>
          <w:p>
            <w:pPr>
              <w:spacing w:after="0"/>
              <w:rPr>
                <w:sz w:val="20"/>
                <w:szCs w:val="20"/>
                <w:color w:val="auto"/>
              </w:rPr>
            </w:pPr>
            <w:r>
              <w:rPr>
                <w:rFonts w:ascii="Arial" w:cs="Arial" w:eastAsia="Arial" w:hAnsi="Arial"/>
                <w:sz w:val="14"/>
                <w:szCs w:val="14"/>
                <w:color w:val="auto"/>
              </w:rPr>
              <w:t>United States</w:t>
            </w:r>
          </w:p>
        </w:tc>
        <w:tc>
          <w:tcPr>
            <w:tcW w:w="4260" w:type="dxa"/>
            <w:vAlign w:val="bottom"/>
          </w:tcPr>
          <w:p>
            <w:pPr>
              <w:ind w:left="3500"/>
              <w:spacing w:after="0"/>
              <w:rPr>
                <w:sz w:val="20"/>
                <w:szCs w:val="20"/>
                <w:color w:val="auto"/>
              </w:rPr>
            </w:pPr>
            <w:r>
              <w:rPr>
                <w:rFonts w:ascii="Arial" w:cs="Arial" w:eastAsia="Arial" w:hAnsi="Arial"/>
                <w:sz w:val="14"/>
                <w:szCs w:val="14"/>
                <w:color w:val="auto"/>
                <w:w w:val="95"/>
              </w:rPr>
              <w:t>2008 – 2012</w:t>
            </w:r>
          </w:p>
        </w:tc>
      </w:tr>
    </w:tbl>
    <w:p>
      <w:pPr>
        <w:spacing w:after="0" w:line="22"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137"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and Lease Commitments</w:t>
      </w:r>
    </w:p>
    <w:p>
      <w:pPr>
        <w:spacing w:after="0" w:line="96"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Total rental expense was $1.9 billion in 2012, $1.6 billion in 2011, and $1.2 billion in 2010. Future minimum rental commitments under noncancelable operating leases for each of the next five years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6000" w:type="dxa"/>
            <w:vAlign w:val="bottom"/>
            <w:gridSpan w:val="3"/>
          </w:tcPr>
          <w:p>
            <w:pPr>
              <w:ind w:left="484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5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56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562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line="149" w:lineRule="exact"/>
              <w:rPr>
                <w:sz w:val="20"/>
                <w:szCs w:val="20"/>
                <w:color w:val="auto"/>
              </w:rPr>
            </w:pPr>
            <w:r>
              <w:rPr>
                <w:rFonts w:ascii="Arial" w:cs="Arial" w:eastAsia="Arial" w:hAnsi="Arial"/>
                <w:sz w:val="14"/>
                <w:szCs w:val="14"/>
                <w:color w:val="auto"/>
              </w:rPr>
              <w:t>2016</w:t>
            </w:r>
          </w:p>
        </w:tc>
        <w:tc>
          <w:tcPr>
            <w:tcW w:w="56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2017</w:t>
            </w:r>
          </w:p>
        </w:tc>
        <w:tc>
          <w:tcPr>
            <w:tcW w:w="562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56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Borders>
              <w:bottom w:val="single" w:sz="8" w:color="auto"/>
            </w:tcBorders>
            <w:shd w:val="clear" w:color="auto" w:fill="CCEEFF"/>
          </w:tcPr>
          <w:p>
            <w:pPr>
              <w:spacing w:after="0"/>
              <w:rPr>
                <w:sz w:val="12"/>
                <w:szCs w:val="12"/>
                <w:color w:val="auto"/>
              </w:rPr>
            </w:pPr>
          </w:p>
        </w:tc>
        <w:tc>
          <w:tcPr>
            <w:tcW w:w="5620" w:type="dxa"/>
            <w:vAlign w:val="bottom"/>
            <w:tcBorders>
              <w:bottom w:val="single" w:sz="8" w:color="auto"/>
              <w:right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62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w w:val="85"/>
              </w:rPr>
              <w:t>1,615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6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In October 2012, Schlumberger was advised by the DOJ that it has closed its inquiry as it relates to Schlumberger.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280" w:right="239" w:bottom="1440" w:gutter="0" w:footer="0" w:header="0"/>
        </w:sectPr>
      </w:pPr>
    </w:p>
    <w:bookmarkStart w:id="55" w:name="page56"/>
    <w:bookmarkEnd w:id="55"/>
    <w:p>
      <w:pPr>
        <w:ind w:right="380" w:firstLine="22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Schlumberger is cooperating with the governmental authorities.</w:t>
      </w:r>
    </w:p>
    <w:p>
      <w:pPr>
        <w:spacing w:after="0" w:line="3"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and additional legal actions may be filed in the future. Based on information currently known, the amount of any potential loss attributable to M-I SWACO with respect to potential liabilities related to the incident would not be material to Schlumberger’s consolidated financial statements.</w:t>
      </w:r>
    </w:p>
    <w:p>
      <w:pPr>
        <w:spacing w:after="0" w:line="3"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138" w:lineRule="exact"/>
        <w:rPr>
          <w:sz w:val="20"/>
          <w:szCs w:val="20"/>
          <w:color w:val="auto"/>
        </w:rPr>
      </w:pPr>
    </w:p>
    <w:p>
      <w:pPr>
        <w:ind w:left="240" w:right="8320" w:hanging="232"/>
        <w:spacing w:after="0" w:line="417" w:lineRule="auto"/>
        <w:tabs>
          <w:tab w:leader="none" w:pos="407"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Segment Information </w:t>
      </w:r>
      <w:r>
        <w:rPr>
          <w:rFonts w:ascii="Arial" w:cs="Arial" w:eastAsia="Arial" w:hAnsi="Arial"/>
          <w:sz w:val="15"/>
          <w:szCs w:val="15"/>
          <w:color w:val="auto"/>
        </w:rPr>
        <w:t>Schlumberger’s segments are as follows:</w:t>
      </w:r>
    </w:p>
    <w:p>
      <w:pPr>
        <w:ind w:left="780" w:right="420" w:hanging="324"/>
        <w:spacing w:after="0" w:line="332" w:lineRule="auto"/>
        <w:rPr>
          <w:rFonts w:ascii="Arial" w:cs="Arial" w:eastAsia="Arial" w:hAnsi="Arial"/>
          <w:sz w:val="15"/>
          <w:szCs w:val="15"/>
          <w:b w:val="1"/>
          <w:bCs w:val="1"/>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Reservoir Characterization Group</w:t>
      </w:r>
      <w:r>
        <w:rPr>
          <w:rFonts w:ascii="Arial" w:cs="Arial" w:eastAsia="Arial" w:hAnsi="Arial"/>
          <w:sz w:val="16"/>
          <w:szCs w:val="16"/>
          <w:color w:val="auto"/>
        </w:rPr>
        <w:t xml:space="preserve"> – Consists of the principal technologies involved in finding and defining hydrocarbon deposits. These include WesternGeco, Wireline, Testing Services, Schlumberger Information Services and PetroTechnical Services.</w:t>
      </w:r>
    </w:p>
    <w:p>
      <w:pPr>
        <w:spacing w:after="0" w:line="4" w:lineRule="exact"/>
        <w:rPr>
          <w:rFonts w:ascii="Arial" w:cs="Arial" w:eastAsia="Arial" w:hAnsi="Arial"/>
          <w:sz w:val="15"/>
          <w:szCs w:val="15"/>
          <w:b w:val="1"/>
          <w:bCs w:val="1"/>
          <w:color w:val="auto"/>
        </w:rPr>
      </w:pPr>
    </w:p>
    <w:p>
      <w:pPr>
        <w:ind w:left="780" w:right="300" w:hanging="324"/>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Drilling Group</w:t>
      </w:r>
      <w:r>
        <w:rPr>
          <w:rFonts w:ascii="Arial" w:cs="Arial" w:eastAsia="Arial" w:hAnsi="Arial"/>
          <w:sz w:val="18"/>
          <w:szCs w:val="18"/>
          <w:color w:val="auto"/>
        </w:rPr>
        <w:t xml:space="preserve"> – Consists of the principal technologies involved in the drilling and positioning of oil and gas wells and is comprised of Bits &amp; Advanced Technologies, M-I SWACO, Geoservices, Drilling &amp; Measurements, Pathfinder, Drilling Tools &amp; Remedial Services, Dynamic Pressure Management and Integrated Project Management well construction projects.</w:t>
      </w:r>
    </w:p>
    <w:p>
      <w:pPr>
        <w:spacing w:after="0" w:line="59" w:lineRule="exact"/>
        <w:rPr>
          <w:rFonts w:ascii="Arial" w:cs="Arial" w:eastAsia="Arial" w:hAnsi="Arial"/>
          <w:sz w:val="15"/>
          <w:szCs w:val="15"/>
          <w:b w:val="1"/>
          <w:bCs w:val="1"/>
          <w:color w:val="auto"/>
        </w:rPr>
      </w:pPr>
    </w:p>
    <w:p>
      <w:pPr>
        <w:ind w:left="780" w:right="300" w:hanging="324"/>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Production Group</w:t>
      </w:r>
      <w:r>
        <w:rPr>
          <w:rFonts w:ascii="Arial" w:cs="Arial" w:eastAsia="Arial" w:hAnsi="Arial"/>
          <w:sz w:val="18"/>
          <w:szCs w:val="18"/>
          <w:color w:val="auto"/>
        </w:rPr>
        <w:t xml:space="preserve"> – Consists of the principal technologies involved in the lifetime production of oil and gas reservoirs and includes Well Services, Completions, Artificial Lift, Well Intervention, Subsea, Water Services, Carbon Services and the Schlumberger Production Management field production projects.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Groups are collectively referred to as “Oilfield Services”.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the years ended December 31, 2012, 2011 and 2010, by segment,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4"/>
          </w:tcPr>
          <w:p>
            <w:pPr>
              <w:ind w:left="16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before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Depn. &amp;</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Capital</w:t>
            </w: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78"/>
              </w:rPr>
              <w:t>taxes</w:t>
            </w:r>
          </w:p>
        </w:tc>
        <w:tc>
          <w:tcPr>
            <w:tcW w:w="9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2"/>
              </w:rPr>
              <w:t>Assets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9"/>
              </w:rPr>
              <w:t>Amortn.</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Expenditures</w:t>
            </w:r>
          </w:p>
        </w:tc>
      </w:tr>
      <w:tr>
        <w:trPr>
          <w:trHeight w:val="129"/>
        </w:trPr>
        <w:tc>
          <w:tcPr>
            <w:tcW w:w="20" w:type="dxa"/>
            <w:vAlign w:val="bottom"/>
          </w:tcPr>
          <w:p>
            <w:pPr>
              <w:spacing w:after="0"/>
              <w:rPr>
                <w:sz w:val="11"/>
                <w:szCs w:val="11"/>
                <w:color w:val="auto"/>
              </w:rPr>
            </w:pPr>
          </w:p>
        </w:tc>
        <w:tc>
          <w:tcPr>
            <w:tcW w:w="3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OILFIELD SERVICES</w:t>
            </w:r>
          </w:p>
        </w:tc>
        <w:tc>
          <w:tcPr>
            <w:tcW w:w="30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Reservoir Characterization</w:t>
            </w:r>
          </w:p>
        </w:tc>
        <w:tc>
          <w:tcPr>
            <w:tcW w:w="3140" w:type="dxa"/>
            <w:vAlign w:val="bottom"/>
            <w:gridSpan w:val="2"/>
          </w:tcPr>
          <w:p>
            <w:pPr>
              <w:ind w:left="30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8"/>
              </w:rPr>
              <w:t>11,424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6"/>
              </w:rPr>
              <w:t>3,212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8,699</w:t>
            </w:r>
          </w:p>
        </w:tc>
        <w:tc>
          <w:tcPr>
            <w:tcW w:w="4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1,311</w:t>
            </w:r>
          </w:p>
        </w:tc>
        <w:tc>
          <w:tcPr>
            <w:tcW w:w="6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1,236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Drilling </w:t>
            </w:r>
            <w:r>
              <w:rPr>
                <w:rFonts w:ascii="Arial" w:cs="Arial" w:eastAsia="Arial" w:hAnsi="Arial"/>
                <w:sz w:val="17"/>
                <w:szCs w:val="17"/>
                <w:color w:val="auto"/>
                <w:vertAlign w:val="superscript"/>
              </w:rPr>
              <w:t>(1)</w:t>
            </w:r>
          </w:p>
        </w:tc>
        <w:tc>
          <w:tcPr>
            <w:tcW w:w="3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15,971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2,824</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3"/>
              </w:rPr>
              <w:t>11,027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Production </w:t>
            </w:r>
            <w:r>
              <w:rPr>
                <w:rFonts w:ascii="Arial" w:cs="Arial" w:eastAsia="Arial" w:hAnsi="Arial"/>
                <w:sz w:val="17"/>
                <w:szCs w:val="17"/>
                <w:color w:val="auto"/>
                <w:vertAlign w:val="superscript"/>
              </w:rPr>
              <w:t>(1)</w:t>
            </w: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14,875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6"/>
              </w:rPr>
              <w:t>2,371</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9,643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1,439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Eliminations &amp; other </w:t>
            </w:r>
            <w:r>
              <w:rPr>
                <w:rFonts w:ascii="Arial" w:cs="Arial" w:eastAsia="Arial" w:hAnsi="Arial"/>
                <w:sz w:val="17"/>
                <w:szCs w:val="17"/>
                <w:color w:val="auto"/>
                <w:vertAlign w:val="superscript"/>
              </w:rPr>
              <w:t>(2)</w:t>
            </w:r>
          </w:p>
        </w:tc>
        <w:tc>
          <w:tcPr>
            <w:tcW w:w="3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42,149</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w w:val="96"/>
              </w:rPr>
              <w:t>8,347</w:t>
            </w:r>
          </w:p>
        </w:tc>
        <w:tc>
          <w:tcPr>
            <w:tcW w:w="6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31,434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3,302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4,695</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Goodwill and intangible assets </w:t>
            </w:r>
            <w:r>
              <w:rPr>
                <w:rFonts w:ascii="Arial" w:cs="Arial" w:eastAsia="Arial" w:hAnsi="Arial"/>
                <w:sz w:val="17"/>
                <w:szCs w:val="17"/>
                <w:color w:val="auto"/>
                <w:vertAlign w:val="superscript"/>
              </w:rPr>
              <w:t>(3)</w:t>
            </w:r>
          </w:p>
        </w:tc>
        <w:tc>
          <w:tcPr>
            <w:tcW w:w="3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19,387</w:t>
            </w: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All other assets</w:t>
            </w: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2,705</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Corporate </w:t>
            </w:r>
            <w:r>
              <w:rPr>
                <w:rFonts w:ascii="Arial" w:cs="Arial" w:eastAsia="Arial" w:hAnsi="Arial"/>
                <w:sz w:val="17"/>
                <w:szCs w:val="17"/>
                <w:color w:val="auto"/>
                <w:vertAlign w:val="superscript"/>
              </w:rPr>
              <w:t>(4)</w:t>
            </w:r>
          </w:p>
        </w:tc>
        <w:tc>
          <w:tcPr>
            <w:tcW w:w="3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(694)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1"/>
                <w:szCs w:val="11"/>
                <w:color w:val="auto"/>
              </w:rPr>
              <w:t xml:space="preserve">Interest income </w:t>
            </w:r>
            <w:r>
              <w:rPr>
                <w:rFonts w:ascii="Arial" w:cs="Arial" w:eastAsia="Arial" w:hAnsi="Arial"/>
                <w:sz w:val="17"/>
                <w:szCs w:val="17"/>
                <w:color w:val="auto"/>
                <w:vertAlign w:val="superscript"/>
              </w:rPr>
              <w:t>(5)</w:t>
            </w: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Interest expense </w:t>
            </w:r>
            <w:r>
              <w:rPr>
                <w:rFonts w:ascii="Arial" w:cs="Arial" w:eastAsia="Arial" w:hAnsi="Arial"/>
                <w:sz w:val="17"/>
                <w:szCs w:val="17"/>
                <w:color w:val="auto"/>
                <w:vertAlign w:val="superscript"/>
              </w:rPr>
              <w:t>(6)</w:t>
            </w:r>
          </w:p>
        </w:tc>
        <w:tc>
          <w:tcPr>
            <w:tcW w:w="3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(331)</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1"/>
                <w:szCs w:val="11"/>
                <w:color w:val="auto"/>
              </w:rPr>
              <w:t xml:space="preserve">Charges &amp; credits </w:t>
            </w:r>
            <w:r>
              <w:rPr>
                <w:rFonts w:ascii="Arial" w:cs="Arial" w:eastAsia="Arial" w:hAnsi="Arial"/>
                <w:sz w:val="17"/>
                <w:szCs w:val="17"/>
                <w:color w:val="auto"/>
                <w:vertAlign w:val="superscript"/>
              </w:rPr>
              <w:t>(7)</w:t>
            </w: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(161)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30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42,149</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6"/>
              </w:rPr>
              <w:t>7,191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61,547</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6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4,695</w:t>
            </w:r>
          </w:p>
        </w:tc>
        <w:tc>
          <w:tcPr>
            <w:tcW w:w="60" w:type="dxa"/>
            <w:vAlign w:val="bottom"/>
            <w:shd w:val="clear" w:color="auto" w:fill="CCEEFF"/>
          </w:tcPr>
          <w:p>
            <w:pPr>
              <w:spacing w:after="0"/>
              <w:rPr>
                <w:sz w:val="12"/>
                <w:szCs w:val="12"/>
                <w:color w:val="auto"/>
              </w:rPr>
            </w:pPr>
          </w:p>
        </w:tc>
      </w:tr>
      <w:tr>
        <w:trPr>
          <w:trHeight w:val="31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40" w:type="dxa"/>
            <w:vAlign w:val="bottom"/>
          </w:tcPr>
          <w:p>
            <w:pPr>
              <w:jc w:val="right"/>
              <w:ind w:right="952"/>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4"/>
          </w:tcPr>
          <w:p>
            <w:pPr>
              <w:ind w:left="16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before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Depn. &amp;</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Capital</w:t>
            </w: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480" w:type="dxa"/>
            <w:vAlign w:val="bottom"/>
          </w:tcPr>
          <w:p>
            <w:pPr>
              <w:spacing w:after="0"/>
              <w:rPr>
                <w:sz w:val="14"/>
                <w:szCs w:val="14"/>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taxes</w:t>
            </w:r>
          </w:p>
        </w:tc>
        <w:tc>
          <w:tcPr>
            <w:tcW w:w="9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2"/>
              </w:rPr>
              <w:t>Assets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9"/>
              </w:rPr>
              <w:t>Amortn.</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Expenditures</w:t>
            </w:r>
          </w:p>
        </w:tc>
      </w:tr>
      <w:tr>
        <w:trPr>
          <w:trHeight w:val="129"/>
        </w:trPr>
        <w:tc>
          <w:tcPr>
            <w:tcW w:w="20" w:type="dxa"/>
            <w:vAlign w:val="bottom"/>
          </w:tcPr>
          <w:p>
            <w:pPr>
              <w:spacing w:after="0"/>
              <w:rPr>
                <w:sz w:val="11"/>
                <w:szCs w:val="11"/>
                <w:color w:val="auto"/>
              </w:rPr>
            </w:pPr>
          </w:p>
        </w:tc>
        <w:tc>
          <w:tcPr>
            <w:tcW w:w="6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OILFIELD SERVICES</w:t>
            </w: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Reservoir Characterization</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9,929</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$ 2,449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7,621</w:t>
            </w:r>
          </w:p>
        </w:tc>
        <w:tc>
          <w:tcPr>
            <w:tcW w:w="4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1,285</w:t>
            </w:r>
          </w:p>
        </w:tc>
        <w:tc>
          <w:tcPr>
            <w:tcW w:w="6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Drilling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13,860</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2,254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Production </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13,136</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2,637</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8,007</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Eliminations &amp; other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36,959</w:t>
            </w:r>
          </w:p>
        </w:tc>
        <w:tc>
          <w:tcPr>
            <w:tcW w:w="480" w:type="dxa"/>
            <w:vAlign w:val="bottom"/>
          </w:tcPr>
          <w:p>
            <w:pPr>
              <w:spacing w:after="0"/>
              <w:rPr>
                <w:sz w:val="14"/>
                <w:szCs w:val="14"/>
                <w:color w:val="auto"/>
              </w:rPr>
            </w:pPr>
          </w:p>
        </w:tc>
        <w:tc>
          <w:tcPr>
            <w:tcW w:w="9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7,305</w:t>
            </w:r>
          </w:p>
        </w:tc>
        <w:tc>
          <w:tcPr>
            <w:tcW w:w="6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26,679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3,072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4,008</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7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Goodwill and intangible assets </w:t>
            </w:r>
            <w:r>
              <w:rPr>
                <w:rFonts w:ascii="Arial" w:cs="Arial" w:eastAsia="Arial" w:hAnsi="Arial"/>
                <w:sz w:val="17"/>
                <w:szCs w:val="17"/>
                <w:color w:val="auto"/>
                <w:vertAlign w:val="superscript"/>
              </w:rPr>
              <w:t>(3)</w:t>
            </w: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18,932</w:t>
            </w: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Discontinued operations assets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1,055</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1"/>
                <w:szCs w:val="11"/>
                <w:color w:val="auto"/>
              </w:rPr>
              <w:t xml:space="preserve">Corporates </w:t>
            </w:r>
            <w:r>
              <w:rPr>
                <w:rFonts w:ascii="Arial" w:cs="Arial" w:eastAsia="Arial" w:hAnsi="Arial"/>
                <w:sz w:val="17"/>
                <w:szCs w:val="17"/>
                <w:color w:val="auto"/>
                <w:vertAlign w:val="superscript"/>
              </w:rPr>
              <w:t>(4)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(590)</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6,333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Interest income </w:t>
            </w:r>
            <w:r>
              <w:rPr>
                <w:rFonts w:ascii="Arial" w:cs="Arial" w:eastAsia="Arial" w:hAnsi="Arial"/>
                <w:sz w:val="17"/>
                <w:szCs w:val="17"/>
                <w:color w:val="auto"/>
                <w:vertAlign w:val="superscript"/>
              </w:rPr>
              <w:t>(5)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1"/>
                <w:szCs w:val="11"/>
                <w:color w:val="auto"/>
              </w:rPr>
              <w:t xml:space="preserve">Interest expense </w:t>
            </w:r>
            <w:r>
              <w:rPr>
                <w:rFonts w:ascii="Arial" w:cs="Arial" w:eastAsia="Arial" w:hAnsi="Arial"/>
                <w:sz w:val="17"/>
                <w:szCs w:val="17"/>
                <w:color w:val="auto"/>
                <w:vertAlign w:val="superscript"/>
              </w:rPr>
              <w:t>(6)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(290)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Charges &amp; credits </w:t>
            </w:r>
            <w:r>
              <w:rPr>
                <w:rFonts w:ascii="Arial" w:cs="Arial" w:eastAsia="Arial" w:hAnsi="Arial"/>
                <w:sz w:val="17"/>
                <w:szCs w:val="17"/>
                <w:color w:val="auto"/>
                <w:vertAlign w:val="superscript"/>
              </w:rPr>
              <w:t>(7)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(223)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8"/>
              </w:rPr>
              <w:t>$ 36,959</w:t>
            </w:r>
          </w:p>
        </w:tc>
        <w:tc>
          <w:tcPr>
            <w:tcW w:w="1380" w:type="dxa"/>
            <w:vAlign w:val="bottom"/>
            <w:gridSpan w:val="3"/>
          </w:tcPr>
          <w:p>
            <w:pPr>
              <w:jc w:val="right"/>
              <w:ind w:right="480"/>
              <w:spacing w:after="0" w:line="155" w:lineRule="exact"/>
              <w:rPr>
                <w:sz w:val="20"/>
                <w:szCs w:val="20"/>
                <w:color w:val="auto"/>
              </w:rPr>
            </w:pPr>
            <w:r>
              <w:rPr>
                <w:rFonts w:ascii="Arial" w:cs="Arial" w:eastAsia="Arial" w:hAnsi="Arial"/>
                <w:sz w:val="14"/>
                <w:szCs w:val="14"/>
                <w:color w:val="auto"/>
              </w:rPr>
              <w:t>$ 6,239</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55,201</w:t>
            </w:r>
          </w:p>
        </w:tc>
        <w:tc>
          <w:tcPr>
            <w:tcW w:w="4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3,274</w:t>
            </w:r>
          </w:p>
        </w:tc>
        <w:tc>
          <w:tcPr>
            <w:tcW w:w="60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4,008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4"/>
          </w:tcPr>
          <w:p>
            <w:pPr>
              <w:ind w:left="16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before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Depn. &amp;</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Capital</w:t>
            </w: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480" w:type="dxa"/>
            <w:vAlign w:val="bottom"/>
          </w:tcPr>
          <w:p>
            <w:pPr>
              <w:spacing w:after="0"/>
              <w:rPr>
                <w:sz w:val="14"/>
                <w:szCs w:val="14"/>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taxes</w:t>
            </w:r>
          </w:p>
        </w:tc>
        <w:tc>
          <w:tcPr>
            <w:tcW w:w="9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2"/>
              </w:rPr>
              <w:t>Assets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9"/>
              </w:rPr>
              <w:t>Amortn.</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Expenditures</w:t>
            </w:r>
          </w:p>
        </w:tc>
      </w:tr>
      <w:tr>
        <w:trPr>
          <w:trHeight w:val="129"/>
        </w:trPr>
        <w:tc>
          <w:tcPr>
            <w:tcW w:w="20" w:type="dxa"/>
            <w:vAlign w:val="bottom"/>
          </w:tcPr>
          <w:p>
            <w:pPr>
              <w:spacing w:after="0"/>
              <w:rPr>
                <w:sz w:val="11"/>
                <w:szCs w:val="11"/>
                <w:color w:val="auto"/>
              </w:rPr>
            </w:pPr>
          </w:p>
        </w:tc>
        <w:tc>
          <w:tcPr>
            <w:tcW w:w="6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OILFIELD SERVICES</w:t>
            </w: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Reservoir Characterization</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9,321</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$ 2,321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7,338</w:t>
            </w:r>
          </w:p>
        </w:tc>
        <w:tc>
          <w:tcPr>
            <w:tcW w:w="4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1,246</w:t>
            </w:r>
          </w:p>
        </w:tc>
        <w:tc>
          <w:tcPr>
            <w:tcW w:w="6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885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Drilling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7,917</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1,313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8,355</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Production </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9,366</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1,389</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6,254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Eliminations &amp; other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26,672</w:t>
            </w:r>
          </w:p>
        </w:tc>
        <w:tc>
          <w:tcPr>
            <w:tcW w:w="480" w:type="dxa"/>
            <w:vAlign w:val="bottom"/>
          </w:tcPr>
          <w:p>
            <w:pPr>
              <w:spacing w:after="0"/>
              <w:rPr>
                <w:sz w:val="14"/>
                <w:szCs w:val="14"/>
                <w:color w:val="auto"/>
              </w:rPr>
            </w:pPr>
          </w:p>
        </w:tc>
        <w:tc>
          <w:tcPr>
            <w:tcW w:w="9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5,071</w:t>
            </w:r>
          </w:p>
        </w:tc>
        <w:tc>
          <w:tcPr>
            <w:tcW w:w="6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23,748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2,680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2,911</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7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Goodwill and intangible assets </w:t>
            </w:r>
            <w:r>
              <w:rPr>
                <w:rFonts w:ascii="Arial" w:cs="Arial" w:eastAsia="Arial" w:hAnsi="Arial"/>
                <w:sz w:val="17"/>
                <w:szCs w:val="17"/>
                <w:color w:val="auto"/>
                <w:vertAlign w:val="superscript"/>
              </w:rPr>
              <w:t>(3)</w:t>
            </w: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19,014</w:t>
            </w: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Discontinued operations assets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1"/>
                <w:szCs w:val="11"/>
                <w:color w:val="auto"/>
              </w:rPr>
              <w:t xml:space="preserve">Corporate </w:t>
            </w:r>
            <w:r>
              <w:rPr>
                <w:rFonts w:ascii="Arial" w:cs="Arial" w:eastAsia="Arial" w:hAnsi="Arial"/>
                <w:sz w:val="17"/>
                <w:szCs w:val="17"/>
                <w:color w:val="auto"/>
                <w:vertAlign w:val="superscript"/>
              </w:rPr>
              <w:t>(4)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(405)</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6,544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Interest income </w:t>
            </w:r>
            <w:r>
              <w:rPr>
                <w:rFonts w:ascii="Arial" w:cs="Arial" w:eastAsia="Arial" w:hAnsi="Arial"/>
                <w:sz w:val="17"/>
                <w:szCs w:val="17"/>
                <w:color w:val="auto"/>
                <w:vertAlign w:val="superscript"/>
              </w:rPr>
              <w:t>(5)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1"/>
                <w:szCs w:val="11"/>
                <w:color w:val="auto"/>
              </w:rPr>
              <w:t xml:space="preserve">Interest expense </w:t>
            </w:r>
            <w:r>
              <w:rPr>
                <w:rFonts w:ascii="Arial" w:cs="Arial" w:eastAsia="Arial" w:hAnsi="Arial"/>
                <w:sz w:val="17"/>
                <w:szCs w:val="17"/>
                <w:color w:val="auto"/>
                <w:vertAlign w:val="superscript"/>
              </w:rPr>
              <w:t>(6)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(202)</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Charges &amp; credits </w:t>
            </w:r>
            <w:r>
              <w:rPr>
                <w:rFonts w:ascii="Arial" w:cs="Arial" w:eastAsia="Arial" w:hAnsi="Arial"/>
                <w:sz w:val="17"/>
                <w:szCs w:val="17"/>
                <w:color w:val="auto"/>
                <w:vertAlign w:val="superscript"/>
              </w:rPr>
              <w:t>(7)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625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8"/>
              </w:rPr>
              <w:t>$ 26,672</w:t>
            </w:r>
          </w:p>
        </w:tc>
        <w:tc>
          <w:tcPr>
            <w:tcW w:w="1380" w:type="dxa"/>
            <w:vAlign w:val="bottom"/>
            <w:gridSpan w:val="3"/>
          </w:tcPr>
          <w:p>
            <w:pPr>
              <w:jc w:val="right"/>
              <w:ind w:right="480"/>
              <w:spacing w:after="0" w:line="155" w:lineRule="exact"/>
              <w:rPr>
                <w:sz w:val="20"/>
                <w:szCs w:val="20"/>
                <w:color w:val="auto"/>
              </w:rPr>
            </w:pPr>
            <w:r>
              <w:rPr>
                <w:rFonts w:ascii="Arial" w:cs="Arial" w:eastAsia="Arial" w:hAnsi="Arial"/>
                <w:sz w:val="14"/>
                <w:szCs w:val="14"/>
                <w:color w:val="auto"/>
              </w:rPr>
              <w:t>$ 5,132</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51,767</w:t>
            </w:r>
          </w:p>
        </w:tc>
        <w:tc>
          <w:tcPr>
            <w:tcW w:w="4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2,757</w:t>
            </w:r>
          </w:p>
        </w:tc>
        <w:tc>
          <w:tcPr>
            <w:tcW w:w="60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2,912</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2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 January 1, 2012, a component of the Drilling Group was reallocated to the Production Group. Historical information has been reclassified to conform to this presentation.</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certain headquarter administrative costs which are not allocated to the segments, and certain other operations and other cost and income items maintained at the Oilfield Services level.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goodwill and intangible assets relating to discontinued operations.</w:t>
      </w:r>
    </w:p>
    <w:p>
      <w:pPr>
        <w:spacing w:after="0" w:line="90" w:lineRule="exact"/>
        <w:rPr>
          <w:rFonts w:ascii="Arial" w:cs="Arial" w:eastAsia="Arial" w:hAnsi="Arial"/>
          <w:sz w:val="18"/>
          <w:szCs w:val="18"/>
          <w:color w:val="auto"/>
        </w:rPr>
      </w:pPr>
    </w:p>
    <w:p>
      <w:pPr>
        <w:ind w:left="460" w:right="280" w:hanging="452"/>
        <w:spacing w:after="0" w:line="30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Comprised principally of corporate expenses not allocated to the segments, interest on postretirement medical benefits, stock-based compensation costs, amortization expense associated with intangible assets recorded as a result of the acquisition of Smith and certain other nonoperating items. Corporate assets consist of cash, short-term investments, fixed income investments, held to maturity and investments in affiliates.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income excludes amounts which are included in the segments’ income (2012 – $- million: 2011 – $3 million; 2010 – $7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expense excludes amounts which are included in the segments’ income (2012 – $8 million; 2011 – $8 million; 2010 – $5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See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275" w:right="239" w:bottom="1440" w:gutter="0" w:footer="0" w:header="0"/>
        </w:sectPr>
      </w:pPr>
    </w:p>
    <w:bookmarkStart w:id="57" w:name="page58"/>
    <w:bookmarkEnd w:id="57"/>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Segment assets consist of receivables, inventories, fixed assets and multiclient seismic data.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&amp; Amortization includes multiclient seismic data costs.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for the years ended December 31, 2012, 2011 and 2010, by geographic area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Arial" w:cs="Arial" w:eastAsia="Arial" w:hAnsi="Arial"/>
                <w:sz w:val="14"/>
                <w:szCs w:val="14"/>
                <w:b w:val="1"/>
                <w:bCs w:val="1"/>
                <w:color w:val="auto"/>
                <w:w w:val="90"/>
              </w:rPr>
              <w:t>(Stated in millions)</w:t>
            </w:r>
          </w:p>
        </w:tc>
      </w:tr>
      <w:tr>
        <w:trPr>
          <w:trHeight w:val="392"/>
        </w:trPr>
        <w:tc>
          <w:tcPr>
            <w:tcW w:w="9360" w:type="dxa"/>
            <w:vAlign w:val="bottom"/>
          </w:tcPr>
          <w:p>
            <w:pPr>
              <w:spacing w:after="0"/>
              <w:rPr>
                <w:sz w:val="24"/>
                <w:szCs w:val="2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24"/>
                <w:szCs w:val="24"/>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24"/>
                <w:szCs w:val="24"/>
                <w:color w:val="auto"/>
              </w:rPr>
            </w:pPr>
          </w:p>
        </w:tc>
      </w:tr>
      <w:tr>
        <w:trPr>
          <w:trHeight w:val="142"/>
        </w:trPr>
        <w:tc>
          <w:tcPr>
            <w:tcW w:w="9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North America</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$13,485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$ 12,323</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6,730</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Latin America</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7,554</w:t>
            </w:r>
          </w:p>
        </w:tc>
        <w:tc>
          <w:tcPr>
            <w:tcW w:w="140" w:type="dxa"/>
            <w:vAlign w:val="bottom"/>
          </w:tcPr>
          <w:p>
            <w:pPr>
              <w:spacing w:after="0"/>
              <w:rPr>
                <w:sz w:val="12"/>
                <w:szCs w:val="12"/>
                <w:color w:val="auto"/>
              </w:rPr>
            </w:pP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6,467</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4,985</w:t>
            </w:r>
          </w:p>
        </w:tc>
        <w:tc>
          <w:tcPr>
            <w:tcW w:w="60" w:type="dxa"/>
            <w:vAlign w:val="bottom"/>
          </w:tcPr>
          <w:p>
            <w:pPr>
              <w:spacing w:after="0"/>
              <w:rPr>
                <w:sz w:val="12"/>
                <w:szCs w:val="12"/>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Europe/CIS/Africa</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11,443</w:t>
            </w:r>
          </w:p>
        </w:tc>
        <w:tc>
          <w:tcPr>
            <w:tcW w:w="9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9,676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7,850</w:t>
            </w:r>
          </w:p>
        </w:tc>
        <w:tc>
          <w:tcPr>
            <w:tcW w:w="60" w:type="dxa"/>
            <w:vAlign w:val="bottom"/>
            <w:shd w:val="clear" w:color="auto" w:fill="CCEEFF"/>
          </w:tcPr>
          <w:p>
            <w:pPr>
              <w:spacing w:after="0"/>
              <w:rPr>
                <w:sz w:val="12"/>
                <w:szCs w:val="12"/>
                <w:color w:val="auto"/>
              </w:rPr>
            </w:pPr>
          </w:p>
        </w:tc>
      </w:tr>
      <w:tr>
        <w:trPr>
          <w:trHeight w:val="149"/>
        </w:trPr>
        <w:tc>
          <w:tcPr>
            <w:tcW w:w="9360" w:type="dxa"/>
            <w:vAlign w:val="bottom"/>
          </w:tcPr>
          <w:p>
            <w:pPr>
              <w:spacing w:after="0" w:line="149" w:lineRule="exact"/>
              <w:rPr>
                <w:sz w:val="20"/>
                <w:szCs w:val="20"/>
                <w:color w:val="auto"/>
              </w:rPr>
            </w:pPr>
            <w:r>
              <w:rPr>
                <w:rFonts w:ascii="Arial" w:cs="Arial" w:eastAsia="Arial" w:hAnsi="Arial"/>
                <w:sz w:val="14"/>
                <w:szCs w:val="14"/>
                <w:color w:val="auto"/>
              </w:rPr>
              <w:t>Middle East &amp; Asia</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9,194</w:t>
            </w:r>
          </w:p>
        </w:tc>
        <w:tc>
          <w:tcPr>
            <w:tcW w:w="140" w:type="dxa"/>
            <w:vAlign w:val="bottom"/>
          </w:tcPr>
          <w:p>
            <w:pPr>
              <w:spacing w:after="0"/>
              <w:rPr>
                <w:sz w:val="12"/>
                <w:szCs w:val="12"/>
                <w:color w:val="auto"/>
              </w:rPr>
            </w:pP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8,102</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6,652</w:t>
            </w:r>
          </w:p>
        </w:tc>
        <w:tc>
          <w:tcPr>
            <w:tcW w:w="60" w:type="dxa"/>
            <w:vAlign w:val="bottom"/>
          </w:tcPr>
          <w:p>
            <w:pPr>
              <w:spacing w:after="0"/>
              <w:rPr>
                <w:sz w:val="12"/>
                <w:szCs w:val="12"/>
                <w:color w:val="auto"/>
              </w:rPr>
            </w:pPr>
          </w:p>
        </w:tc>
      </w:tr>
      <w:tr>
        <w:trPr>
          <w:trHeight w:val="149"/>
        </w:trPr>
        <w:tc>
          <w:tcPr>
            <w:tcW w:w="9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 &amp; other</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60" w:type="dxa"/>
            <w:vAlign w:val="bottom"/>
            <w:shd w:val="clear" w:color="auto" w:fill="CCEEFF"/>
          </w:tcPr>
          <w:p>
            <w:pPr>
              <w:spacing w:after="0"/>
              <w:rPr>
                <w:sz w:val="12"/>
                <w:szCs w:val="12"/>
                <w:color w:val="auto"/>
              </w:rPr>
            </w:pPr>
          </w:p>
        </w:tc>
      </w:tr>
      <w:tr>
        <w:trPr>
          <w:trHeight w:val="20"/>
        </w:trPr>
        <w:tc>
          <w:tcPr>
            <w:tcW w:w="9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93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42,149</w:t>
            </w:r>
          </w:p>
        </w:tc>
        <w:tc>
          <w:tcPr>
            <w:tcW w:w="140" w:type="dxa"/>
            <w:vAlign w:val="bottom"/>
          </w:tcPr>
          <w:p>
            <w:pPr>
              <w:spacing w:after="0"/>
              <w:rPr>
                <w:sz w:val="13"/>
                <w:szCs w:val="13"/>
                <w:color w:val="auto"/>
              </w:rPr>
            </w:pPr>
          </w:p>
        </w:tc>
        <w:tc>
          <w:tcPr>
            <w:tcW w:w="900" w:type="dxa"/>
            <w:vAlign w:val="bottom"/>
            <w:gridSpan w:val="3"/>
          </w:tcPr>
          <w:p>
            <w:pPr>
              <w:jc w:val="right"/>
              <w:ind w:right="300"/>
              <w:spacing w:after="0" w:line="155" w:lineRule="exact"/>
              <w:rPr>
                <w:sz w:val="20"/>
                <w:szCs w:val="20"/>
                <w:color w:val="auto"/>
              </w:rPr>
            </w:pPr>
            <w:r>
              <w:rPr>
                <w:rFonts w:ascii="Arial" w:cs="Arial" w:eastAsia="Arial" w:hAnsi="Arial"/>
                <w:sz w:val="14"/>
                <w:szCs w:val="14"/>
                <w:color w:val="auto"/>
              </w:rPr>
              <w:t>$ 36,959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26,672</w:t>
            </w:r>
          </w:p>
        </w:tc>
        <w:tc>
          <w:tcPr>
            <w:tcW w:w="60" w:type="dxa"/>
            <w:vAlign w:val="bottom"/>
          </w:tcPr>
          <w:p>
            <w:pPr>
              <w:spacing w:after="0"/>
              <w:rPr>
                <w:sz w:val="13"/>
                <w:szCs w:val="13"/>
                <w:color w:val="auto"/>
              </w:rPr>
            </w:pPr>
          </w:p>
        </w:tc>
      </w:tr>
      <w:tr>
        <w:trPr>
          <w:trHeight w:val="20"/>
        </w:trPr>
        <w:tc>
          <w:tcPr>
            <w:tcW w:w="9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is based on the location where services are provided.</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each of the three years ended December 31, 2012, 2011 and 2010, no single customer exceeded 10% of consolidated revenue.</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2012, 2011 and 2010 was $11.8 billion, $10.7 billion and $5.8 billion, respectively.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Fixed Assets less accumulated depreciation </w:t>
      </w:r>
      <w:r>
        <w:rPr>
          <w:rFonts w:ascii="Arial" w:cs="Arial" w:eastAsia="Arial" w:hAnsi="Arial"/>
          <w:sz w:val="18"/>
          <w:szCs w:val="18"/>
          <w:color w:val="auto"/>
        </w:rPr>
        <w:t>by geographic area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(Stated in millions)</w:t>
            </w:r>
          </w:p>
        </w:tc>
      </w:tr>
      <w:tr>
        <w:trPr>
          <w:trHeight w:val="392"/>
        </w:trPr>
        <w:tc>
          <w:tcPr>
            <w:tcW w:w="94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2012</w:t>
            </w: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Borders>
              <w:bottom w:val="single" w:sz="8" w:color="CCEEFF"/>
            </w:tcBorders>
          </w:tcPr>
          <w:p>
            <w:pPr>
              <w:spacing w:after="0"/>
              <w:rPr>
                <w:sz w:val="24"/>
                <w:szCs w:val="24"/>
                <w:color w:val="auto"/>
              </w:rPr>
            </w:pPr>
          </w:p>
        </w:tc>
      </w:tr>
      <w:tr>
        <w:trPr>
          <w:trHeight w:val="142"/>
        </w:trPr>
        <w:tc>
          <w:tcPr>
            <w:tcW w:w="944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North America</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4,868</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4,230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3,624</w:t>
            </w:r>
          </w:p>
        </w:tc>
        <w:tc>
          <w:tcPr>
            <w:tcW w:w="60" w:type="dxa"/>
            <w:vAlign w:val="bottom"/>
            <w:shd w:val="clear" w:color="auto" w:fill="CCEEFF"/>
          </w:tcPr>
          <w:p>
            <w:pPr>
              <w:spacing w:after="0"/>
              <w:rPr>
                <w:sz w:val="12"/>
                <w:szCs w:val="12"/>
                <w:color w:val="auto"/>
              </w:rPr>
            </w:pPr>
          </w:p>
        </w:tc>
      </w:tr>
      <w:tr>
        <w:trPr>
          <w:trHeight w:val="149"/>
        </w:trPr>
        <w:tc>
          <w:tcPr>
            <w:tcW w:w="9440" w:type="dxa"/>
            <w:vAlign w:val="bottom"/>
          </w:tcPr>
          <w:p>
            <w:pPr>
              <w:ind w:left="44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1,472</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1,274</w:t>
            </w:r>
          </w:p>
        </w:tc>
        <w:tc>
          <w:tcPr>
            <w:tcW w:w="60" w:type="dxa"/>
            <w:vAlign w:val="bottom"/>
          </w:tcPr>
          <w:p>
            <w:pPr>
              <w:spacing w:after="0"/>
              <w:rPr>
                <w:sz w:val="12"/>
                <w:szCs w:val="12"/>
                <w:color w:val="auto"/>
              </w:rPr>
            </w:pPr>
          </w:p>
        </w:tc>
      </w:tr>
      <w:tr>
        <w:trPr>
          <w:trHeight w:val="149"/>
        </w:trPr>
        <w:tc>
          <w:tcPr>
            <w:tcW w:w="9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Europe/CIS/Africa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3,414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3,341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3,339</w:t>
            </w:r>
          </w:p>
        </w:tc>
        <w:tc>
          <w:tcPr>
            <w:tcW w:w="60" w:type="dxa"/>
            <w:vAlign w:val="bottom"/>
            <w:shd w:val="clear" w:color="auto" w:fill="CCEEFF"/>
          </w:tcPr>
          <w:p>
            <w:pPr>
              <w:spacing w:after="0"/>
              <w:rPr>
                <w:sz w:val="12"/>
                <w:szCs w:val="12"/>
                <w:color w:val="auto"/>
              </w:rPr>
            </w:pPr>
          </w:p>
        </w:tc>
      </w:tr>
      <w:tr>
        <w:trPr>
          <w:trHeight w:val="149"/>
        </w:trPr>
        <w:tc>
          <w:tcPr>
            <w:tcW w:w="9440" w:type="dxa"/>
            <w:vAlign w:val="bottom"/>
          </w:tcPr>
          <w:p>
            <w:pPr>
              <w:ind w:left="440"/>
              <w:spacing w:after="0" w:line="149" w:lineRule="exact"/>
              <w:rPr>
                <w:sz w:val="20"/>
                <w:szCs w:val="20"/>
                <w:color w:val="auto"/>
              </w:rPr>
            </w:pPr>
            <w:r>
              <w:rPr>
                <w:rFonts w:ascii="Arial" w:cs="Arial" w:eastAsia="Arial" w:hAnsi="Arial"/>
                <w:sz w:val="14"/>
                <w:szCs w:val="14"/>
                <w:color w:val="auto"/>
              </w:rPr>
              <w:t>Middle East &amp; Asia</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2,908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2,233</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60" w:type="dxa"/>
            <w:vAlign w:val="bottom"/>
          </w:tcPr>
          <w:p>
            <w:pPr>
              <w:spacing w:after="0"/>
              <w:rPr>
                <w:sz w:val="12"/>
                <w:szCs w:val="12"/>
                <w:color w:val="auto"/>
              </w:rPr>
            </w:pPr>
          </w:p>
        </w:tc>
      </w:tr>
      <w:tr>
        <w:trPr>
          <w:trHeight w:val="149"/>
        </w:trPr>
        <w:tc>
          <w:tcPr>
            <w:tcW w:w="944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 xml:space="preserve">Unallocated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1,802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1,717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w:t>
            </w:r>
          </w:p>
        </w:tc>
        <w:tc>
          <w:tcPr>
            <w:tcW w:w="60" w:type="dxa"/>
            <w:vAlign w:val="bottom"/>
            <w:shd w:val="clear" w:color="auto" w:fill="CCEEFF"/>
          </w:tcPr>
          <w:p>
            <w:pPr>
              <w:spacing w:after="0"/>
              <w:rPr>
                <w:sz w:val="12"/>
                <w:szCs w:val="12"/>
                <w:color w:val="auto"/>
              </w:rPr>
            </w:pPr>
          </w:p>
        </w:tc>
      </w:tr>
      <w:tr>
        <w:trPr>
          <w:trHeight w:val="20"/>
        </w:trPr>
        <w:tc>
          <w:tcPr>
            <w:tcW w:w="9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94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14,780</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3"/>
              </w:rPr>
              <w:t>12,993</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12,071</w:t>
            </w:r>
          </w:p>
        </w:tc>
        <w:tc>
          <w:tcPr>
            <w:tcW w:w="60" w:type="dxa"/>
            <w:vAlign w:val="bottom"/>
          </w:tcPr>
          <w:p>
            <w:pPr>
              <w:spacing w:after="0"/>
              <w:rPr>
                <w:sz w:val="13"/>
                <w:szCs w:val="13"/>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6" w:lineRule="exact"/>
        <w:rPr>
          <w:sz w:val="20"/>
          <w:szCs w:val="20"/>
          <w:color w:val="auto"/>
        </w:rPr>
      </w:pPr>
    </w:p>
    <w:p>
      <w:pPr>
        <w:ind w:left="220" w:hanging="212"/>
        <w:spacing w:after="0"/>
        <w:tabs>
          <w:tab w:leader="none" w:pos="22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Represents seismic vessels, including the related on-board equipment, which frequently transition between geographic areas.</w:t>
      </w:r>
    </w:p>
    <w:p>
      <w:pPr>
        <w:spacing w:after="0" w:line="150" w:lineRule="exact"/>
        <w:rPr>
          <w:sz w:val="20"/>
          <w:szCs w:val="20"/>
          <w:color w:val="auto"/>
        </w:rPr>
      </w:pPr>
    </w:p>
    <w:p>
      <w:pPr>
        <w:ind w:right="8580" w:firstLine="8"/>
        <w:spacing w:after="0" w:line="347" w:lineRule="auto"/>
        <w:tabs>
          <w:tab w:leader="none" w:pos="39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Pension and Other Benefit Plans </w:t>
      </w:r>
      <w:r>
        <w:rPr>
          <w:rFonts w:ascii="Arial" w:cs="Arial" w:eastAsia="Arial" w:hAnsi="Arial"/>
          <w:sz w:val="18"/>
          <w:szCs w:val="18"/>
          <w:i w:val="1"/>
          <w:iCs w:val="1"/>
          <w:color w:val="auto"/>
        </w:rPr>
        <w:t>Pension Plans</w:t>
      </w:r>
    </w:p>
    <w:p>
      <w:pPr>
        <w:spacing w:after="0" w:line="2"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ind w:right="60" w:firstLine="228"/>
        <w:spacing w:after="0" w:line="281" w:lineRule="auto"/>
        <w:rPr>
          <w:sz w:val="20"/>
          <w:szCs w:val="20"/>
          <w:color w:val="auto"/>
        </w:rPr>
      </w:pPr>
      <w:r>
        <w:rPr>
          <w:rFonts w:ascii="Arial" w:cs="Arial" w:eastAsia="Arial" w:hAnsi="Arial"/>
          <w:sz w:val="16"/>
          <w:szCs w:val="16"/>
          <w:color w:val="auto"/>
        </w:rPr>
        <w:t>In addition to the United States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and is based on years of service and compensation on a career-average pay basis. The UK plan covers employees hired prior to April 1, 1999, and is based on years of service and compensation, on a final salary basis.</w:t>
      </w:r>
    </w:p>
    <w:p>
      <w:pPr>
        <w:spacing w:after="0" w:line="3"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weighted-average assumed discount rate, compensation increases and the expected long-term rate of return on plan assets used to determine the net pension cost for the US and International plans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International</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2011</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2012</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140" w:type="dxa"/>
            <w:vAlign w:val="bottom"/>
            <w:tcBorders>
              <w:bottom w:val="single" w:sz="8" w:color="CCEEFF"/>
            </w:tcBorders>
          </w:tcPr>
          <w:p>
            <w:pPr>
              <w:spacing w:after="0"/>
              <w:rPr>
                <w:sz w:val="19"/>
                <w:szCs w:val="19"/>
                <w:color w:val="auto"/>
              </w:rPr>
            </w:pPr>
          </w:p>
        </w:tc>
      </w:tr>
      <w:tr>
        <w:trPr>
          <w:trHeight w:val="142"/>
        </w:trPr>
        <w:tc>
          <w:tcPr>
            <w:tcW w:w="3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Discount rate</w:t>
            </w:r>
          </w:p>
        </w:tc>
        <w:tc>
          <w:tcPr>
            <w:tcW w:w="4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rPr>
              <w:t>5.00%</w:t>
            </w:r>
          </w:p>
        </w:tc>
        <w:tc>
          <w:tcPr>
            <w:tcW w:w="64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5.50%</w:t>
            </w:r>
          </w:p>
        </w:tc>
        <w:tc>
          <w:tcPr>
            <w:tcW w:w="6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5"/>
              </w:rPr>
              <w:t>6.00%</w:t>
            </w:r>
          </w:p>
        </w:tc>
        <w:tc>
          <w:tcPr>
            <w:tcW w:w="660" w:type="dxa"/>
            <w:vAlign w:val="bottom"/>
            <w:gridSpan w:val="2"/>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rPr>
              <w:t>4.95%</w:t>
            </w:r>
          </w:p>
        </w:tc>
        <w:tc>
          <w:tcPr>
            <w:tcW w:w="6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0"/>
              </w:rPr>
              <w:t>5.47%</w:t>
            </w:r>
          </w:p>
        </w:tc>
        <w:tc>
          <w:tcPr>
            <w:tcW w:w="4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5"/>
              </w:rPr>
              <w:t>5.89%</w:t>
            </w: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4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4.00%</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4.00%</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4.00%</w:t>
            </w:r>
          </w:p>
        </w:tc>
        <w:tc>
          <w:tcPr>
            <w:tcW w:w="66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4.91%</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4.91%</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4.93%</w:t>
            </w: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4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7.50%</w:t>
            </w:r>
          </w:p>
        </w:tc>
        <w:tc>
          <w:tcPr>
            <w:tcW w:w="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7.50%</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8.50%</w:t>
            </w:r>
          </w:p>
        </w:tc>
        <w:tc>
          <w:tcPr>
            <w:tcW w:w="6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7.50%</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7.50%</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8.00%</w:t>
            </w:r>
          </w:p>
        </w:tc>
      </w:tr>
      <w:tr>
        <w:trPr>
          <w:trHeight w:val="310"/>
        </w:trPr>
        <w:tc>
          <w:tcPr>
            <w:tcW w:w="3480" w:type="dxa"/>
            <w:vAlign w:val="bottom"/>
          </w:tcPr>
          <w:p>
            <w:pPr>
              <w:spacing w:after="0"/>
              <w:rPr>
                <w:sz w:val="24"/>
                <w:szCs w:val="24"/>
                <w:color w:val="auto"/>
              </w:rPr>
            </w:pPr>
          </w:p>
        </w:tc>
        <w:tc>
          <w:tcPr>
            <w:tcW w:w="4280" w:type="dxa"/>
            <w:vAlign w:val="bottom"/>
          </w:tcPr>
          <w:p>
            <w:pPr>
              <w:jc w:val="right"/>
              <w:ind w:right="1912"/>
              <w:spacing w:after="0"/>
              <w:rPr>
                <w:sz w:val="20"/>
                <w:szCs w:val="20"/>
                <w:color w:val="auto"/>
              </w:rPr>
            </w:pPr>
            <w:r>
              <w:rPr>
                <w:rFonts w:ascii="Arial" w:cs="Arial" w:eastAsia="Arial" w:hAnsi="Arial"/>
                <w:sz w:val="14"/>
                <w:szCs w:val="14"/>
                <w:color w:val="auto"/>
              </w:rPr>
              <w:t>58</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8" w:name="page59"/>
    <w:bookmarkEnd w:id="58"/>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pension cost for 2012, 2011 and 2010 included the following components: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2"/>
              </w:rPr>
              <w:t>(Stated in millions)</w:t>
            </w:r>
          </w:p>
        </w:tc>
      </w:tr>
      <w:tr>
        <w:trPr>
          <w:trHeight w:val="298"/>
        </w:trPr>
        <w:tc>
          <w:tcPr>
            <w:tcW w:w="7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2"/>
              </w:rPr>
              <w:t>US</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International</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9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9"/>
                <w:szCs w:val="19"/>
                <w:color w:val="auto"/>
              </w:rPr>
            </w:pPr>
          </w:p>
        </w:tc>
      </w:tr>
      <w:tr>
        <w:trPr>
          <w:trHeight w:val="142"/>
        </w:trPr>
        <w:tc>
          <w:tcPr>
            <w:tcW w:w="7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 – benefits earned during the period</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790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208</w:t>
            </w:r>
          </w:p>
        </w:tc>
      </w:tr>
      <w:tr>
        <w:trPr>
          <w:trHeight w:val="149"/>
        </w:trPr>
        <w:tc>
          <w:tcPr>
            <w:tcW w:w="7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(185)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(170)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(191)</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(328)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(279)</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(228)</w:t>
            </w:r>
          </w:p>
        </w:tc>
      </w:tr>
      <w:tr>
        <w:trPr>
          <w:trHeight w:val="149"/>
        </w:trPr>
        <w:tc>
          <w:tcPr>
            <w:tcW w:w="7900" w:type="dxa"/>
            <w:vAlign w:val="bottom"/>
          </w:tcPr>
          <w:p>
            <w:pPr>
              <w:spacing w:after="0" w:line="149" w:lineRule="exact"/>
              <w:rPr>
                <w:sz w:val="20"/>
                <w:szCs w:val="20"/>
                <w:color w:val="auto"/>
              </w:rPr>
            </w:pPr>
            <w:r>
              <w:rPr>
                <w:rFonts w:ascii="Arial" w:cs="Arial" w:eastAsia="Arial" w:hAnsi="Arial"/>
                <w:sz w:val="14"/>
                <w:szCs w:val="14"/>
                <w:color w:val="auto"/>
              </w:rPr>
              <w:t>Amortization of net loss</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r>
      <w:tr>
        <w:trPr>
          <w:trHeight w:val="149"/>
        </w:trPr>
        <w:tc>
          <w:tcPr>
            <w:tcW w:w="79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2"/>
                <w:szCs w:val="12"/>
                <w:color w:val="auto"/>
              </w:rPr>
            </w:pPr>
          </w:p>
        </w:tc>
      </w:tr>
      <w:tr>
        <w:trPr>
          <w:trHeight w:val="156"/>
        </w:trPr>
        <w:tc>
          <w:tcPr>
            <w:tcW w:w="79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71</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195</w:t>
            </w:r>
          </w:p>
        </w:tc>
        <w:tc>
          <w:tcPr>
            <w:tcW w:w="6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162</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163</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The weighted-average assumed discount rate and compensation increases used to determine the projected benefit obligations for the US and International plans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International</w:t>
            </w:r>
          </w:p>
        </w:tc>
      </w:tr>
      <w:tr>
        <w:trPr>
          <w:trHeight w:val="223"/>
        </w:trPr>
        <w:tc>
          <w:tcPr>
            <w:tcW w:w="90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w:t>
            </w:r>
          </w:p>
        </w:tc>
        <w:tc>
          <w:tcPr>
            <w:tcW w:w="3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3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w:t>
            </w:r>
          </w:p>
        </w:tc>
        <w:tc>
          <w:tcPr>
            <w:tcW w:w="3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Borders>
              <w:bottom w:val="single" w:sz="8" w:color="CCEEFF"/>
            </w:tcBorders>
          </w:tcPr>
          <w:p>
            <w:pPr>
              <w:spacing w:after="0"/>
              <w:rPr>
                <w:sz w:val="19"/>
                <w:szCs w:val="19"/>
                <w:color w:val="auto"/>
              </w:rPr>
            </w:pPr>
          </w:p>
        </w:tc>
      </w:tr>
      <w:tr>
        <w:trPr>
          <w:trHeight w:val="142"/>
        </w:trPr>
        <w:tc>
          <w:tcPr>
            <w:tcW w:w="9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Discount rate</w:t>
            </w:r>
          </w:p>
        </w:tc>
        <w:tc>
          <w:tcPr>
            <w:tcW w:w="680" w:type="dxa"/>
            <w:vAlign w:val="bottom"/>
            <w:gridSpan w:val="2"/>
            <w:shd w:val="clear" w:color="auto" w:fill="CCEEFF"/>
          </w:tcPr>
          <w:p>
            <w:pPr>
              <w:jc w:val="right"/>
              <w:ind w:right="192"/>
              <w:spacing w:after="0" w:line="142" w:lineRule="exact"/>
              <w:rPr>
                <w:sz w:val="20"/>
                <w:szCs w:val="20"/>
                <w:color w:val="auto"/>
              </w:rPr>
            </w:pPr>
            <w:r>
              <w:rPr>
                <w:rFonts w:ascii="Arial" w:cs="Arial" w:eastAsia="Arial" w:hAnsi="Arial"/>
                <w:sz w:val="14"/>
                <w:szCs w:val="14"/>
                <w:b w:val="1"/>
                <w:bCs w:val="1"/>
                <w:color w:val="auto"/>
              </w:rPr>
              <w:t>4.25%</w:t>
            </w:r>
          </w:p>
        </w:tc>
        <w:tc>
          <w:tcPr>
            <w:tcW w:w="6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0"/>
              </w:rPr>
              <w:t>5.00%</w:t>
            </w:r>
          </w:p>
        </w:tc>
        <w:tc>
          <w:tcPr>
            <w:tcW w:w="6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rPr>
              <w:t>4.38%</w:t>
            </w:r>
          </w:p>
        </w:tc>
        <w:tc>
          <w:tcPr>
            <w:tcW w:w="4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5"/>
              </w:rPr>
              <w:t>4.95%</w:t>
            </w:r>
          </w:p>
        </w:tc>
      </w:tr>
      <w:tr>
        <w:trPr>
          <w:trHeight w:val="174"/>
        </w:trPr>
        <w:tc>
          <w:tcPr>
            <w:tcW w:w="9020" w:type="dxa"/>
            <w:vAlign w:val="bottom"/>
          </w:tcPr>
          <w:p>
            <w:pPr>
              <w:spacing w:after="0"/>
              <w:rPr>
                <w:sz w:val="20"/>
                <w:szCs w:val="20"/>
                <w:color w:val="auto"/>
              </w:rPr>
            </w:pPr>
            <w:r>
              <w:rPr>
                <w:rFonts w:ascii="Arial" w:cs="Arial" w:eastAsia="Arial" w:hAnsi="Arial"/>
                <w:sz w:val="14"/>
                <w:szCs w:val="14"/>
                <w:color w:val="auto"/>
              </w:rPr>
              <w:t>Compensation increases</w:t>
            </w:r>
          </w:p>
        </w:tc>
        <w:tc>
          <w:tcPr>
            <w:tcW w:w="6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4.00%</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4.00%</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4.83%</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4.91%</w:t>
            </w:r>
          </w:p>
        </w:tc>
      </w:tr>
    </w:tbl>
    <w:p>
      <w:pPr>
        <w:spacing w:after="0" w:line="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2"/>
              </w:rPr>
              <w:t>US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Change in Projected Benefit Obligations</w:t>
            </w:r>
          </w:p>
        </w:tc>
        <w:tc>
          <w:tcPr>
            <w:tcW w:w="3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Projected benefit obligation at beginning of year</w:t>
            </w:r>
          </w:p>
        </w:tc>
        <w:tc>
          <w:tcPr>
            <w:tcW w:w="3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3,073</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79"/>
              </w:rPr>
              <w:t>2,769</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4,666</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786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7"/>
              </w:rPr>
              <w:t>(134)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year</w:t>
            </w:r>
          </w:p>
        </w:tc>
        <w:tc>
          <w:tcPr>
            <w:tcW w:w="3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3,558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9"/>
              </w:rPr>
              <w:t>3,073</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5,798</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4,666</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Change in Plan Assets</w:t>
            </w:r>
          </w:p>
        </w:tc>
        <w:tc>
          <w:tcPr>
            <w:tcW w:w="37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fair value at beginning of year</w:t>
            </w:r>
          </w:p>
        </w:tc>
        <w:tc>
          <w:tcPr>
            <w:tcW w:w="3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2,655</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9"/>
              </w:rPr>
              <w:t>2,635</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4,097</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Company contributions</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7"/>
              </w:rPr>
              <w:t>(134)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fair value at end of year</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2,910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9"/>
              </w:rPr>
              <w:t>2,655</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5,120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4,097</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Unfunded Liability</w:t>
            </w:r>
          </w:p>
        </w:tc>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gridSpan w:val="2"/>
            <w:vMerge w:val="continue"/>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7"/>
              </w:rPr>
              <w:t>(648)</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(418)</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(678)</w:t>
            </w: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Amounts Recognized in Balance Sheet</w:t>
            </w:r>
          </w:p>
        </w:tc>
        <w:tc>
          <w:tcPr>
            <w:tcW w:w="37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Postretirement Benefits</w:t>
            </w:r>
          </w:p>
        </w:tc>
        <w:tc>
          <w:tcPr>
            <w:tcW w:w="3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7"/>
              </w:rPr>
              <w:t>(648)</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(418)</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(687)</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38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8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7"/>
              </w:rPr>
              <w:t>(648)</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(418)</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(678)</w:t>
            </w: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Amounts Recognized in Accumulated Other Comprehensive Loss</w:t>
            </w:r>
          </w:p>
        </w:tc>
        <w:tc>
          <w:tcPr>
            <w:tcW w:w="37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3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1,197</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79"/>
              </w:rPr>
              <w:t>1,048</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1,234</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service cost</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38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1,287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79"/>
              </w:rPr>
              <w:t>1,149</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1,832</w:t>
            </w: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benefit obligation</w:t>
            </w:r>
          </w:p>
        </w:tc>
        <w:tc>
          <w:tcPr>
            <w:tcW w:w="37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3,262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9"/>
              </w:rPr>
              <w:t>2,861</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5,401</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4,336</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740" w:type="dxa"/>
            <w:vAlign w:val="bottom"/>
          </w:tcPr>
          <w:p>
            <w:pPr>
              <w:jc w:val="right"/>
              <w:ind w:right="2532"/>
              <w:spacing w:after="0"/>
              <w:rPr>
                <w:sz w:val="20"/>
                <w:szCs w:val="20"/>
                <w:color w:val="auto"/>
              </w:rPr>
            </w:pPr>
            <w:r>
              <w:rPr>
                <w:rFonts w:ascii="Arial" w:cs="Arial" w:eastAsia="Arial" w:hAnsi="Arial"/>
                <w:sz w:val="14"/>
                <w:szCs w:val="14"/>
                <w:color w:val="auto"/>
              </w:rPr>
              <w:t>59</w:t>
            </w: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9" w:name="page60"/>
    <w:bookmarkEnd w:id="59"/>
    <w:p>
      <w:pPr>
        <w:ind w:firstLine="22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weighted-average allocation of plan assets and the target allocation by asset category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5"/>
              </w:rPr>
              <w:t>International</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8"/>
              </w:rPr>
              <w:t>Target</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3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Target</w:t>
            </w: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140" w:type="dxa"/>
            <w:vAlign w:val="bottom"/>
            <w:tcBorders>
              <w:bottom w:val="single" w:sz="8" w:color="CCEEFF"/>
            </w:tcBorders>
          </w:tcPr>
          <w:p>
            <w:pPr>
              <w:spacing w:after="0"/>
              <w:rPr>
                <w:sz w:val="12"/>
                <w:szCs w:val="12"/>
                <w:color w:val="auto"/>
              </w:rPr>
            </w:pPr>
          </w:p>
        </w:tc>
      </w:tr>
      <w:tr>
        <w:trPr>
          <w:trHeight w:val="142"/>
        </w:trPr>
        <w:tc>
          <w:tcPr>
            <w:tcW w:w="7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w:t>
            </w: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5"/>
              </w:rPr>
              <w:t>– 55%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rPr>
              <w:t>47%</w:t>
            </w:r>
          </w:p>
        </w:tc>
        <w:tc>
          <w:tcPr>
            <w:tcW w:w="6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w:t>
            </w:r>
          </w:p>
        </w:tc>
        <w:tc>
          <w:tcPr>
            <w:tcW w:w="640" w:type="dxa"/>
            <w:vAlign w:val="bottom"/>
            <w:gridSpan w:val="2"/>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w w:val="95"/>
              </w:rPr>
              <w:t>– 70%</w:t>
            </w:r>
          </w:p>
        </w:tc>
        <w:tc>
          <w:tcPr>
            <w:tcW w:w="6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b w:val="1"/>
                <w:bCs w:val="1"/>
                <w:color w:val="auto"/>
              </w:rPr>
              <w:t>56%</w:t>
            </w:r>
          </w:p>
        </w:tc>
        <w:tc>
          <w:tcPr>
            <w:tcW w:w="4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51%</w:t>
            </w:r>
          </w:p>
        </w:tc>
      </w:tr>
      <w:tr>
        <w:trPr>
          <w:trHeight w:val="149"/>
        </w:trPr>
        <w:tc>
          <w:tcPr>
            <w:tcW w:w="742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5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 45</w:t>
            </w:r>
          </w:p>
        </w:tc>
        <w:tc>
          <w:tcPr>
            <w:tcW w:w="8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42</w:t>
            </w: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w:t>
            </w: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64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w w:val="87"/>
              </w:rPr>
              <w:t>– 40</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40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r>
      <w:tr>
        <w:trPr>
          <w:trHeight w:val="149"/>
        </w:trPr>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76"/>
              </w:rPr>
              <w:t>0 – 3</w:t>
            </w:r>
          </w:p>
        </w:tc>
        <w:tc>
          <w:tcPr>
            <w:tcW w:w="8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2</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w w:val="76"/>
              </w:rPr>
              <w:t>0 – 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4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r>
      <w:tr>
        <w:trPr>
          <w:trHeight w:val="149"/>
        </w:trPr>
        <w:tc>
          <w:tcPr>
            <w:tcW w:w="7420" w:type="dxa"/>
            <w:vAlign w:val="bottom"/>
          </w:tcPr>
          <w:p>
            <w:pPr>
              <w:spacing w:after="0" w:line="149" w:lineRule="exact"/>
              <w:rPr>
                <w:sz w:val="20"/>
                <w:szCs w:val="20"/>
                <w:color w:val="auto"/>
              </w:rPr>
            </w:pPr>
            <w:r>
              <w:rPr>
                <w:rFonts w:ascii="Arial" w:cs="Arial" w:eastAsia="Arial" w:hAnsi="Arial"/>
                <w:sz w:val="14"/>
                <w:szCs w:val="14"/>
                <w:color w:val="auto"/>
              </w:rPr>
              <w:t>Alternative investments</w:t>
            </w: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w:t>
            </w:r>
          </w:p>
        </w:tc>
        <w:tc>
          <w:tcPr>
            <w:tcW w:w="5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 10</w:t>
            </w:r>
          </w:p>
        </w:tc>
        <w:tc>
          <w:tcPr>
            <w:tcW w:w="8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9</w:t>
            </w: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w:t>
            </w:r>
          </w:p>
        </w:tc>
        <w:tc>
          <w:tcPr>
            <w:tcW w:w="64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w w:val="87"/>
              </w:rPr>
              <w:t>– 20</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40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r>
      <w:tr>
        <w:trPr>
          <w:trHeight w:val="27"/>
        </w:trPr>
        <w:tc>
          <w:tcPr>
            <w:tcW w:w="7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49"/>
        </w:trPr>
        <w:tc>
          <w:tcPr>
            <w:tcW w:w="7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w:t>
            </w:r>
          </w:p>
        </w:tc>
        <w:tc>
          <w:tcPr>
            <w:tcW w:w="8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100%</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100%</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100%</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r>
      <w:tr>
        <w:trPr>
          <w:trHeight w:val="20"/>
        </w:trPr>
        <w:tc>
          <w:tcPr>
            <w:tcW w:w="7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Schlumberger’s investment policy includes various guidelines and procedures designed to ensure that assets are prudently invested in a manner necessary to meet the future benefit obligation of the pension plans. The policy does not permit the direct investment of plan assets in any Schlumberger security. Schlumberger’s investment horizon is long-term and accordingly the target asset allocations encompass a strategic, long-term perspective of capital markets, expected risk and return behavior and perceived future economic conditions. The key investment principles of diversification, assessment of risk and targeting the optimal expected returns for given levels of risk are applied. The target asset allocation is reviewed periodically and is determined based on a long-term projection of capital market outcomes, inflation rates, fixed income yields, returns, volatilities and correlation relationships. The inclusion of any given asset class in the target asset allocation is considered in relation to its impact on the overall risk/return characteristics as well as its impact on the overall investment return. As part of its strategy, Schlumberger may utilize certain derivative instruments, such as options, futures, swaps and forwards, within the plans to manage risks (currency, interest rate, etc.), as a substitute for physical securities or to obtain exposure to different markets.</w:t>
      </w:r>
    </w:p>
    <w:p>
      <w:pPr>
        <w:spacing w:after="0" w:line="39"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Asset performance is monitored frequently with an overall expectation that plan assets will meet or exceed the weighted index of its target asset allocation and component benchmark over rolling five-year periods.</w:t>
      </w:r>
    </w:p>
    <w:p>
      <w:pPr>
        <w:ind w:right="60" w:firstLine="228"/>
        <w:spacing w:after="0" w:line="255" w:lineRule="auto"/>
        <w:rPr>
          <w:sz w:val="20"/>
          <w:szCs w:val="20"/>
          <w:color w:val="auto"/>
        </w:rPr>
      </w:pPr>
      <w:r>
        <w:rPr>
          <w:rFonts w:ascii="Arial" w:cs="Arial" w:eastAsia="Arial" w:hAnsi="Arial"/>
          <w:sz w:val="18"/>
          <w:szCs w:val="18"/>
          <w:color w:val="auto"/>
        </w:rPr>
        <w:t>The expected long-term rate of return on assets assumptions reflect the average rate of earnings expected on funds invested or to be invested. The assumptions have been determined by reflecting expectations regarding future rates of return for the portfolio considering the asset allocation and related historical rates of return. The appropriateness of the assumptions is reviewed annually.</w:t>
      </w:r>
    </w:p>
    <w:p>
      <w:pPr>
        <w:spacing w:after="0" w:line="63"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fair value of Schlumberger’s pension plan assets at December 31, 2012 and 2011, by asset category, are presented below and were determined based on valuation techniques categorized as follows: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Level One: The use of quoted prices in active markets for identical instruments.</w:t>
      </w:r>
    </w:p>
    <w:p>
      <w:pPr>
        <w:spacing w:after="0" w:line="90" w:lineRule="exact"/>
        <w:rPr>
          <w:sz w:val="20"/>
          <w:szCs w:val="20"/>
          <w:color w:val="auto"/>
        </w:rPr>
      </w:pPr>
    </w:p>
    <w:p>
      <w:pPr>
        <w:ind w:left="780" w:right="180" w:hanging="324"/>
        <w:spacing w:after="0" w:line="268" w:lineRule="auto"/>
        <w:rPr>
          <w:sz w:val="20"/>
          <w:szCs w:val="20"/>
          <w:color w:val="auto"/>
        </w:rPr>
      </w:pPr>
      <w:r>
        <w:rPr>
          <w:rFonts w:ascii="Arial" w:cs="Arial" w:eastAsia="Arial" w:hAnsi="Arial"/>
          <w:sz w:val="18"/>
          <w:szCs w:val="18"/>
          <w:color w:val="auto"/>
        </w:rPr>
        <w:t>— 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50" w:lineRule="exact"/>
        <w:rPr>
          <w:sz w:val="20"/>
          <w:szCs w:val="20"/>
          <w:color w:val="auto"/>
        </w:rPr>
      </w:pPr>
    </w:p>
    <w:p>
      <w:pPr>
        <w:ind w:left="780" w:right="660" w:hanging="324"/>
        <w:spacing w:after="0" w:line="268" w:lineRule="auto"/>
        <w:rPr>
          <w:sz w:val="20"/>
          <w:szCs w:val="20"/>
          <w:color w:val="auto"/>
        </w:rPr>
      </w:pPr>
      <w:r>
        <w:rPr>
          <w:rFonts w:ascii="Arial" w:cs="Arial" w:eastAsia="Arial" w:hAnsi="Arial"/>
          <w:sz w:val="18"/>
          <w:szCs w:val="18"/>
          <w:color w:val="auto"/>
        </w:rPr>
        <w:t>— Level Three: The use of significantly unobservable inputs that typically require the use of management’s estimates of assumptions that market participants would use in pricing.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28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4"/>
              </w:rPr>
              <w:t>(Stated in millions)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5"/>
              </w:rPr>
              <w:t>US Plan Assets</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Level</w:t>
            </w:r>
          </w:p>
        </w:tc>
        <w:tc>
          <w:tcPr>
            <w:tcW w:w="40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Level</w:t>
            </w:r>
          </w:p>
        </w:tc>
        <w:tc>
          <w:tcPr>
            <w:tcW w:w="32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4"/>
                <w:szCs w:val="14"/>
                <w:b w:val="1"/>
                <w:bCs w:val="1"/>
                <w:color w:val="auto"/>
                <w:w w:val="72"/>
              </w:rPr>
              <w:t>Level</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Level</w:t>
            </w:r>
          </w:p>
        </w:tc>
        <w:tc>
          <w:tcPr>
            <w:tcW w:w="180" w:type="dxa"/>
            <w:vAlign w:val="bottom"/>
          </w:tcPr>
          <w:p>
            <w:pPr>
              <w:spacing w:after="0"/>
              <w:rPr>
                <w:sz w:val="11"/>
                <w:szCs w:val="11"/>
                <w:color w:val="auto"/>
              </w:rPr>
            </w:pPr>
          </w:p>
        </w:tc>
        <w:tc>
          <w:tcPr>
            <w:tcW w:w="52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Level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One</w:t>
            </w: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Two</w:t>
            </w:r>
          </w:p>
        </w:tc>
        <w:tc>
          <w:tcPr>
            <w:tcW w:w="32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Three</w:t>
            </w:r>
          </w:p>
        </w:tc>
        <w:tc>
          <w:tcPr>
            <w:tcW w:w="2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One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Two</w:t>
            </w:r>
          </w:p>
        </w:tc>
        <w:tc>
          <w:tcPr>
            <w:tcW w:w="140" w:type="dxa"/>
            <w:vAlign w:val="bottom"/>
          </w:tcPr>
          <w:p>
            <w:pPr>
              <w:spacing w:after="0"/>
              <w:rPr>
                <w:sz w:val="14"/>
                <w:szCs w:val="1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 Category:</w:t>
            </w: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56</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20" w:type="dxa"/>
            <w:vAlign w:val="bottom"/>
          </w:tcPr>
          <w:p>
            <w:pPr>
              <w:spacing w:after="0"/>
              <w:rPr>
                <w:sz w:val="12"/>
                <w:szCs w:val="12"/>
                <w:color w:val="auto"/>
              </w:rPr>
            </w:pPr>
          </w:p>
        </w:tc>
        <w:tc>
          <w:tcPr>
            <w:tcW w:w="320" w:type="dxa"/>
            <w:vAlign w:val="bottom"/>
          </w:tcPr>
          <w:p>
            <w:pPr>
              <w:ind w:left="260"/>
              <w:spacing w:after="0"/>
              <w:rPr>
                <w:sz w:val="20"/>
                <w:szCs w:val="20"/>
                <w:color w:val="auto"/>
              </w:rPr>
            </w:pPr>
            <w:r>
              <w:rPr>
                <w:rFonts w:ascii="Arial" w:cs="Arial" w:eastAsia="Arial" w:hAnsi="Arial"/>
                <w:sz w:val="5"/>
                <w:szCs w:val="5"/>
                <w:b w:val="1"/>
                <w:bCs w:val="1"/>
                <w:color w:val="auto"/>
                <w:w w:val="70"/>
              </w:rPr>
              <w:t>$</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1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w:t>
            </w:r>
          </w:p>
        </w:tc>
        <w:tc>
          <w:tcPr>
            <w:tcW w:w="6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7"/>
                <w:szCs w:val="17"/>
                <w:color w:val="auto"/>
                <w:vertAlign w:val="subscript"/>
              </w:rPr>
              <w:t>US</w:t>
            </w:r>
            <w:r>
              <w:rPr>
                <w:rFonts w:ascii="Arial" w:cs="Arial" w:eastAsia="Arial" w:hAnsi="Arial"/>
                <w:sz w:val="9"/>
                <w:szCs w:val="9"/>
                <w:color w:val="auto"/>
              </w:rPr>
              <w:t xml:space="preserve"> (a)</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868</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806</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International </w:t>
            </w:r>
            <w:r>
              <w:rPr>
                <w:rFonts w:ascii="Arial" w:cs="Arial" w:eastAsia="Arial" w:hAnsi="Arial"/>
                <w:sz w:val="17"/>
                <w:szCs w:val="17"/>
                <w:color w:val="auto"/>
                <w:vertAlign w:val="superscript"/>
              </w:rPr>
              <w:t>(b)</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513</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w:t>
            </w: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453</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b w:val="1"/>
                <w:bCs w:val="1"/>
                <w:color w:val="auto"/>
              </w:rPr>
              <w:t>Debt Securities:</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Corporate bonds </w:t>
            </w:r>
            <w:r>
              <w:rPr>
                <w:rFonts w:ascii="Arial" w:cs="Arial" w:eastAsia="Arial" w:hAnsi="Arial"/>
                <w:sz w:val="17"/>
                <w:szCs w:val="17"/>
                <w:color w:val="auto"/>
                <w:vertAlign w:val="superscript"/>
              </w:rPr>
              <w:t>(c)</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495</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495</w:t>
            </w: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Government and government-related debt securities </w:t>
            </w:r>
            <w:r>
              <w:rPr>
                <w:rFonts w:ascii="Arial" w:cs="Arial" w:eastAsia="Arial" w:hAnsi="Arial"/>
                <w:sz w:val="17"/>
                <w:szCs w:val="17"/>
                <w:color w:val="auto"/>
                <w:vertAlign w:val="superscript"/>
              </w:rPr>
              <w:t>(d)</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638</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545</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Government agency collateralized mortgage obligations and mortgage backed securities </w:t>
            </w:r>
            <w:r>
              <w:rPr>
                <w:rFonts w:ascii="Arial" w:cs="Arial" w:eastAsia="Arial" w:hAnsi="Arial"/>
                <w:sz w:val="17"/>
                <w:szCs w:val="17"/>
                <w:color w:val="auto"/>
                <w:vertAlign w:val="superscript"/>
              </w:rPr>
              <w:t>(e)</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88</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Other collateralized mortgage obligations and mortgage-backed securities </w:t>
            </w:r>
            <w:r>
              <w:rPr>
                <w:rFonts w:ascii="Arial" w:cs="Arial" w:eastAsia="Arial" w:hAnsi="Arial"/>
                <w:sz w:val="17"/>
                <w:szCs w:val="17"/>
                <w:color w:val="auto"/>
                <w:vertAlign w:val="superscript"/>
              </w:rPr>
              <w:t>(f)</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Alternative Investments:</w:t>
            </w:r>
          </w:p>
        </w:tc>
        <w:tc>
          <w:tcPr>
            <w:tcW w:w="6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Private equity </w:t>
            </w:r>
            <w:r>
              <w:rPr>
                <w:rFonts w:ascii="Arial" w:cs="Arial" w:eastAsia="Arial" w:hAnsi="Arial"/>
                <w:sz w:val="17"/>
                <w:szCs w:val="17"/>
                <w:color w:val="auto"/>
                <w:vertAlign w:val="superscript"/>
              </w:rPr>
              <w:t>(g)</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185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185</w:t>
            </w: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Real estate </w:t>
            </w:r>
            <w:r>
              <w:rPr>
                <w:rFonts w:ascii="Arial" w:cs="Arial" w:eastAsia="Arial" w:hAnsi="Arial"/>
                <w:sz w:val="17"/>
                <w:szCs w:val="17"/>
                <w:color w:val="auto"/>
                <w:vertAlign w:val="superscript"/>
              </w:rPr>
              <w:t>(h)</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56</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56</w:t>
            </w: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4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79"/>
              </w:rPr>
              <w:t>2,910</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5"/>
              </w:rPr>
              <w:t>1,070</w:t>
            </w:r>
          </w:p>
        </w:tc>
        <w:tc>
          <w:tcPr>
            <w:tcW w:w="2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1,599</w:t>
            </w:r>
          </w:p>
        </w:tc>
        <w:tc>
          <w:tcPr>
            <w:tcW w:w="20" w:type="dxa"/>
            <w:vAlign w:val="bottom"/>
          </w:tcPr>
          <w:p>
            <w:pPr>
              <w:spacing w:after="0"/>
              <w:rPr>
                <w:sz w:val="13"/>
                <w:szCs w:val="13"/>
                <w:color w:val="auto"/>
              </w:rPr>
            </w:pPr>
          </w:p>
        </w:tc>
        <w:tc>
          <w:tcPr>
            <w:tcW w:w="320" w:type="dxa"/>
            <w:vAlign w:val="bottom"/>
          </w:tcPr>
          <w:p>
            <w:pPr>
              <w:ind w:left="260"/>
              <w:spacing w:after="0"/>
              <w:rPr>
                <w:sz w:val="20"/>
                <w:szCs w:val="20"/>
                <w:color w:val="auto"/>
              </w:rPr>
            </w:pPr>
            <w:r>
              <w:rPr>
                <w:rFonts w:ascii="Arial" w:cs="Arial" w:eastAsia="Arial" w:hAnsi="Arial"/>
                <w:sz w:val="5"/>
                <w:szCs w:val="5"/>
                <w:b w:val="1"/>
                <w:bCs w:val="1"/>
                <w:color w:val="auto"/>
                <w:w w:val="70"/>
              </w:rPr>
              <w:t>$</w:t>
            </w:r>
          </w:p>
        </w:tc>
        <w:tc>
          <w:tcPr>
            <w:tcW w:w="4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241</w:t>
            </w:r>
          </w:p>
        </w:tc>
        <w:tc>
          <w:tcPr>
            <w:tcW w:w="2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5"/>
              </w:rPr>
              <w:t>2,655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5"/>
              </w:rPr>
              <w:t>1,025</w:t>
            </w:r>
          </w:p>
        </w:tc>
        <w:tc>
          <w:tcPr>
            <w:tcW w:w="560" w:type="dxa"/>
            <w:vAlign w:val="bottom"/>
            <w:gridSpan w:val="3"/>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1,420</w:t>
            </w:r>
          </w:p>
        </w:tc>
        <w:tc>
          <w:tcPr>
            <w:tcW w:w="14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210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4"/>
              </w:rPr>
              <w:t>(Stated in millions)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6"/>
              </w:rPr>
              <w:t>International Plan Assets</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Level</w:t>
            </w:r>
          </w:p>
        </w:tc>
        <w:tc>
          <w:tcPr>
            <w:tcW w:w="40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Level</w:t>
            </w:r>
          </w:p>
        </w:tc>
        <w:tc>
          <w:tcPr>
            <w:tcW w:w="32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4"/>
                <w:szCs w:val="14"/>
                <w:b w:val="1"/>
                <w:bCs w:val="1"/>
                <w:color w:val="auto"/>
                <w:w w:val="72"/>
              </w:rPr>
              <w:t>Level</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Level</w:t>
            </w:r>
          </w:p>
        </w:tc>
        <w:tc>
          <w:tcPr>
            <w:tcW w:w="180" w:type="dxa"/>
            <w:vAlign w:val="bottom"/>
          </w:tcPr>
          <w:p>
            <w:pPr>
              <w:spacing w:after="0"/>
              <w:rPr>
                <w:sz w:val="11"/>
                <w:szCs w:val="11"/>
                <w:color w:val="auto"/>
              </w:rPr>
            </w:pPr>
          </w:p>
        </w:tc>
        <w:tc>
          <w:tcPr>
            <w:tcW w:w="52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Level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One</w:t>
            </w: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Two</w:t>
            </w:r>
          </w:p>
        </w:tc>
        <w:tc>
          <w:tcPr>
            <w:tcW w:w="32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Three</w:t>
            </w:r>
          </w:p>
        </w:tc>
        <w:tc>
          <w:tcPr>
            <w:tcW w:w="2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One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Two</w:t>
            </w:r>
          </w:p>
        </w:tc>
        <w:tc>
          <w:tcPr>
            <w:tcW w:w="140" w:type="dxa"/>
            <w:vAlign w:val="bottom"/>
          </w:tcPr>
          <w:p>
            <w:pPr>
              <w:spacing w:after="0"/>
              <w:rPr>
                <w:sz w:val="14"/>
                <w:szCs w:val="1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 Catergory:</w:t>
            </w: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168</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157</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w:t>
            </w:r>
          </w:p>
        </w:tc>
        <w:tc>
          <w:tcPr>
            <w:tcW w:w="320" w:type="dxa"/>
            <w:vAlign w:val="bottom"/>
          </w:tcPr>
          <w:p>
            <w:pPr>
              <w:ind w:left="260"/>
              <w:spacing w:after="0"/>
              <w:rPr>
                <w:sz w:val="20"/>
                <w:szCs w:val="20"/>
                <w:color w:val="auto"/>
              </w:rPr>
            </w:pPr>
            <w:r>
              <w:rPr>
                <w:rFonts w:ascii="Arial" w:cs="Arial" w:eastAsia="Arial" w:hAnsi="Arial"/>
                <w:sz w:val="5"/>
                <w:szCs w:val="5"/>
                <w:b w:val="1"/>
                <w:bCs w:val="1"/>
                <w:color w:val="auto"/>
                <w:w w:val="70"/>
              </w:rPr>
              <w:t>$</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w:t>
            </w:r>
          </w:p>
        </w:tc>
        <w:tc>
          <w:tcPr>
            <w:tcW w:w="6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7"/>
                <w:szCs w:val="17"/>
                <w:color w:val="auto"/>
                <w:vertAlign w:val="subscript"/>
              </w:rPr>
              <w:t>US</w:t>
            </w:r>
            <w:r>
              <w:rPr>
                <w:rFonts w:ascii="Arial" w:cs="Arial" w:eastAsia="Arial" w:hAnsi="Arial"/>
                <w:sz w:val="9"/>
                <w:szCs w:val="9"/>
                <w:color w:val="auto"/>
              </w:rPr>
              <w:t xml:space="preserve"> (a)</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79"/>
              </w:rPr>
              <w:t>1,583</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1,152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5"/>
              </w:rPr>
              <w:t>1,170</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5"/>
              </w:rPr>
              <w:t>1,018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International </w:t>
            </w:r>
            <w:r>
              <w:rPr>
                <w:rFonts w:ascii="Arial" w:cs="Arial" w:eastAsia="Arial" w:hAnsi="Arial"/>
                <w:sz w:val="17"/>
                <w:szCs w:val="17"/>
                <w:color w:val="auto"/>
                <w:vertAlign w:val="superscript"/>
              </w:rPr>
              <w:t>(b)</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79"/>
              </w:rPr>
              <w:t>1,258</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493</w:t>
            </w: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937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b w:val="1"/>
                <w:bCs w:val="1"/>
                <w:color w:val="auto"/>
              </w:rPr>
              <w:t>Debt Securities:</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Corporate bonds </w:t>
            </w:r>
            <w:r>
              <w:rPr>
                <w:rFonts w:ascii="Arial" w:cs="Arial" w:eastAsia="Arial" w:hAnsi="Arial"/>
                <w:sz w:val="17"/>
                <w:szCs w:val="17"/>
                <w:color w:val="auto"/>
                <w:vertAlign w:val="superscript"/>
              </w:rPr>
              <w:t>(c)</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540</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540</w:t>
            </w: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Government and government-related debt securities </w:t>
            </w:r>
            <w:r>
              <w:rPr>
                <w:rFonts w:ascii="Arial" w:cs="Arial" w:eastAsia="Arial" w:hAnsi="Arial"/>
                <w:sz w:val="17"/>
                <w:szCs w:val="17"/>
                <w:color w:val="auto"/>
                <w:vertAlign w:val="superscript"/>
              </w:rPr>
              <w:t>(d)</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976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Government agency collateralized mortgage obligations and mortgage backed securities </w:t>
            </w:r>
            <w:r>
              <w:rPr>
                <w:rFonts w:ascii="Arial" w:cs="Arial" w:eastAsia="Arial" w:hAnsi="Arial"/>
                <w:sz w:val="17"/>
                <w:szCs w:val="17"/>
                <w:color w:val="auto"/>
                <w:vertAlign w:val="superscript"/>
              </w:rPr>
              <w:t>(e)</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196</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196</w:t>
            </w: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Other collateralized mortgage obligations and mortgage-backed securities </w:t>
            </w:r>
            <w:r>
              <w:rPr>
                <w:rFonts w:ascii="Arial" w:cs="Arial" w:eastAsia="Arial" w:hAnsi="Arial"/>
                <w:sz w:val="17"/>
                <w:szCs w:val="17"/>
                <w:color w:val="auto"/>
                <w:vertAlign w:val="superscript"/>
              </w:rPr>
              <w:t>(f)</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93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Alternative Investments:</w:t>
            </w:r>
          </w:p>
        </w:tc>
        <w:tc>
          <w:tcPr>
            <w:tcW w:w="6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Private equity </w:t>
            </w:r>
            <w:r>
              <w:rPr>
                <w:rFonts w:ascii="Arial" w:cs="Arial" w:eastAsia="Arial" w:hAnsi="Arial"/>
                <w:sz w:val="17"/>
                <w:szCs w:val="17"/>
                <w:color w:val="auto"/>
                <w:vertAlign w:val="superscript"/>
              </w:rPr>
              <w:t>(g)</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128</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128</w:t>
            </w: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Real estate </w:t>
            </w:r>
            <w:r>
              <w:rPr>
                <w:rFonts w:ascii="Arial" w:cs="Arial" w:eastAsia="Arial" w:hAnsi="Arial"/>
                <w:sz w:val="17"/>
                <w:szCs w:val="17"/>
                <w:color w:val="auto"/>
                <w:vertAlign w:val="superscript"/>
              </w:rPr>
              <w:t>(h)</w:t>
            </w:r>
          </w:p>
        </w:tc>
        <w:tc>
          <w:tcPr>
            <w:tcW w:w="6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55</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55</w:t>
            </w: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123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123</w:t>
            </w:r>
          </w:p>
        </w:tc>
        <w:tc>
          <w:tcPr>
            <w:tcW w:w="2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79"/>
              </w:rPr>
              <w:t>5,120</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2,074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2,740</w:t>
            </w:r>
          </w:p>
        </w:tc>
        <w:tc>
          <w:tcPr>
            <w:tcW w:w="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b w:val="1"/>
                <w:bCs w:val="1"/>
                <w:color w:val="auto"/>
                <w:w w:val="70"/>
              </w:rPr>
              <w:t>$</w:t>
            </w: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306</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4,097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5"/>
              </w:rPr>
              <w:t>1,821</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2,006</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40" w:right="320" w:hanging="332"/>
        <w:spacing w:after="0" w:line="23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US equities include companies that are well diversified by industry sector and equity style (i.e., growth and value strategies). Active and passive management strategies are employed. Investments are primarily in large capitalization stocks and, to a lesser extent, mid- and small-cap stocks.</w:t>
      </w:r>
    </w:p>
    <w:p>
      <w:pPr>
        <w:spacing w:after="0" w:line="57"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International equities are invested in companies that are traded on exchanges outside the US and are well diversified by industry sector, country and equity style. Active and passive strategies are employed. The vast majority of the investments are made in companies in developed markets with a small percentage in emerging markets.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Corporate bonds consist primarily of investment grade bonds from diversified industries.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Government and government-related debt securities are comprised primarily of inflation protected US treasuries and, to a lesser extent, other government-related securities.</w:t>
      </w:r>
    </w:p>
    <w:p>
      <w:pPr>
        <w:spacing w:after="0" w:line="68"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Government agency collateralized mortgage obligations and mortgage backed-securities are debt obligations that represent claims to the cash flows from pools of mortgage loans which are purchased from banks, mortgage companies, and other originators and then assembled into pools by governmental and quasi-governmental entities.</w:t>
      </w:r>
    </w:p>
    <w:p>
      <w:pPr>
        <w:spacing w:after="0" w:line="57" w:lineRule="exact"/>
        <w:rPr>
          <w:rFonts w:ascii="Arial" w:cs="Arial" w:eastAsia="Arial" w:hAnsi="Arial"/>
          <w:sz w:val="14"/>
          <w:szCs w:val="14"/>
          <w:color w:val="auto"/>
        </w:rPr>
      </w:pPr>
    </w:p>
    <w:p>
      <w:pPr>
        <w:ind w:left="340" w:right="440" w:hanging="332"/>
        <w:spacing w:after="0" w:line="23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Other collateralized mortgage obligations and mortgage-backed securities are debt obligations that represent claims to the cash flows from pools of mortgage loans which are purchased from banks, mortgage companies, and other originators and then assembled into pools by private entities.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Private equity includes investments in several fund of funds limited partnerships.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Real estate primarily includes investments in real estate limited partnerships, concentrated in commercial real estate.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275" w:right="239" w:bottom="1440" w:gutter="0" w:footer="0" w:header="0"/>
        </w:sectPr>
      </w:pPr>
    </w:p>
    <w:bookmarkStart w:id="61" w:name="page62"/>
    <w:bookmarkEnd w:id="61"/>
    <w:p>
      <w:pPr>
        <w:ind w:right="38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funding policy is to annually contribute amounts that are based upon a number of factors including the actuarial accrued liability, amounts that are deductible for income tax purposes, legal funding requirements and available cash flow. Schlumberger currently anticipates contributing approximately $650 million to its postretirement benefit plans in 2013, subject to market and business conditions.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provides certain health care benefits to former US employees who have retired.</w:t>
      </w:r>
    </w:p>
    <w:p>
      <w:pPr>
        <w:spacing w:after="0" w:line="15"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The actuarial assumptions used to determine the accumulated postretirement benefit obligation and net periodic benefit cost for the US postretirement medical plan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2"/>
              </w:rPr>
              <w:t>Benefit Obligation</w:t>
            </w:r>
          </w:p>
        </w:tc>
        <w:tc>
          <w:tcPr>
            <w:tcW w:w="340" w:type="dxa"/>
            <w:vAlign w:val="bottom"/>
          </w:tcPr>
          <w:p>
            <w:pPr>
              <w:spacing w:after="0"/>
              <w:rPr>
                <w:sz w:val="14"/>
                <w:szCs w:val="14"/>
                <w:color w:val="auto"/>
              </w:rPr>
            </w:pPr>
          </w:p>
        </w:tc>
        <w:tc>
          <w:tcPr>
            <w:tcW w:w="1520" w:type="dxa"/>
            <w:vAlign w:val="bottom"/>
            <w:gridSpan w:val="12"/>
          </w:tcPr>
          <w:p>
            <w:pPr>
              <w:jc w:val="center"/>
              <w:ind w:right="20"/>
              <w:spacing w:after="0"/>
              <w:rPr>
                <w:sz w:val="20"/>
                <w:szCs w:val="20"/>
                <w:color w:val="auto"/>
              </w:rPr>
            </w:pPr>
            <w:r>
              <w:rPr>
                <w:rFonts w:ascii="Arial" w:cs="Arial" w:eastAsia="Arial" w:hAnsi="Arial"/>
                <w:sz w:val="14"/>
                <w:szCs w:val="14"/>
                <w:b w:val="1"/>
                <w:bCs w:val="1"/>
                <w:color w:val="auto"/>
                <w:w w:val="86"/>
              </w:rPr>
              <w:t>Net Periodic Benefit 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8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8"/>
              </w:rPr>
              <w:t>at December 31,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89"/>
              </w:rPr>
              <w:t>for the year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Discount rate</w:t>
            </w:r>
          </w:p>
        </w:tc>
        <w:tc>
          <w:tcPr>
            <w:tcW w:w="8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b w:val="1"/>
                <w:bCs w:val="1"/>
                <w:color w:val="auto"/>
              </w:rPr>
              <w:t>4.25%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2" w:lineRule="exact"/>
              <w:rPr>
                <w:sz w:val="20"/>
                <w:szCs w:val="20"/>
                <w:color w:val="auto"/>
              </w:rPr>
            </w:pPr>
            <w:r>
              <w:rPr>
                <w:rFonts w:ascii="Arial" w:cs="Arial" w:eastAsia="Arial" w:hAnsi="Arial"/>
                <w:sz w:val="14"/>
                <w:szCs w:val="14"/>
                <w:color w:val="auto"/>
              </w:rPr>
              <w:t>5.00%</w:t>
            </w:r>
          </w:p>
        </w:tc>
        <w:tc>
          <w:tcPr>
            <w:tcW w:w="60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5.00%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5"/>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5"/>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6.00%</w:t>
            </w: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Return on plan assets</w:t>
            </w:r>
          </w:p>
        </w:tc>
        <w:tc>
          <w:tcPr>
            <w:tcW w:w="9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7.00%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5"/>
          </w:tcPr>
          <w:p>
            <w:pPr>
              <w:jc w:val="right"/>
              <w:ind w:right="12"/>
              <w:spacing w:after="0" w:line="149" w:lineRule="exact"/>
              <w:rPr>
                <w:sz w:val="20"/>
                <w:szCs w:val="20"/>
                <w:color w:val="auto"/>
              </w:rPr>
            </w:pPr>
            <w:r>
              <w:rPr>
                <w:rFonts w:ascii="Arial" w:cs="Arial" w:eastAsia="Arial" w:hAnsi="Arial"/>
                <w:sz w:val="14"/>
                <w:szCs w:val="14"/>
                <w:color w:val="auto"/>
              </w:rPr>
              <w:t>7.00%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8.00%</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medical cost trend rate</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7.50%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8.00%</w:t>
            </w: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8.00%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5"/>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8.00%</w:t>
            </w: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Ultimate medical cost trend rate</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5.00%</w:t>
            </w:r>
          </w:p>
        </w:tc>
        <w:tc>
          <w:tcPr>
            <w:tcW w:w="6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5.00%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5"/>
          </w:tcPr>
          <w:p>
            <w:pPr>
              <w:jc w:val="right"/>
              <w:ind w:right="12"/>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5.00%</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that the rate reaches the ultimate trend rate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2023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w w:val="89"/>
              </w:rPr>
              <w:t>2018</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2016</w:t>
            </w:r>
          </w:p>
        </w:tc>
        <w:tc>
          <w:tcPr>
            <w:tcW w:w="80" w:type="dxa"/>
            <w:vAlign w:val="bottom"/>
            <w:shd w:val="clear" w:color="auto" w:fill="CCEEFF"/>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w w:val="96"/>
              </w:rPr>
              <w:t>The net periodic benefit cost for the US postretirement medical plan included the following components: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11"/>
          </w:tcPr>
          <w:p>
            <w:pPr>
              <w:jc w:val="right"/>
              <w:ind w:right="80"/>
              <w:spacing w:after="0"/>
              <w:rPr>
                <w:sz w:val="20"/>
                <w:szCs w:val="20"/>
                <w:color w:val="auto"/>
              </w:rPr>
            </w:pPr>
            <w:r>
              <w:rPr>
                <w:rFonts w:ascii="Arial" w:cs="Arial" w:eastAsia="Arial" w:hAnsi="Arial"/>
                <w:sz w:val="14"/>
                <w:szCs w:val="14"/>
                <w:b w:val="1"/>
                <w:bCs w:val="1"/>
                <w:color w:val="auto"/>
                <w:w w:val="86"/>
              </w:rPr>
              <w:t>(Stated in millions)</w:t>
            </w:r>
          </w:p>
        </w:tc>
      </w:tr>
      <w:tr>
        <w:trPr>
          <w:trHeight w:val="298"/>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2010</w:t>
            </w:r>
          </w:p>
        </w:tc>
      </w:tr>
      <w:tr>
        <w:trPr>
          <w:trHeight w:val="142"/>
        </w:trPr>
        <w:tc>
          <w:tcPr>
            <w:tcW w:w="20" w:type="dxa"/>
            <w:vAlign w:val="bottom"/>
          </w:tcPr>
          <w:p>
            <w:pPr>
              <w:spacing w:after="0"/>
              <w:rPr>
                <w:sz w:val="12"/>
                <w:szCs w:val="12"/>
                <w:color w:val="auto"/>
              </w:rPr>
            </w:pPr>
          </w:p>
        </w:tc>
        <w:tc>
          <w:tcPr>
            <w:tcW w:w="7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Service cost – benefits earned during the period</w:t>
            </w:r>
          </w:p>
        </w:tc>
        <w:tc>
          <w:tcPr>
            <w:tcW w:w="3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2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$ 24</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58</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80"/>
              </w:rPr>
              <w:t>(30)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Amortization of net loss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credit</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(21)</w:t>
            </w:r>
          </w:p>
        </w:tc>
      </w:tr>
      <w:tr>
        <w:trPr>
          <w:trHeight w:val="20"/>
        </w:trPr>
        <w:tc>
          <w:tcPr>
            <w:tcW w:w="20" w:type="dxa"/>
            <w:vAlign w:val="bottom"/>
          </w:tcPr>
          <w:p>
            <w:pPr>
              <w:spacing w:after="0" w:line="20" w:lineRule="exact"/>
              <w:rPr>
                <w:sz w:val="1"/>
                <w:szCs w:val="1"/>
                <w:color w:val="auto"/>
              </w:rPr>
            </w:pPr>
          </w:p>
        </w:tc>
        <w:tc>
          <w:tcPr>
            <w:tcW w:w="7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65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5"/>
          </w:tcPr>
          <w:p>
            <w:pPr>
              <w:jc w:val="right"/>
              <w:ind w:right="240"/>
              <w:spacing w:after="0" w:line="155" w:lineRule="exact"/>
              <w:rPr>
                <w:sz w:val="20"/>
                <w:szCs w:val="20"/>
                <w:color w:val="auto"/>
              </w:rPr>
            </w:pPr>
            <w:r>
              <w:rPr>
                <w:rFonts w:ascii="Arial" w:cs="Arial" w:eastAsia="Arial" w:hAnsi="Arial"/>
                <w:sz w:val="14"/>
                <w:szCs w:val="14"/>
                <w:color w:val="auto"/>
              </w:rPr>
              <w:t>$ 62</w:t>
            </w:r>
          </w:p>
        </w:tc>
        <w:tc>
          <w:tcPr>
            <w:tcW w:w="60" w:type="dxa"/>
            <w:vAlign w:val="bottom"/>
          </w:tcPr>
          <w:p>
            <w:pPr>
              <w:spacing w:after="0"/>
              <w:rPr>
                <w:sz w:val="13"/>
                <w:szCs w:val="13"/>
                <w:color w:val="auto"/>
              </w:rPr>
            </w:pPr>
          </w:p>
        </w:tc>
        <w:tc>
          <w:tcPr>
            <w:tcW w:w="46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$ 65</w:t>
            </w:r>
          </w:p>
        </w:tc>
      </w:tr>
      <w:tr>
        <w:trPr>
          <w:trHeight w:val="302"/>
        </w:trPr>
        <w:tc>
          <w:tcPr>
            <w:tcW w:w="20" w:type="dxa"/>
            <w:vAlign w:val="bottom"/>
          </w:tcPr>
          <w:p>
            <w:pPr>
              <w:spacing w:after="0"/>
              <w:rPr>
                <w:sz w:val="24"/>
                <w:szCs w:val="24"/>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w w:val="87"/>
              </w:rPr>
              <w:t>The changes in the accumulated postretirement benefit obligation, plan assets and funded status were as follows: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11"/>
          </w:tcPr>
          <w:p>
            <w:pPr>
              <w:jc w:val="right"/>
              <w:ind w:right="80"/>
              <w:spacing w:after="0"/>
              <w:rPr>
                <w:sz w:val="20"/>
                <w:szCs w:val="20"/>
                <w:color w:val="auto"/>
              </w:rPr>
            </w:pPr>
            <w:r>
              <w:rPr>
                <w:rFonts w:ascii="Arial" w:cs="Arial" w:eastAsia="Arial" w:hAnsi="Arial"/>
                <w:sz w:val="14"/>
                <w:szCs w:val="14"/>
                <w:b w:val="1"/>
                <w:bCs w:val="1"/>
                <w:color w:val="auto"/>
                <w:w w:val="86"/>
              </w:rPr>
              <w:t>(Stated in millions)</w:t>
            </w:r>
          </w:p>
        </w:tc>
      </w:tr>
      <w:tr>
        <w:trPr>
          <w:trHeight w:val="298"/>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2011</w:t>
            </w:r>
          </w:p>
        </w:tc>
      </w:tr>
      <w:tr>
        <w:trPr>
          <w:trHeight w:val="129"/>
        </w:trPr>
        <w:tc>
          <w:tcPr>
            <w:tcW w:w="20" w:type="dxa"/>
            <w:vAlign w:val="bottom"/>
          </w:tcPr>
          <w:p>
            <w:pPr>
              <w:spacing w:after="0"/>
              <w:rPr>
                <w:sz w:val="11"/>
                <w:szCs w:val="11"/>
                <w:color w:val="auto"/>
              </w:rPr>
            </w:pPr>
          </w:p>
        </w:tc>
        <w:tc>
          <w:tcPr>
            <w:tcW w:w="72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i w:val="1"/>
                <w:iCs w:val="1"/>
                <w:color w:val="auto"/>
              </w:rPr>
              <w:t>Change in Accumulated Postretirement Benefit Obligation</w:t>
            </w:r>
          </w:p>
        </w:tc>
        <w:tc>
          <w:tcPr>
            <w:tcW w:w="3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Benefit obligation at beginning of year</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$1,188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w w:val="83"/>
              </w:rPr>
              <w:t>$1,051</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w:t>
            </w: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57</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(40)</w:t>
            </w:r>
          </w:p>
        </w:tc>
      </w:tr>
      <w:tr>
        <w:trPr>
          <w:trHeight w:val="20"/>
        </w:trPr>
        <w:tc>
          <w:tcPr>
            <w:tcW w:w="20" w:type="dxa"/>
            <w:vAlign w:val="bottom"/>
          </w:tcPr>
          <w:p>
            <w:pPr>
              <w:spacing w:after="0" w:line="20" w:lineRule="exact"/>
              <w:rPr>
                <w:sz w:val="1"/>
                <w:szCs w:val="1"/>
                <w:color w:val="auto"/>
              </w:rPr>
            </w:pPr>
          </w:p>
        </w:tc>
        <w:tc>
          <w:tcPr>
            <w:tcW w:w="7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7260" w:type="dxa"/>
            <w:vAlign w:val="bottom"/>
            <w:gridSpan w:val="2"/>
          </w:tcPr>
          <w:p>
            <w:pPr>
              <w:spacing w:after="0" w:line="155" w:lineRule="exact"/>
              <w:rPr>
                <w:sz w:val="20"/>
                <w:szCs w:val="20"/>
                <w:color w:val="auto"/>
              </w:rPr>
            </w:pPr>
            <w:r>
              <w:rPr>
                <w:rFonts w:ascii="Arial" w:cs="Arial" w:eastAsia="Arial" w:hAnsi="Arial"/>
                <w:sz w:val="14"/>
                <w:szCs w:val="14"/>
                <w:color w:val="auto"/>
              </w:rPr>
              <w:t>Benefit obligation at end of year</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1,410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5"/>
          </w:tcPr>
          <w:p>
            <w:pPr>
              <w:jc w:val="right"/>
              <w:ind w:right="80"/>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1,188</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Change in Plan Assets</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Plan assets at fair value at beginning of year</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443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76"/>
              </w:rPr>
              <w:t>290</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Company contributions</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6"/>
              </w:rPr>
              <w:t>165</w:t>
            </w: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(40)</w:t>
            </w:r>
          </w:p>
        </w:tc>
      </w:tr>
      <w:tr>
        <w:trPr>
          <w:trHeight w:val="156"/>
        </w:trPr>
        <w:tc>
          <w:tcPr>
            <w:tcW w:w="20" w:type="dxa"/>
            <w:vAlign w:val="bottom"/>
          </w:tcPr>
          <w:p>
            <w:pPr>
              <w:spacing w:after="0"/>
              <w:rPr>
                <w:sz w:val="13"/>
                <w:szCs w:val="13"/>
                <w:color w:val="auto"/>
              </w:rPr>
            </w:pPr>
          </w:p>
        </w:tc>
        <w:tc>
          <w:tcPr>
            <w:tcW w:w="72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fair value at end of year</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443</w:t>
            </w:r>
          </w:p>
        </w:tc>
        <w:tc>
          <w:tcPr>
            <w:tcW w:w="80" w:type="dxa"/>
            <w:vAlign w:val="bottom"/>
            <w:shd w:val="clear" w:color="auto" w:fill="CCEEFF"/>
          </w:tcPr>
          <w:p>
            <w:pPr>
              <w:spacing w:after="0"/>
              <w:rPr>
                <w:sz w:val="12"/>
                <w:szCs w:val="12"/>
                <w:color w:val="auto"/>
              </w:rPr>
            </w:pPr>
          </w:p>
        </w:tc>
      </w:tr>
      <w:tr>
        <w:trPr>
          <w:trHeight w:val="163"/>
        </w:trPr>
        <w:tc>
          <w:tcPr>
            <w:tcW w:w="726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Unfunded Liability</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6"/>
          </w:tcPr>
          <w:p>
            <w:pPr>
              <w:jc w:val="right"/>
              <w:ind w:right="80"/>
              <w:spacing w:after="0" w:line="155" w:lineRule="exact"/>
              <w:rPr>
                <w:sz w:val="20"/>
                <w:szCs w:val="20"/>
                <w:color w:val="auto"/>
              </w:rPr>
            </w:pPr>
            <w:r>
              <w:rPr>
                <w:rFonts w:ascii="Arial" w:cs="Arial" w:eastAsia="Arial" w:hAnsi="Arial"/>
                <w:sz w:val="14"/>
                <w:szCs w:val="14"/>
                <w:b w:val="1"/>
                <w:bCs w:val="1"/>
                <w:color w:val="auto"/>
              </w:rPr>
              <w:t>$ (834)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w w:val="90"/>
              </w:rPr>
              <w:t>$ (745)</w:t>
            </w:r>
          </w:p>
        </w:tc>
      </w:tr>
      <w:tr>
        <w:trPr>
          <w:trHeight w:val="138"/>
        </w:trPr>
        <w:tc>
          <w:tcPr>
            <w:tcW w:w="20" w:type="dxa"/>
            <w:vAlign w:val="bottom"/>
          </w:tcPr>
          <w:p>
            <w:pPr>
              <w:spacing w:after="0"/>
              <w:rPr>
                <w:sz w:val="11"/>
                <w:szCs w:val="11"/>
                <w:color w:val="auto"/>
              </w:rPr>
            </w:pPr>
          </w:p>
        </w:tc>
        <w:tc>
          <w:tcPr>
            <w:tcW w:w="724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i w:val="1"/>
                <w:iCs w:val="1"/>
                <w:color w:val="auto"/>
              </w:rPr>
              <w:t>Amounts Recognized in Accumulated</w:t>
            </w: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b w:val="1"/>
                <w:bCs w:val="1"/>
                <w:i w:val="1"/>
                <w:iCs w:val="1"/>
                <w:color w:val="auto"/>
              </w:rPr>
              <w:t>Other Comprehensive Loss</w:t>
            </w:r>
          </w:p>
        </w:tc>
        <w:tc>
          <w:tcPr>
            <w:tcW w:w="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411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2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76"/>
              </w:rPr>
              <w:t>286</w:t>
            </w: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service cost</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(24)</w:t>
            </w:r>
          </w:p>
        </w:tc>
      </w:tr>
      <w:tr>
        <w:trPr>
          <w:trHeight w:val="156"/>
        </w:trPr>
        <w:tc>
          <w:tcPr>
            <w:tcW w:w="20" w:type="dxa"/>
            <w:vAlign w:val="bottom"/>
          </w:tcPr>
          <w:p>
            <w:pPr>
              <w:spacing w:after="0"/>
              <w:rPr>
                <w:sz w:val="13"/>
                <w:szCs w:val="13"/>
                <w:color w:val="auto"/>
              </w:rPr>
            </w:pPr>
          </w:p>
        </w:tc>
        <w:tc>
          <w:tcPr>
            <w:tcW w:w="7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395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262</w:t>
            </w:r>
          </w:p>
        </w:tc>
        <w:tc>
          <w:tcPr>
            <w:tcW w:w="80" w:type="dxa"/>
            <w:vAlign w:val="bottom"/>
          </w:tcPr>
          <w:p>
            <w:pPr>
              <w:spacing w:after="0"/>
              <w:rPr>
                <w:sz w:val="13"/>
                <w:szCs w:val="13"/>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unfunded liability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Consolidated Balance Sheet.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assets of the US postretirement medical plan are invested 63% in US equity securities and 37% in government and government-related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assets were determined based on quoted prices in active markets for identical instruments.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280" w:right="239" w:bottom="1440" w:gutter="0" w:footer="0" w:header="0"/>
        </w:sectPr>
      </w:pPr>
    </w:p>
    <w:bookmarkStart w:id="62" w:name="page63"/>
    <w:bookmarkEnd w:id="62"/>
    <w:p>
      <w:pPr>
        <w:ind w:right="100" w:firstLine="22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Assumed health care cost trend rates have a significant effect on the amounts reported for the US postretirement medical plan. A one percentage point change in assumed health care cost trend rates would have the following effects: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40" w:type="dxa"/>
            <w:vAlign w:val="bottom"/>
            <w:gridSpan w:val="4"/>
          </w:tcPr>
          <w:p>
            <w:pPr>
              <w:ind w:left="860"/>
              <w:spacing w:after="0"/>
              <w:rPr>
                <w:sz w:val="20"/>
                <w:szCs w:val="20"/>
                <w:color w:val="auto"/>
              </w:rPr>
            </w:pPr>
            <w:r>
              <w:rPr>
                <w:rFonts w:ascii="Arial" w:cs="Arial" w:eastAsia="Arial" w:hAnsi="Arial"/>
                <w:sz w:val="14"/>
                <w:szCs w:val="14"/>
                <w:b w:val="1"/>
                <w:bCs w:val="1"/>
                <w:color w:val="auto"/>
                <w:w w:val="92"/>
              </w:rPr>
              <w:t>(Stated in millions)</w:t>
            </w:r>
          </w:p>
        </w:tc>
      </w:tr>
      <w:tr>
        <w:trPr>
          <w:trHeight w:val="285"/>
        </w:trPr>
        <w:tc>
          <w:tcPr>
            <w:tcW w:w="5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3"/>
              </w:rPr>
              <w:t>One percentage</w:t>
            </w:r>
          </w:p>
        </w:tc>
        <w:tc>
          <w:tcPr>
            <w:tcW w:w="10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0"/>
              </w:rPr>
              <w:t>One percentage</w:t>
            </w:r>
          </w:p>
        </w:tc>
      </w:tr>
      <w:tr>
        <w:trPr>
          <w:trHeight w:val="161"/>
        </w:trPr>
        <w:tc>
          <w:tcPr>
            <w:tcW w:w="5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point increase</w:t>
            </w:r>
          </w:p>
        </w:tc>
        <w:tc>
          <w:tcPr>
            <w:tcW w:w="10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point decrease</w:t>
            </w: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Effect on total service and interest cost components</w:t>
            </w:r>
          </w:p>
        </w:tc>
        <w:tc>
          <w:tcPr>
            <w:tcW w:w="2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w:t>
            </w:r>
          </w:p>
        </w:tc>
        <w:tc>
          <w:tcPr>
            <w:tcW w:w="10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w:t>
            </w:r>
          </w:p>
        </w:tc>
        <w:tc>
          <w:tcPr>
            <w:tcW w:w="80" w:type="dxa"/>
            <w:vAlign w:val="bottom"/>
            <w:tcBorders>
              <w:top w:val="single" w:sz="8" w:color="CCEEFF"/>
            </w:tcBorders>
            <w:shd w:val="clear" w:color="auto" w:fill="CCEEFF"/>
          </w:tcPr>
          <w:p>
            <w:pPr>
              <w:spacing w:after="0"/>
              <w:rPr>
                <w:sz w:val="12"/>
                <w:szCs w:val="12"/>
                <w:color w:val="auto"/>
              </w:rPr>
            </w:pPr>
          </w:p>
        </w:tc>
      </w:tr>
      <w:tr>
        <w:trPr>
          <w:trHeight w:val="174"/>
        </w:trPr>
        <w:tc>
          <w:tcPr>
            <w:tcW w:w="5760" w:type="dxa"/>
            <w:vAlign w:val="bottom"/>
          </w:tcPr>
          <w:p>
            <w:pPr>
              <w:spacing w:after="0"/>
              <w:rPr>
                <w:sz w:val="20"/>
                <w:szCs w:val="20"/>
                <w:color w:val="auto"/>
              </w:rPr>
            </w:pPr>
            <w:r>
              <w:rPr>
                <w:rFonts w:ascii="Arial" w:cs="Arial" w:eastAsia="Arial" w:hAnsi="Arial"/>
                <w:sz w:val="14"/>
                <w:szCs w:val="14"/>
                <w:color w:val="auto"/>
              </w:rPr>
              <w:t>Effect on accumulated postretirement benefit obligation</w:t>
            </w:r>
          </w:p>
        </w:tc>
        <w:tc>
          <w:tcPr>
            <w:tcW w:w="3100" w:type="dxa"/>
            <w:vAlign w:val="bottom"/>
            <w:gridSpan w:val="2"/>
          </w:tcPr>
          <w:p>
            <w:pPr>
              <w:ind w:left="27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287</w:t>
            </w:r>
          </w:p>
        </w:tc>
        <w:tc>
          <w:tcPr>
            <w:tcW w:w="1420" w:type="dxa"/>
            <w:vAlign w:val="bottom"/>
            <w:gridSpan w:val="2"/>
          </w:tcPr>
          <w:p>
            <w:pPr>
              <w:ind w:left="106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expected benefits to be paid under the US and International pension plans as well as the postretirement medical plan (which is disclosed net of the annual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Medicare Part D subsidy, which ranges from $4 million to $11 million per year)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(Stated in millions)</w:t>
            </w:r>
          </w:p>
        </w:tc>
      </w:tr>
      <w:tr>
        <w:trPr>
          <w:trHeight w:val="298"/>
        </w:trPr>
        <w:tc>
          <w:tcPr>
            <w:tcW w:w="4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6"/>
              </w:rPr>
              <w:t>Pension Benefits</w:t>
            </w:r>
          </w:p>
        </w:tc>
        <w:tc>
          <w:tcPr>
            <w:tcW w:w="3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Postretirement</w:t>
            </w:r>
          </w:p>
        </w:tc>
      </w:tr>
      <w:tr>
        <w:trPr>
          <w:trHeight w:val="142"/>
        </w:trPr>
        <w:tc>
          <w:tcPr>
            <w:tcW w:w="42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International</w:t>
            </w:r>
          </w:p>
        </w:tc>
        <w:tc>
          <w:tcPr>
            <w:tcW w:w="740" w:type="dxa"/>
            <w:vAlign w:val="bottom"/>
          </w:tcPr>
          <w:p>
            <w:pPr>
              <w:spacing w:after="0"/>
              <w:rPr>
                <w:sz w:val="12"/>
                <w:szCs w:val="12"/>
                <w:color w:val="auto"/>
              </w:rPr>
            </w:pPr>
          </w:p>
        </w:tc>
        <w:tc>
          <w:tcPr>
            <w:tcW w:w="9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Medical Plan</w:t>
            </w:r>
          </w:p>
        </w:tc>
      </w:tr>
      <w:tr>
        <w:trPr>
          <w:trHeight w:val="142"/>
        </w:trPr>
        <w:tc>
          <w:tcPr>
            <w:tcW w:w="4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2013</w:t>
            </w:r>
          </w:p>
        </w:tc>
        <w:tc>
          <w:tcPr>
            <w:tcW w:w="36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$141</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w:t>
            </w:r>
          </w:p>
        </w:tc>
        <w:tc>
          <w:tcPr>
            <w:tcW w:w="7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4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4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2016</w:t>
            </w:r>
          </w:p>
        </w:tc>
        <w:tc>
          <w:tcPr>
            <w:tcW w:w="4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2017</w:t>
            </w:r>
          </w:p>
        </w:tc>
        <w:tc>
          <w:tcPr>
            <w:tcW w:w="4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r>
      <w:tr>
        <w:trPr>
          <w:trHeight w:val="172"/>
        </w:trPr>
        <w:tc>
          <w:tcPr>
            <w:tcW w:w="4260" w:type="dxa"/>
            <w:vAlign w:val="bottom"/>
          </w:tcPr>
          <w:p>
            <w:pPr>
              <w:spacing w:after="0"/>
              <w:rPr>
                <w:sz w:val="20"/>
                <w:szCs w:val="20"/>
                <w:color w:val="auto"/>
              </w:rPr>
            </w:pPr>
            <w:r>
              <w:rPr>
                <w:rFonts w:ascii="Arial" w:cs="Arial" w:eastAsia="Arial" w:hAnsi="Arial"/>
                <w:sz w:val="14"/>
                <w:szCs w:val="14"/>
                <w:color w:val="auto"/>
              </w:rPr>
              <w:t>2018-2022</w:t>
            </w:r>
          </w:p>
        </w:tc>
        <w:tc>
          <w:tcPr>
            <w:tcW w:w="4020" w:type="dxa"/>
            <w:vAlign w:val="bottom"/>
            <w:gridSpan w:val="3"/>
          </w:tcPr>
          <w:p>
            <w:pPr>
              <w:jc w:val="right"/>
              <w:ind w:right="80"/>
              <w:spacing w:after="0"/>
              <w:rPr>
                <w:sz w:val="20"/>
                <w:szCs w:val="20"/>
                <w:color w:val="auto"/>
              </w:rPr>
            </w:pPr>
            <w:r>
              <w:rPr>
                <w:rFonts w:ascii="Arial" w:cs="Arial" w:eastAsia="Arial" w:hAnsi="Arial"/>
                <w:sz w:val="14"/>
                <w:szCs w:val="14"/>
                <w:color w:val="auto"/>
              </w:rPr>
              <w:t>971</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1,397</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380</w:t>
            </w:r>
          </w:p>
        </w:tc>
        <w:tc>
          <w:tcPr>
            <w:tcW w:w="60" w:type="dxa"/>
            <w:vAlign w:val="bottom"/>
          </w:tcPr>
          <w:p>
            <w:pPr>
              <w:spacing w:after="0"/>
              <w:rPr>
                <w:sz w:val="14"/>
                <w:szCs w:val="14"/>
                <w:color w:val="auto"/>
              </w:rPr>
            </w:pPr>
          </w:p>
        </w:tc>
      </w:tr>
    </w:tbl>
    <w:p>
      <w:pPr>
        <w:spacing w:after="0" w:line="49" w:lineRule="exact"/>
        <w:rPr>
          <w:sz w:val="20"/>
          <w:szCs w:val="20"/>
          <w:color w:val="auto"/>
        </w:rPr>
      </w:pPr>
    </w:p>
    <w:p>
      <w:pPr>
        <w:jc w:val="both"/>
        <w:ind w:right="40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at December 31, 2012 are non-cash pretax charges which have not yet been recognized in net periodic benefit cost. The estimated amounts that will be amortized from the estimated portion of each component of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which is expected to be recognized as a component of net periodic benefit cost during the year ending December 31, 2013 are as follows:</w:t>
      </w:r>
    </w:p>
    <w:p>
      <w:pPr>
        <w:spacing w:after="0" w:line="21" w:lineRule="exact"/>
        <w:rPr>
          <w:sz w:val="20"/>
          <w:szCs w:val="20"/>
          <w:color w:val="auto"/>
        </w:rPr>
      </w:pPr>
    </w:p>
    <w:p>
      <w:pPr>
        <w:ind w:left="10240"/>
        <w:spacing w:after="0"/>
        <w:rPr>
          <w:sz w:val="20"/>
          <w:szCs w:val="20"/>
          <w:color w:val="auto"/>
        </w:rPr>
      </w:pPr>
      <w:r>
        <w:rPr>
          <w:rFonts w:ascii="Arial" w:cs="Arial" w:eastAsia="Arial" w:hAnsi="Arial"/>
          <w:sz w:val="12"/>
          <w:szCs w:val="12"/>
          <w:b w:val="1"/>
          <w:bCs w:val="1"/>
          <w:color w:val="auto"/>
        </w:rPr>
        <w:t>(Stated in millions)</w:t>
      </w:r>
    </w:p>
    <w:p>
      <w:pPr>
        <w:spacing w:after="0" w:line="173" w:lineRule="exact"/>
        <w:rPr>
          <w:sz w:val="20"/>
          <w:szCs w:val="20"/>
          <w:color w:val="auto"/>
        </w:rPr>
      </w:pPr>
    </w:p>
    <w:p>
      <w:pPr>
        <w:ind w:left="10480"/>
        <w:spacing w:after="0"/>
        <w:rPr>
          <w:sz w:val="20"/>
          <w:szCs w:val="20"/>
          <w:color w:val="auto"/>
        </w:rPr>
      </w:pPr>
      <w:r>
        <w:rPr>
          <w:rFonts w:ascii="Arial" w:cs="Arial" w:eastAsia="Arial" w:hAnsi="Arial"/>
          <w:sz w:val="12"/>
          <w:szCs w:val="12"/>
          <w:b w:val="1"/>
          <w:bCs w:val="1"/>
          <w:color w:val="auto"/>
        </w:rPr>
        <w:t>Postretirement</w:t>
      </w:r>
    </w:p>
    <w:p>
      <w:pPr>
        <w:spacing w:after="0" w:line="12" w:lineRule="exact"/>
        <w:rPr>
          <w:sz w:val="20"/>
          <w:szCs w:val="20"/>
          <w:color w:val="auto"/>
        </w:rPr>
      </w:pPr>
    </w:p>
    <w:p>
      <w:pPr>
        <w:ind w:left="9220"/>
        <w:spacing w:after="0"/>
        <w:tabs>
          <w:tab w:leader="none" w:pos="10860" w:val="left"/>
        </w:tabs>
        <w:rPr>
          <w:sz w:val="20"/>
          <w:szCs w:val="20"/>
          <w:color w:val="auto"/>
        </w:rPr>
      </w:pPr>
      <w:r>
        <w:rPr>
          <w:rFonts w:ascii="Arial" w:cs="Arial" w:eastAsia="Arial" w:hAnsi="Arial"/>
          <w:sz w:val="14"/>
          <w:szCs w:val="14"/>
          <w:b w:val="1"/>
          <w:bCs w:val="1"/>
          <w:color w:val="auto"/>
        </w:rPr>
        <w:t>Pension</w:t>
      </w:r>
      <w:r>
        <w:rPr>
          <w:sz w:val="20"/>
          <w:szCs w:val="20"/>
          <w:color w:val="auto"/>
        </w:rPr>
        <w:tab/>
      </w:r>
      <w:r>
        <w:rPr>
          <w:rFonts w:ascii="Arial" w:cs="Arial" w:eastAsia="Arial" w:hAnsi="Arial"/>
          <w:sz w:val="14"/>
          <w:szCs w:val="14"/>
          <w:b w:val="1"/>
          <w:bCs w:val="1"/>
          <w:color w:val="auto"/>
        </w:rPr>
        <w:t>Medical</w:t>
      </w:r>
    </w:p>
    <w:p>
      <w:pPr>
        <w:ind w:left="9360"/>
        <w:spacing w:after="0" w:line="219" w:lineRule="auto"/>
        <w:tabs>
          <w:tab w:leader="none" w:pos="11060" w:val="left"/>
        </w:tabs>
        <w:rPr>
          <w:sz w:val="20"/>
          <w:szCs w:val="20"/>
          <w:color w:val="auto"/>
        </w:rPr>
      </w:pPr>
      <w:r>
        <w:rPr>
          <w:rFonts w:ascii="Arial" w:cs="Arial" w:eastAsia="Arial" w:hAnsi="Arial"/>
          <w:sz w:val="14"/>
          <w:szCs w:val="14"/>
          <w:b w:val="1"/>
          <w:bCs w:val="1"/>
          <w:color w:val="auto"/>
        </w:rPr>
        <w:t>Plans</w:t>
      </w:r>
      <w:r>
        <w:rPr>
          <w:sz w:val="20"/>
          <w:szCs w:val="20"/>
          <w:color w:val="auto"/>
        </w:rPr>
        <w:tab/>
      </w:r>
      <w:r>
        <w:rPr>
          <w:rFonts w:ascii="Arial" w:cs="Arial" w:eastAsia="Arial" w:hAnsi="Arial"/>
          <w:sz w:val="14"/>
          <w:szCs w:val="14"/>
          <w:b w:val="1"/>
          <w:bCs w:val="1"/>
          <w:color w:val="auto"/>
        </w:rPr>
        <w:t>Plan</w:t>
      </w:r>
    </w:p>
    <w:tbl>
      <w:tblPr>
        <w:tblLayout w:type="fixed"/>
        <w:tblInd w:w="0" w:type="dxa"/>
        <w:tblCellMar>
          <w:top w:w="0" w:type="dxa"/>
          <w:left w:w="0" w:type="dxa"/>
          <w:bottom w:w="0" w:type="dxa"/>
          <w:right w:w="0" w:type="dxa"/>
        </w:tblCellMar>
      </w:tblPr>
      <w:tr>
        <w:trPr>
          <w:trHeight w:val="142"/>
        </w:trPr>
        <w:tc>
          <w:tcPr>
            <w:tcW w:w="5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actuarial losses</w:t>
            </w:r>
          </w:p>
        </w:tc>
        <w:tc>
          <w:tcPr>
            <w:tcW w:w="39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249</w:t>
            </w:r>
          </w:p>
        </w:tc>
        <w:tc>
          <w:tcPr>
            <w:tcW w:w="8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80" w:type="dxa"/>
            <w:vAlign w:val="bottom"/>
            <w:tcBorders>
              <w:top w:val="single" w:sz="8" w:color="CCEEFF"/>
            </w:tcBorders>
            <w:shd w:val="clear" w:color="auto" w:fill="CCEEFF"/>
          </w:tcPr>
          <w:p>
            <w:pPr>
              <w:spacing w:after="0"/>
              <w:rPr>
                <w:sz w:val="12"/>
                <w:szCs w:val="12"/>
                <w:color w:val="auto"/>
              </w:rPr>
            </w:pPr>
          </w:p>
        </w:tc>
      </w:tr>
      <w:tr>
        <w:trPr>
          <w:trHeight w:val="174"/>
        </w:trPr>
        <w:tc>
          <w:tcPr>
            <w:tcW w:w="5300" w:type="dxa"/>
            <w:vAlign w:val="bottom"/>
          </w:tcPr>
          <w:p>
            <w:pPr>
              <w:spacing w:after="0"/>
              <w:rPr>
                <w:sz w:val="20"/>
                <w:szCs w:val="20"/>
                <w:color w:val="auto"/>
              </w:rPr>
            </w:pPr>
            <w:r>
              <w:rPr>
                <w:rFonts w:ascii="Arial" w:cs="Arial" w:eastAsia="Arial" w:hAnsi="Arial"/>
                <w:sz w:val="14"/>
                <w:szCs w:val="14"/>
                <w:color w:val="auto"/>
              </w:rPr>
              <w:t>Prior service cost (credit)</w:t>
            </w:r>
          </w:p>
        </w:tc>
        <w:tc>
          <w:tcPr>
            <w:tcW w:w="40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133</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r>
    </w:tbl>
    <w:p>
      <w:pPr>
        <w:spacing w:after="0" w:line="4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addition to providing defined pension benefits and a postretirement medical plan, Schlumberger and its subsidiaries have other deferred benefit programs, primarily profit sharing and defined contribution pension plans. Expenses for these programs were $620 million, $582 million and $403 million in 2012, 2011 and 2010, respectively.</w:t>
      </w:r>
    </w:p>
    <w:p>
      <w:pPr>
        <w:spacing w:after="0" w:line="1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u w:val="single" w:color="auto"/>
          <w:color w:val="auto"/>
        </w:rPr>
        <w:t>Supplementary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paid for interest and income taxes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9"/>
          </w:tcPr>
          <w:p>
            <w:pPr>
              <w:ind w:left="6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5360" w:type="dxa"/>
            <w:vAlign w:val="bottom"/>
          </w:tcPr>
          <w:p>
            <w:pPr>
              <w:spacing w:after="0"/>
              <w:rPr>
                <w:sz w:val="24"/>
                <w:szCs w:val="24"/>
                <w:color w:val="auto"/>
              </w:rPr>
            </w:pPr>
          </w:p>
        </w:tc>
        <w:tc>
          <w:tcPr>
            <w:tcW w:w="4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24"/>
                <w:szCs w:val="24"/>
                <w:color w:val="auto"/>
              </w:rPr>
            </w:pPr>
          </w:p>
        </w:tc>
        <w:tc>
          <w:tcPr>
            <w:tcW w:w="600" w:type="dxa"/>
            <w:vAlign w:val="bottom"/>
            <w:gridSpan w:val="4"/>
          </w:tcPr>
          <w:p>
            <w:pPr>
              <w:jc w:val="center"/>
              <w:ind w:left="152"/>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24"/>
                <w:szCs w:val="24"/>
                <w:color w:val="auto"/>
              </w:rPr>
            </w:pPr>
          </w:p>
        </w:tc>
      </w:tr>
      <w:tr>
        <w:trPr>
          <w:trHeight w:val="142"/>
        </w:trPr>
        <w:tc>
          <w:tcPr>
            <w:tcW w:w="5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Interest</w:t>
            </w:r>
          </w:p>
        </w:tc>
        <w:tc>
          <w:tcPr>
            <w:tcW w:w="4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313</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  294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$234</w:t>
            </w:r>
          </w:p>
        </w:tc>
        <w:tc>
          <w:tcPr>
            <w:tcW w:w="60" w:type="dxa"/>
            <w:vAlign w:val="bottom"/>
            <w:tcBorders>
              <w:top w:val="single" w:sz="8" w:color="CCEEFF"/>
            </w:tcBorders>
            <w:shd w:val="clear" w:color="auto" w:fill="CCEEFF"/>
          </w:tcPr>
          <w:p>
            <w:pPr>
              <w:spacing w:after="0"/>
              <w:rPr>
                <w:sz w:val="12"/>
                <w:szCs w:val="12"/>
                <w:color w:val="auto"/>
              </w:rPr>
            </w:pPr>
          </w:p>
        </w:tc>
      </w:tr>
      <w:tr>
        <w:trPr>
          <w:trHeight w:val="174"/>
        </w:trPr>
        <w:tc>
          <w:tcPr>
            <w:tcW w:w="5360" w:type="dxa"/>
            <w:vAlign w:val="bottom"/>
          </w:tcPr>
          <w:p>
            <w:pPr>
              <w:spacing w:after="0"/>
              <w:rPr>
                <w:sz w:val="20"/>
                <w:szCs w:val="20"/>
                <w:color w:val="auto"/>
              </w:rPr>
            </w:pPr>
            <w:r>
              <w:rPr>
                <w:rFonts w:ascii="Arial" w:cs="Arial" w:eastAsia="Arial" w:hAnsi="Arial"/>
                <w:sz w:val="14"/>
                <w:szCs w:val="14"/>
                <w:color w:val="auto"/>
              </w:rPr>
              <w:t>Income taxes</w:t>
            </w:r>
          </w:p>
        </w:tc>
        <w:tc>
          <w:tcPr>
            <w:tcW w:w="4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1,736</w:t>
            </w:r>
          </w:p>
        </w:tc>
        <w:tc>
          <w:tcPr>
            <w:tcW w:w="680" w:type="dxa"/>
            <w:vAlign w:val="bottom"/>
            <w:gridSpan w:val="5"/>
          </w:tcPr>
          <w:p>
            <w:pPr>
              <w:jc w:val="center"/>
              <w:ind w:left="72"/>
              <w:spacing w:after="0"/>
              <w:rPr>
                <w:sz w:val="20"/>
                <w:szCs w:val="20"/>
                <w:color w:val="auto"/>
              </w:rPr>
            </w:pPr>
            <w:r>
              <w:rPr>
                <w:rFonts w:ascii="Arial" w:cs="Arial" w:eastAsia="Arial" w:hAnsi="Arial"/>
                <w:sz w:val="14"/>
                <w:szCs w:val="14"/>
                <w:color w:val="auto"/>
                <w:w w:val="88"/>
              </w:rPr>
              <w:t>$1,836</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$571</w:t>
            </w:r>
          </w:p>
        </w:tc>
        <w:tc>
          <w:tcPr>
            <w:tcW w:w="60" w:type="dxa"/>
            <w:vAlign w:val="bottom"/>
          </w:tcPr>
          <w:p>
            <w:pPr>
              <w:spacing w:after="0"/>
              <w:rPr>
                <w:sz w:val="15"/>
                <w:szCs w:val="15"/>
                <w:color w:val="auto"/>
              </w:rPr>
            </w:pPr>
          </w:p>
        </w:tc>
      </w:tr>
      <w:tr>
        <w:trPr>
          <w:trHeight w:val="269"/>
        </w:trPr>
        <w:tc>
          <w:tcPr>
            <w:tcW w:w="5360" w:type="dxa"/>
            <w:vAlign w:val="bottom"/>
          </w:tcPr>
          <w:p>
            <w:pPr>
              <w:ind w:left="240"/>
              <w:spacing w:after="0"/>
              <w:rPr>
                <w:sz w:val="20"/>
                <w:szCs w:val="20"/>
                <w:color w:val="auto"/>
              </w:rPr>
            </w:pPr>
            <w:r>
              <w:rPr>
                <w:rFonts w:ascii="Arial" w:cs="Arial" w:eastAsia="Arial" w:hAnsi="Arial"/>
                <w:sz w:val="18"/>
                <w:szCs w:val="18"/>
                <w:i w:val="1"/>
                <w:iCs w:val="1"/>
                <w:color w:val="auto"/>
                <w:w w:val="94"/>
              </w:rPr>
              <w:t xml:space="preserve">Accounts payable and accrued liabilities </w:t>
            </w:r>
            <w:r>
              <w:rPr>
                <w:rFonts w:ascii="Arial" w:cs="Arial" w:eastAsia="Arial" w:hAnsi="Arial"/>
                <w:sz w:val="18"/>
                <w:szCs w:val="18"/>
                <w:color w:val="auto"/>
                <w:w w:val="94"/>
              </w:rPr>
              <w:t>are summarized as follows:</w:t>
            </w:r>
          </w:p>
        </w:tc>
        <w:tc>
          <w:tcPr>
            <w:tcW w:w="4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66"/>
        </w:trPr>
        <w:tc>
          <w:tcPr>
            <w:tcW w:w="53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9"/>
          </w:tcPr>
          <w:p>
            <w:pPr>
              <w:ind w:left="60"/>
              <w:spacing w:after="0"/>
              <w:rPr>
                <w:sz w:val="20"/>
                <w:szCs w:val="20"/>
                <w:color w:val="auto"/>
              </w:rPr>
            </w:pPr>
            <w:r>
              <w:rPr>
                <w:rFonts w:ascii="Arial" w:cs="Arial" w:eastAsia="Arial" w:hAnsi="Arial"/>
                <w:sz w:val="14"/>
                <w:szCs w:val="14"/>
                <w:b w:val="1"/>
                <w:bCs w:val="1"/>
                <w:color w:val="auto"/>
                <w:w w:val="90"/>
              </w:rPr>
              <w:t>(Stated in millions)</w:t>
            </w:r>
          </w:p>
        </w:tc>
      </w:tr>
      <w:tr>
        <w:trPr>
          <w:trHeight w:val="298"/>
        </w:trPr>
        <w:tc>
          <w:tcPr>
            <w:tcW w:w="53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2011</w:t>
            </w:r>
          </w:p>
        </w:tc>
      </w:tr>
      <w:tr>
        <w:trPr>
          <w:trHeight w:val="142"/>
        </w:trPr>
        <w:tc>
          <w:tcPr>
            <w:tcW w:w="5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Payroll, vacation and employee benefits</w:t>
            </w:r>
          </w:p>
        </w:tc>
        <w:tc>
          <w:tcPr>
            <w:tcW w:w="4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$1,825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$1,597</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Trade</w:t>
            </w:r>
          </w:p>
        </w:tc>
        <w:tc>
          <w:tcPr>
            <w:tcW w:w="4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3,550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3,389</w:t>
            </w:r>
          </w:p>
        </w:tc>
        <w:tc>
          <w:tcPr>
            <w:tcW w:w="60" w:type="dxa"/>
            <w:vAlign w:val="bottom"/>
          </w:tcPr>
          <w:p>
            <w:pPr>
              <w:spacing w:after="0"/>
              <w:rPr>
                <w:sz w:val="12"/>
                <w:szCs w:val="12"/>
                <w:color w:val="auto"/>
              </w:rPr>
            </w:pPr>
          </w:p>
        </w:tc>
      </w:tr>
      <w:tr>
        <w:trPr>
          <w:trHeight w:val="149"/>
        </w:trPr>
        <w:tc>
          <w:tcPr>
            <w:tcW w:w="53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4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2,593</w:t>
            </w:r>
          </w:p>
        </w:tc>
        <w:tc>
          <w:tcPr>
            <w:tcW w:w="60" w:type="dxa"/>
            <w:vAlign w:val="bottom"/>
            <w:shd w:val="clear" w:color="auto" w:fill="CCEEFF"/>
          </w:tcPr>
          <w:p>
            <w:pPr>
              <w:spacing w:after="0"/>
              <w:rPr>
                <w:sz w:val="12"/>
                <w:szCs w:val="12"/>
                <w:color w:val="auto"/>
              </w:rPr>
            </w:pPr>
          </w:p>
        </w:tc>
      </w:tr>
      <w:tr>
        <w:trPr>
          <w:trHeight w:val="156"/>
        </w:trPr>
        <w:tc>
          <w:tcPr>
            <w:tcW w:w="5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8,453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7,579</w:t>
            </w:r>
          </w:p>
        </w:tc>
        <w:tc>
          <w:tcPr>
            <w:tcW w:w="60" w:type="dxa"/>
            <w:vAlign w:val="bottom"/>
          </w:tcPr>
          <w:p>
            <w:pPr>
              <w:spacing w:after="0"/>
              <w:rPr>
                <w:sz w:val="13"/>
                <w:szCs w:val="13"/>
                <w:color w:val="auto"/>
              </w:rPr>
            </w:pPr>
          </w:p>
        </w:tc>
      </w:tr>
      <w:tr>
        <w:trPr>
          <w:trHeight w:val="466"/>
        </w:trPr>
        <w:tc>
          <w:tcPr>
            <w:tcW w:w="5360" w:type="dxa"/>
            <w:vAlign w:val="bottom"/>
          </w:tcPr>
          <w:p>
            <w:pPr>
              <w:spacing w:after="0"/>
              <w:rPr>
                <w:sz w:val="24"/>
                <w:szCs w:val="24"/>
                <w:color w:val="auto"/>
              </w:rPr>
            </w:pPr>
          </w:p>
        </w:tc>
        <w:tc>
          <w:tcPr>
            <w:tcW w:w="4400" w:type="dxa"/>
            <w:vAlign w:val="bottom"/>
          </w:tcPr>
          <w:p>
            <w:pPr>
              <w:jc w:val="right"/>
              <w:ind w:right="3912"/>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3" w:name="page64"/>
    <w:bookmarkEnd w:id="6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and other income </w:t>
      </w:r>
      <w:r>
        <w:rPr>
          <w:rFonts w:ascii="Arial" w:cs="Arial" w:eastAsia="Arial" w:hAnsi="Arial"/>
          <w:sz w:val="18"/>
          <w:szCs w:val="18"/>
          <w:color w:val="auto"/>
        </w:rPr>
        <w:t>includes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7"/>
              </w:rPr>
              <w:t>(Stated in millions)</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Interest income</w:t>
            </w:r>
          </w:p>
        </w:tc>
        <w:tc>
          <w:tcPr>
            <w:tcW w:w="3140" w:type="dxa"/>
            <w:vAlign w:val="bottom"/>
            <w:tcBorders>
              <w:top w:val="single" w:sz="8" w:color="CCEEFF"/>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$ 30</w:t>
            </w:r>
          </w:p>
        </w:tc>
        <w:tc>
          <w:tcPr>
            <w:tcW w:w="16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$ 40</w:t>
            </w:r>
          </w:p>
        </w:tc>
        <w:tc>
          <w:tcPr>
            <w:tcW w:w="220" w:type="dxa"/>
            <w:vAlign w:val="bottom"/>
            <w:tcBorders>
              <w:top w:val="single" w:sz="8" w:color="CCEEFF"/>
              <w:left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$ 50</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 SWACO</w:t>
            </w:r>
          </w:p>
        </w:tc>
        <w:tc>
          <w:tcPr>
            <w:tcW w:w="314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200"/>
              <w:spacing w:after="0" w:line="149" w:lineRule="exact"/>
              <w:rPr>
                <w:sz w:val="20"/>
                <w:szCs w:val="20"/>
                <w:color w:val="auto"/>
              </w:rPr>
            </w:pPr>
            <w:r>
              <w:rPr>
                <w:rFonts w:ascii="Arial" w:cs="Arial" w:eastAsia="Arial" w:hAnsi="Arial"/>
                <w:sz w:val="14"/>
                <w:szCs w:val="14"/>
                <w:color w:val="auto"/>
              </w:rPr>
              <w:t>Others</w:t>
            </w:r>
          </w:p>
        </w:tc>
        <w:tc>
          <w:tcPr>
            <w:tcW w:w="35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142</w:t>
            </w: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shd w:val="clear" w:color="auto" w:fill="000000"/>
          </w:tcPr>
          <w:p>
            <w:pPr>
              <w:spacing w:after="0"/>
              <w:rPr>
                <w:sz w:val="2"/>
                <w:szCs w:val="2"/>
                <w:color w:val="auto"/>
              </w:rPr>
            </w:pPr>
          </w:p>
        </w:tc>
        <w:tc>
          <w:tcPr>
            <w:tcW w:w="31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rPr>
                <w:sz w:val="12"/>
                <w:szCs w:val="12"/>
                <w:color w:val="auto"/>
              </w:rPr>
            </w:pPr>
          </w:p>
        </w:tc>
        <w:tc>
          <w:tcPr>
            <w:tcW w:w="3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172</w:t>
            </w:r>
          </w:p>
        </w:tc>
        <w:tc>
          <w:tcPr>
            <w:tcW w:w="7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215</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6580" w:type="dxa"/>
            <w:vAlign w:val="bottom"/>
          </w:tcPr>
          <w:p>
            <w:pPr>
              <w:ind w:left="22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tc>
        <w:tc>
          <w:tcPr>
            <w:tcW w:w="3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5"/>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beginning of year</w:t>
            </w:r>
          </w:p>
        </w:tc>
        <w:tc>
          <w:tcPr>
            <w:tcW w:w="3140" w:type="dxa"/>
            <w:vAlign w:val="bottom"/>
            <w:tcBorders>
              <w:top w:val="single" w:sz="8" w:color="CCEEFF"/>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74"/>
              </w:rPr>
              <w:t>$177</w:t>
            </w:r>
          </w:p>
        </w:tc>
        <w:tc>
          <w:tcPr>
            <w:tcW w:w="16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$185</w:t>
            </w:r>
          </w:p>
        </w:tc>
        <w:tc>
          <w:tcPr>
            <w:tcW w:w="220" w:type="dxa"/>
            <w:vAlign w:val="bottom"/>
            <w:tcBorders>
              <w:top w:val="single" w:sz="8" w:color="CCEEFF"/>
              <w:left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$160</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3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2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written off</w:t>
            </w:r>
          </w:p>
        </w:tc>
        <w:tc>
          <w:tcPr>
            <w:tcW w:w="3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(10)</w:t>
            </w: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Divestiture of business</w:t>
            </w:r>
          </w:p>
        </w:tc>
        <w:tc>
          <w:tcPr>
            <w:tcW w:w="35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shd w:val="clear" w:color="auto" w:fill="000000"/>
          </w:tcPr>
          <w:p>
            <w:pPr>
              <w:spacing w:after="0"/>
              <w:rPr>
                <w:sz w:val="2"/>
                <w:szCs w:val="2"/>
                <w:color w:val="auto"/>
              </w:rPr>
            </w:pPr>
          </w:p>
        </w:tc>
        <w:tc>
          <w:tcPr>
            <w:tcW w:w="31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3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202</w:t>
            </w:r>
          </w:p>
        </w:tc>
        <w:tc>
          <w:tcPr>
            <w:tcW w:w="160" w:type="dxa"/>
            <w:vAlign w:val="bottom"/>
            <w:tcBorders>
              <w:lef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177</w:t>
            </w:r>
          </w:p>
        </w:tc>
        <w:tc>
          <w:tcPr>
            <w:tcW w:w="22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185</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ind w:right="320" w:firstLine="228"/>
        <w:spacing w:after="0" w:line="254" w:lineRule="auto"/>
        <w:rPr>
          <w:sz w:val="20"/>
          <w:szCs w:val="20"/>
          <w:color w:val="auto"/>
        </w:rPr>
      </w:pPr>
      <w:r>
        <w:rPr>
          <w:rFonts w:ascii="Arial" w:cs="Arial" w:eastAsia="Arial" w:hAnsi="Arial"/>
          <w:sz w:val="18"/>
          <w:szCs w:val="18"/>
          <w:color w:val="auto"/>
        </w:rPr>
        <w:t>During the second quarter of 2012, Schlumberger sold its Wilson distribution business to National Oilwell Varco Inc. (“NOV”) for $906 million in cash. A pretax gain of $137 million ($16 million after-tax) was recognized in connection with this transaction.</w:t>
      </w:r>
    </w:p>
    <w:p>
      <w:pPr>
        <w:ind w:right="200" w:firstLine="228"/>
        <w:spacing w:after="0" w:line="250" w:lineRule="auto"/>
        <w:rPr>
          <w:sz w:val="20"/>
          <w:szCs w:val="20"/>
          <w:color w:val="auto"/>
        </w:rPr>
      </w:pPr>
      <w:r>
        <w:rPr>
          <w:rFonts w:ascii="Arial" w:cs="Arial" w:eastAsia="Arial" w:hAnsi="Arial"/>
          <w:sz w:val="18"/>
          <w:szCs w:val="18"/>
          <w:color w:val="auto"/>
        </w:rPr>
        <w:t>During the third quarter of 2012, Schlumberger completed the sale of its 56% interest in CE Franklin Ltd. to NOV for $122 million in cash. A pretax gain of $30 million ($12 million after-tax) was recognized in connection with this transaction.</w:t>
      </w:r>
    </w:p>
    <w:p>
      <w:pPr>
        <w:spacing w:after="0" w:line="1" w:lineRule="exact"/>
        <w:rPr>
          <w:sz w:val="20"/>
          <w:szCs w:val="20"/>
          <w:color w:val="auto"/>
        </w:rPr>
      </w:pPr>
    </w:p>
    <w:p>
      <w:pPr>
        <w:ind w:right="360" w:firstLine="228"/>
        <w:spacing w:after="0" w:line="250" w:lineRule="auto"/>
        <w:rPr>
          <w:sz w:val="20"/>
          <w:szCs w:val="20"/>
          <w:color w:val="auto"/>
        </w:rPr>
      </w:pPr>
      <w:r>
        <w:rPr>
          <w:rFonts w:ascii="Arial" w:cs="Arial" w:eastAsia="Arial" w:hAnsi="Arial"/>
          <w:sz w:val="18"/>
          <w:szCs w:val="18"/>
          <w:color w:val="auto"/>
        </w:rPr>
        <w:t xml:space="preserve">As Wilson and CE Franklin comprised Schlumberger’s previously reported Distribution segment, the results of this entire segment have been classified as discontinued operations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 xml:space="preserve">During the second quarter of 2011, Schlumberger completed the divestiture of its Global Connectivity Services business for $385 million in cash. An after-tax gain of $220 million was recognized in connection with this transaction, and is classified in </w:t>
      </w: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Income</w:t>
      </w:r>
      <w:r>
        <w:rPr>
          <w:rFonts w:ascii="Arial" w:cs="Arial" w:eastAsia="Arial" w:hAnsi="Arial"/>
          <w:sz w:val="18"/>
          <w:szCs w:val="18"/>
          <w:color w:val="auto"/>
        </w:rPr>
        <w:t>. The historical results of this business were not significant to Schlumberger’s consolidated financial statements and, as such, have not been reclassified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to discontinued operations.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4"/>
              </w:rPr>
              <w:t>(Stated in millions)</w:t>
            </w:r>
          </w:p>
        </w:tc>
      </w:tr>
      <w:tr>
        <w:trPr>
          <w:trHeight w:val="298"/>
        </w:trPr>
        <w:tc>
          <w:tcPr>
            <w:tcW w:w="4200" w:type="dxa"/>
            <w:vAlign w:val="bottom"/>
          </w:tcPr>
          <w:p>
            <w:pPr>
              <w:spacing w:after="0"/>
              <w:rPr>
                <w:sz w:val="24"/>
                <w:szCs w:val="24"/>
                <w:color w:val="auto"/>
              </w:rPr>
            </w:pPr>
          </w:p>
        </w:tc>
        <w:tc>
          <w:tcPr>
            <w:tcW w:w="5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2010</w:t>
            </w:r>
          </w:p>
        </w:tc>
      </w:tr>
      <w:tr>
        <w:trPr>
          <w:trHeight w:val="142"/>
        </w:trPr>
        <w:tc>
          <w:tcPr>
            <w:tcW w:w="42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5520" w:type="dxa"/>
            <w:vAlign w:val="bottom"/>
            <w:tcBorders>
              <w:top w:val="single" w:sz="8" w:color="CCEEFF"/>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982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2,581</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1,908</w:t>
            </w:r>
          </w:p>
        </w:tc>
        <w:tc>
          <w:tcPr>
            <w:tcW w:w="80" w:type="dxa"/>
            <w:vAlign w:val="bottom"/>
            <w:tcBorders>
              <w:top w:val="single" w:sz="8" w:color="CCEEFF"/>
            </w:tcBorders>
            <w:shd w:val="clear" w:color="auto" w:fill="CCEEFF"/>
          </w:tcPr>
          <w:p>
            <w:pPr>
              <w:spacing w:after="0"/>
              <w:rPr>
                <w:sz w:val="12"/>
                <w:szCs w:val="12"/>
                <w:color w:val="auto"/>
              </w:rPr>
            </w:pPr>
          </w:p>
        </w:tc>
      </w:tr>
      <w:tr>
        <w:trPr>
          <w:trHeight w:val="156"/>
        </w:trPr>
        <w:tc>
          <w:tcPr>
            <w:tcW w:w="4200" w:type="dxa"/>
            <w:vAlign w:val="bottom"/>
          </w:tcPr>
          <w:p>
            <w:pPr>
              <w:spacing w:after="0" w:line="155" w:lineRule="exact"/>
              <w:rPr>
                <w:sz w:val="20"/>
                <w:szCs w:val="20"/>
                <w:color w:val="auto"/>
              </w:rPr>
            </w:pPr>
            <w:r>
              <w:rPr>
                <w:rFonts w:ascii="Arial" w:cs="Arial" w:eastAsia="Arial" w:hAnsi="Arial"/>
                <w:sz w:val="14"/>
                <w:szCs w:val="14"/>
                <w:color w:val="auto"/>
              </w:rPr>
              <w:t>Income before taxes</w:t>
            </w:r>
          </w:p>
        </w:tc>
        <w:tc>
          <w:tcPr>
            <w:tcW w:w="5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43</w:t>
            </w:r>
          </w:p>
        </w:tc>
        <w:tc>
          <w:tcPr>
            <w:tcW w:w="16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99</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w:t>
            </w: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expense</w:t>
            </w:r>
          </w:p>
        </w:tc>
        <w:tc>
          <w:tcPr>
            <w:tcW w:w="5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5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r>
      <w:tr>
        <w:trPr>
          <w:trHeight w:val="149"/>
        </w:trPr>
        <w:tc>
          <w:tcPr>
            <w:tcW w:w="4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Gain on divestitures, net of tax</w:t>
            </w:r>
          </w:p>
        </w:tc>
        <w:tc>
          <w:tcPr>
            <w:tcW w:w="55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156"/>
        </w:trPr>
        <w:tc>
          <w:tcPr>
            <w:tcW w:w="4200" w:type="dxa"/>
            <w:vAlign w:val="bottom"/>
          </w:tcPr>
          <w:p>
            <w:pPr>
              <w:spacing w:after="0" w:line="155" w:lineRule="exact"/>
              <w:rPr>
                <w:sz w:val="20"/>
                <w:szCs w:val="20"/>
                <w:color w:val="auto"/>
              </w:rPr>
            </w:pPr>
            <w:r>
              <w:rPr>
                <w:rFonts w:ascii="Arial" w:cs="Arial" w:eastAsia="Arial" w:hAnsi="Arial"/>
                <w:sz w:val="14"/>
                <w:szCs w:val="14"/>
                <w:color w:val="auto"/>
              </w:rPr>
              <w:t>Income from discontinued operations</w:t>
            </w:r>
          </w:p>
        </w:tc>
        <w:tc>
          <w:tcPr>
            <w:tcW w:w="5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51</w:t>
            </w:r>
          </w:p>
        </w:tc>
        <w:tc>
          <w:tcPr>
            <w:tcW w:w="16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277</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w:t>
            </w:r>
          </w:p>
        </w:tc>
      </w:tr>
      <w:tr>
        <w:trPr>
          <w:trHeight w:val="317"/>
        </w:trPr>
        <w:tc>
          <w:tcPr>
            <w:tcW w:w="4200" w:type="dxa"/>
            <w:vAlign w:val="bottom"/>
          </w:tcPr>
          <w:p>
            <w:pPr>
              <w:spacing w:after="0"/>
              <w:rPr>
                <w:sz w:val="24"/>
                <w:szCs w:val="24"/>
                <w:color w:val="auto"/>
              </w:rPr>
            </w:pPr>
          </w:p>
        </w:tc>
        <w:tc>
          <w:tcPr>
            <w:tcW w:w="5520" w:type="dxa"/>
            <w:vAlign w:val="bottom"/>
          </w:tcPr>
          <w:p>
            <w:pPr>
              <w:jc w:val="right"/>
              <w:ind w:right="3872"/>
              <w:spacing w:after="0"/>
              <w:rPr>
                <w:sz w:val="20"/>
                <w:szCs w:val="20"/>
                <w:color w:val="auto"/>
              </w:rPr>
            </w:pPr>
            <w:r>
              <w:rPr>
                <w:rFonts w:ascii="Arial" w:cs="Arial" w:eastAsia="Arial" w:hAnsi="Arial"/>
                <w:sz w:val="14"/>
                <w:szCs w:val="14"/>
                <w:color w:val="auto"/>
              </w:rPr>
              <w:t>64</w:t>
            </w: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Report on Internal Control Over Financial Reporting</w:t>
      </w:r>
    </w:p>
    <w:p>
      <w:pPr>
        <w:spacing w:after="0" w:line="96" w:lineRule="exact"/>
        <w:rPr>
          <w:sz w:val="20"/>
          <w:szCs w:val="20"/>
          <w:color w:val="auto"/>
        </w:rPr>
      </w:pPr>
    </w:p>
    <w:p>
      <w:pPr>
        <w:jc w:val="both"/>
        <w:ind w:right="100" w:firstLine="228"/>
        <w:spacing w:after="0" w:line="252" w:lineRule="auto"/>
        <w:rPr>
          <w:sz w:val="20"/>
          <w:szCs w:val="20"/>
          <w:color w:val="auto"/>
        </w:rPr>
      </w:pPr>
      <w:r>
        <w:rPr>
          <w:rFonts w:ascii="Arial" w:cs="Arial" w:eastAsia="Arial" w:hAnsi="Arial"/>
          <w:sz w:val="18"/>
          <w:szCs w:val="18"/>
          <w:color w:val="auto"/>
        </w:rPr>
        <w:t>Schlumberger management is responsible for establishing and maintaining adequate internal control over financial reporting as defined in Rule 13a – 15(f) of the Securities Exchange Act of 1934, as amended.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Schlumberger management assessed the effectiveness of its internal control over financial reporting as of December 31, 2012. In making this assessment, it used the criteria set forth by the Committee of Sponsoring Organizations of the Treadway Commission (COSO) in Internal Control – Integrated Framework. Based on this assessment Schlumberger’s management has concluded that, as of December 31, 2012, its internal control over financial reporting is effective based on those criteria.</w:t>
      </w:r>
    </w:p>
    <w:p>
      <w:pPr>
        <w:spacing w:after="0" w:line="2" w:lineRule="exact"/>
        <w:rPr>
          <w:sz w:val="20"/>
          <w:szCs w:val="20"/>
          <w:color w:val="auto"/>
        </w:rPr>
      </w:pPr>
    </w:p>
    <w:p>
      <w:pPr>
        <w:ind w:right="120" w:firstLine="228"/>
        <w:spacing w:after="0" w:line="261" w:lineRule="auto"/>
        <w:rPr>
          <w:sz w:val="20"/>
          <w:szCs w:val="20"/>
          <w:color w:val="auto"/>
        </w:rPr>
      </w:pPr>
      <w:r>
        <w:rPr>
          <w:rFonts w:ascii="Arial" w:cs="Arial" w:eastAsia="Arial" w:hAnsi="Arial"/>
          <w:sz w:val="18"/>
          <w:szCs w:val="18"/>
          <w:color w:val="auto"/>
        </w:rPr>
        <w:t>The effectiveness of Schlumberger’s internal control over financial reporting as of December 31, 2012, has been audited by PricewaterhouseCoopers LLP, an independent registered public accounting firm, as stated in their report which appears herein.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00"/>
          </w:cols>
          <w:pgMar w:left="240" w:top="274" w:right="2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84" w:lineRule="exact"/>
        <w:rPr>
          <w:sz w:val="20"/>
          <w:szCs w:val="20"/>
          <w:color w:val="auto"/>
        </w:rPr>
      </w:pPr>
    </w:p>
    <w:p>
      <w:pPr>
        <w:ind w:right="20" w:firstLine="228"/>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sheets and the related consolidated statements of income, of comprehensive income, of stockholders’ equity and of cash flows present fairly, in all material respects, the financial position of Schlumberger Limited and its subsidiaries at December 31, 2012 and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6"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5"/>
          <w:szCs w:val="15"/>
          <w:u w:val="single" w:color="auto"/>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2013</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00"/>
          </w:cols>
          <w:pgMar w:left="240" w:top="274"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Results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Schlumberger’s results by quarter for the years ended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10"/>
          </w:tcPr>
          <w:p>
            <w:pPr>
              <w:jc w:val="right"/>
              <w:ind w:right="60"/>
              <w:spacing w:after="0"/>
              <w:rPr>
                <w:sz w:val="20"/>
                <w:szCs w:val="20"/>
                <w:color w:val="auto"/>
              </w:rPr>
            </w:pPr>
            <w:r>
              <w:rPr>
                <w:rFonts w:ascii="Arial" w:cs="Arial" w:eastAsia="Arial" w:hAnsi="Arial"/>
                <w:sz w:val="14"/>
                <w:szCs w:val="14"/>
                <w:b w:val="1"/>
                <w:bCs w:val="1"/>
                <w:color w:val="auto"/>
                <w:w w:val="92"/>
              </w:rPr>
              <w:t>(Stated in millions except per share amounts)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Earnings per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3"/>
              <w:spacing w:after="0" w:line="135" w:lineRule="exact"/>
              <w:rPr>
                <w:sz w:val="20"/>
                <w:szCs w:val="20"/>
                <w:color w:val="auto"/>
              </w:rPr>
            </w:pPr>
            <w:r>
              <w:rPr>
                <w:rFonts w:ascii="Arial" w:cs="Arial" w:eastAsia="Arial" w:hAnsi="Arial"/>
                <w:sz w:val="14"/>
                <w:szCs w:val="14"/>
                <w:b w:val="1"/>
                <w:bCs w:val="1"/>
                <w:color w:val="auto"/>
                <w:w w:val="87"/>
              </w:rPr>
              <w:t>Net Income</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share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7"/>
              </w:rPr>
              <w:t>attributable to</w:t>
            </w:r>
          </w:p>
        </w:tc>
        <w:tc>
          <w:tcPr>
            <w:tcW w:w="480" w:type="dxa"/>
            <w:vAlign w:val="bottom"/>
          </w:tcPr>
          <w:p>
            <w:pPr>
              <w:spacing w:after="0"/>
              <w:rPr>
                <w:sz w:val="15"/>
                <w:szCs w:val="15"/>
                <w:color w:val="auto"/>
              </w:rPr>
            </w:pPr>
          </w:p>
        </w:tc>
        <w:tc>
          <w:tcPr>
            <w:tcW w:w="1220" w:type="dxa"/>
            <w:vAlign w:val="bottom"/>
            <w:tcBorders>
              <w:bottom w:val="single" w:sz="8" w:color="auto"/>
            </w:tcBorders>
            <w:gridSpan w:val="5"/>
          </w:tcPr>
          <w:p>
            <w:pPr>
              <w:jc w:val="center"/>
              <w:spacing w:after="0" w:line="176" w:lineRule="exact"/>
              <w:rPr>
                <w:sz w:val="20"/>
                <w:szCs w:val="20"/>
                <w:color w:val="auto"/>
              </w:rPr>
            </w:pPr>
            <w:r>
              <w:rPr>
                <w:rFonts w:ascii="Arial" w:cs="Arial" w:eastAsia="Arial" w:hAnsi="Arial"/>
                <w:sz w:val="13"/>
                <w:szCs w:val="13"/>
                <w:b w:val="1"/>
                <w:bCs w:val="1"/>
                <w:color w:val="auto"/>
                <w:w w:val="91"/>
              </w:rPr>
              <w:t xml:space="preserve">Schlumberger </w:t>
            </w:r>
            <w:r>
              <w:rPr>
                <w:rFonts w:ascii="Arial" w:cs="Arial" w:eastAsia="Arial" w:hAnsi="Arial"/>
                <w:sz w:val="20"/>
                <w:szCs w:val="20"/>
                <w:b w:val="1"/>
                <w:bCs w:val="1"/>
                <w:color w:val="auto"/>
                <w:w w:val="91"/>
                <w:vertAlign w:val="superscript"/>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60" w:type="dxa"/>
            <w:vAlign w:val="bottom"/>
            <w:gridSpan w:val="3"/>
            <w:vMerge w:val="restart"/>
          </w:tcPr>
          <w:p>
            <w:pPr>
              <w:spacing w:after="0" w:line="250" w:lineRule="exact"/>
              <w:rPr>
                <w:sz w:val="20"/>
                <w:szCs w:val="20"/>
                <w:color w:val="auto"/>
              </w:rPr>
            </w:pPr>
            <w:r>
              <w:rPr>
                <w:rFonts w:ascii="Arial" w:cs="Arial" w:eastAsia="Arial" w:hAnsi="Arial"/>
                <w:sz w:val="14"/>
                <w:szCs w:val="14"/>
                <w:b w:val="1"/>
                <w:bCs w:val="1"/>
                <w:color w:val="auto"/>
              </w:rPr>
              <w:t xml:space="preserve">Revenue </w:t>
            </w:r>
            <w:r>
              <w:rPr>
                <w:rFonts w:ascii="Arial" w:cs="Arial" w:eastAsia="Arial" w:hAnsi="Arial"/>
                <w:sz w:val="22"/>
                <w:szCs w:val="22"/>
                <w:b w:val="1"/>
                <w:bCs w:val="1"/>
                <w:color w:val="auto"/>
                <w:vertAlign w:val="superscript"/>
              </w:rPr>
              <w:t>2</w:t>
            </w:r>
          </w:p>
        </w:tc>
        <w:tc>
          <w:tcPr>
            <w:tcW w:w="840" w:type="dxa"/>
            <w:vAlign w:val="bottom"/>
            <w:gridSpan w:val="3"/>
            <w:vMerge w:val="restart"/>
          </w:tcPr>
          <w:p>
            <w:pPr>
              <w:spacing w:after="0" w:line="250" w:lineRule="exact"/>
              <w:rPr>
                <w:sz w:val="20"/>
                <w:szCs w:val="20"/>
                <w:color w:val="auto"/>
              </w:rPr>
            </w:pPr>
            <w:r>
              <w:rPr>
                <w:rFonts w:ascii="Arial" w:cs="Arial" w:eastAsia="Arial" w:hAnsi="Arial"/>
                <w:sz w:val="14"/>
                <w:szCs w:val="14"/>
                <w:b w:val="1"/>
                <w:bCs w:val="1"/>
                <w:color w:val="auto"/>
              </w:rPr>
              <w:t xml:space="preserve">Margin </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2"/>
                <w:szCs w:val="22"/>
                <w:b w:val="1"/>
                <w:bCs w:val="1"/>
                <w:color w:val="auto"/>
                <w:vertAlign w:val="superscript"/>
              </w:rPr>
              <w:t>2</w:t>
            </w:r>
          </w:p>
        </w:tc>
        <w:tc>
          <w:tcPr>
            <w:tcW w:w="280" w:type="dxa"/>
            <w:vAlign w:val="bottom"/>
          </w:tcPr>
          <w:p>
            <w:pPr>
              <w:spacing w:after="0"/>
              <w:rPr>
                <w:sz w:val="8"/>
                <w:szCs w:val="8"/>
                <w:color w:val="auto"/>
              </w:rPr>
            </w:pPr>
          </w:p>
        </w:tc>
        <w:tc>
          <w:tcPr>
            <w:tcW w:w="8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Schlumberger</w:t>
            </w:r>
          </w:p>
        </w:tc>
        <w:tc>
          <w:tcPr>
            <w:tcW w:w="480" w:type="dxa"/>
            <w:vAlign w:val="bottom"/>
          </w:tcPr>
          <w:p>
            <w:pPr>
              <w:spacing w:after="0"/>
              <w:rPr>
                <w:sz w:val="8"/>
                <w:szCs w:val="8"/>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74"/>
              </w:rPr>
              <w:t>Basic</w:t>
            </w:r>
          </w:p>
        </w:tc>
        <w:tc>
          <w:tcPr>
            <w:tcW w:w="440" w:type="dxa"/>
            <w:vAlign w:val="bottom"/>
          </w:tcPr>
          <w:p>
            <w:pPr>
              <w:spacing w:after="0"/>
              <w:rPr>
                <w:sz w:val="8"/>
                <w:szCs w:val="8"/>
                <w:color w:val="auto"/>
              </w:rPr>
            </w:pPr>
          </w:p>
        </w:tc>
        <w:tc>
          <w:tcPr>
            <w:tcW w:w="5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8"/>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333"/>
              <w:spacing w:after="0"/>
              <w:rPr>
                <w:sz w:val="20"/>
                <w:szCs w:val="20"/>
                <w:color w:val="auto"/>
              </w:rPr>
            </w:pPr>
            <w:r>
              <w:rPr>
                <w:rFonts w:ascii="Arial" w:cs="Arial" w:eastAsia="Arial" w:hAnsi="Arial"/>
                <w:sz w:val="11"/>
                <w:szCs w:val="11"/>
                <w:b w:val="1"/>
                <w:bCs w:val="1"/>
                <w:color w:val="auto"/>
              </w:rPr>
              <w:t>2</w:t>
            </w: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Quarters-2012</w:t>
            </w: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First </w:t>
            </w:r>
            <w:r>
              <w:rPr>
                <w:rFonts w:ascii="Arial" w:cs="Arial" w:eastAsia="Arial" w:hAnsi="Arial"/>
                <w:sz w:val="17"/>
                <w:szCs w:val="17"/>
                <w:color w:val="auto"/>
                <w:vertAlign w:val="superscript"/>
              </w:rPr>
              <w:t>(3)</w:t>
            </w:r>
          </w:p>
        </w:tc>
        <w:tc>
          <w:tcPr>
            <w:tcW w:w="14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9,918</w:t>
            </w:r>
          </w:p>
        </w:tc>
        <w:tc>
          <w:tcPr>
            <w:tcW w:w="4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2,107</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1,301</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$0.98</w:t>
            </w:r>
          </w:p>
        </w:tc>
        <w:tc>
          <w:tcPr>
            <w:tcW w:w="5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Second </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10,448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2,286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1,403</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1.05</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Third </w:t>
            </w:r>
            <w:r>
              <w:rPr>
                <w:rFonts w:ascii="Arial" w:cs="Arial" w:eastAsia="Arial" w:hAnsi="Arial"/>
                <w:sz w:val="17"/>
                <w:szCs w:val="17"/>
                <w:color w:val="auto"/>
                <w:vertAlign w:val="superscript"/>
              </w:rPr>
              <w:t>(5)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10,608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1,424</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1.07</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Fourth </w:t>
            </w:r>
            <w:r>
              <w:rPr>
                <w:rFonts w:ascii="Arial" w:cs="Arial" w:eastAsia="Arial" w:hAnsi="Arial"/>
                <w:sz w:val="17"/>
                <w:szCs w:val="17"/>
                <w:color w:val="auto"/>
                <w:vertAlign w:val="superscript"/>
              </w:rPr>
              <w:t>(6)</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11,174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2,377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1,362</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1.03</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42,149</w:t>
            </w:r>
          </w:p>
        </w:tc>
        <w:tc>
          <w:tcPr>
            <w:tcW w:w="48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9,093</w:t>
            </w:r>
          </w:p>
        </w:tc>
        <w:tc>
          <w:tcPr>
            <w:tcW w:w="3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5,490</w:t>
            </w:r>
          </w:p>
        </w:tc>
        <w:tc>
          <w:tcPr>
            <w:tcW w:w="8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4.13</w:t>
            </w:r>
          </w:p>
        </w:tc>
        <w:tc>
          <w:tcPr>
            <w:tcW w:w="58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Quarters -2011</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First </w:t>
            </w:r>
            <w:r>
              <w:rPr>
                <w:rFonts w:ascii="Arial" w:cs="Arial" w:eastAsia="Arial" w:hAnsi="Arial"/>
                <w:sz w:val="17"/>
                <w:szCs w:val="17"/>
                <w:color w:val="auto"/>
                <w:vertAlign w:val="superscript"/>
              </w:rPr>
              <w:t>(7)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8,122</w:t>
            </w:r>
          </w:p>
        </w:tc>
        <w:tc>
          <w:tcPr>
            <w:tcW w:w="4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1,639</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$0.69</w:t>
            </w:r>
          </w:p>
        </w:tc>
        <w:tc>
          <w:tcPr>
            <w:tcW w:w="5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Second </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1,339</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0.99</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Third </w:t>
            </w:r>
            <w:r>
              <w:rPr>
                <w:rFonts w:ascii="Arial" w:cs="Arial" w:eastAsia="Arial" w:hAnsi="Arial"/>
                <w:sz w:val="17"/>
                <w:szCs w:val="17"/>
                <w:color w:val="auto"/>
                <w:vertAlign w:val="superscript"/>
              </w:rPr>
              <w:t>(9)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9,546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1,301</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0.97</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Fourth </w:t>
            </w:r>
            <w:r>
              <w:rPr>
                <w:rFonts w:ascii="Arial" w:cs="Arial" w:eastAsia="Arial" w:hAnsi="Arial"/>
                <w:sz w:val="17"/>
                <w:szCs w:val="17"/>
                <w:color w:val="auto"/>
                <w:vertAlign w:val="superscript"/>
              </w:rPr>
              <w:t>(10)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10,301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2,304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36,959</w:t>
            </w:r>
          </w:p>
        </w:tc>
        <w:tc>
          <w:tcPr>
            <w:tcW w:w="48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8,010</w:t>
            </w:r>
          </w:p>
        </w:tc>
        <w:tc>
          <w:tcPr>
            <w:tcW w:w="360" w:type="dxa"/>
            <w:vAlign w:val="bottom"/>
            <w:gridSpan w:val="2"/>
          </w:tcPr>
          <w:p>
            <w:pPr>
              <w:ind w:left="280"/>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4,997</w:t>
            </w:r>
          </w:p>
        </w:tc>
        <w:tc>
          <w:tcPr>
            <w:tcW w:w="820" w:type="dxa"/>
            <w:vAlign w:val="bottom"/>
            <w:gridSpan w:val="3"/>
          </w:tcPr>
          <w:p>
            <w:pPr>
              <w:jc w:val="right"/>
              <w:ind w:right="4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3.70</w:t>
            </w:r>
          </w:p>
        </w:tc>
        <w:tc>
          <w:tcPr>
            <w:tcW w:w="58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3.67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 xml:space="preserve">Gross margin equals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less </w:t>
      </w:r>
      <w:r>
        <w:rPr>
          <w:rFonts w:ascii="Arial" w:cs="Arial" w:eastAsia="Arial" w:hAnsi="Arial"/>
          <w:sz w:val="14"/>
          <w:szCs w:val="14"/>
          <w:i w:val="1"/>
          <w:iCs w:val="1"/>
          <w:color w:val="auto"/>
        </w:rPr>
        <w:t>Cost of revenue</w:t>
      </w:r>
      <w:r>
        <w:rPr>
          <w:rFonts w:ascii="Arial" w:cs="Arial" w:eastAsia="Arial" w:hAnsi="Arial"/>
          <w:sz w:val="14"/>
          <w:szCs w:val="14"/>
          <w:color w:val="auto"/>
        </w:rPr>
        <w:t>.</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Amounts may not add due to rounding.</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Net income in the first quarter of 2012 includes after-tax charges of $13 million.</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Net income in the second quarter of 2012 includes after-tax charges of $21 million.</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Net income in the third quarter of 2012 includes after-tax charges of $28 million.</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Net income in the fourth quarter of 2012 includes after-tax charges of $77 million.</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Net income in the first quarter of 2011 includes after-tax charges of $28 million.</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Net income in the second quarter of 2011 includes after-tax charges of $64 million.</w:t>
      </w:r>
    </w:p>
    <w:p>
      <w:pPr>
        <w:ind w:left="340" w:hanging="332"/>
        <w:spacing w:after="0" w:line="182"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1"/>
          <w:szCs w:val="11"/>
          <w:color w:val="auto"/>
        </w:rPr>
        <w:t>Net income in the third quarter of 2011 includes after-tax charges of $23 million.</w:t>
      </w:r>
    </w:p>
    <w:p>
      <w:pPr>
        <w:ind w:left="340" w:hanging="332"/>
        <w:spacing w:after="0" w:line="185"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2"/>
          <w:szCs w:val="12"/>
          <w:color w:val="auto"/>
        </w:rPr>
        <w:t>Net income in the fourth quarter of 2011 includes after-tax charges of $80 million.</w:t>
      </w:r>
    </w:p>
    <w:p>
      <w:pPr>
        <w:spacing w:after="0" w:line="34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Mark of Schlumberger</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2012 that has materially affected, or is reasonably likely to materially affect, Schlumberger’s internal control over financial reporting.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280" w:right="239" w:bottom="1440" w:gutter="0" w:footer="0" w:header="0"/>
        </w:sectPr>
      </w:pPr>
    </w:p>
    <w:bookmarkStart w:id="67" w:name="page68"/>
    <w:bookmarkEnd w:id="67"/>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5"/>
          <w:szCs w:val="15"/>
          <w:b w:val="1"/>
          <w:bCs w:val="1"/>
          <w:u w:val="single" w:color="auto"/>
          <w:color w:val="auto"/>
        </w:rPr>
        <w:t>Directors, Executive Officers and Corporate Governance of Schlumberger.</w:t>
      </w:r>
    </w:p>
    <w:p>
      <w:pPr>
        <w:spacing w:after="0" w:line="96" w:lineRule="exact"/>
        <w:rPr>
          <w:sz w:val="20"/>
          <w:szCs w:val="20"/>
          <w:color w:val="auto"/>
        </w:rPr>
      </w:pPr>
    </w:p>
    <w:p>
      <w:pPr>
        <w:ind w:right="540" w:firstLine="228"/>
        <w:spacing w:after="0" w:line="252" w:lineRule="auto"/>
        <w:rPr>
          <w:sz w:val="20"/>
          <w:szCs w:val="20"/>
          <w:color w:val="auto"/>
        </w:rPr>
      </w:pPr>
      <w:r>
        <w:rPr>
          <w:rFonts w:ascii="Arial" w:cs="Arial" w:eastAsia="Arial" w:hAnsi="Arial"/>
          <w:sz w:val="18"/>
          <w:szCs w:val="18"/>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2013 Proxy Statement is incorporated herein by reference.</w:t>
      </w:r>
    </w:p>
    <w:p>
      <w:pPr>
        <w:spacing w:after="0" w:line="1" w:lineRule="exact"/>
        <w:rPr>
          <w:sz w:val="20"/>
          <w:szCs w:val="20"/>
          <w:color w:val="auto"/>
        </w:rPr>
      </w:pPr>
    </w:p>
    <w:p>
      <w:pPr>
        <w:ind w:right="440" w:firstLine="228"/>
        <w:spacing w:after="0" w:line="295" w:lineRule="auto"/>
        <w:rPr>
          <w:sz w:val="20"/>
          <w:szCs w:val="20"/>
          <w:color w:val="auto"/>
        </w:rPr>
      </w:pPr>
      <w:r>
        <w:rPr>
          <w:rFonts w:ascii="Arial" w:cs="Arial" w:eastAsia="Arial" w:hAnsi="Arial"/>
          <w:sz w:val="16"/>
          <w:szCs w:val="16"/>
          <w:color w:val="auto"/>
        </w:rPr>
        <w:t xml:space="preserve">Schlumberger has adopted a Code of Ethics that applies to all of its directors, officers and employees, including its principal executive, financial and accounting officers, or persons performing similar functions. Schlumberger’s Code of Ethics is posted on its corporate governance website located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In addition, amendments to the Code of Ethics and any grant of a waiver from a provision of the Code of Ethics requiring disclosure under applicable SEC rules will be disclosed on Schlumberger’s corporate governance website located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1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96" w:lineRule="exact"/>
        <w:rPr>
          <w:sz w:val="20"/>
          <w:szCs w:val="20"/>
          <w:color w:val="auto"/>
        </w:rPr>
      </w:pPr>
    </w:p>
    <w:p>
      <w:pPr>
        <w:ind w:right="420" w:firstLine="228"/>
        <w:spacing w:after="0" w:line="259"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Tables and Accompanying Narrative,” “Compensation Committee Report” and “Director Compensation in Fiscal Year 2012” in Schlumberger’s 2013 Proxy Statement is incorporated herein by reference.</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5"/>
          <w:szCs w:val="15"/>
          <w:b w:val="1"/>
          <w:bCs w:val="1"/>
          <w:u w:val="single" w:color="auto"/>
          <w:color w:val="auto"/>
        </w:rPr>
        <w:t>Security Ownership of Certain Beneficial Owners and Management and Related Stockholder Matters.</w:t>
      </w:r>
    </w:p>
    <w:p>
      <w:pPr>
        <w:spacing w:after="0" w:line="96"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The information under the captions “Stock Ownership Information – Security Ownership by Certain Beneficial Owners,” “Stock Ownership Information – Security Ownership by Management” and “Equity Compensation Plan Information” in Schlumberger’s 2013 Proxy Statement is incorporated herein by reference.</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Transactions, and Director Independence.</w:t>
      </w:r>
    </w:p>
    <w:p>
      <w:pPr>
        <w:spacing w:after="0" w:line="96"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information under the captions “Corporate Governance – Board Independence” and “Corporate Governance – Policies and Procedures for Approval of Related Person Transactions” in Schlumberger’s 2013 Proxy Statement is incorporated herein by reference.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96" w:lineRule="exact"/>
        <w:rPr>
          <w:sz w:val="20"/>
          <w:szCs w:val="20"/>
          <w:color w:val="auto"/>
        </w:rPr>
      </w:pPr>
    </w:p>
    <w:p>
      <w:pPr>
        <w:ind w:right="900" w:firstLine="228"/>
        <w:spacing w:after="0" w:line="268"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2013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89"/>
              </w:rPr>
              <w:t>Item 15.</w:t>
            </w:r>
          </w:p>
        </w:tc>
        <w:tc>
          <w:tcPr>
            <w:tcW w:w="260" w:type="dxa"/>
            <w:vAlign w:val="bottom"/>
          </w:tcPr>
          <w:p>
            <w:pPr>
              <w:spacing w:after="0"/>
              <w:rPr>
                <w:sz w:val="18"/>
                <w:szCs w:val="18"/>
                <w:color w:val="auto"/>
              </w:rPr>
            </w:pPr>
          </w:p>
        </w:tc>
        <w:tc>
          <w:tcPr>
            <w:tcW w:w="752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Exhibits and Financial Statement Schedules.</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8080" w:type="dxa"/>
            <w:vAlign w:val="bottom"/>
            <w:gridSpan w:val="13"/>
          </w:tcPr>
          <w:p>
            <w:pPr>
              <w:ind w:left="140"/>
              <w:spacing w:after="0"/>
              <w:rPr>
                <w:sz w:val="20"/>
                <w:szCs w:val="20"/>
                <w:color w:val="auto"/>
              </w:rPr>
            </w:pPr>
            <w:r>
              <w:rPr>
                <w:rFonts w:ascii="Arial" w:cs="Arial" w:eastAsia="Arial" w:hAnsi="Arial"/>
                <w:sz w:val="18"/>
                <w:szCs w:val="18"/>
                <w:color w:val="auto"/>
              </w:rPr>
              <w:t>The following documents are filed as part of this Report: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20" w:type="dxa"/>
            <w:vAlign w:val="bottom"/>
          </w:tcPr>
          <w:p>
            <w:pPr>
              <w:spacing w:after="0"/>
              <w:rPr>
                <w:sz w:val="24"/>
                <w:szCs w:val="24"/>
                <w:color w:val="auto"/>
              </w:rPr>
            </w:pPr>
          </w:p>
        </w:tc>
        <w:tc>
          <w:tcPr>
            <w:tcW w:w="300" w:type="dxa"/>
            <w:vAlign w:val="bottom"/>
            <w:vMerge w:val="restart"/>
          </w:tcPr>
          <w:p>
            <w:pPr>
              <w:ind w:left="120"/>
              <w:spacing w:after="0"/>
              <w:rPr>
                <w:sz w:val="20"/>
                <w:szCs w:val="20"/>
                <w:color w:val="auto"/>
              </w:rPr>
            </w:pPr>
            <w:r>
              <w:rPr>
                <w:rFonts w:ascii="Arial" w:cs="Arial" w:eastAsia="Arial" w:hAnsi="Arial"/>
                <w:sz w:val="14"/>
                <w:szCs w:val="14"/>
                <w:color w:val="auto"/>
                <w:w w:val="93"/>
              </w:rPr>
              <w:t>(1)</w:t>
            </w:r>
          </w:p>
        </w:tc>
        <w:tc>
          <w:tcPr>
            <w:tcW w:w="7780" w:type="dxa"/>
            <w:vAlign w:val="bottom"/>
            <w:gridSpan w:val="12"/>
            <w:vMerge w:val="restart"/>
          </w:tcPr>
          <w:p>
            <w:pPr>
              <w:ind w:left="120"/>
              <w:spacing w:after="0"/>
              <w:rPr>
                <w:sz w:val="20"/>
                <w:szCs w:val="20"/>
                <w:color w:val="auto"/>
              </w:rPr>
            </w:pPr>
            <w:r>
              <w:rPr>
                <w:rFonts w:ascii="Arial" w:cs="Arial" w:eastAsia="Arial" w:hAnsi="Arial"/>
                <w:sz w:val="14"/>
                <w:szCs w:val="14"/>
                <w:color w:val="auto"/>
              </w:rPr>
              <w:t>Financial Statements</w:t>
            </w:r>
          </w:p>
        </w:tc>
        <w:tc>
          <w:tcPr>
            <w:tcW w:w="2880" w:type="dxa"/>
            <w:vAlign w:val="bottom"/>
          </w:tcPr>
          <w:p>
            <w:pPr>
              <w:ind w:left="234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7780" w:type="dxa"/>
            <w:vAlign w:val="bottom"/>
            <w:gridSpan w:val="12"/>
            <w:vMerge w:val="continue"/>
          </w:tcPr>
          <w:p>
            <w:pPr>
              <w:spacing w:after="0"/>
              <w:rPr>
                <w:sz w:val="10"/>
                <w:szCs w:val="10"/>
                <w:color w:val="auto"/>
              </w:rPr>
            </w:pP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Borders>
              <w:bottom w:val="single" w:sz="8" w:color="0000EE"/>
            </w:tcBorders>
            <w:gridSpan w:val="7"/>
          </w:tcPr>
          <w:p>
            <w:pPr>
              <w:spacing w:after="0" w:line="146" w:lineRule="exact"/>
              <w:rPr>
                <w:rFonts w:ascii="Arial" w:cs="Arial" w:eastAsia="Arial" w:hAnsi="Arial"/>
                <w:sz w:val="14"/>
                <w:szCs w:val="14"/>
                <w:color w:val="0000EE"/>
                <w:w w:val="85"/>
              </w:rPr>
            </w:pPr>
            <w:hyperlink w:anchor="page33">
              <w:r>
                <w:rPr>
                  <w:rFonts w:ascii="Arial" w:cs="Arial" w:eastAsia="Arial" w:hAnsi="Arial"/>
                  <w:sz w:val="14"/>
                  <w:szCs w:val="14"/>
                  <w:color w:val="0000EE"/>
                  <w:w w:val="85"/>
                </w:rPr>
                <w:t>ConsolidatedStatement of Income for the three years ended December 31, 2012</w:t>
              </w:r>
            </w:hyperlink>
          </w:p>
        </w:tc>
        <w:tc>
          <w:tcPr>
            <w:tcW w:w="3220" w:type="dxa"/>
            <w:vAlign w:val="bottom"/>
            <w:gridSpan w:val="4"/>
          </w:tcPr>
          <w:p>
            <w:pPr>
              <w:spacing w:after="0"/>
              <w:rPr>
                <w:sz w:val="12"/>
                <w:szCs w:val="12"/>
                <w:color w:val="auto"/>
              </w:rPr>
            </w:pPr>
          </w:p>
        </w:tc>
        <w:tc>
          <w:tcPr>
            <w:tcW w:w="2880" w:type="dxa"/>
            <w:vAlign w:val="bottom"/>
          </w:tcPr>
          <w:p>
            <w:pPr>
              <w:ind w:left="2340"/>
              <w:spacing w:after="0" w:line="146"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520" w:type="dxa"/>
            <w:vAlign w:val="bottom"/>
            <w:gridSpan w:val="11"/>
          </w:tcPr>
          <w:p>
            <w:pPr>
              <w:spacing w:after="0" w:line="129" w:lineRule="exact"/>
              <w:rPr>
                <w:rFonts w:ascii="Arial" w:cs="Arial" w:eastAsia="Arial" w:hAnsi="Arial"/>
                <w:sz w:val="14"/>
                <w:szCs w:val="14"/>
                <w:color w:val="0000EE"/>
              </w:rPr>
            </w:pPr>
            <w:hyperlink w:anchor="page34">
              <w:r>
                <w:rPr>
                  <w:rFonts w:ascii="Arial" w:cs="Arial" w:eastAsia="Arial" w:hAnsi="Arial"/>
                  <w:sz w:val="14"/>
                  <w:szCs w:val="14"/>
                  <w:color w:val="0000EE"/>
                </w:rPr>
                <w:t>ConsolidatedStatement of Comprehensive Income for the three years ended December 31, 2012</w:t>
              </w:r>
            </w:hyperlink>
          </w:p>
        </w:tc>
        <w:tc>
          <w:tcPr>
            <w:tcW w:w="2880" w:type="dxa"/>
            <w:vAlign w:val="bottom"/>
          </w:tcPr>
          <w:p>
            <w:pPr>
              <w:ind w:left="2340"/>
              <w:spacing w:after="0" w:line="12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18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ConsolidatedBalance Sheet at December 31, 2012 and 2011</w:t>
              </w:r>
            </w:hyperlink>
          </w:p>
        </w:tc>
        <w:tc>
          <w:tcPr>
            <w:tcW w:w="2340" w:type="dxa"/>
            <w:vAlign w:val="bottom"/>
          </w:tcPr>
          <w:p>
            <w:pPr>
              <w:spacing w:after="0"/>
              <w:rPr>
                <w:sz w:val="11"/>
                <w:szCs w:val="11"/>
                <w:color w:val="auto"/>
              </w:rPr>
            </w:pPr>
          </w:p>
        </w:tc>
        <w:tc>
          <w:tcPr>
            <w:tcW w:w="2880" w:type="dxa"/>
            <w:vAlign w:val="bottom"/>
          </w:tcPr>
          <w:p>
            <w:pPr>
              <w:ind w:left="2340"/>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80" w:type="dxa"/>
            <w:vAlign w:val="bottom"/>
            <w:vMerge w:val="restart"/>
          </w:tcPr>
          <w:p>
            <w:pPr>
              <w:ind w:left="23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line="20" w:lineRule="exact"/>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520" w:type="dxa"/>
            <w:vAlign w:val="bottom"/>
            <w:gridSpan w:val="11"/>
          </w:tcPr>
          <w:p>
            <w:pPr>
              <w:spacing w:after="0" w:line="129" w:lineRule="exact"/>
              <w:rPr>
                <w:rFonts w:ascii="Arial" w:cs="Arial" w:eastAsia="Arial" w:hAnsi="Arial"/>
                <w:sz w:val="14"/>
                <w:szCs w:val="14"/>
                <w:color w:val="0000EE"/>
              </w:rPr>
            </w:pPr>
            <w:hyperlink w:anchor="page36">
              <w:r>
                <w:rPr>
                  <w:rFonts w:ascii="Arial" w:cs="Arial" w:eastAsia="Arial" w:hAnsi="Arial"/>
                  <w:sz w:val="14"/>
                  <w:szCs w:val="14"/>
                  <w:color w:val="0000EE"/>
                </w:rPr>
                <w:t>ConsolidatedStatement of Cash Flows for the three years ended December 31, 2012</w:t>
              </w:r>
            </w:hyperlink>
          </w:p>
        </w:tc>
        <w:tc>
          <w:tcPr>
            <w:tcW w:w="2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20" w:type="dxa"/>
            <w:vAlign w:val="bottom"/>
            <w:tcBorders>
              <w:top w:val="single" w:sz="8" w:color="0000EE"/>
            </w:tcBorders>
            <w:gridSpan w:val="8"/>
          </w:tcPr>
          <w:p>
            <w:pPr>
              <w:spacing w:after="0" w:line="129" w:lineRule="exact"/>
              <w:rPr>
                <w:rFonts w:ascii="Arial" w:cs="Arial" w:eastAsia="Arial" w:hAnsi="Arial"/>
                <w:sz w:val="14"/>
                <w:szCs w:val="14"/>
                <w:color w:val="0000EE"/>
                <w:w w:val="86"/>
              </w:rPr>
            </w:pPr>
            <w:hyperlink w:anchor="page37">
              <w:r>
                <w:rPr>
                  <w:rFonts w:ascii="Arial" w:cs="Arial" w:eastAsia="Arial" w:hAnsi="Arial"/>
                  <w:sz w:val="14"/>
                  <w:szCs w:val="14"/>
                  <w:color w:val="0000EE"/>
                  <w:w w:val="86"/>
                </w:rPr>
                <w:t>ConsolidatedStatement of Stockholders’ Equity for the three years ended December</w:t>
              </w:r>
            </w:hyperlink>
          </w:p>
        </w:tc>
        <w:tc>
          <w:tcPr>
            <w:tcW w:w="3000" w:type="dxa"/>
            <w:vAlign w:val="bottom"/>
            <w:gridSpan w:val="3"/>
          </w:tcPr>
          <w:p>
            <w:pPr>
              <w:jc w:val="right"/>
              <w:ind w:right="2480"/>
              <w:spacing w:after="0" w:line="129" w:lineRule="exact"/>
              <w:rPr>
                <w:rFonts w:ascii="Arial" w:cs="Arial" w:eastAsia="Arial" w:hAnsi="Arial"/>
                <w:sz w:val="14"/>
                <w:szCs w:val="14"/>
                <w:color w:val="0000EE"/>
                <w:w w:val="91"/>
              </w:rPr>
            </w:pPr>
            <w:hyperlink w:anchor="page37">
              <w:r>
                <w:rPr>
                  <w:rFonts w:ascii="Arial" w:cs="Arial" w:eastAsia="Arial" w:hAnsi="Arial"/>
                  <w:sz w:val="14"/>
                  <w:szCs w:val="14"/>
                  <w:color w:val="0000EE"/>
                  <w:w w:val="91"/>
                </w:rPr>
                <w:t>31, 2012</w:t>
              </w:r>
            </w:hyperlink>
          </w:p>
        </w:tc>
        <w:tc>
          <w:tcPr>
            <w:tcW w:w="2880" w:type="dxa"/>
            <w:vAlign w:val="bottom"/>
          </w:tcPr>
          <w:p>
            <w:pPr>
              <w:ind w:left="2340"/>
              <w:spacing w:after="0" w:line="129" w:lineRule="exact"/>
              <w:rPr>
                <w:sz w:val="20"/>
                <w:szCs w:val="20"/>
                <w:color w:val="auto"/>
              </w:rPr>
            </w:pPr>
            <w:r>
              <w:rPr>
                <w:rFonts w:ascii="Arial" w:cs="Arial" w:eastAsia="Arial" w:hAnsi="Arial"/>
                <w:sz w:val="14"/>
                <w:szCs w:val="14"/>
                <w:color w:val="auto"/>
                <w:w w:val="83"/>
              </w:rPr>
              <w:t>37 and 38</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85"/>
              </w:rPr>
            </w:pPr>
            <w:hyperlink w:anchor="page39">
              <w:r>
                <w:rPr>
                  <w:rFonts w:ascii="Arial" w:cs="Arial" w:eastAsia="Arial" w:hAnsi="Arial"/>
                  <w:sz w:val="14"/>
                  <w:szCs w:val="14"/>
                  <w:color w:val="0000EE"/>
                  <w:w w:val="85"/>
                </w:rPr>
                <w:t>Notes to Consolidated Financial Statements</w:t>
              </w:r>
            </w:hyperlink>
          </w:p>
        </w:tc>
        <w:tc>
          <w:tcPr>
            <w:tcW w:w="2680" w:type="dxa"/>
            <w:vAlign w:val="bottom"/>
            <w:tcBorders>
              <w:top w:val="single" w:sz="8" w:color="0000EE"/>
            </w:tcBorders>
            <w:gridSpan w:val="6"/>
          </w:tcPr>
          <w:p>
            <w:pPr>
              <w:spacing w:after="0"/>
              <w:rPr>
                <w:sz w:val="11"/>
                <w:szCs w:val="11"/>
                <w:color w:val="auto"/>
              </w:rPr>
            </w:pPr>
          </w:p>
        </w:tc>
        <w:tc>
          <w:tcPr>
            <w:tcW w:w="2480" w:type="dxa"/>
            <w:vAlign w:val="bottom"/>
            <w:gridSpan w:val="2"/>
          </w:tcPr>
          <w:p>
            <w:pPr>
              <w:spacing w:after="0"/>
              <w:rPr>
                <w:sz w:val="11"/>
                <w:szCs w:val="11"/>
                <w:color w:val="auto"/>
              </w:rPr>
            </w:pPr>
          </w:p>
        </w:tc>
        <w:tc>
          <w:tcPr>
            <w:tcW w:w="2880" w:type="dxa"/>
            <w:vAlign w:val="bottom"/>
          </w:tcPr>
          <w:p>
            <w:pPr>
              <w:ind w:left="2340"/>
              <w:spacing w:after="0" w:line="129" w:lineRule="exact"/>
              <w:rPr>
                <w:sz w:val="20"/>
                <w:szCs w:val="20"/>
                <w:color w:val="auto"/>
              </w:rPr>
            </w:pPr>
            <w:r>
              <w:rPr>
                <w:rFonts w:ascii="Arial" w:cs="Arial" w:eastAsia="Arial" w:hAnsi="Arial"/>
                <w:sz w:val="14"/>
                <w:szCs w:val="14"/>
                <w:color w:val="auto"/>
              </w:rPr>
              <w:t>39 to 65</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520" w:type="dxa"/>
            <w:vAlign w:val="bottom"/>
            <w:gridSpan w:val="11"/>
          </w:tcPr>
          <w:p>
            <w:pPr>
              <w:spacing w:after="0" w:line="129" w:lineRule="exact"/>
              <w:rPr>
                <w:rFonts w:ascii="Arial" w:cs="Arial" w:eastAsia="Arial" w:hAnsi="Arial"/>
                <w:sz w:val="14"/>
                <w:szCs w:val="14"/>
                <w:color w:val="0000EE"/>
              </w:rPr>
            </w:pPr>
            <w:hyperlink w:anchor="page66">
              <w:r>
                <w:rPr>
                  <w:rFonts w:ascii="Arial" w:cs="Arial" w:eastAsia="Arial" w:hAnsi="Arial"/>
                  <w:sz w:val="14"/>
                  <w:szCs w:val="14"/>
                  <w:color w:val="0000EE"/>
                </w:rPr>
                <w:t>Reportof Independent Registered Public Accounting Firm</w:t>
              </w:r>
            </w:hyperlink>
          </w:p>
        </w:tc>
        <w:tc>
          <w:tcPr>
            <w:tcW w:w="2880" w:type="dxa"/>
            <w:vAlign w:val="bottom"/>
          </w:tcPr>
          <w:p>
            <w:pPr>
              <w:ind w:left="2340"/>
              <w:spacing w:after="0" w:line="12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87"/>
              </w:rPr>
            </w:pPr>
            <w:hyperlink w:anchor="page67">
              <w:r>
                <w:rPr>
                  <w:rFonts w:ascii="Arial" w:cs="Arial" w:eastAsia="Arial" w:hAnsi="Arial"/>
                  <w:sz w:val="14"/>
                  <w:szCs w:val="14"/>
                  <w:color w:val="0000EE"/>
                  <w:w w:val="87"/>
                </w:rPr>
                <w:t>QuarterlyResults (Unaudited)</w:t>
              </w:r>
            </w:hyperlink>
          </w:p>
        </w:tc>
        <w:tc>
          <w:tcPr>
            <w:tcW w:w="1520" w:type="dxa"/>
            <w:vAlign w:val="bottom"/>
            <w:tcBorders>
              <w:top w:val="single" w:sz="8" w:color="0000EE"/>
            </w:tcBorders>
            <w:gridSpan w:val="2"/>
          </w:tcPr>
          <w:p>
            <w:pPr>
              <w:spacing w:after="0"/>
              <w:rPr>
                <w:sz w:val="11"/>
                <w:szCs w:val="11"/>
                <w:color w:val="auto"/>
              </w:rPr>
            </w:pPr>
          </w:p>
        </w:tc>
        <w:tc>
          <w:tcPr>
            <w:tcW w:w="4400" w:type="dxa"/>
            <w:vAlign w:val="bottom"/>
            <w:gridSpan w:val="7"/>
          </w:tcPr>
          <w:p>
            <w:pPr>
              <w:spacing w:after="0"/>
              <w:rPr>
                <w:sz w:val="11"/>
                <w:szCs w:val="11"/>
                <w:color w:val="auto"/>
              </w:rPr>
            </w:pPr>
          </w:p>
        </w:tc>
        <w:tc>
          <w:tcPr>
            <w:tcW w:w="2880" w:type="dxa"/>
            <w:vAlign w:val="bottom"/>
          </w:tcPr>
          <w:p>
            <w:pPr>
              <w:ind w:left="2340"/>
              <w:spacing w:after="0" w:line="12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10"/>
          </w:tcPr>
          <w:p>
            <w:pPr>
              <w:jc w:val="right"/>
              <w:ind w:right="72"/>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68" w:name="page69"/>
    <w:bookmarkEnd w:id="6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of companies accounted for under the equity method and unconsolidated subsidiaries have been omitted because they do not meet the materiality tests for assets or income.</w:t>
      </w:r>
    </w:p>
    <w:p>
      <w:pPr>
        <w:spacing w:after="0" w:line="91" w:lineRule="exact"/>
        <w:rPr>
          <w:sz w:val="20"/>
          <w:szCs w:val="20"/>
          <w:color w:val="auto"/>
        </w:rPr>
      </w:pPr>
    </w:p>
    <w:p>
      <w:pPr>
        <w:ind w:left="820" w:hanging="380"/>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to Exhibits” are filed or incorporated by reference as part of this Form 10-K.</w:t>
      </w:r>
    </w:p>
    <w:p>
      <w:pPr>
        <w:spacing w:after="0" w:line="178"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0880"/>
          </w:cols>
          <w:pgMar w:left="240" w:top="361" w:right="7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9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January 31, 2013</w:t>
      </w:r>
      <w:r>
        <w:rPr>
          <w:sz w:val="20"/>
          <w:szCs w:val="20"/>
          <w:color w:val="auto"/>
        </w:rPr>
        <w:tab/>
      </w: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225" w:lineRule="exact"/>
        <w:rPr>
          <w:sz w:val="20"/>
          <w:szCs w:val="20"/>
          <w:color w:val="auto"/>
        </w:rPr>
      </w:pPr>
    </w:p>
    <w:p>
      <w:pPr>
        <w:ind w:left="5960"/>
        <w:spacing w:after="0"/>
        <w:tabs>
          <w:tab w:leader="none" w:pos="810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Accounting Officer</w:t>
      </w:r>
    </w:p>
    <w:p>
      <w:pPr>
        <w:spacing w:after="0" w:line="8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3960" w:type="dxa"/>
            <w:vAlign w:val="bottom"/>
          </w:tcPr>
          <w:p>
            <w:pPr>
              <w:ind w:left="310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 and Chief Executive Officer</w:t>
            </w:r>
          </w:p>
        </w:tc>
        <w:tc>
          <w:tcPr>
            <w:tcW w:w="0" w:type="dxa"/>
            <w:vAlign w:val="bottom"/>
          </w:tcPr>
          <w:p>
            <w:pPr>
              <w:spacing w:after="0"/>
              <w:rPr>
                <w:sz w:val="1"/>
                <w:szCs w:val="1"/>
                <w:color w:val="auto"/>
              </w:rPr>
            </w:pPr>
          </w:p>
        </w:tc>
      </w:tr>
      <w:tr>
        <w:trPr>
          <w:trHeight w:val="218"/>
        </w:trPr>
        <w:tc>
          <w:tcPr>
            <w:tcW w:w="5180" w:type="dxa"/>
            <w:vAlign w:val="bottom"/>
          </w:tcPr>
          <w:p>
            <w:pPr>
              <w:jc w:val="center"/>
              <w:spacing w:after="0"/>
              <w:rPr>
                <w:sz w:val="20"/>
                <w:szCs w:val="20"/>
                <w:color w:val="auto"/>
              </w:rPr>
            </w:pPr>
            <w:r>
              <w:rPr>
                <w:rFonts w:ascii="Arial" w:cs="Arial" w:eastAsia="Arial" w:hAnsi="Arial"/>
                <w:sz w:val="18"/>
                <w:szCs w:val="18"/>
                <w:color w:val="auto"/>
                <w:w w:val="86"/>
              </w:rPr>
              <w:t>Paal Kibsgaard</w:t>
            </w:r>
          </w:p>
        </w:tc>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7"/>
        </w:trPr>
        <w:tc>
          <w:tcPr>
            <w:tcW w:w="51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S</w:t>
            </w:r>
            <w:r>
              <w:rPr>
                <w:rFonts w:ascii="Arial" w:cs="Arial" w:eastAsia="Arial" w:hAnsi="Arial"/>
                <w:sz w:val="14"/>
                <w:szCs w:val="14"/>
                <w:color w:val="auto"/>
                <w:w w:val="97"/>
              </w:rPr>
              <w:t>IMON</w:t>
            </w:r>
            <w:r>
              <w:rPr>
                <w:rFonts w:ascii="Arial" w:cs="Arial" w:eastAsia="Arial" w:hAnsi="Arial"/>
                <w:sz w:val="18"/>
                <w:szCs w:val="18"/>
                <w:color w:val="auto"/>
                <w:w w:val="97"/>
              </w:rPr>
              <w:t xml:space="preserve"> A</w:t>
            </w:r>
            <w:r>
              <w:rPr>
                <w:rFonts w:ascii="Arial" w:cs="Arial" w:eastAsia="Arial" w:hAnsi="Arial"/>
                <w:sz w:val="14"/>
                <w:szCs w:val="14"/>
                <w:color w:val="auto"/>
                <w:w w:val="97"/>
              </w:rPr>
              <w:t>YAT</w:t>
            </w:r>
          </w:p>
        </w:tc>
        <w:tc>
          <w:tcPr>
            <w:tcW w:w="3960" w:type="dxa"/>
            <w:vAlign w:val="bottom"/>
          </w:tcPr>
          <w:p>
            <w:pPr>
              <w:ind w:left="220"/>
              <w:spacing w:after="0"/>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164"/>
        </w:trPr>
        <w:tc>
          <w:tcPr>
            <w:tcW w:w="5180" w:type="dxa"/>
            <w:vAlign w:val="bottom"/>
            <w:tcBorders>
              <w:bottom w:val="single" w:sz="8" w:color="auto"/>
            </w:tcBorders>
          </w:tcPr>
          <w:p>
            <w:pPr>
              <w:spacing w:after="0"/>
              <w:rPr>
                <w:sz w:val="14"/>
                <w:szCs w:val="14"/>
                <w:color w:val="auto"/>
              </w:rPr>
            </w:pPr>
          </w:p>
        </w:tc>
        <w:tc>
          <w:tcPr>
            <w:tcW w:w="3960" w:type="dxa"/>
            <w:vAlign w:val="bottom"/>
            <w:vMerge w:val="restart"/>
          </w:tcPr>
          <w:p>
            <w:pPr>
              <w:ind w:left="2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16"/>
        </w:trPr>
        <w:tc>
          <w:tcPr>
            <w:tcW w:w="5180" w:type="dxa"/>
            <w:vAlign w:val="bottom"/>
          </w:tcPr>
          <w:p>
            <w:pPr>
              <w:jc w:val="center"/>
              <w:spacing w:after="0"/>
              <w:rPr>
                <w:sz w:val="20"/>
                <w:szCs w:val="20"/>
                <w:color w:val="auto"/>
              </w:rPr>
            </w:pPr>
            <w:r>
              <w:rPr>
                <w:rFonts w:ascii="Arial" w:cs="Arial" w:eastAsia="Arial" w:hAnsi="Arial"/>
                <w:sz w:val="18"/>
                <w:szCs w:val="18"/>
                <w:color w:val="auto"/>
                <w:w w:val="89"/>
              </w:rPr>
              <w:t>Simon Ayat</w:t>
            </w:r>
          </w:p>
        </w:tc>
        <w:tc>
          <w:tcPr>
            <w:tcW w:w="3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18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H</w:t>
            </w:r>
            <w:r>
              <w:rPr>
                <w:rFonts w:ascii="Arial" w:cs="Arial" w:eastAsia="Arial" w:hAnsi="Arial"/>
                <w:sz w:val="14"/>
                <w:szCs w:val="14"/>
                <w:color w:val="auto"/>
                <w:w w:val="98"/>
              </w:rPr>
              <w:t>OWARD</w:t>
            </w:r>
            <w:r>
              <w:rPr>
                <w:rFonts w:ascii="Arial" w:cs="Arial" w:eastAsia="Arial" w:hAnsi="Arial"/>
                <w:sz w:val="18"/>
                <w:szCs w:val="18"/>
                <w:color w:val="auto"/>
                <w:w w:val="98"/>
              </w:rPr>
              <w:t xml:space="preserve"> G</w:t>
            </w:r>
            <w:r>
              <w:rPr>
                <w:rFonts w:ascii="Arial" w:cs="Arial" w:eastAsia="Arial" w:hAnsi="Arial"/>
                <w:sz w:val="14"/>
                <w:szCs w:val="14"/>
                <w:color w:val="auto"/>
                <w:w w:val="98"/>
              </w:rPr>
              <w:t>UILD</w:t>
            </w:r>
          </w:p>
        </w:tc>
        <w:tc>
          <w:tcPr>
            <w:tcW w:w="3960" w:type="dxa"/>
            <w:vAlign w:val="bottom"/>
          </w:tcPr>
          <w:p>
            <w:pPr>
              <w:ind w:left="2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164"/>
        </w:trPr>
        <w:tc>
          <w:tcPr>
            <w:tcW w:w="5180" w:type="dxa"/>
            <w:vAlign w:val="bottom"/>
            <w:tcBorders>
              <w:bottom w:val="single" w:sz="8" w:color="auto"/>
            </w:tcBorders>
          </w:tcPr>
          <w:p>
            <w:pPr>
              <w:spacing w:after="0"/>
              <w:rPr>
                <w:sz w:val="14"/>
                <w:szCs w:val="14"/>
                <w:color w:val="auto"/>
              </w:rPr>
            </w:pPr>
          </w:p>
        </w:tc>
        <w:tc>
          <w:tcPr>
            <w:tcW w:w="3960" w:type="dxa"/>
            <w:vAlign w:val="bottom"/>
            <w:vMerge w:val="restart"/>
          </w:tcPr>
          <w:p>
            <w:pPr>
              <w:ind w:left="2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16"/>
        </w:trPr>
        <w:tc>
          <w:tcPr>
            <w:tcW w:w="5180" w:type="dxa"/>
            <w:vAlign w:val="bottom"/>
          </w:tcPr>
          <w:p>
            <w:pPr>
              <w:jc w:val="center"/>
              <w:spacing w:after="0"/>
              <w:rPr>
                <w:sz w:val="20"/>
                <w:szCs w:val="20"/>
                <w:color w:val="auto"/>
              </w:rPr>
            </w:pPr>
            <w:r>
              <w:rPr>
                <w:rFonts w:ascii="Arial" w:cs="Arial" w:eastAsia="Arial" w:hAnsi="Arial"/>
                <w:sz w:val="18"/>
                <w:szCs w:val="18"/>
                <w:color w:val="auto"/>
                <w:w w:val="93"/>
              </w:rPr>
              <w:t>Howard Guild</w:t>
            </w:r>
          </w:p>
        </w:tc>
        <w:tc>
          <w:tcPr>
            <w:tcW w:w="3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87"/>
              </w:rPr>
              <w:t>Peter L.S. Currie</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86"/>
              </w:rPr>
              <w:t>Tony Isaac</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90"/>
              </w:rPr>
              <w:t>K.V. Kamath</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91"/>
              </w:rPr>
              <w:t>Nikolay Kudryavtsev</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92"/>
              </w:rPr>
              <w:t>Adrian Lajous</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91"/>
              </w:rPr>
              <w:t>Michael E. Marks</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91"/>
              </w:rPr>
              <w:t>Elizabeth Moler</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87"/>
              </w:rPr>
              <w:t>Lubna S. Olayan</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90"/>
              </w:rPr>
              <w:t>Leo Rafael Reif</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87"/>
              </w:rPr>
              <w:t>Tore Sandvold</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9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5180" w:type="dxa"/>
            <w:vAlign w:val="bottom"/>
          </w:tcPr>
          <w:p>
            <w:pPr>
              <w:jc w:val="center"/>
              <w:spacing w:after="0"/>
              <w:rPr>
                <w:sz w:val="20"/>
                <w:szCs w:val="20"/>
                <w:color w:val="auto"/>
              </w:rPr>
            </w:pPr>
            <w:r>
              <w:rPr>
                <w:rFonts w:ascii="Arial" w:cs="Arial" w:eastAsia="Arial" w:hAnsi="Arial"/>
                <w:sz w:val="18"/>
                <w:szCs w:val="18"/>
                <w:color w:val="auto"/>
                <w:w w:val="89"/>
              </w:rPr>
              <w:t>Henri Seydoux</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18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A</w:t>
            </w:r>
            <w:r>
              <w:rPr>
                <w:rFonts w:ascii="Arial" w:cs="Arial" w:eastAsia="Arial" w:hAnsi="Arial"/>
                <w:sz w:val="14"/>
                <w:szCs w:val="14"/>
                <w:color w:val="auto"/>
                <w:w w:val="98"/>
              </w:rPr>
              <w:t>LEXANDER</w:t>
            </w:r>
            <w:r>
              <w:rPr>
                <w:rFonts w:ascii="Arial" w:cs="Arial" w:eastAsia="Arial" w:hAnsi="Arial"/>
                <w:sz w:val="18"/>
                <w:szCs w:val="18"/>
                <w:color w:val="auto"/>
                <w:w w:val="98"/>
              </w:rPr>
              <w:t xml:space="preserve"> C. J</w:t>
            </w:r>
            <w:r>
              <w:rPr>
                <w:rFonts w:ascii="Arial" w:cs="Arial" w:eastAsia="Arial" w:hAnsi="Arial"/>
                <w:sz w:val="14"/>
                <w:szCs w:val="14"/>
                <w:color w:val="auto"/>
                <w:w w:val="98"/>
              </w:rPr>
              <w:t>UDEN</w:t>
            </w:r>
          </w:p>
        </w:tc>
        <w:tc>
          <w:tcPr>
            <w:tcW w:w="3960" w:type="dxa"/>
            <w:vAlign w:val="bottom"/>
          </w:tcPr>
          <w:p>
            <w:pPr>
              <w:ind w:left="220"/>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164"/>
        </w:trPr>
        <w:tc>
          <w:tcPr>
            <w:tcW w:w="5180" w:type="dxa"/>
            <w:vAlign w:val="bottom"/>
            <w:tcBorders>
              <w:bottom w:val="single" w:sz="8" w:color="auto"/>
            </w:tcBorders>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80" w:type="dxa"/>
            <w:vAlign w:val="bottom"/>
          </w:tcPr>
          <w:p>
            <w:pPr>
              <w:jc w:val="center"/>
              <w:spacing w:after="0"/>
              <w:rPr>
                <w:sz w:val="20"/>
                <w:szCs w:val="20"/>
                <w:color w:val="auto"/>
              </w:rPr>
            </w:pPr>
            <w:r>
              <w:rPr>
                <w:rFonts w:ascii="Arial" w:cs="Arial" w:eastAsia="Arial" w:hAnsi="Arial"/>
                <w:sz w:val="18"/>
                <w:szCs w:val="18"/>
                <w:color w:val="auto"/>
                <w:w w:val="90"/>
              </w:rPr>
              <w:t>*By Alexander C. Juden Attorney-in-Fact</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240"/>
          </w:cols>
          <w:pgMar w:left="240" w:top="274" w:right="419" w:bottom="1440" w:gutter="0" w:footer="0" w:header="0"/>
        </w:sectPr>
      </w:pPr>
    </w:p>
    <w:p>
      <w:pPr>
        <w:jc w:val="center"/>
        <w:ind w:right="-17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240"/>
          </w:cols>
          <w:pgMar w:left="240" w:top="274" w:right="4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7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6, 2011 (incorporated by reference to Exhibit 3.1 to</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 Current Report on Form 8-K filed on April 7, 2011)</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93"/>
              </w:rPr>
              <w:t>Amended and Restated By-Laws of Schlumberger Limited (Schlumberger N.V.), as last amended on July 19, 2012 (incorporated by reference to</w:t>
            </w:r>
          </w:p>
        </w:tc>
        <w:tc>
          <w:tcPr>
            <w:tcW w:w="640" w:type="dxa"/>
            <w:vAlign w:val="bottom"/>
          </w:tcPr>
          <w:p>
            <w:pPr>
              <w:ind w:lef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Exhibit 3.1 to Schlumberger’s Current Report on Form 8-K filed on July 19, 2012)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1"/>
              </w:rPr>
              <w:t>Schlumberger 1994 Stock Option Plan, as conformed to include amendments through January 1, 2009 (incorporated by reference to Exhibit 10.1 to</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 Annual Report on Form 10-K for year ended December 31, 2008) (+)</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93"/>
              </w:rPr>
              <w:t>Schlumberger Limited Supplementary Benefit Plan, as conformed to include amendments through January 1, 2009 (incorporated by reference to</w:t>
            </w:r>
          </w:p>
        </w:tc>
        <w:tc>
          <w:tcPr>
            <w:tcW w:w="640" w:type="dxa"/>
            <w:vAlign w:val="bottom"/>
          </w:tcPr>
          <w:p>
            <w:pPr>
              <w:ind w:lef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Exhibit 10.2 to Schlumberger’s Annual Report on Form 10-K for year ended December 31, 2008)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0"/>
              </w:rPr>
              <w:t>Schlumberger Limited Restoration Savings Plan, as conformed to include amendments through January 1, 2009 (incorporated by reference to Exhibit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10.3 to Schlumberger’s Annual Report on Form 10-K for year ended December 31, 2008) (+)</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91"/>
              </w:rPr>
              <w:t>Schlumberger 1998 Stock Option Plan, as conformed to include amendments through January 1, 2009 (incorporated by reference to Exhibit 10.4 to</w:t>
            </w:r>
          </w:p>
        </w:tc>
        <w:tc>
          <w:tcPr>
            <w:tcW w:w="640" w:type="dxa"/>
            <w:vAlign w:val="bottom"/>
          </w:tcPr>
          <w:p>
            <w:pPr>
              <w:ind w:lef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Schlumberger’s Annual Report on Form 10-K for year ended December 31, 2008)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1"/>
              </w:rPr>
              <w:t>Schlumberger 2001 Stock Option Plan, as conformed to include amendments through January 1, 2009 (incorporated by reference to Exhibit 10.5 to</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 Annual Report on Form 10-K for year ended December 31, 2008) (+)</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90"/>
              </w:rPr>
              <w:t>Schlumberger 2005 Stock Incentive Plan, as conformed to include amendments through January 1, 2009 (incorporated by reference to Exhibit 10.6 to</w:t>
            </w:r>
          </w:p>
        </w:tc>
        <w:tc>
          <w:tcPr>
            <w:tcW w:w="640" w:type="dxa"/>
            <w:vAlign w:val="bottom"/>
          </w:tcPr>
          <w:p>
            <w:pPr>
              <w:ind w:lef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Schlumberger’s Annual Report on Form 10-K for year ended December 31, 2008)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0"/>
              </w:rPr>
              <w:t>Schlumberger Limited 2004 Stock and Deferral Plan for Non-Employee Directors, amended and restated effective January 19, 2012 (incorporated by</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reference to Exhibit 10 to Schlumberger’s Current Report on Form 8-K filed on April 11, 2012.) (+)</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90"/>
              </w:rPr>
              <w:t>Schlumberger 2008 Stock Incentive Plan, as conformed to include amendments through January 1, 2009 (incorporated by reference to Exhibit 10.8 to</w:t>
            </w:r>
          </w:p>
        </w:tc>
        <w:tc>
          <w:tcPr>
            <w:tcW w:w="640" w:type="dxa"/>
            <w:vAlign w:val="bottom"/>
          </w:tcPr>
          <w:p>
            <w:pPr>
              <w:ind w:lef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Schlumberger’s Annual Report on Form 10-K for year ended December 31, 2008)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3"/>
              </w:rPr>
              <w:t>Schlumberger 2010 Stock Incentive Plan (incorporated by reference to Exhibit 10.1 to Schlumberger’s Current Report on Form 8-K filed with the</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 on April 9, 2010) (+)</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88"/>
              </w:rPr>
              <w:t>Schlumberger Discounted Stock Purchase Plan, as amended and restated January 1, 2010 (incorporated by reference to Exhibit 10.2 to Schlumberger’s</w:t>
            </w:r>
          </w:p>
        </w:tc>
        <w:tc>
          <w:tcPr>
            <w:tcW w:w="640" w:type="dxa"/>
            <w:vAlign w:val="bottom"/>
          </w:tcPr>
          <w:p>
            <w:pPr>
              <w:ind w:left="16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Current Report on Form 8-K filed with the SEC on April 9, 2010)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1"/>
              </w:rPr>
              <w:t>Form of Option Agreement, Capped Incentive Stock Option (incorporated by reference to Exhibit 10.1 to Schlumberger’s Current Report on Form 8-</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 filed on January 19, 2006) (+)</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94"/>
              </w:rPr>
              <w:t>Form of Option Agreement, Capped Non-Qualified Stock Option (incorporated by reference to Exhibit 10.2 to Schlumberger’s Current Report on</w:t>
            </w:r>
          </w:p>
        </w:tc>
        <w:tc>
          <w:tcPr>
            <w:tcW w:w="640" w:type="dxa"/>
            <w:vAlign w:val="bottom"/>
          </w:tcPr>
          <w:p>
            <w:pPr>
              <w:ind w:left="16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Form 8-K filed on January 19, 2006)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w w:val="92"/>
              </w:rPr>
              <w:t>Form of Option Agreement, Uncapped Incentive Stock Option (for 2001, 2005 and 2008 stock plans) (incorporated by reference to Exhibit 10.11 to</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 Annual Report on Form 10-K for year ended December 31, 2009) (+)</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w w:val="91"/>
              </w:rPr>
              <w:t>Form of Option Agreement, Uncapped Non-Qualified Stock Option (for 2001, 2005 and 2008 stock plans) (incorporated by reference to Exhibit 10.12</w:t>
            </w:r>
          </w:p>
        </w:tc>
        <w:tc>
          <w:tcPr>
            <w:tcW w:w="640" w:type="dxa"/>
            <w:vAlign w:val="bottom"/>
          </w:tcPr>
          <w:p>
            <w:pPr>
              <w:ind w:left="1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to Schlumberger’s Annual Report on Form 10-K for year ended December 31, 2009) (+)</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0780" w:type="dxa"/>
            <w:vAlign w:val="bottom"/>
            <w:gridSpan w:val="2"/>
          </w:tcPr>
          <w:p>
            <w:pPr>
              <w:ind w:left="5640"/>
              <w:spacing w:after="0"/>
              <w:rPr>
                <w:sz w:val="20"/>
                <w:szCs w:val="20"/>
                <w:color w:val="auto"/>
              </w:rPr>
            </w:pPr>
            <w:r>
              <w:rPr>
                <w:rFonts w:ascii="Arial" w:cs="Arial" w:eastAsia="Arial" w:hAnsi="Arial"/>
                <w:sz w:val="14"/>
                <w:szCs w:val="14"/>
                <w:color w:val="auto"/>
              </w:rPr>
              <w:t>71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7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w w:val="94"/>
              </w:rPr>
              <w:t>Form of Smith International, Inc. 2010 Restricted Stock Unit Agreement (incorporated by reference to Exhibit 10.3 to Schlumberger’s Quarterly</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 on Form 10-Q for the quarter ended September 30, 2010) (+)</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March 9, 2010 and effective as of February 9, 2010, between Schlumberger Limited and Chakib Sbiti (incorporated by</w:t>
            </w:r>
          </w:p>
        </w:tc>
        <w:tc>
          <w:tcPr>
            <w:tcW w:w="680" w:type="dxa"/>
            <w:vAlign w:val="bottom"/>
          </w:tcPr>
          <w:p>
            <w:pPr>
              <w:ind w:left="2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20" w:type="dxa"/>
            <w:vAlign w:val="bottom"/>
          </w:tcPr>
          <w:p>
            <w:pPr>
              <w:ind w:left="200"/>
              <w:spacing w:after="0"/>
              <w:rPr>
                <w:sz w:val="20"/>
                <w:szCs w:val="20"/>
                <w:color w:val="auto"/>
              </w:rPr>
            </w:pPr>
            <w:r>
              <w:rPr>
                <w:rFonts w:ascii="Arial" w:cs="Arial" w:eastAsia="Arial" w:hAnsi="Arial"/>
                <w:sz w:val="18"/>
                <w:szCs w:val="18"/>
                <w:color w:val="auto"/>
              </w:rPr>
              <w:t>reference to Exhibit 10.3 to Schlumberger’s Quarterly Report on Form 10-Q for the quarter ended March 31, 2010) (+)</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w w:val="94"/>
              </w:rPr>
              <w:t>Form of Indemnification Agreement (incorporated by reference to Exhibit 10.1 to Schlumberger’s Current Report on Form 8-K filed on April 22,</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0740" w:type="dxa"/>
            <w:vAlign w:val="bottom"/>
            <w:gridSpan w:val="2"/>
          </w:tcPr>
          <w:p>
            <w:pPr>
              <w:spacing w:after="0"/>
              <w:rPr>
                <w:sz w:val="20"/>
                <w:szCs w:val="20"/>
                <w:color w:val="auto"/>
              </w:rPr>
            </w:pPr>
            <w:r>
              <w:rPr>
                <w:rFonts w:ascii="Arial" w:cs="Arial" w:eastAsia="Arial" w:hAnsi="Arial"/>
                <w:sz w:val="18"/>
                <w:szCs w:val="18"/>
                <w:color w:val="auto"/>
              </w:rPr>
              <w:t>Subsidiaries (*)</w:t>
            </w: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Consent of Independent Registered Public Accounting Firm (*)</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2"/>
        </w:trPr>
        <w:tc>
          <w:tcPr>
            <w:tcW w:w="10740" w:type="dxa"/>
            <w:vAlign w:val="bottom"/>
            <w:gridSpan w:val="2"/>
          </w:tcPr>
          <w:p>
            <w:pPr>
              <w:spacing w:after="0"/>
              <w:rPr>
                <w:sz w:val="20"/>
                <w:szCs w:val="20"/>
                <w:color w:val="auto"/>
              </w:rPr>
            </w:pPr>
            <w:r>
              <w:rPr>
                <w:rFonts w:ascii="Arial" w:cs="Arial" w:eastAsia="Arial" w:hAnsi="Arial"/>
                <w:sz w:val="18"/>
                <w:szCs w:val="18"/>
                <w:color w:val="auto"/>
              </w:rPr>
              <w:t>Powers of Attorney (*)</w:t>
            </w: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w w:val="95"/>
              </w:rPr>
              <w:t>Certification of Chief Executive Officer pursuant to Rule 13a-14(a) as Adopted Pursuant to Section 302 of the Sarbanes-Oxley Act of 2002 (*)</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322"/>
        </w:trPr>
        <w:tc>
          <w:tcPr>
            <w:tcW w:w="10740" w:type="dxa"/>
            <w:vAlign w:val="bottom"/>
            <w:gridSpan w:val="2"/>
          </w:tcPr>
          <w:p>
            <w:pPr>
              <w:spacing w:after="0"/>
              <w:rPr>
                <w:sz w:val="20"/>
                <w:szCs w:val="20"/>
                <w:color w:val="auto"/>
              </w:rPr>
            </w:pPr>
            <w:r>
              <w:rPr>
                <w:rFonts w:ascii="Arial" w:cs="Arial" w:eastAsia="Arial" w:hAnsi="Arial"/>
                <w:sz w:val="18"/>
                <w:szCs w:val="18"/>
                <w:color w:val="auto"/>
                <w:w w:val="96"/>
              </w:rPr>
              <w:t>Certification of Chief Financial Officer pursuant to Rule 13a-14(a) as Adopted Pursuant to Section 302 of the Sarbanes-Oxley Act of 2002 (*)</w:t>
            </w:r>
          </w:p>
        </w:tc>
        <w:tc>
          <w:tcPr>
            <w:tcW w:w="680" w:type="dxa"/>
            <w:vAlign w:val="bottom"/>
          </w:tcPr>
          <w:p>
            <w:pPr>
              <w:ind w:left="2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 2002</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740" w:type="dxa"/>
            <w:vAlign w:val="bottom"/>
            <w:gridSpan w:val="2"/>
          </w:tcPr>
          <w:p>
            <w:pPr>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 2002</w:t>
            </w:r>
          </w:p>
        </w:tc>
        <w:tc>
          <w:tcPr>
            <w:tcW w:w="680" w:type="dxa"/>
            <w:vAlign w:val="bottom"/>
          </w:tcPr>
          <w:p>
            <w:pPr>
              <w:ind w:left="2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10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Mine Safety Disclosure (*)</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16"/>
        </w:trPr>
        <w:tc>
          <w:tcPr>
            <w:tcW w:w="10740" w:type="dxa"/>
            <w:vAlign w:val="bottom"/>
            <w:gridSpan w:val="2"/>
          </w:tcPr>
          <w:p>
            <w:pPr>
              <w:spacing w:after="0"/>
              <w:rPr>
                <w:sz w:val="20"/>
                <w:szCs w:val="20"/>
                <w:color w:val="auto"/>
              </w:rPr>
            </w:pPr>
            <w:r>
              <w:rPr>
                <w:rFonts w:ascii="Arial" w:cs="Arial" w:eastAsia="Arial" w:hAnsi="Arial"/>
                <w:sz w:val="18"/>
                <w:szCs w:val="18"/>
                <w:color w:val="auto"/>
                <w:w w:val="95"/>
              </w:rPr>
              <w:t>The following materials from Schlumberger Limited’s Annual Report on Form 10-K for the year ended December 31, 2012, formatted in XBRL</w:t>
            </w:r>
          </w:p>
        </w:tc>
        <w:tc>
          <w:tcPr>
            <w:tcW w:w="680" w:type="dxa"/>
            <w:vAlign w:val="bottom"/>
          </w:tcPr>
          <w:p>
            <w:pPr>
              <w:ind w:left="2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20" w:type="dxa"/>
            <w:vAlign w:val="bottom"/>
          </w:tcPr>
          <w:p>
            <w:pPr>
              <w:ind w:left="200"/>
              <w:spacing w:after="0"/>
              <w:rPr>
                <w:sz w:val="20"/>
                <w:szCs w:val="20"/>
                <w:color w:val="auto"/>
              </w:rPr>
            </w:pPr>
            <w:r>
              <w:rPr>
                <w:rFonts w:ascii="Arial" w:cs="Arial" w:eastAsia="Arial" w:hAnsi="Arial"/>
                <w:sz w:val="18"/>
                <w:szCs w:val="18"/>
                <w:color w:val="auto"/>
                <w:w w:val="96"/>
              </w:rPr>
              <w:t>(eXtensible Business Reporting Lanuage): (i) Consolidated Statement of Income, (ii) Consolidated Statement of Comprehensive Income,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right="900" w:firstLine="4"/>
        <w:spacing w:after="0" w:line="261" w:lineRule="auto"/>
        <w:tabs>
          <w:tab w:leader="none" w:pos="5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Consolidated Balance Sheet, (iv) Consolidated Statement of Cash Flows, (v) Consolidated Statement of Equity and (vi) Notes to Consolidated Financial Statements, tagged as blocks of text. (*)</w:t>
      </w:r>
    </w:p>
    <w:p>
      <w:pPr>
        <w:spacing w:after="0" w:line="83"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 electronically filed with this Form 10-K. All other exhibits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compensatory plans or arrangements.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27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Subsidiaries</w:t>
      </w:r>
    </w:p>
    <w:p>
      <w:pPr>
        <w:spacing w:after="0" w:line="96"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Listed below are the significant subsidiaries of the Registrant as of December 31, 2012,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Antilles N.V., Curacao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Schlumberger B.V., Netherlands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Canada Limited, Canada</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SA, France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Services Petroliers Schlumberger, France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Norge AS, Norway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Holdings Corporation, Delaware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Technology Corporation, Texas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Smith International Inc, Delaware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UK Limited, UK</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 Holdings (UK) Limited, UK</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Plc, UK</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Schlumberger Oilfield UK Plc, UK</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M-I Holdings BV, 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Schlumberger Oilfield Holdings Limited, BVI</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Holdings Limited, BVI</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Dowell Schlumberger Corporation, BVI</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Logelco, Inc., Panama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Middle East SA., Panama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Offshore Services Limited, BVI</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Overseas, SA, Panama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Seaco, Inc., Panama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Surenco, SA, Panama</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WesternGeco Seismic Holdings Limited, BVI</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We hereby consent to the incorporation by reference in the Registration Statements on Form S-8 (Nos. 333-104225; 333-36364; 333-115277; 333-124534;</w:t>
      </w:r>
    </w:p>
    <w:p>
      <w:pPr>
        <w:spacing w:after="0" w:line="38"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333-151920; and 333-173055, as amended by post-effective amendment on Form S-8), on Form S-3 (No. 333-173368); and on Form S-4 (Nos. 333-97899 and 333-166326, as amended by post-effective amendment on Form S-8) of Schlumberger Limited of our report dated January 31, 2013 relating to the consolidated financial statements and the effectiveness of internal control over financial reporting, which appears in this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w:t>
      </w:r>
      <w:r>
        <w:rPr>
          <w:rFonts w:ascii="Arial" w:cs="Arial" w:eastAsia="Arial" w:hAnsi="Arial"/>
          <w:sz w:val="18"/>
          <w:szCs w:val="18"/>
          <w:color w:val="auto"/>
        </w:rPr>
        <w:t>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2013</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96"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Curaçao corporation (“the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2012,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20"/>
          </w:cols>
          <w:pgMar w:left="240" w:top="125" w:right="239" w:bottom="1440" w:gutter="0" w:footer="0" w:header="0"/>
        </w:sectPr>
      </w:pPr>
    </w:p>
    <w:p>
      <w:pPr>
        <w:spacing w:after="0" w:line="159" w:lineRule="exact"/>
        <w:rPr>
          <w:sz w:val="20"/>
          <w:szCs w:val="20"/>
          <w:color w:val="auto"/>
        </w:rPr>
      </w:pPr>
    </w:p>
    <w:p>
      <w:pPr>
        <w:ind w:left="158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Peter L.S. Currie</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ind w:left="1800"/>
        <w:spacing w:after="0"/>
        <w:tabs>
          <w:tab w:leader="none" w:pos="21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Chairman of the Board</w:t>
      </w:r>
    </w:p>
    <w:p>
      <w:pPr>
        <w:spacing w:after="0" w:line="23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K.Vaman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K.Vaman Kamath</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ind w:left="1640"/>
        <w:spacing w:after="0"/>
        <w:tabs>
          <w:tab w:leader="none" w:pos="19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Paal Kibsgaard</w:t>
      </w:r>
    </w:p>
    <w:p>
      <w:pPr>
        <w:spacing w:after="0" w:line="15"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Director and Chief Executive Officer</w:t>
      </w:r>
    </w:p>
    <w:p>
      <w:pPr>
        <w:spacing w:after="0" w:line="232" w:lineRule="exact"/>
        <w:rPr>
          <w:sz w:val="20"/>
          <w:szCs w:val="20"/>
          <w:color w:val="auto"/>
        </w:rPr>
      </w:pPr>
    </w:p>
    <w:p>
      <w:pPr>
        <w:ind w:left="1420"/>
        <w:spacing w:after="0"/>
        <w:tabs>
          <w:tab w:leader="none" w:pos="17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Nikolay Kudryavtsev</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ind w:left="1680"/>
        <w:spacing w:after="0"/>
        <w:tabs>
          <w:tab w:leader="none" w:pos="1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jc w:val="center"/>
              <w:ind w:right="1652"/>
              <w:spacing w:after="0"/>
              <w:rPr>
                <w:sz w:val="20"/>
                <w:szCs w:val="20"/>
                <w:color w:val="auto"/>
              </w:rPr>
            </w:pPr>
            <w:r>
              <w:rPr>
                <w:rFonts w:ascii="Arial" w:cs="Arial" w:eastAsia="Arial" w:hAnsi="Arial"/>
                <w:sz w:val="18"/>
                <w:szCs w:val="18"/>
                <w:color w:val="auto"/>
                <w:w w:val="91"/>
              </w:rPr>
              <w:t>Michael E. Marks</w:t>
            </w:r>
          </w:p>
        </w:tc>
      </w:tr>
      <w:tr>
        <w:trPr>
          <w:trHeight w:val="202"/>
        </w:trPr>
        <w:tc>
          <w:tcPr>
            <w:tcW w:w="1740" w:type="dxa"/>
            <w:vAlign w:val="bottom"/>
          </w:tcPr>
          <w:p>
            <w:pPr>
              <w:spacing w:after="0"/>
              <w:rPr>
                <w:sz w:val="17"/>
                <w:szCs w:val="17"/>
                <w:color w:val="auto"/>
              </w:rPr>
            </w:pPr>
          </w:p>
        </w:tc>
        <w:tc>
          <w:tcPr>
            <w:tcW w:w="3160" w:type="dxa"/>
            <w:vAlign w:val="bottom"/>
          </w:tcPr>
          <w:p>
            <w:pPr>
              <w:jc w:val="center"/>
              <w:ind w:right="1652"/>
              <w:spacing w:after="0" w:line="202" w:lineRule="exact"/>
              <w:rPr>
                <w:sz w:val="20"/>
                <w:szCs w:val="20"/>
                <w:color w:val="auto"/>
              </w:rPr>
            </w:pPr>
            <w:r>
              <w:rPr>
                <w:rFonts w:ascii="Arial" w:cs="Arial" w:eastAsia="Arial" w:hAnsi="Arial"/>
                <w:sz w:val="18"/>
                <w:szCs w:val="18"/>
                <w:color w:val="auto"/>
                <w:w w:val="91"/>
              </w:rPr>
              <w:t>Michael E. Marks</w:t>
            </w:r>
          </w:p>
        </w:tc>
      </w:tr>
      <w:tr>
        <w:trPr>
          <w:trHeight w:val="222"/>
        </w:trPr>
        <w:tc>
          <w:tcPr>
            <w:tcW w:w="1740" w:type="dxa"/>
            <w:vAlign w:val="bottom"/>
          </w:tcPr>
          <w:p>
            <w:pPr>
              <w:spacing w:after="0"/>
              <w:rPr>
                <w:sz w:val="19"/>
                <w:szCs w:val="19"/>
                <w:color w:val="auto"/>
              </w:rPr>
            </w:pPr>
          </w:p>
        </w:tc>
        <w:tc>
          <w:tcPr>
            <w:tcW w:w="3160" w:type="dxa"/>
            <w:vAlign w:val="bottom"/>
          </w:tcPr>
          <w:p>
            <w:pPr>
              <w:jc w:val="center"/>
              <w:ind w:right="1652"/>
              <w:spacing w:after="0"/>
              <w:rPr>
                <w:sz w:val="20"/>
                <w:szCs w:val="20"/>
                <w:color w:val="auto"/>
              </w:rPr>
            </w:pPr>
            <w:r>
              <w:rPr>
                <w:rFonts w:ascii="Arial" w:cs="Arial" w:eastAsia="Arial" w:hAnsi="Arial"/>
                <w:sz w:val="18"/>
                <w:szCs w:val="18"/>
                <w:color w:val="auto"/>
                <w:w w:val="91"/>
              </w:rPr>
              <w:t>Director</w:t>
            </w:r>
          </w:p>
        </w:tc>
      </w:tr>
      <w:tr>
        <w:trPr>
          <w:trHeight w:val="447"/>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jc w:val="center"/>
              <w:ind w:right="1672"/>
              <w:spacing w:after="0"/>
              <w:rPr>
                <w:sz w:val="20"/>
                <w:szCs w:val="20"/>
                <w:color w:val="auto"/>
              </w:rPr>
            </w:pPr>
            <w:r>
              <w:rPr>
                <w:rFonts w:ascii="Arial" w:cs="Arial" w:eastAsia="Arial" w:hAnsi="Arial"/>
                <w:sz w:val="18"/>
                <w:szCs w:val="18"/>
                <w:color w:val="auto"/>
                <w:w w:val="93"/>
              </w:rPr>
              <w:t>Elizabeth A. Moler</w:t>
            </w:r>
          </w:p>
        </w:tc>
      </w:tr>
      <w:tr>
        <w:trPr>
          <w:trHeight w:val="202"/>
        </w:trPr>
        <w:tc>
          <w:tcPr>
            <w:tcW w:w="1740" w:type="dxa"/>
            <w:vAlign w:val="bottom"/>
          </w:tcPr>
          <w:p>
            <w:pPr>
              <w:spacing w:after="0"/>
              <w:rPr>
                <w:sz w:val="17"/>
                <w:szCs w:val="17"/>
                <w:color w:val="auto"/>
              </w:rPr>
            </w:pPr>
          </w:p>
        </w:tc>
        <w:tc>
          <w:tcPr>
            <w:tcW w:w="3160" w:type="dxa"/>
            <w:vAlign w:val="bottom"/>
          </w:tcPr>
          <w:p>
            <w:pPr>
              <w:jc w:val="center"/>
              <w:ind w:right="1652"/>
              <w:spacing w:after="0" w:line="202" w:lineRule="exact"/>
              <w:rPr>
                <w:sz w:val="20"/>
                <w:szCs w:val="20"/>
                <w:color w:val="auto"/>
              </w:rPr>
            </w:pPr>
            <w:r>
              <w:rPr>
                <w:rFonts w:ascii="Arial" w:cs="Arial" w:eastAsia="Arial" w:hAnsi="Arial"/>
                <w:sz w:val="18"/>
                <w:szCs w:val="18"/>
                <w:color w:val="auto"/>
                <w:w w:val="91"/>
              </w:rPr>
              <w:t>Elizabeth A. Moler</w:t>
            </w:r>
          </w:p>
        </w:tc>
      </w:tr>
      <w:tr>
        <w:trPr>
          <w:trHeight w:val="222"/>
        </w:trPr>
        <w:tc>
          <w:tcPr>
            <w:tcW w:w="1740" w:type="dxa"/>
            <w:vAlign w:val="bottom"/>
          </w:tcPr>
          <w:p>
            <w:pPr>
              <w:spacing w:after="0"/>
              <w:rPr>
                <w:sz w:val="19"/>
                <w:szCs w:val="19"/>
                <w:color w:val="auto"/>
              </w:rPr>
            </w:pPr>
          </w:p>
        </w:tc>
        <w:tc>
          <w:tcPr>
            <w:tcW w:w="3160" w:type="dxa"/>
            <w:vAlign w:val="bottom"/>
          </w:tcPr>
          <w:p>
            <w:pPr>
              <w:jc w:val="center"/>
              <w:ind w:right="1652"/>
              <w:spacing w:after="0"/>
              <w:rPr>
                <w:sz w:val="20"/>
                <w:szCs w:val="20"/>
                <w:color w:val="auto"/>
              </w:rPr>
            </w:pPr>
            <w:r>
              <w:rPr>
                <w:rFonts w:ascii="Arial" w:cs="Arial" w:eastAsia="Arial" w:hAnsi="Arial"/>
                <w:sz w:val="18"/>
                <w:szCs w:val="18"/>
                <w:color w:val="auto"/>
                <w:w w:val="91"/>
              </w:rPr>
              <w:t>Director</w:t>
            </w:r>
          </w:p>
        </w:tc>
      </w:tr>
      <w:tr>
        <w:trPr>
          <w:trHeight w:val="447"/>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jc w:val="center"/>
              <w:ind w:right="1652"/>
              <w:spacing w:after="0"/>
              <w:rPr>
                <w:sz w:val="20"/>
                <w:szCs w:val="20"/>
                <w:color w:val="auto"/>
              </w:rPr>
            </w:pPr>
            <w:r>
              <w:rPr>
                <w:rFonts w:ascii="Arial" w:cs="Arial" w:eastAsia="Arial" w:hAnsi="Arial"/>
                <w:sz w:val="18"/>
                <w:szCs w:val="18"/>
                <w:color w:val="auto"/>
                <w:w w:val="87"/>
              </w:rPr>
              <w:t>Lubna S. Olayan</w:t>
            </w:r>
          </w:p>
        </w:tc>
      </w:tr>
      <w:tr>
        <w:trPr>
          <w:trHeight w:val="202"/>
        </w:trPr>
        <w:tc>
          <w:tcPr>
            <w:tcW w:w="1740" w:type="dxa"/>
            <w:vAlign w:val="bottom"/>
          </w:tcPr>
          <w:p>
            <w:pPr>
              <w:spacing w:after="0"/>
              <w:rPr>
                <w:sz w:val="17"/>
                <w:szCs w:val="17"/>
                <w:color w:val="auto"/>
              </w:rPr>
            </w:pPr>
          </w:p>
        </w:tc>
        <w:tc>
          <w:tcPr>
            <w:tcW w:w="3160" w:type="dxa"/>
            <w:vAlign w:val="bottom"/>
          </w:tcPr>
          <w:p>
            <w:pPr>
              <w:jc w:val="center"/>
              <w:ind w:right="1652"/>
              <w:spacing w:after="0" w:line="202" w:lineRule="exact"/>
              <w:rPr>
                <w:sz w:val="20"/>
                <w:szCs w:val="20"/>
                <w:color w:val="auto"/>
              </w:rPr>
            </w:pPr>
            <w:r>
              <w:rPr>
                <w:rFonts w:ascii="Arial" w:cs="Arial" w:eastAsia="Arial" w:hAnsi="Arial"/>
                <w:sz w:val="18"/>
                <w:szCs w:val="18"/>
                <w:color w:val="auto"/>
                <w:w w:val="87"/>
              </w:rPr>
              <w:t>Lubna S. Olayan</w:t>
            </w:r>
          </w:p>
        </w:tc>
      </w:tr>
      <w:tr>
        <w:trPr>
          <w:trHeight w:val="222"/>
        </w:trPr>
        <w:tc>
          <w:tcPr>
            <w:tcW w:w="1740" w:type="dxa"/>
            <w:vAlign w:val="bottom"/>
          </w:tcPr>
          <w:p>
            <w:pPr>
              <w:spacing w:after="0"/>
              <w:rPr>
                <w:sz w:val="19"/>
                <w:szCs w:val="19"/>
                <w:color w:val="auto"/>
              </w:rPr>
            </w:pPr>
          </w:p>
        </w:tc>
        <w:tc>
          <w:tcPr>
            <w:tcW w:w="3160" w:type="dxa"/>
            <w:vAlign w:val="bottom"/>
          </w:tcPr>
          <w:p>
            <w:pPr>
              <w:jc w:val="center"/>
              <w:ind w:right="1652"/>
              <w:spacing w:after="0"/>
              <w:rPr>
                <w:sz w:val="20"/>
                <w:szCs w:val="20"/>
                <w:color w:val="auto"/>
              </w:rPr>
            </w:pPr>
            <w:r>
              <w:rPr>
                <w:rFonts w:ascii="Arial" w:cs="Arial" w:eastAsia="Arial" w:hAnsi="Arial"/>
                <w:sz w:val="18"/>
                <w:szCs w:val="18"/>
                <w:color w:val="auto"/>
                <w:w w:val="91"/>
              </w:rPr>
              <w:t>Director</w:t>
            </w:r>
          </w:p>
        </w:tc>
      </w:tr>
      <w:tr>
        <w:trPr>
          <w:trHeight w:val="447"/>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160" w:type="dxa"/>
            <w:vAlign w:val="bottom"/>
            <w:tcBorders>
              <w:bottom w:val="single" w:sz="8" w:color="auto"/>
            </w:tcBorders>
          </w:tcPr>
          <w:p>
            <w:pPr>
              <w:jc w:val="center"/>
              <w:ind w:right="1672"/>
              <w:spacing w:after="0"/>
              <w:rPr>
                <w:sz w:val="20"/>
                <w:szCs w:val="20"/>
                <w:color w:val="auto"/>
              </w:rPr>
            </w:pPr>
            <w:r>
              <w:rPr>
                <w:rFonts w:ascii="Arial" w:cs="Arial" w:eastAsia="Arial" w:hAnsi="Arial"/>
                <w:sz w:val="18"/>
                <w:szCs w:val="18"/>
                <w:color w:val="auto"/>
                <w:w w:val="90"/>
              </w:rPr>
              <w:t>Leo Rafael Reif</w:t>
            </w:r>
          </w:p>
        </w:tc>
      </w:tr>
      <w:tr>
        <w:trPr>
          <w:trHeight w:val="202"/>
        </w:trPr>
        <w:tc>
          <w:tcPr>
            <w:tcW w:w="1740" w:type="dxa"/>
            <w:vAlign w:val="bottom"/>
          </w:tcPr>
          <w:p>
            <w:pPr>
              <w:spacing w:after="0"/>
              <w:rPr>
                <w:sz w:val="17"/>
                <w:szCs w:val="17"/>
                <w:color w:val="auto"/>
              </w:rPr>
            </w:pPr>
          </w:p>
        </w:tc>
        <w:tc>
          <w:tcPr>
            <w:tcW w:w="3160" w:type="dxa"/>
            <w:vAlign w:val="bottom"/>
          </w:tcPr>
          <w:p>
            <w:pPr>
              <w:jc w:val="center"/>
              <w:ind w:right="1672"/>
              <w:spacing w:after="0" w:line="202" w:lineRule="exact"/>
              <w:rPr>
                <w:sz w:val="20"/>
                <w:szCs w:val="20"/>
                <w:color w:val="auto"/>
              </w:rPr>
            </w:pPr>
            <w:r>
              <w:rPr>
                <w:rFonts w:ascii="Arial" w:cs="Arial" w:eastAsia="Arial" w:hAnsi="Arial"/>
                <w:sz w:val="18"/>
                <w:szCs w:val="18"/>
                <w:color w:val="auto"/>
                <w:w w:val="90"/>
              </w:rPr>
              <w:t>Leo Rafael Reif</w:t>
            </w:r>
          </w:p>
        </w:tc>
      </w:tr>
      <w:tr>
        <w:trPr>
          <w:trHeight w:val="222"/>
        </w:trPr>
        <w:tc>
          <w:tcPr>
            <w:tcW w:w="1740" w:type="dxa"/>
            <w:vAlign w:val="bottom"/>
          </w:tcPr>
          <w:p>
            <w:pPr>
              <w:spacing w:after="0"/>
              <w:rPr>
                <w:sz w:val="19"/>
                <w:szCs w:val="19"/>
                <w:color w:val="auto"/>
              </w:rPr>
            </w:pPr>
          </w:p>
        </w:tc>
        <w:tc>
          <w:tcPr>
            <w:tcW w:w="3160" w:type="dxa"/>
            <w:vAlign w:val="bottom"/>
          </w:tcPr>
          <w:p>
            <w:pPr>
              <w:jc w:val="center"/>
              <w:ind w:right="1652"/>
              <w:spacing w:after="0"/>
              <w:rPr>
                <w:sz w:val="20"/>
                <w:szCs w:val="20"/>
                <w:color w:val="auto"/>
              </w:rPr>
            </w:pPr>
            <w:r>
              <w:rPr>
                <w:rFonts w:ascii="Arial" w:cs="Arial" w:eastAsia="Arial" w:hAnsi="Arial"/>
                <w:sz w:val="18"/>
                <w:szCs w:val="18"/>
                <w:color w:val="auto"/>
                <w:w w:val="91"/>
              </w:rPr>
              <w:t>Director</w:t>
            </w:r>
          </w:p>
        </w:tc>
      </w:tr>
    </w:tbl>
    <w:p>
      <w:pPr>
        <w:spacing w:after="0" w:line="223" w:lineRule="exact"/>
        <w:rPr>
          <w:sz w:val="20"/>
          <w:szCs w:val="20"/>
          <w:color w:val="auto"/>
        </w:rPr>
      </w:pPr>
    </w:p>
    <w:p>
      <w:pPr>
        <w:ind w:left="160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1127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Tore Sandvold</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ind w:left="158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1127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Henri Seydoux</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00" w:space="720"/>
            <w:col w:w="4900"/>
          </w:cols>
          <w:pgMar w:left="240" w:top="125" w:right="23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90" w:lineRule="exact"/>
        <w:rPr>
          <w:sz w:val="20"/>
          <w:szCs w:val="20"/>
          <w:color w:val="auto"/>
        </w:rPr>
      </w:pPr>
    </w:p>
    <w:p>
      <w:pPr>
        <w:ind w:left="420" w:hanging="184"/>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90" w:lineRule="exact"/>
        <w:rPr>
          <w:rFonts w:ascii="Arial" w:cs="Arial" w:eastAsia="Arial" w:hAnsi="Arial"/>
          <w:sz w:val="18"/>
          <w:szCs w:val="18"/>
          <w:color w:val="auto"/>
        </w:rPr>
      </w:pPr>
    </w:p>
    <w:p>
      <w:pPr>
        <w:ind w:firstLine="236"/>
        <w:spacing w:after="0" w:line="332" w:lineRule="auto"/>
        <w:tabs>
          <w:tab w:leader="none" w:pos="404"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firstLine="236"/>
        <w:spacing w:after="0" w:line="259" w:lineRule="auto"/>
        <w:tabs>
          <w:tab w:leader="none" w:pos="4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680" w:firstLine="236"/>
        <w:spacing w:after="0" w:line="332" w:lineRule="auto"/>
        <w:tabs>
          <w:tab w:leader="none" w:pos="40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January 31,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Paal Kibsgaard</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Paal Kibsgaard</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420" w:hanging="184"/>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90" w:lineRule="exact"/>
        <w:rPr>
          <w:rFonts w:ascii="Arial" w:cs="Arial" w:eastAsia="Arial" w:hAnsi="Arial"/>
          <w:sz w:val="18"/>
          <w:szCs w:val="18"/>
          <w:color w:val="auto"/>
        </w:rPr>
      </w:pPr>
    </w:p>
    <w:p>
      <w:pPr>
        <w:ind w:firstLine="236"/>
        <w:spacing w:after="0" w:line="332" w:lineRule="auto"/>
        <w:tabs>
          <w:tab w:leader="none" w:pos="404"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firstLine="236"/>
        <w:spacing w:after="0" w:line="259" w:lineRule="auto"/>
        <w:tabs>
          <w:tab w:leader="none" w:pos="4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680" w:firstLine="236"/>
        <w:spacing w:after="0" w:line="332" w:lineRule="auto"/>
        <w:tabs>
          <w:tab w:leader="none" w:pos="40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Date: January 31, 2013</w:t>
            </w:r>
          </w:p>
        </w:tc>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Simon Ayat</w:t>
            </w:r>
          </w:p>
        </w:tc>
      </w:tr>
      <w:tr>
        <w:trPr>
          <w:trHeight w:val="202"/>
        </w:trPr>
        <w:tc>
          <w:tcPr>
            <w:tcW w:w="5620" w:type="dxa"/>
            <w:vAlign w:val="bottom"/>
          </w:tcPr>
          <w:p>
            <w:pPr>
              <w:spacing w:after="0"/>
              <w:rPr>
                <w:sz w:val="17"/>
                <w:szCs w:val="17"/>
                <w:color w:val="auto"/>
              </w:rPr>
            </w:pPr>
          </w:p>
        </w:tc>
        <w:tc>
          <w:tcPr>
            <w:tcW w:w="5800" w:type="dxa"/>
            <w:vAlign w:val="bottom"/>
          </w:tcPr>
          <w:p>
            <w:pPr>
              <w:ind w:left="40"/>
              <w:spacing w:after="0" w:line="202" w:lineRule="exact"/>
              <w:rPr>
                <w:sz w:val="20"/>
                <w:szCs w:val="20"/>
                <w:color w:val="auto"/>
              </w:rPr>
            </w:pPr>
            <w:r>
              <w:rPr>
                <w:rFonts w:ascii="Arial" w:cs="Arial" w:eastAsia="Arial" w:hAnsi="Arial"/>
                <w:sz w:val="18"/>
                <w:szCs w:val="18"/>
                <w:color w:val="auto"/>
              </w:rPr>
              <w:t>Simon Ayat</w:t>
            </w:r>
          </w:p>
        </w:tc>
      </w:tr>
      <w:tr>
        <w:trPr>
          <w:trHeight w:val="222"/>
        </w:trPr>
        <w:tc>
          <w:tcPr>
            <w:tcW w:w="5620" w:type="dxa"/>
            <w:vAlign w:val="bottom"/>
          </w:tcPr>
          <w:p>
            <w:pPr>
              <w:spacing w:after="0"/>
              <w:rPr>
                <w:sz w:val="19"/>
                <w:szCs w:val="19"/>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2012 as filed with the Securities and Exchange Commission on the date hereof (the “Report”), I, Paal Kibsgaard,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Date: January 31, 2013</w:t>
            </w:r>
          </w:p>
        </w:tc>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Paal Kibsgaard</w:t>
            </w:r>
          </w:p>
        </w:tc>
      </w:tr>
      <w:tr>
        <w:trPr>
          <w:trHeight w:val="202"/>
        </w:trPr>
        <w:tc>
          <w:tcPr>
            <w:tcW w:w="6040" w:type="dxa"/>
            <w:vAlign w:val="bottom"/>
          </w:tcPr>
          <w:p>
            <w:pPr>
              <w:spacing w:after="0"/>
              <w:rPr>
                <w:sz w:val="17"/>
                <w:szCs w:val="17"/>
                <w:color w:val="auto"/>
              </w:rPr>
            </w:pPr>
          </w:p>
        </w:tc>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Paal Kibsgaard</w:t>
            </w:r>
          </w:p>
        </w:tc>
      </w:tr>
      <w:tr>
        <w:trPr>
          <w:trHeight w:val="222"/>
        </w:trPr>
        <w:tc>
          <w:tcPr>
            <w:tcW w:w="6040" w:type="dxa"/>
            <w:vAlign w:val="bottom"/>
          </w:tcPr>
          <w:p>
            <w:pPr>
              <w:spacing w:after="0"/>
              <w:rPr>
                <w:sz w:val="19"/>
                <w:szCs w:val="19"/>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75"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51"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2012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Date: January 31, 2013</w:t>
            </w:r>
          </w:p>
        </w:tc>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Simon Ayat</w:t>
            </w:r>
          </w:p>
        </w:tc>
      </w:tr>
      <w:tr>
        <w:trPr>
          <w:trHeight w:val="202"/>
        </w:trPr>
        <w:tc>
          <w:tcPr>
            <w:tcW w:w="6040" w:type="dxa"/>
            <w:vAlign w:val="bottom"/>
          </w:tcPr>
          <w:p>
            <w:pPr>
              <w:spacing w:after="0"/>
              <w:rPr>
                <w:sz w:val="17"/>
                <w:szCs w:val="17"/>
                <w:color w:val="auto"/>
              </w:rPr>
            </w:pPr>
          </w:p>
        </w:tc>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Simon Ayat</w:t>
            </w:r>
          </w:p>
        </w:tc>
      </w:tr>
      <w:tr>
        <w:trPr>
          <w:trHeight w:val="222"/>
        </w:trPr>
        <w:tc>
          <w:tcPr>
            <w:tcW w:w="6040" w:type="dxa"/>
            <w:vAlign w:val="bottom"/>
          </w:tcPr>
          <w:p>
            <w:pPr>
              <w:spacing w:after="0"/>
              <w:rPr>
                <w:sz w:val="19"/>
                <w:szCs w:val="19"/>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75"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51"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177"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0"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M-I LLC, which, following Schlumberger’s acquisition of Smith International, Inc., is an indirect wholly-owned subsidiary of Schlumberger. The disclosure is with respect to the year ended December 31, 2012. Due to timing and other factors, the data may not agree with the mine data retrieval system maintained by the MSHA at www.MSHA.gov.</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 Year 2012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Received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Received</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Notice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Notice of</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Potential to</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Pattern of</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Have</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Legal</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Section</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Violations</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4"/>
              </w:rPr>
              <w:t>Pattern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Actions</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Legal</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Legal</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104(d)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Under</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Under</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Pending</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Actions</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Actions</w:t>
            </w: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spacing w:after="0"/>
              <w:rPr>
                <w:sz w:val="20"/>
                <w:szCs w:val="20"/>
                <w:color w:val="auto"/>
              </w:rPr>
            </w:pPr>
            <w:r>
              <w:rPr>
                <w:rFonts w:ascii="Arial" w:cs="Arial" w:eastAsia="Arial" w:hAnsi="Arial"/>
                <w:sz w:val="14"/>
                <w:szCs w:val="14"/>
                <w:color w:val="auto"/>
              </w:rPr>
              <w:t>Mine or Operating Name/MSHA</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89"/>
              </w:rPr>
              <w:t>Section</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Section</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Citations</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Section</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1"/>
              </w:rPr>
              <w:t>Section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6"/>
              </w:rPr>
              <w:t>Proposed</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Mining</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Section</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Section</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as of Last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Initiated</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Resolved</w:t>
            </w:r>
          </w:p>
        </w:tc>
        <w:tc>
          <w:tcPr>
            <w:tcW w:w="0" w:type="dxa"/>
            <w:vAlign w:val="bottom"/>
          </w:tcPr>
          <w:p>
            <w:pPr>
              <w:spacing w:after="0"/>
              <w:rPr>
                <w:sz w:val="1"/>
                <w:szCs w:val="1"/>
                <w:color w:val="auto"/>
              </w:rPr>
            </w:pPr>
          </w:p>
        </w:tc>
      </w:tr>
      <w:tr>
        <w:trPr>
          <w:trHeight w:val="132"/>
        </w:trPr>
        <w:tc>
          <w:tcPr>
            <w:tcW w:w="2500" w:type="dxa"/>
            <w:vAlign w:val="bottom"/>
            <w:gridSpan w:val="2"/>
            <w:vMerge w:val="continue"/>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w w:val="83"/>
              </w:rPr>
              <w:t>104 S&amp;S</w:t>
            </w:r>
          </w:p>
        </w:tc>
        <w:tc>
          <w:tcPr>
            <w:tcW w:w="200" w:type="dxa"/>
            <w:vAlign w:val="bottom"/>
          </w:tcPr>
          <w:p>
            <w:pPr>
              <w:spacing w:after="0"/>
              <w:rPr>
                <w:sz w:val="11"/>
                <w:szCs w:val="11"/>
                <w:color w:val="auto"/>
              </w:rPr>
            </w:pPr>
          </w:p>
        </w:tc>
        <w:tc>
          <w:tcPr>
            <w:tcW w:w="620" w:type="dxa"/>
            <w:vAlign w:val="bottom"/>
            <w:gridSpan w:val="2"/>
          </w:tcPr>
          <w:p>
            <w:pPr>
              <w:jc w:val="right"/>
              <w:ind w:right="240"/>
              <w:spacing w:after="0" w:line="133" w:lineRule="exact"/>
              <w:rPr>
                <w:sz w:val="20"/>
                <w:szCs w:val="20"/>
                <w:color w:val="auto"/>
              </w:rPr>
            </w:pPr>
            <w:r>
              <w:rPr>
                <w:rFonts w:ascii="Arial" w:cs="Arial" w:eastAsia="Arial" w:hAnsi="Arial"/>
                <w:sz w:val="14"/>
                <w:szCs w:val="14"/>
                <w:color w:val="auto"/>
                <w:w w:val="88"/>
              </w:rPr>
              <w:t>104(b)</w:t>
            </w:r>
          </w:p>
        </w:tc>
        <w:tc>
          <w:tcPr>
            <w:tcW w:w="720" w:type="dxa"/>
            <w:vAlign w:val="bottom"/>
            <w:gridSpan w:val="2"/>
          </w:tcPr>
          <w:p>
            <w:pPr>
              <w:jc w:val="center"/>
              <w:ind w:right="240"/>
              <w:spacing w:after="0" w:line="133" w:lineRule="exact"/>
              <w:rPr>
                <w:sz w:val="20"/>
                <w:szCs w:val="20"/>
                <w:color w:val="auto"/>
              </w:rPr>
            </w:pPr>
            <w:r>
              <w:rPr>
                <w:rFonts w:ascii="Arial" w:cs="Arial" w:eastAsia="Arial" w:hAnsi="Arial"/>
                <w:sz w:val="14"/>
                <w:szCs w:val="14"/>
                <w:color w:val="auto"/>
                <w:w w:val="85"/>
              </w:rPr>
              <w:t>and</w:t>
            </w:r>
          </w:p>
        </w:tc>
        <w:tc>
          <w:tcPr>
            <w:tcW w:w="780" w:type="dxa"/>
            <w:vAlign w:val="bottom"/>
            <w:gridSpan w:val="2"/>
          </w:tcPr>
          <w:p>
            <w:pPr>
              <w:jc w:val="center"/>
              <w:ind w:right="220"/>
              <w:spacing w:after="0" w:line="133" w:lineRule="exact"/>
              <w:rPr>
                <w:sz w:val="20"/>
                <w:szCs w:val="20"/>
                <w:color w:val="auto"/>
              </w:rPr>
            </w:pPr>
            <w:r>
              <w:rPr>
                <w:rFonts w:ascii="Arial" w:cs="Arial" w:eastAsia="Arial" w:hAnsi="Arial"/>
                <w:sz w:val="14"/>
                <w:szCs w:val="14"/>
                <w:color w:val="auto"/>
                <w:w w:val="90"/>
              </w:rPr>
              <w:t>110(b)(2)</w:t>
            </w:r>
          </w:p>
        </w:tc>
        <w:tc>
          <w:tcPr>
            <w:tcW w:w="500" w:type="dxa"/>
            <w:vAlign w:val="bottom"/>
            <w:gridSpan w:val="2"/>
          </w:tcPr>
          <w:p>
            <w:pPr>
              <w:jc w:val="right"/>
              <w:ind w:right="120"/>
              <w:spacing w:after="0" w:line="133" w:lineRule="exact"/>
              <w:rPr>
                <w:sz w:val="20"/>
                <w:szCs w:val="20"/>
                <w:color w:val="auto"/>
              </w:rPr>
            </w:pPr>
            <w:r>
              <w:rPr>
                <w:rFonts w:ascii="Arial" w:cs="Arial" w:eastAsia="Arial" w:hAnsi="Arial"/>
                <w:sz w:val="14"/>
                <w:szCs w:val="14"/>
                <w:color w:val="auto"/>
                <w:w w:val="88"/>
              </w:rPr>
              <w:t>107(a)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540"/>
              <w:spacing w:after="0" w:line="133" w:lineRule="exact"/>
              <w:rPr>
                <w:sz w:val="20"/>
                <w:szCs w:val="20"/>
                <w:color w:val="auto"/>
              </w:rPr>
            </w:pPr>
            <w:r>
              <w:rPr>
                <w:rFonts w:ascii="Arial" w:cs="Arial" w:eastAsia="Arial" w:hAnsi="Arial"/>
                <w:sz w:val="14"/>
                <w:szCs w:val="14"/>
                <w:color w:val="auto"/>
              </w:rPr>
              <w:t>MSHA</w:t>
            </w:r>
          </w:p>
        </w:tc>
        <w:tc>
          <w:tcPr>
            <w:tcW w:w="720" w:type="dxa"/>
            <w:vAlign w:val="bottom"/>
            <w:gridSpan w:val="2"/>
          </w:tcPr>
          <w:p>
            <w:pPr>
              <w:jc w:val="right"/>
              <w:ind w:right="260"/>
              <w:spacing w:after="0" w:line="133" w:lineRule="exact"/>
              <w:rPr>
                <w:sz w:val="20"/>
                <w:szCs w:val="20"/>
                <w:color w:val="auto"/>
              </w:rPr>
            </w:pPr>
            <w:r>
              <w:rPr>
                <w:rFonts w:ascii="Arial" w:cs="Arial" w:eastAsia="Arial" w:hAnsi="Arial"/>
                <w:sz w:val="14"/>
                <w:szCs w:val="14"/>
                <w:color w:val="auto"/>
                <w:w w:val="91"/>
              </w:rPr>
              <w:t>Related</w:t>
            </w:r>
          </w:p>
        </w:tc>
        <w:tc>
          <w:tcPr>
            <w:tcW w:w="780" w:type="dxa"/>
            <w:vAlign w:val="bottom"/>
            <w:gridSpan w:val="2"/>
          </w:tcPr>
          <w:p>
            <w:pPr>
              <w:jc w:val="center"/>
              <w:ind w:right="220"/>
              <w:spacing w:after="0" w:line="133" w:lineRule="exact"/>
              <w:rPr>
                <w:sz w:val="20"/>
                <w:szCs w:val="20"/>
                <w:color w:val="auto"/>
              </w:rPr>
            </w:pPr>
            <w:r>
              <w:rPr>
                <w:rFonts w:ascii="Arial" w:cs="Arial" w:eastAsia="Arial" w:hAnsi="Arial"/>
                <w:sz w:val="14"/>
                <w:szCs w:val="14"/>
                <w:color w:val="auto"/>
                <w:w w:val="88"/>
              </w:rPr>
              <w:t>104(e)</w:t>
            </w:r>
          </w:p>
        </w:tc>
        <w:tc>
          <w:tcPr>
            <w:tcW w:w="84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88"/>
              </w:rPr>
              <w:t>104(e)</w:t>
            </w:r>
          </w:p>
        </w:tc>
        <w:tc>
          <w:tcPr>
            <w:tcW w:w="74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93"/>
              </w:rPr>
              <w:t>Day of</w:t>
            </w:r>
          </w:p>
        </w:tc>
        <w:tc>
          <w:tcPr>
            <w:tcW w:w="680" w:type="dxa"/>
            <w:vAlign w:val="bottom"/>
            <w:gridSpan w:val="2"/>
          </w:tcPr>
          <w:p>
            <w:pPr>
              <w:jc w:val="center"/>
              <w:ind w:right="220"/>
              <w:spacing w:after="0" w:line="133" w:lineRule="exact"/>
              <w:rPr>
                <w:sz w:val="20"/>
                <w:szCs w:val="20"/>
                <w:color w:val="auto"/>
              </w:rPr>
            </w:pPr>
            <w:r>
              <w:rPr>
                <w:rFonts w:ascii="Arial" w:cs="Arial" w:eastAsia="Arial" w:hAnsi="Arial"/>
                <w:sz w:val="14"/>
                <w:szCs w:val="14"/>
                <w:color w:val="auto"/>
                <w:w w:val="92"/>
              </w:rPr>
              <w:t>During</w:t>
            </w:r>
          </w:p>
        </w:tc>
        <w:tc>
          <w:tcPr>
            <w:tcW w:w="58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92"/>
              </w:rPr>
              <w:t>During</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29" w:lineRule="exact"/>
              <w:rPr>
                <w:sz w:val="20"/>
                <w:szCs w:val="20"/>
                <w:color w:val="auto"/>
              </w:rPr>
            </w:pPr>
            <w:r>
              <w:rPr>
                <w:rFonts w:ascii="Arial" w:cs="Arial" w:eastAsia="Arial" w:hAnsi="Arial"/>
                <w:sz w:val="14"/>
                <w:szCs w:val="14"/>
                <w:color w:val="auto"/>
              </w:rPr>
              <w:t>Identification Number</w:t>
            </w: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w w:val="84"/>
              </w:rPr>
              <w:t>Citations</w:t>
            </w:r>
          </w:p>
        </w:tc>
        <w:tc>
          <w:tcPr>
            <w:tcW w:w="200" w:type="dxa"/>
            <w:vAlign w:val="bottom"/>
          </w:tcPr>
          <w:p>
            <w:pPr>
              <w:spacing w:after="0"/>
              <w:rPr>
                <w:sz w:val="12"/>
                <w:szCs w:val="12"/>
                <w:color w:val="auto"/>
              </w:rPr>
            </w:pPr>
          </w:p>
        </w:tc>
        <w:tc>
          <w:tcPr>
            <w:tcW w:w="62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w w:val="84"/>
              </w:rPr>
              <w:t>Orders</w:t>
            </w:r>
          </w:p>
        </w:tc>
        <w:tc>
          <w:tcPr>
            <w:tcW w:w="72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88"/>
              </w:rPr>
              <w:t>Orders</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8"/>
              </w:rPr>
              <w:t>Violations</w:t>
            </w:r>
          </w:p>
        </w:tc>
        <w:tc>
          <w:tcPr>
            <w:tcW w:w="50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w w:val="84"/>
              </w:rPr>
              <w:t>Orders</w:t>
            </w:r>
          </w:p>
        </w:tc>
        <w:tc>
          <w:tcPr>
            <w:tcW w:w="120" w:type="dxa"/>
            <w:vAlign w:val="bottom"/>
          </w:tcPr>
          <w:p>
            <w:pPr>
              <w:spacing w:after="0"/>
              <w:rPr>
                <w:sz w:val="12"/>
                <w:szCs w:val="12"/>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0"/>
                <w:szCs w:val="10"/>
                <w:color w:val="auto"/>
              </w:rPr>
              <w:t>Assessments</w:t>
            </w:r>
            <w:r>
              <w:rPr>
                <w:rFonts w:ascii="Arial" w:cs="Arial" w:eastAsia="Arial" w:hAnsi="Arial"/>
                <w:sz w:val="14"/>
                <w:szCs w:val="14"/>
                <w:color w:val="auto"/>
                <w:vertAlign w:val="superscript"/>
              </w:rPr>
              <w:t>(1)</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5"/>
              </w:rPr>
              <w:t>Fatalities</w:t>
            </w: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86"/>
              </w:rPr>
              <w:t>(yes/no)</w:t>
            </w: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86"/>
              </w:rPr>
              <w:t>(yes/no)</w:t>
            </w:r>
          </w:p>
        </w:tc>
        <w:tc>
          <w:tcPr>
            <w:tcW w:w="74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88"/>
              </w:rPr>
              <w:t>Period</w:t>
            </w: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88"/>
              </w:rPr>
              <w:t>Period</w:t>
            </w: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color w:val="auto"/>
                <w:w w:val="88"/>
              </w:rPr>
              <w:t>Period</w:t>
            </w:r>
          </w:p>
        </w:tc>
        <w:tc>
          <w:tcPr>
            <w:tcW w:w="0" w:type="dxa"/>
            <w:vAlign w:val="bottom"/>
          </w:tcPr>
          <w:p>
            <w:pPr>
              <w:spacing w:after="0"/>
              <w:rPr>
                <w:sz w:val="1"/>
                <w:szCs w:val="1"/>
                <w:color w:val="auto"/>
              </w:rPr>
            </w:pPr>
          </w:p>
        </w:tc>
      </w:tr>
      <w:tr>
        <w:trPr>
          <w:trHeight w:val="20"/>
        </w:trPr>
        <w:tc>
          <w:tcPr>
            <w:tcW w:w="15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Amelia Barite Plant/1600825</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507*</w:t>
            </w: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N</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N</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w w:val="99"/>
              </w:rPr>
              <w:t>Battle Mountain Grinding Plant/2600828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9,076</w:t>
            </w:r>
          </w:p>
        </w:tc>
        <w:tc>
          <w:tcPr>
            <w:tcW w:w="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Galveston GBT Barite Grinding</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Plant/4104675</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w:t>
            </w: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Greybull Milling Operation/4800602</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12,843</w:t>
            </w:r>
          </w:p>
        </w:tc>
        <w:tc>
          <w:tcPr>
            <w:tcW w:w="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Greybull Mining Operation/4800603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Greystone Mine/2600411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 SWACO-Alpine/4104829</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500" w:type="dxa"/>
            <w:vAlign w:val="bottom"/>
            <w:gridSpan w:val="2"/>
          </w:tcPr>
          <w:p>
            <w:pPr>
              <w:spacing w:after="0" w:line="138" w:lineRule="exact"/>
              <w:rPr>
                <w:sz w:val="20"/>
                <w:szCs w:val="20"/>
                <w:color w:val="auto"/>
              </w:rPr>
            </w:pPr>
            <w:r>
              <w:rPr>
                <w:rFonts w:ascii="Arial" w:cs="Arial" w:eastAsia="Arial" w:hAnsi="Arial"/>
                <w:sz w:val="14"/>
                <w:szCs w:val="14"/>
                <w:color w:val="auto"/>
              </w:rPr>
              <w:t>MI SWACO-Brownsville Grinding</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500" w:type="dxa"/>
            <w:vAlign w:val="bottom"/>
            <w:gridSpan w:val="2"/>
          </w:tcPr>
          <w:p>
            <w:pPr>
              <w:ind w:left="220"/>
              <w:spacing w:after="0"/>
              <w:rPr>
                <w:sz w:val="20"/>
                <w:szCs w:val="20"/>
                <w:color w:val="auto"/>
              </w:rPr>
            </w:pPr>
            <w:r>
              <w:rPr>
                <w:rFonts w:ascii="Arial" w:cs="Arial" w:eastAsia="Arial" w:hAnsi="Arial"/>
                <w:sz w:val="14"/>
                <w:szCs w:val="14"/>
                <w:color w:val="auto"/>
              </w:rPr>
              <w:t>Plant/4103033</w:t>
            </w: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2,532**</w:t>
            </w: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N</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N</w:t>
            </w: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20" w:hanging="332"/>
        <w:spacing w:after="0" w:line="288" w:lineRule="auto"/>
        <w:tabs>
          <w:tab w:leader="none" w:pos="3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Amounts included are the total dollar value of proposed or outstanding assessments received from MSHA on or before December 31, 2012 regardless of whether the assessment has been challenged or appealed, for citations and orders occurring during the full year 2012.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30" w:lineRule="exact"/>
        <w:rPr>
          <w:sz w:val="20"/>
          <w:szCs w:val="20"/>
          <w:color w:val="auto"/>
        </w:rPr>
      </w:pPr>
    </w:p>
    <w:p>
      <w:pPr>
        <w:ind w:right="100" w:firstLine="8"/>
        <w:spacing w:after="0" w:line="239" w:lineRule="auto"/>
        <w:tabs>
          <w:tab w:leader="none" w:pos="101"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of December 31, 2012, the MSHA had not yet proposed assessments for some citations relating to this entry, as follows: two Section 104(a) citations at Amelia Barite Plant; and 18 Section 104(a) citations at Greystone Mine, 14 of which have since been assessed during 2013 for a total of $1,478.</w:t>
      </w:r>
    </w:p>
    <w:p>
      <w:pPr>
        <w:spacing w:after="0" w:line="58" w:lineRule="exact"/>
        <w:rPr>
          <w:sz w:val="20"/>
          <w:szCs w:val="20"/>
          <w:color w:val="auto"/>
        </w:rPr>
      </w:pPr>
    </w:p>
    <w:p>
      <w:pPr>
        <w:ind w:right="140" w:firstLine="8"/>
        <w:spacing w:after="0" w:line="239" w:lineRule="auto"/>
        <w:tabs>
          <w:tab w:leader="none" w:pos="169"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includes $925 corresponding to three citations that were issued in connection with an October 31, 2012 inspection. For purposes of this table, we have assumed, but are not able to confirm, that the assessments were made during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emdash "/>
      <w:numFmt w:val="bullet"/>
      <w:start w:val="1"/>
    </w:lvl>
  </w:abstractNum>
  <w:abstractNum w:abstractNumId="3">
    <w:nsid w:val="737B8DDC"/>
    <w:multiLevelType w:val="hybridMultilevel"/>
    <w:lvl w:ilvl="0">
      <w:lvlJc w:val="left"/>
      <w:lvlText w:val="\emdash "/>
      <w:numFmt w:val="bullet"/>
      <w:start w:val="1"/>
    </w:lvl>
  </w:abstractNum>
  <w:abstractNum w:abstractNumId="4">
    <w:nsid w:val="6CEAF087"/>
    <w:multiLevelType w:val="hybridMultilevel"/>
    <w:lvl w:ilvl="0">
      <w:lvlJc w:val="left"/>
      <w:lvlText w:val="\emdash "/>
      <w:numFmt w:val="bullet"/>
      <w:start w:val="1"/>
    </w:lvl>
  </w:abstractNum>
  <w:abstractNum w:abstractNumId="5">
    <w:nsid w:val="22221A70"/>
    <w:multiLevelType w:val="hybridMultilevel"/>
    <w:lvl w:ilvl="0">
      <w:lvlJc w:val="left"/>
      <w:lvlText w:val="\emdash "/>
      <w:numFmt w:val="bullet"/>
      <w:start w:val="1"/>
    </w:lvl>
  </w:abstractNum>
  <w:abstractNum w:abstractNumId="6">
    <w:nsid w:val="4516DDE9"/>
    <w:multiLevelType w:val="hybridMultilevel"/>
    <w:lvl w:ilvl="0">
      <w:lvlJc w:val="left"/>
      <w:lvlText w:val="\emdash "/>
      <w:numFmt w:val="bullet"/>
      <w:start w:val="1"/>
    </w:lvl>
  </w:abstractNum>
  <w:abstractNum w:abstractNumId="7">
    <w:nsid w:val="3006C83E"/>
    <w:multiLevelType w:val="hybridMultilevel"/>
    <w:lvl w:ilvl="0">
      <w:lvlJc w:val="left"/>
      <w:lvlText w:val="\emdash "/>
      <w:numFmt w:val="bullet"/>
      <w:start w:val="1"/>
    </w:lvl>
  </w:abstractNum>
  <w:abstractNum w:abstractNumId="8">
    <w:nsid w:val="614FD4A1"/>
    <w:multiLevelType w:val="hybridMultilevel"/>
    <w:lvl w:ilvl="0">
      <w:lvlJc w:val="left"/>
      <w:lvlText w:val="\emdash "/>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emdash "/>
      <w:numFmt w:val="bullet"/>
      <w:start w:val="1"/>
    </w:lvl>
  </w:abstractNum>
  <w:abstractNum w:abstractNumId="14">
    <w:nsid w:val="77465F01"/>
    <w:multiLevelType w:val="hybridMultilevel"/>
    <w:lvl w:ilvl="0">
      <w:lvlJc w:val="left"/>
      <w:lvlText w:val="\emdash "/>
      <w:numFmt w:val="bullet"/>
      <w:start w:val="1"/>
    </w:lvl>
  </w:abstractNum>
  <w:abstractNum w:abstractNumId="15">
    <w:nsid w:val="7724C67E"/>
    <w:multiLevelType w:val="hybridMultilevel"/>
    <w:lvl w:ilvl="0">
      <w:lvlJc w:val="left"/>
      <w:lvlText w:val="\emdash "/>
      <w:numFmt w:val="bullet"/>
      <w:start w:val="1"/>
    </w:lvl>
  </w:abstractNum>
  <w:abstractNum w:abstractNumId="16">
    <w:nsid w:val="5C482A97"/>
    <w:multiLevelType w:val="hybridMultilevel"/>
    <w:lvl w:ilvl="0">
      <w:lvlJc w:val="left"/>
      <w:lvlText w:val="\emdash "/>
      <w:numFmt w:val="bullet"/>
      <w:start w:val="1"/>
    </w:lvl>
  </w:abstractNum>
  <w:abstractNum w:abstractNumId="17">
    <w:nsid w:val="2463B9EA"/>
    <w:multiLevelType w:val="hybridMultilevel"/>
    <w:lvl w:ilvl="0">
      <w:lvlJc w:val="left"/>
      <w:lvlText w:val="\emdash "/>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2"/>
    </w:lvl>
  </w:abstractNum>
  <w:abstractNum w:abstractNumId="25">
    <w:nsid w:val="6A2342EC"/>
    <w:multiLevelType w:val="hybridMultilevel"/>
    <w:lvl w:ilvl="0">
      <w:lvlJc w:val="left"/>
      <w:lvlText w:val="%1."/>
      <w:numFmt w:val="decimal"/>
      <w:start w:val="3"/>
    </w:lvl>
  </w:abstractNum>
  <w:abstractNum w:abstractNumId="26">
    <w:nsid w:val="2A487CB0"/>
    <w:multiLevelType w:val="hybridMultilevel"/>
    <w:lvl w:ilvl="0">
      <w:lvlJc w:val="left"/>
      <w:lvlText w:val="\emdash "/>
      <w:numFmt w:val="bullet"/>
      <w:start w:val="1"/>
    </w:lvl>
  </w:abstractNum>
  <w:abstractNum w:abstractNumId="27">
    <w:nsid w:val="1D4ED43B"/>
    <w:multiLevelType w:val="hybridMultilevel"/>
    <w:lvl w:ilvl="0">
      <w:lvlJc w:val="left"/>
      <w:lvlText w:val="\emdash "/>
      <w:numFmt w:val="bullet"/>
      <w:start w:val="1"/>
    </w:lvl>
  </w:abstractNum>
  <w:abstractNum w:abstractNumId="28">
    <w:nsid w:val="725A06FB"/>
    <w:multiLevelType w:val="hybridMultilevel"/>
    <w:lvl w:ilvl="0">
      <w:lvlJc w:val="left"/>
      <w:lvlText w:val="\emdash "/>
      <w:numFmt w:val="bullet"/>
      <w:start w:val="1"/>
    </w:lvl>
  </w:abstractNum>
  <w:abstractNum w:abstractNumId="29">
    <w:nsid w:val="2CD89A32"/>
    <w:multiLevelType w:val="hybridMultilevel"/>
    <w:lvl w:ilvl="0">
      <w:lvlJc w:val="left"/>
      <w:lvlText w:val="\emdash "/>
      <w:numFmt w:val="bullet"/>
      <w:start w:val="1"/>
    </w:lvl>
  </w:abstractNum>
  <w:abstractNum w:abstractNumId="30">
    <w:nsid w:val="57E4CCAF"/>
    <w:multiLevelType w:val="hybridMultilevel"/>
    <w:lvl w:ilvl="0">
      <w:lvlJc w:val="left"/>
      <w:lvlText w:val="\emdash "/>
      <w:numFmt w:val="bullet"/>
      <w:start w:val="1"/>
    </w:lvl>
  </w:abstractNum>
  <w:abstractNum w:abstractNumId="31">
    <w:nsid w:val="7A6D8D3C"/>
    <w:multiLevelType w:val="hybridMultilevel"/>
    <w:lvl w:ilvl="0">
      <w:lvlJc w:val="left"/>
      <w:lvlText w:val="\emdash "/>
      <w:numFmt w:val="bullet"/>
      <w:start w:val="1"/>
    </w:lvl>
  </w:abstractNum>
  <w:abstractNum w:abstractNumId="32">
    <w:nsid w:val="4B588F54"/>
    <w:multiLevelType w:val="hybridMultilevel"/>
    <w:lvl w:ilvl="0">
      <w:lvlJc w:val="left"/>
      <w:lvlText w:val="\emdash "/>
      <w:numFmt w:val="bullet"/>
      <w:start w:val="1"/>
    </w:lvl>
  </w:abstractNum>
  <w:abstractNum w:abstractNumId="33">
    <w:nsid w:val="542289EC"/>
    <w:multiLevelType w:val="hybridMultilevel"/>
    <w:lvl w:ilvl="0">
      <w:lvlJc w:val="left"/>
      <w:lvlText w:val="%1."/>
      <w:numFmt w:val="decimal"/>
      <w:start w:val="4"/>
    </w:lvl>
  </w:abstractNum>
  <w:abstractNum w:abstractNumId="34">
    <w:nsid w:val="6DE91B18"/>
    <w:multiLevelType w:val="hybridMultilevel"/>
    <w:lvl w:ilvl="0">
      <w:lvlJc w:val="left"/>
      <w:lvlText w:val="%1."/>
      <w:numFmt w:val="decimal"/>
      <w:start w:val="9"/>
    </w:lvl>
  </w:abstractNum>
  <w:abstractNum w:abstractNumId="35">
    <w:nsid w:val="38437FDB"/>
    <w:multiLevelType w:val="hybridMultilevel"/>
    <w:lvl w:ilvl="0">
      <w:lvlJc w:val="left"/>
      <w:lvlText w:val="%1."/>
      <w:numFmt w:val="decimal"/>
      <w:start w:val="10"/>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5"/>
    </w:lvl>
  </w:abstractNum>
  <w:abstractNum w:abstractNumId="38">
    <w:nsid w:val="684A481A"/>
    <w:multiLevelType w:val="hybridMultilevel"/>
    <w:lvl w:ilvl="0">
      <w:lvlJc w:val="left"/>
      <w:lvlText w:val="%1."/>
      <w:numFmt w:val="decimal"/>
      <w:start w:val="11"/>
    </w:lvl>
  </w:abstractNum>
  <w:abstractNum w:abstractNumId="39">
    <w:nsid w:val="579478FE"/>
    <w:multiLevelType w:val="hybridMultilevel"/>
    <w:lvl w:ilvl="0">
      <w:lvlJc w:val="left"/>
      <w:lvlText w:val="%1."/>
      <w:numFmt w:val="decimal"/>
      <w:start w:val="12"/>
    </w:lvl>
  </w:abstractNum>
  <w:abstractNum w:abstractNumId="40">
    <w:nsid w:val="749ABB43"/>
    <w:multiLevelType w:val="hybridMultilevel"/>
    <w:lvl w:ilvl="0">
      <w:lvlJc w:val="left"/>
      <w:lvlText w:val="%1."/>
      <w:numFmt w:val="decimal"/>
      <w:start w:val="13"/>
    </w:lvl>
  </w:abstractNum>
  <w:abstractNum w:abstractNumId="41">
    <w:nsid w:val="3DC240FB"/>
    <w:multiLevelType w:val="hybridMultilevel"/>
    <w:lvl w:ilvl="0">
      <w:lvlJc w:val="left"/>
      <w:lvlText w:val="%1."/>
      <w:numFmt w:val="decimal"/>
      <w:start w:val="14"/>
    </w:lvl>
  </w:abstractNum>
  <w:abstractNum w:abstractNumId="42">
    <w:nsid w:val="1BA026FA"/>
    <w:multiLevelType w:val="hybridMultilevel"/>
    <w:lvl w:ilvl="0">
      <w:lvlJc w:val="left"/>
      <w:lvlText w:val="%1."/>
      <w:numFmt w:val="decimal"/>
      <w:start w:val="15"/>
    </w:lvl>
  </w:abstractNum>
  <w:abstractNum w:abstractNumId="43">
    <w:nsid w:val="79A1DEAA"/>
    <w:multiLevelType w:val="hybridMultilevel"/>
    <w:lvl w:ilvl="0">
      <w:lvlJc w:val="left"/>
      <w:lvlText w:val="%1."/>
      <w:numFmt w:val="decimal"/>
      <w:start w:val="16"/>
    </w:lvl>
  </w:abstractNum>
  <w:abstractNum w:abstractNumId="44">
    <w:nsid w:val="75C6C33A"/>
    <w:multiLevelType w:val="hybridMultilevel"/>
    <w:lvl w:ilvl="0">
      <w:lvlJc w:val="left"/>
      <w:lvlText w:val="%1."/>
      <w:numFmt w:val="decimal"/>
      <w:start w:val="17"/>
    </w:lvl>
    <w:lvl w:ilvl="1">
      <w:lvlJc w:val="left"/>
      <w:lvlText w:val="\emdash "/>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8"/>
    </w:lvl>
  </w:abstractNum>
  <w:abstractNum w:abstractNumId="48">
    <w:nsid w:val="374A3FE6"/>
    <w:multiLevelType w:val="hybridMultilevel"/>
    <w:lvl w:ilvl="0">
      <w:lvlJc w:val="left"/>
      <w:lvlText w:val="\emdash "/>
      <w:numFmt w:val="bullet"/>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2"/>
    </w:lvl>
  </w:abstractNum>
  <w:abstractNum w:abstractNumId="53">
    <w:nsid w:val="39386575"/>
    <w:multiLevelType w:val="hybridMultilevel"/>
    <w:lvl w:ilvl="0">
      <w:lvlJc w:val="left"/>
      <w:lvlText w:val="(*)"/>
      <w:numFmt w:val="bullet"/>
      <w:start w:val="1"/>
    </w:lvl>
    <w:lvl w:ilvl="1">
      <w:lvlJc w:val="left"/>
      <w:lvlText w:val="(%2)"/>
      <w:numFmt w:val="lowerRoman"/>
      <w:start w:val="3"/>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2019-12-05T15:04:48Z</dcterms:created>
  <dcterms:modified xsi:type="dcterms:W3CDTF">2019-12-05T15:04:48Z</dcterms:modified>
</cp:coreProperties>
</file>